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158" w:lineRule="exact"/>
        <w:rPr>
          <w:sz w:val="24"/>
          <w:szCs w:val="24"/>
          <w:color w:val="auto"/>
        </w:rPr>
      </w:pPr>
    </w:p>
    <w:p>
      <w:pPr>
        <w:ind w:left="380" w:hanging="371"/>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fiscal year ended December 31, 2025</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30" w:lineRule="exact"/>
        <w:rPr>
          <w:sz w:val="24"/>
          <w:szCs w:val="24"/>
          <w:color w:val="auto"/>
        </w:rPr>
      </w:pPr>
    </w:p>
    <w:p>
      <w:pPr>
        <w:ind w:left="380" w:hanging="371"/>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08" w:lineRule="exact"/>
        <w:rPr>
          <w:sz w:val="24"/>
          <w:szCs w:val="24"/>
          <w:color w:val="auto"/>
        </w:rPr>
      </w:pPr>
    </w:p>
    <w:p>
      <w:pPr>
        <w:ind w:left="3260"/>
        <w:spacing w:after="0"/>
        <w:tabs>
          <w:tab w:leader="none" w:pos="620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001-38358</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INSEEGO CORP.</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7" w:lineRule="exact"/>
        <w:rPr>
          <w:sz w:val="24"/>
          <w:szCs w:val="24"/>
          <w:color w:val="auto"/>
        </w:rPr>
      </w:pPr>
    </w:p>
    <w:tbl>
      <w:tblPr>
        <w:tblLayout w:type="fixed"/>
        <w:tblInd w:w="210" w:type="dxa"/>
        <w:tblCellMar>
          <w:top w:w="0" w:type="dxa"/>
          <w:left w:w="0" w:type="dxa"/>
          <w:bottom w:w="0" w:type="dxa"/>
          <w:right w:w="0" w:type="dxa"/>
        </w:tblCellMar>
      </w:tblPr>
      <w:tr>
        <w:trPr>
          <w:trHeight w:val="212"/>
        </w:trPr>
        <w:tc>
          <w:tcPr>
            <w:tcW w:w="4080" w:type="dxa"/>
            <w:vAlign w:val="bottom"/>
          </w:tcPr>
          <w:p>
            <w:pPr>
              <w:jc w:val="center"/>
              <w:ind w:left="1443"/>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720" w:type="dxa"/>
            <w:vAlign w:val="bottom"/>
          </w:tcPr>
          <w:p>
            <w:pPr>
              <w:spacing w:after="0"/>
              <w:rPr>
                <w:sz w:val="18"/>
                <w:szCs w:val="18"/>
                <w:color w:val="auto"/>
              </w:rPr>
            </w:pPr>
          </w:p>
        </w:tc>
        <w:tc>
          <w:tcPr>
            <w:tcW w:w="4380" w:type="dxa"/>
            <w:vAlign w:val="bottom"/>
            <w:gridSpan w:val="2"/>
          </w:tcPr>
          <w:p>
            <w:pPr>
              <w:jc w:val="right"/>
              <w:ind w:right="1464"/>
              <w:spacing w:after="0"/>
              <w:rPr>
                <w:sz w:val="20"/>
                <w:szCs w:val="20"/>
                <w:color w:val="auto"/>
              </w:rPr>
            </w:pPr>
            <w:r>
              <w:rPr>
                <w:rFonts w:ascii="Times New Roman" w:cs="Times New Roman" w:eastAsia="Times New Roman" w:hAnsi="Times New Roman"/>
                <w:sz w:val="17"/>
                <w:szCs w:val="17"/>
                <w:b w:val="1"/>
                <w:bCs w:val="1"/>
                <w:color w:val="auto"/>
              </w:rPr>
              <w:t>81-3377646</w:t>
            </w:r>
          </w:p>
        </w:tc>
      </w:tr>
      <w:tr>
        <w:trPr>
          <w:trHeight w:val="139"/>
        </w:trPr>
        <w:tc>
          <w:tcPr>
            <w:tcW w:w="4080" w:type="dxa"/>
            <w:vAlign w:val="bottom"/>
          </w:tcPr>
          <w:p>
            <w:pPr>
              <w:jc w:val="center"/>
              <w:ind w:left="1443"/>
              <w:spacing w:after="0" w:line="13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1720" w:type="dxa"/>
            <w:vAlign w:val="bottom"/>
          </w:tcPr>
          <w:p>
            <w:pPr>
              <w:spacing w:after="0"/>
              <w:rPr>
                <w:sz w:val="12"/>
                <w:szCs w:val="12"/>
                <w:color w:val="auto"/>
              </w:rPr>
            </w:pPr>
          </w:p>
        </w:tc>
        <w:tc>
          <w:tcPr>
            <w:tcW w:w="4380" w:type="dxa"/>
            <w:vAlign w:val="bottom"/>
            <w:gridSpan w:val="2"/>
          </w:tcPr>
          <w:p>
            <w:pPr>
              <w:jc w:val="center"/>
              <w:ind w:left="402"/>
              <w:spacing w:after="0" w:line="13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9"/>
        </w:trPr>
        <w:tc>
          <w:tcPr>
            <w:tcW w:w="4080" w:type="dxa"/>
            <w:vAlign w:val="bottom"/>
          </w:tcPr>
          <w:p>
            <w:pPr>
              <w:jc w:val="center"/>
              <w:ind w:left="1443"/>
              <w:spacing w:after="0"/>
              <w:rPr>
                <w:sz w:val="20"/>
                <w:szCs w:val="20"/>
                <w:color w:val="auto"/>
              </w:rPr>
            </w:pPr>
            <w:r>
              <w:rPr>
                <w:rFonts w:ascii="Times New Roman" w:cs="Times New Roman" w:eastAsia="Times New Roman" w:hAnsi="Times New Roman"/>
                <w:sz w:val="14"/>
                <w:szCs w:val="14"/>
                <w:b w:val="1"/>
                <w:bCs w:val="1"/>
                <w:color w:val="auto"/>
                <w:w w:val="96"/>
              </w:rPr>
              <w:t>of Incorporation or Organization)</w:t>
            </w:r>
          </w:p>
        </w:tc>
        <w:tc>
          <w:tcPr>
            <w:tcW w:w="1720" w:type="dxa"/>
            <w:vAlign w:val="bottom"/>
          </w:tcPr>
          <w:p>
            <w:pPr>
              <w:spacing w:after="0"/>
              <w:rPr>
                <w:sz w:val="15"/>
                <w:szCs w:val="15"/>
                <w:color w:val="auto"/>
              </w:rPr>
            </w:pPr>
          </w:p>
        </w:tc>
        <w:tc>
          <w:tcPr>
            <w:tcW w:w="4380" w:type="dxa"/>
            <w:vAlign w:val="bottom"/>
            <w:gridSpan w:val="2"/>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271"/>
        </w:trPr>
        <w:tc>
          <w:tcPr>
            <w:tcW w:w="4080" w:type="dxa"/>
            <w:vAlign w:val="bottom"/>
          </w:tcPr>
          <w:p>
            <w:pPr>
              <w:jc w:val="center"/>
              <w:ind w:left="1423"/>
              <w:spacing w:after="0"/>
              <w:rPr>
                <w:sz w:val="20"/>
                <w:szCs w:val="20"/>
                <w:color w:val="auto"/>
              </w:rPr>
            </w:pPr>
            <w:r>
              <w:rPr>
                <w:rFonts w:ascii="Times New Roman" w:cs="Times New Roman" w:eastAsia="Times New Roman" w:hAnsi="Times New Roman"/>
                <w:sz w:val="17"/>
                <w:szCs w:val="17"/>
                <w:b w:val="1"/>
                <w:bCs w:val="1"/>
                <w:color w:val="auto"/>
                <w:w w:val="99"/>
              </w:rPr>
              <w:t>9710 Scranton Road, Suite 200</w:t>
            </w:r>
          </w:p>
        </w:tc>
        <w:tc>
          <w:tcPr>
            <w:tcW w:w="17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12"/>
        </w:trPr>
        <w:tc>
          <w:tcPr>
            <w:tcW w:w="408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San Diego, California</w:t>
            </w:r>
          </w:p>
        </w:tc>
        <w:tc>
          <w:tcPr>
            <w:tcW w:w="1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00" w:type="dxa"/>
            <w:vAlign w:val="bottom"/>
          </w:tcPr>
          <w:p>
            <w:pPr>
              <w:jc w:val="right"/>
              <w:ind w:right="1664"/>
              <w:spacing w:after="0"/>
              <w:rPr>
                <w:sz w:val="20"/>
                <w:szCs w:val="20"/>
                <w:color w:val="auto"/>
              </w:rPr>
            </w:pPr>
            <w:r>
              <w:rPr>
                <w:rFonts w:ascii="Times New Roman" w:cs="Times New Roman" w:eastAsia="Times New Roman" w:hAnsi="Times New Roman"/>
                <w:sz w:val="17"/>
                <w:szCs w:val="17"/>
                <w:b w:val="1"/>
                <w:bCs w:val="1"/>
                <w:color w:val="auto"/>
              </w:rPr>
              <w:t>92121</w:t>
            </w:r>
          </w:p>
        </w:tc>
      </w:tr>
      <w:tr>
        <w:trPr>
          <w:trHeight w:val="179"/>
        </w:trPr>
        <w:tc>
          <w:tcPr>
            <w:tcW w:w="4080" w:type="dxa"/>
            <w:vAlign w:val="bottom"/>
          </w:tcPr>
          <w:p>
            <w:pPr>
              <w:jc w:val="center"/>
              <w:ind w:left="1443"/>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7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00" w:type="dxa"/>
            <w:vAlign w:val="bottom"/>
          </w:tcPr>
          <w:p>
            <w:pPr>
              <w:jc w:val="center"/>
              <w:ind w:right="152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11"/>
        </w:trPr>
        <w:tc>
          <w:tcPr>
            <w:tcW w:w="7880" w:type="dxa"/>
            <w:vAlign w:val="bottom"/>
            <w:gridSpan w:val="3"/>
          </w:tcPr>
          <w:p>
            <w:pPr>
              <w:jc w:val="center"/>
              <w:ind w:left="2183"/>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(858) 812-3400</w:t>
            </w:r>
          </w:p>
        </w:tc>
        <w:tc>
          <w:tcPr>
            <w:tcW w:w="2300" w:type="dxa"/>
            <w:vAlign w:val="bottom"/>
          </w:tcPr>
          <w:p>
            <w:pPr>
              <w:spacing w:after="0"/>
              <w:rPr>
                <w:sz w:val="24"/>
                <w:szCs w:val="24"/>
                <w:color w:val="auto"/>
              </w:rPr>
            </w:pPr>
          </w:p>
        </w:tc>
      </w:tr>
      <w:tr>
        <w:trPr>
          <w:trHeight w:val="290"/>
        </w:trPr>
        <w:tc>
          <w:tcPr>
            <w:tcW w:w="7880" w:type="dxa"/>
            <w:vAlign w:val="bottom"/>
            <w:tcBorders>
              <w:bottom w:val="single" w:sz="8" w:color="auto"/>
            </w:tcBorders>
            <w:gridSpan w:val="3"/>
          </w:tcPr>
          <w:p>
            <w:pPr>
              <w:jc w:val="center"/>
              <w:ind w:left="2203"/>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300" w:type="dxa"/>
            <w:vAlign w:val="bottom"/>
            <w:tcBorders>
              <w:bottom w:val="single" w:sz="8" w:color="auto"/>
            </w:tcBorders>
          </w:tcPr>
          <w:p>
            <w:pPr>
              <w:spacing w:after="0"/>
              <w:rPr>
                <w:sz w:val="24"/>
                <w:szCs w:val="24"/>
                <w:color w:val="auto"/>
              </w:rPr>
            </w:pPr>
          </w:p>
        </w:tc>
      </w:tr>
      <w:tr>
        <w:trPr>
          <w:trHeight w:val="21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1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$0.001 par value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INSG</w:t>
            </w:r>
          </w:p>
        </w:tc>
        <w:tc>
          <w:tcPr>
            <w:tcW w:w="4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Nasdaq Global Select Market</w:t>
            </w:r>
          </w:p>
        </w:tc>
      </w:tr>
      <w:tr>
        <w:trPr>
          <w:trHeight w:val="200"/>
        </w:trPr>
        <w:tc>
          <w:tcPr>
            <w:tcW w:w="4080" w:type="dxa"/>
            <w:vAlign w:val="bottom"/>
            <w:tcBorders>
              <w:left w:val="single" w:sz="8" w:color="auto"/>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r>
      <w:tr>
        <w:trPr>
          <w:trHeight w:val="597"/>
        </w:trPr>
        <w:tc>
          <w:tcPr>
            <w:tcW w:w="7880" w:type="dxa"/>
            <w:vAlign w:val="bottom"/>
            <w:gridSpan w:val="3"/>
          </w:tcPr>
          <w:p>
            <w:pPr>
              <w:jc w:val="center"/>
              <w:ind w:left="2203"/>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2300" w:type="dxa"/>
            <w:vAlign w:val="bottom"/>
          </w:tcPr>
          <w:p>
            <w:pPr>
              <w:spacing w:after="0"/>
              <w:rPr>
                <w:sz w:val="24"/>
                <w:szCs w:val="24"/>
                <w:color w:val="auto"/>
              </w:rPr>
            </w:pPr>
          </w:p>
        </w:tc>
      </w:tr>
      <w:tr>
        <w:trPr>
          <w:trHeight w:val="216"/>
        </w:trPr>
        <w:tc>
          <w:tcPr>
            <w:tcW w:w="4080" w:type="dxa"/>
            <w:vAlign w:val="bottom"/>
          </w:tcPr>
          <w:p>
            <w:pPr>
              <w:spacing w:after="0"/>
              <w:rPr>
                <w:sz w:val="18"/>
                <w:szCs w:val="18"/>
                <w:color w:val="auto"/>
              </w:rPr>
            </w:pPr>
          </w:p>
        </w:tc>
        <w:tc>
          <w:tcPr>
            <w:tcW w:w="1720" w:type="dxa"/>
            <w:vAlign w:val="bottom"/>
          </w:tcPr>
          <w:p>
            <w:pPr>
              <w:jc w:val="center"/>
              <w:ind w:left="178"/>
              <w:spacing w:after="0"/>
              <w:rPr>
                <w:sz w:val="20"/>
                <w:szCs w:val="20"/>
                <w:color w:val="auto"/>
              </w:rPr>
            </w:pPr>
            <w:r>
              <w:rPr>
                <w:rFonts w:ascii="Times New Roman" w:cs="Times New Roman" w:eastAsia="Times New Roman" w:hAnsi="Times New Roman"/>
                <w:sz w:val="15"/>
                <w:szCs w:val="15"/>
                <w:b w:val="1"/>
                <w:bCs w:val="1"/>
                <w:color w:val="auto"/>
              </w:rPr>
              <w:t>None</w:t>
            </w:r>
          </w:p>
        </w:tc>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75"/>
        </w:trPr>
        <w:tc>
          <w:tcPr>
            <w:tcW w:w="7880" w:type="dxa"/>
            <w:vAlign w:val="bottom"/>
            <w:gridSpan w:val="3"/>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color w:val="auto"/>
              </w:rPr>
              <w:t>_</w:t>
            </w:r>
          </w:p>
        </w:tc>
      </w:tr>
      <w:tr>
        <w:trPr>
          <w:trHeight w:val="257"/>
        </w:trPr>
        <w:tc>
          <w:tcPr>
            <w:tcW w:w="7880" w:type="dxa"/>
            <w:vAlign w:val="bottom"/>
            <w:gridSpan w:val="3"/>
          </w:tcPr>
          <w:p>
            <w:pPr>
              <w:ind w:left="10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rPr>
              <w:t>☐</w:t>
            </w:r>
          </w:p>
        </w:tc>
        <w:tc>
          <w:tcPr>
            <w:tcW w:w="2300" w:type="dxa"/>
            <w:vAlign w:val="bottom"/>
          </w:tcPr>
          <w:p>
            <w:pPr>
              <w:jc w:val="center"/>
              <w:ind w:right="1524"/>
              <w:spacing w:after="0"/>
              <w:rPr>
                <w:sz w:val="20"/>
                <w:szCs w:val="20"/>
                <w:color w:val="auto"/>
              </w:rPr>
            </w:pP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color w:val="auto"/>
              </w:rPr>
              <w:t>_</w:t>
            </w:r>
          </w:p>
        </w:tc>
      </w:tr>
    </w:tbl>
    <w:p>
      <w:pPr>
        <w:spacing w:after="0" w:line="20" w:lineRule="exact"/>
        <w:rPr>
          <w:sz w:val="24"/>
          <w:szCs w:val="24"/>
          <w:color w:val="auto"/>
        </w:rPr>
      </w:pPr>
    </w:p>
    <w:p>
      <w:pPr>
        <w:jc w:val="both"/>
        <w:ind w:right="300" w:firstLine="305"/>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color w:val="auto"/>
        </w:rPr>
        <w:t>_</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40" w:firstLine="305"/>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5"/>
          <w:szCs w:val="15"/>
          <w:color w:val="auto"/>
        </w:rPr>
        <w:t>_</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240" w:firstLine="305"/>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tbl>
      <w:tblPr>
        <w:tblLayout w:type="fixed"/>
        <w:tblInd w:w="0" w:type="dxa"/>
        <w:tblCellMar>
          <w:top w:w="0" w:type="dxa"/>
          <w:left w:w="0" w:type="dxa"/>
          <w:bottom w:w="0" w:type="dxa"/>
          <w:right w:w="0" w:type="dxa"/>
        </w:tblCellMar>
      </w:tblPr>
      <w:tr>
        <w:trPr>
          <w:trHeight w:val="198"/>
        </w:trPr>
        <w:tc>
          <w:tcPr>
            <w:tcW w:w="24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Large accelerated filer</w:t>
            </w:r>
          </w:p>
        </w:tc>
        <w:tc>
          <w:tcPr>
            <w:tcW w:w="24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402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40"/>
              <w:spacing w:after="0"/>
              <w:rPr>
                <w:sz w:val="20"/>
                <w:szCs w:val="20"/>
                <w:color w:val="auto"/>
              </w:rPr>
            </w:pPr>
            <w:r>
              <w:rPr>
                <w:rFonts w:ascii="Wingdings" w:cs="Wingdings" w:eastAsia="Wingdings" w:hAnsi="Wingdings"/>
                <w:sz w:val="15"/>
                <w:szCs w:val="15"/>
                <w:color w:val="auto"/>
                <w:w w:val="88"/>
              </w:rPr>
              <w:t>_</w:t>
            </w:r>
          </w:p>
        </w:tc>
        <w:tc>
          <w:tcPr>
            <w:tcW w:w="0" w:type="dxa"/>
            <w:vAlign w:val="bottom"/>
          </w:tcPr>
          <w:p>
            <w:pPr>
              <w:spacing w:after="0"/>
              <w:rPr>
                <w:sz w:val="1"/>
                <w:szCs w:val="1"/>
                <w:color w:val="auto"/>
              </w:rPr>
            </w:pPr>
          </w:p>
        </w:tc>
      </w:tr>
      <w:tr>
        <w:trPr>
          <w:trHeight w:val="203"/>
        </w:trPr>
        <w:tc>
          <w:tcPr>
            <w:tcW w:w="240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Non-accelerated filer</w:t>
            </w:r>
          </w:p>
        </w:tc>
        <w:tc>
          <w:tcPr>
            <w:tcW w:w="24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402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40"/>
              <w:spacing w:after="0"/>
              <w:rPr>
                <w:sz w:val="20"/>
                <w:szCs w:val="20"/>
                <w:color w:val="auto"/>
              </w:rPr>
            </w:pPr>
            <w:r>
              <w:rPr>
                <w:rFonts w:ascii="Wingdings" w:cs="Wingdings" w:eastAsia="Wingdings" w:hAnsi="Wingdings"/>
                <w:sz w:val="15"/>
                <w:szCs w:val="15"/>
                <w:color w:val="auto"/>
                <w:w w:val="88"/>
              </w:rPr>
              <w:t>_</w:t>
            </w:r>
          </w:p>
        </w:tc>
        <w:tc>
          <w:tcPr>
            <w:tcW w:w="0" w:type="dxa"/>
            <w:vAlign w:val="bottom"/>
          </w:tcPr>
          <w:p>
            <w:pPr>
              <w:spacing w:after="0"/>
              <w:rPr>
                <w:sz w:val="1"/>
                <w:szCs w:val="1"/>
                <w:color w:val="auto"/>
              </w:rPr>
            </w:pPr>
          </w:p>
        </w:tc>
      </w:tr>
      <w:tr>
        <w:trPr>
          <w:trHeight w:val="257"/>
        </w:trPr>
        <w:tc>
          <w:tcPr>
            <w:tcW w:w="2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Exchange Act.</w:t>
            </w:r>
          </w:p>
        </w:tc>
        <w:tc>
          <w:tcPr>
            <w:tcW w:w="2440" w:type="dxa"/>
            <w:vAlign w:val="bottom"/>
          </w:tcPr>
          <w:p>
            <w:pPr>
              <w:spacing w:after="0"/>
              <w:rPr>
                <w:sz w:val="22"/>
                <w:szCs w:val="22"/>
                <w:color w:val="auto"/>
              </w:rPr>
            </w:pPr>
          </w:p>
        </w:tc>
        <w:tc>
          <w:tcPr>
            <w:tcW w:w="4020" w:type="dxa"/>
            <w:vAlign w:val="bottom"/>
          </w:tcPr>
          <w:p>
            <w:pPr>
              <w:ind w:left="22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93"/>
              </w:rPr>
              <w:t>☐</w:t>
            </w:r>
          </w:p>
        </w:tc>
        <w:tc>
          <w:tcPr>
            <w:tcW w:w="0" w:type="dxa"/>
            <w:vAlign w:val="bottom"/>
          </w:tcPr>
          <w:p>
            <w:pPr>
              <w:spacing w:after="0"/>
              <w:rPr>
                <w:sz w:val="1"/>
                <w:szCs w:val="1"/>
                <w:color w:val="auto"/>
              </w:rPr>
            </w:pPr>
          </w:p>
        </w:tc>
      </w:tr>
      <w:tr>
        <w:trPr>
          <w:trHeight w:val="65"/>
        </w:trPr>
        <w:tc>
          <w:tcPr>
            <w:tcW w:w="24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right="200" w:firstLine="305"/>
        <w:spacing w:after="0" w:line="18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180" w:firstLine="305"/>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w:t>
      </w:r>
      <w:r>
        <w:rPr>
          <w:rFonts w:ascii="MS PGothic" w:cs="MS PGothic" w:eastAsia="MS PGothic" w:hAnsi="MS PGothic"/>
          <w:sz w:val="16"/>
          <w:szCs w:val="16"/>
          <w:color w:val="auto"/>
        </w:rPr>
        <w:t>☒</w:t>
      </w:r>
    </w:p>
    <w:p>
      <w:pPr>
        <w:spacing w:after="0" w:line="101" w:lineRule="exact"/>
        <w:rPr>
          <w:sz w:val="24"/>
          <w:szCs w:val="24"/>
          <w:color w:val="auto"/>
        </w:rPr>
      </w:pPr>
    </w:p>
    <w:p>
      <w:pPr>
        <w:ind w:right="180" w:firstLine="305"/>
        <w:spacing w:after="0" w:line="267"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color w:val="auto"/>
        </w:rPr>
        <w:t></w:t>
      </w:r>
    </w:p>
    <w:p>
      <w:pPr>
        <w:spacing w:after="0" w:line="113" w:lineRule="exact"/>
        <w:rPr>
          <w:sz w:val="24"/>
          <w:szCs w:val="24"/>
          <w:color w:val="auto"/>
        </w:rPr>
      </w:pPr>
    </w:p>
    <w:p>
      <w:pPr>
        <w:ind w:right="180" w:firstLine="305"/>
        <w:spacing w:after="0" w:line="250"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PMingLiU" w:cs="PMingLiU" w:eastAsia="PMingLiU" w:hAnsi="PMingLiU"/>
          <w:sz w:val="15"/>
          <w:szCs w:val="15"/>
          <w:color w:val="auto"/>
        </w:rPr>
        <w:t></w:t>
      </w:r>
    </w:p>
    <w:p>
      <w:pPr>
        <w:spacing w:after="0" w:line="103" w:lineRule="exact"/>
        <w:rPr>
          <w:sz w:val="24"/>
          <w:szCs w:val="24"/>
          <w:color w:val="auto"/>
        </w:rPr>
      </w:pPr>
    </w:p>
    <w:p>
      <w:pPr>
        <w:ind w:left="300"/>
        <w:spacing w:after="0" w:line="173" w:lineRule="exact"/>
        <w:tabs>
          <w:tab w:leader="none" w:pos="718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Wingdings" w:cs="Wingdings" w:eastAsia="Wingdings" w:hAnsi="Wingdings"/>
          <w:sz w:val="15"/>
          <w:szCs w:val="15"/>
          <w:color w:val="auto"/>
        </w:rPr>
        <w:t>_</w:t>
      </w:r>
    </w:p>
    <w:p>
      <w:pPr>
        <w:spacing w:after="0" w:line="117" w:lineRule="exact"/>
        <w:rPr>
          <w:sz w:val="24"/>
          <w:szCs w:val="24"/>
          <w:color w:val="auto"/>
        </w:rPr>
      </w:pPr>
    </w:p>
    <w:p>
      <w:pPr>
        <w:ind w:firstLine="305"/>
        <w:spacing w:after="0" w:line="264" w:lineRule="auto"/>
        <w:rPr>
          <w:sz w:val="20"/>
          <w:szCs w:val="20"/>
          <w:color w:val="auto"/>
        </w:rPr>
      </w:pPr>
      <w:r>
        <w:rPr>
          <w:rFonts w:ascii="Times New Roman" w:cs="Times New Roman" w:eastAsia="Times New Roman" w:hAnsi="Times New Roman"/>
          <w:sz w:val="15"/>
          <w:szCs w:val="15"/>
          <w:color w:val="auto"/>
        </w:rPr>
        <w:t>The aggregate market value of the voting common stock held by non-affiliates of the registrant, based on the closing price of the registrant’s common stock on June 30, 2025, as reported by The Nasdaq Global Select Market, was approximately $88.2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4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5"/>
          <w:szCs w:val="15"/>
          <w:color w:val="auto"/>
        </w:rPr>
        <w:t>The number of shares of the registrant’s common stock outstanding as of February 13, 2026 was 16,218,934.</w:t>
      </w:r>
    </w:p>
    <w:p>
      <w:pPr>
        <w:spacing w:after="0" w:line="1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7" w:lineRule="exact"/>
        <w:rPr>
          <w:sz w:val="24"/>
          <w:szCs w:val="24"/>
          <w:color w:val="auto"/>
        </w:rPr>
      </w:pPr>
    </w:p>
    <w:p>
      <w:pPr>
        <w:ind w:right="20" w:firstLine="305"/>
        <w:spacing w:after="0" w:line="273" w:lineRule="auto"/>
        <w:rPr>
          <w:sz w:val="20"/>
          <w:szCs w:val="20"/>
          <w:color w:val="auto"/>
        </w:rPr>
      </w:pPr>
      <w:r>
        <w:rPr>
          <w:rFonts w:ascii="Times New Roman" w:cs="Times New Roman" w:eastAsia="Times New Roman" w:hAnsi="Times New Roman"/>
          <w:sz w:val="15"/>
          <w:szCs w:val="15"/>
          <w:color w:val="auto"/>
        </w:rPr>
        <w:t>Portions of the registrant’s definitive proxy statement for the 2026 Annual Meeting of Stockholders, to be filed with the Securities and Exchange Commission pursuant to Regulation 14A within 120 days after the close of the registrant’s fiscal year ended December 31, 2025, are incorporated by reference into Part III of this Form 10-K to the extent stated herein.</w:t>
      </w:r>
    </w:p>
    <w:p>
      <w:pPr>
        <w:sectPr>
          <w:pgSz w:w="12240" w:h="15840" w:orient="portrait"/>
          <w:cols w:equalWidth="0" w:num="1">
            <w:col w:w="10520"/>
          </w:cols>
          <w:pgMar w:left="840" w:top="959" w:right="880" w:bottom="0" w:gutter="0" w:footer="0" w:header="0"/>
        </w:sectPr>
      </w:pPr>
    </w:p>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74295</wp:posOffset>
            </wp:positionV>
            <wp:extent cx="673481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59" w:right="88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740" w:type="dxa"/>
            <w:vAlign w:val="bottom"/>
          </w:tcPr>
          <w:p>
            <w:pPr>
              <w:spacing w:after="0"/>
              <w:rPr>
                <w:sz w:val="19"/>
                <w:szCs w:val="19"/>
                <w:color w:val="auto"/>
              </w:rPr>
            </w:pPr>
          </w:p>
        </w:tc>
        <w:tc>
          <w:tcPr>
            <w:tcW w:w="9240" w:type="dxa"/>
            <w:vAlign w:val="bottom"/>
          </w:tcPr>
          <w:p>
            <w:pPr>
              <w:ind w:left="3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7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PART I</w:t>
            </w:r>
          </w:p>
        </w:tc>
        <w:tc>
          <w:tcPr>
            <w:tcW w:w="9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40" w:type="dxa"/>
            <w:vAlign w:val="bottom"/>
            <w:vMerge w:val="continue"/>
          </w:tcPr>
          <w:p>
            <w:pPr>
              <w:spacing w:after="0"/>
              <w:rPr>
                <w:sz w:val="16"/>
                <w:szCs w:val="16"/>
                <w:color w:val="auto"/>
              </w:rPr>
            </w:pPr>
          </w:p>
        </w:tc>
        <w:tc>
          <w:tcPr>
            <w:tcW w:w="9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1C.</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PART II</w:t>
            </w:r>
          </w:p>
        </w:tc>
        <w:tc>
          <w:tcPr>
            <w:tcW w:w="9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9C.</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PART III</w:t>
            </w:r>
          </w:p>
        </w:tc>
        <w:tc>
          <w:tcPr>
            <w:tcW w:w="9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Principal Accountant Fees and Services</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PART IV</w:t>
            </w:r>
          </w:p>
        </w:tc>
        <w:tc>
          <w:tcPr>
            <w:tcW w:w="9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15.</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Exhibit and Financial Statement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Item 16.</w:t>
            </w:r>
          </w:p>
        </w:tc>
        <w:tc>
          <w:tcPr>
            <w:tcW w:w="9240" w:type="dxa"/>
            <w:vAlign w:val="bottom"/>
          </w:tcPr>
          <w:p>
            <w:pPr>
              <w:ind w:left="120"/>
              <w:spacing w:after="0"/>
              <w:rPr>
                <w:sz w:val="20"/>
                <w:szCs w:val="20"/>
                <w:color w:val="auto"/>
              </w:rPr>
            </w:pPr>
            <w:r>
              <w:rPr>
                <w:rFonts w:ascii="Times New Roman" w:cs="Times New Roman" w:eastAsia="Times New Roman" w:hAnsi="Times New Roman"/>
                <w:sz w:val="17"/>
                <w:szCs w:val="17"/>
                <w:color w:val="0D248E"/>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0D248E"/>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D248E"/>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0D248E"/>
              </w:rPr>
              <w:t>INDEX TO CONSOLIDATED FINANCIAL STATEMENTS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D248E"/>
              </w:rPr>
              <w:t>F-1</w:t>
            </w:r>
          </w:p>
        </w:tc>
        <w:tc>
          <w:tcPr>
            <w:tcW w:w="0" w:type="dxa"/>
            <w:vAlign w:val="bottom"/>
          </w:tcPr>
          <w:p>
            <w:pPr>
              <w:spacing w:after="0"/>
              <w:rPr>
                <w:sz w:val="1"/>
                <w:szCs w:val="1"/>
                <w:color w:val="auto"/>
              </w:rPr>
            </w:pPr>
          </w:p>
        </w:tc>
      </w:tr>
      <w:tr>
        <w:trPr>
          <w:trHeight w:val="813"/>
        </w:trPr>
        <w:tc>
          <w:tcPr>
            <w:tcW w:w="740" w:type="dxa"/>
            <w:vAlign w:val="bottom"/>
          </w:tcPr>
          <w:p>
            <w:pPr>
              <w:spacing w:after="0"/>
              <w:rPr>
                <w:sz w:val="24"/>
                <w:szCs w:val="24"/>
                <w:color w:val="auto"/>
              </w:rPr>
            </w:pPr>
          </w:p>
        </w:tc>
        <w:tc>
          <w:tcPr>
            <w:tcW w:w="9240" w:type="dxa"/>
            <w:vAlign w:val="bottom"/>
          </w:tcPr>
          <w:p>
            <w:pPr>
              <w:ind w:left="4500"/>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 w:type="dxa"/>
            <w:vAlign w:val="bottom"/>
            <w:tcBorders>
              <w:bottom w:val="single" w:sz="8" w:color="898381"/>
            </w:tcBorders>
          </w:tcPr>
          <w:p>
            <w:pPr>
              <w:spacing w:after="0"/>
              <w:rPr>
                <w:sz w:val="9"/>
                <w:szCs w:val="9"/>
                <w:color w:val="auto"/>
              </w:rPr>
            </w:pPr>
          </w:p>
        </w:tc>
        <w:tc>
          <w:tcPr>
            <w:tcW w:w="9240" w:type="dxa"/>
            <w:vAlign w:val="bottom"/>
            <w:tcBorders>
              <w:bottom w:val="single" w:sz="8" w:color="898381"/>
            </w:tcBorders>
          </w:tcPr>
          <w:p>
            <w:pPr>
              <w:spacing w:after="0"/>
              <w:rPr>
                <w:sz w:val="9"/>
                <w:szCs w:val="9"/>
                <w:color w:val="auto"/>
              </w:rPr>
            </w:pPr>
          </w:p>
        </w:tc>
        <w:tc>
          <w:tcPr>
            <w:tcW w:w="560" w:type="dxa"/>
            <w:vAlign w:val="bottom"/>
            <w:tcBorders>
              <w:bottom w:val="single" w:sz="8" w:color="898381"/>
            </w:tcBorders>
          </w:tcPr>
          <w:p>
            <w:pPr>
              <w:spacing w:after="0"/>
              <w:rPr>
                <w:sz w:val="9"/>
                <w:szCs w:val="9"/>
                <w:color w:val="auto"/>
              </w:rPr>
            </w:pPr>
          </w:p>
        </w:tc>
        <w:tc>
          <w:tcPr>
            <w:tcW w:w="20" w:type="dxa"/>
            <w:vAlign w:val="bottom"/>
            <w:tcBorders>
              <w:bottom w:val="single" w:sz="8" w:color="89838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-27940</wp:posOffset>
            </wp:positionV>
            <wp:extent cx="3365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2240" w:h="15840" w:orient="portrait"/>
          <w:cols w:equalWidth="0" w:num="1">
            <w:col w:w="10560"/>
          </w:cols>
          <w:pgMar w:left="840" w:top="835" w:right="8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1"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30" w:lineRule="exact"/>
        <w:rPr>
          <w:sz w:val="20"/>
          <w:szCs w:val="20"/>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a small number of customers for a substantial portion of our revenues;</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in the market for wireless broadband data access products, wireless modem products, and telematics products and services;</w:t>
      </w:r>
    </w:p>
    <w:p>
      <w:pPr>
        <w:spacing w:after="0" w:line="120" w:lineRule="exact"/>
        <w:rPr>
          <w:rFonts w:ascii="Times New Roman" w:cs="Times New Roman" w:eastAsia="Times New Roman" w:hAnsi="Times New Roman"/>
          <w:sz w:val="16"/>
          <w:szCs w:val="16"/>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introduce new products and services;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5G wireless network rollouts globally and their adoption by customers;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retain existing customers;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wireless telecommunication operators delivering acceptable wireless services;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sales channels and to onboard and execute successfully with channel partners;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expand into new markets;</w:t>
      </w:r>
    </w:p>
    <w:p>
      <w:pPr>
        <w:spacing w:after="0" w:line="121" w:lineRule="exact"/>
        <w:rPr>
          <w:rFonts w:ascii="Times New Roman" w:cs="Times New Roman" w:eastAsia="Times New Roman" w:hAnsi="Times New Roman"/>
          <w:sz w:val="17"/>
          <w:szCs w:val="17"/>
          <w:color w:val="auto"/>
        </w:rPr>
      </w:pPr>
    </w:p>
    <w:p>
      <w:pPr>
        <w:ind w:left="600" w:right="200" w:hanging="303"/>
        <w:spacing w:after="0" w:line="262"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properly manage the growth of our business to avoid significant strains on our management and operations and disruptions to our business;</w:t>
      </w:r>
    </w:p>
    <w:p>
      <w:pPr>
        <w:spacing w:after="0" w:line="8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contract manufacturers and third parties to manufacture our products;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 manufacturers’ ability to secure necessary supply to build our devices;</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costs, disruption of supply and/or the shortage of semiconductors or other key components of our products;</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customer demand and order the manufacture and timely delivery of sufficient product quantities;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sole source suppliers for some products and devices used in our solutions;</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be cost competitive while meeting time-to-market requirements for our customers;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the product performance needs of our customers in mobile broadband and fixed wireless access markets;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successful investments in research and development;</w:t>
      </w:r>
    </w:p>
    <w:p>
      <w:pPr>
        <w:spacing w:after="0" w:line="122" w:lineRule="exact"/>
        <w:rPr>
          <w:rFonts w:ascii="Times New Roman" w:cs="Times New Roman" w:eastAsia="Times New Roman" w:hAnsi="Times New Roman"/>
          <w:sz w:val="17"/>
          <w:szCs w:val="17"/>
          <w:color w:val="auto"/>
        </w:rPr>
      </w:pPr>
    </w:p>
    <w:p>
      <w:pPr>
        <w:ind w:left="600" w:right="180" w:hanging="303"/>
        <w:spacing w:after="0" w:line="262"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and sell new products that comply with current and evolving industry standards and government regulations such as the evolving 5G New Radio (“5G NR”) price and performance standards;</w:t>
      </w:r>
    </w:p>
    <w:p>
      <w:pPr>
        <w:spacing w:after="0" w:line="8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mitigate the impact of trade restrictions, tariffs, or other government-imposed sanctions;</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 of uncertain global economic conditions on the demand for our products;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geopolitical instability on our business;</w:t>
      </w:r>
    </w:p>
    <w:p>
      <w:pPr>
        <w:spacing w:after="0" w:line="13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our ability to make payments on or to refinance our indebtedness;</w:t>
      </w:r>
    </w:p>
    <w:p>
      <w:pPr>
        <w:spacing w:after="0" w:line="99" w:lineRule="exact"/>
        <w:rPr>
          <w:rFonts w:ascii="Times New Roman" w:cs="Times New Roman" w:eastAsia="Times New Roman" w:hAnsi="Times New Roman"/>
          <w:sz w:val="19"/>
          <w:szCs w:val="19"/>
          <w:color w:val="auto"/>
        </w:rPr>
      </w:pPr>
    </w:p>
    <w:p>
      <w:pPr>
        <w:ind w:left="600" w:hanging="303"/>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pending or future litigation, including intellectual property litigation;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480"/>
          </w:cols>
          <w:pgMar w:left="840" w:top="1216" w:right="920" w:bottom="1440" w:gutter="0" w:footer="0" w:header="0"/>
        </w:sectPr>
      </w:pPr>
    </w:p>
    <w:bookmarkStart w:id="3" w:name="page4"/>
    <w:bookmarkEnd w:id="3"/>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ability to license necessary third-party technology for the development and sale of our solutions;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products that could contain errors or defects;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retain and manage qualified personnel to maintain and expand our business;</w:t>
      </w:r>
    </w:p>
    <w:p>
      <w:pPr>
        <w:spacing w:after="0" w:line="109"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infringement claims with respect to intellectual property contained in our solutions;</w:t>
      </w:r>
    </w:p>
    <w:p>
      <w:pPr>
        <w:spacing w:after="0" w:line="122"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business abroad, including foreign currency risks; and</w:t>
      </w:r>
    </w:p>
    <w:p>
      <w:pPr>
        <w:spacing w:after="0" w:line="12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high rates of inflation and rising interest rates.</w:t>
      </w:r>
    </w:p>
    <w:p>
      <w:pPr>
        <w:spacing w:after="0" w:line="1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5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7"/>
          <w:szCs w:val="17"/>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400"/>
          </w:cols>
          <w:pgMar w:left="840" w:top="953" w:right="100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4" w:lineRule="exact"/>
        <w:rPr>
          <w:sz w:val="20"/>
          <w:szCs w:val="20"/>
          <w:color w:val="auto"/>
        </w:rPr>
      </w:pPr>
    </w:p>
    <w:p>
      <w:pPr>
        <w:ind w:right="80" w:firstLine="381"/>
        <w:spacing w:after="0" w:line="242" w:lineRule="auto"/>
        <w:rPr>
          <w:sz w:val="20"/>
          <w:szCs w:val="20"/>
          <w:color w:val="auto"/>
        </w:rPr>
      </w:pPr>
      <w:r>
        <w:rPr>
          <w:rFonts w:ascii="Times New Roman" w:cs="Times New Roman" w:eastAsia="Times New Roman" w:hAnsi="Times New Roman"/>
          <w:sz w:val="17"/>
          <w:szCs w:val="17"/>
          <w:color w:val="auto"/>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spacing w:after="0" w:line="125" w:lineRule="exact"/>
        <w:rPr>
          <w:sz w:val="20"/>
          <w:szCs w:val="20"/>
          <w:color w:val="auto"/>
        </w:rPr>
      </w:pPr>
    </w:p>
    <w:p>
      <w:pPr>
        <w:ind w:right="400" w:firstLine="381"/>
        <w:spacing w:after="0"/>
        <w:rPr>
          <w:sz w:val="20"/>
          <w:szCs w:val="20"/>
          <w:color w:val="auto"/>
        </w:rPr>
      </w:pPr>
      <w:r>
        <w:rPr>
          <w:rFonts w:ascii="Times New Roman" w:cs="Times New Roman" w:eastAsia="Times New Roman" w:hAnsi="Times New Roman"/>
          <w:sz w:val="17"/>
          <w:szCs w:val="17"/>
          <w:color w:val="auto"/>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spacing w:after="0" w:line="137" w:lineRule="exact"/>
        <w:rPr>
          <w:sz w:val="20"/>
          <w:szCs w:val="20"/>
          <w:color w:val="auto"/>
        </w:rPr>
      </w:pPr>
    </w:p>
    <w:p>
      <w:pPr>
        <w:ind w:right="20" w:firstLine="381"/>
        <w:spacing w:after="0" w:line="255" w:lineRule="auto"/>
        <w:rPr>
          <w:sz w:val="20"/>
          <w:szCs w:val="20"/>
          <w:color w:val="auto"/>
        </w:rPr>
      </w:pPr>
      <w:r>
        <w:rPr>
          <w:rFonts w:ascii="Times New Roman" w:cs="Times New Roman" w:eastAsia="Times New Roman" w:hAnsi="Times New Roman"/>
          <w:sz w:val="17"/>
          <w:szCs w:val="17"/>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spacing w:after="0" w:line="113" w:lineRule="exact"/>
        <w:rPr>
          <w:sz w:val="20"/>
          <w:szCs w:val="20"/>
          <w:color w:val="auto"/>
        </w:rPr>
      </w:pPr>
    </w:p>
    <w:p>
      <w:pPr>
        <w:ind w:right="280" w:firstLine="381"/>
        <w:spacing w:after="0" w:line="255" w:lineRule="auto"/>
        <w:rPr>
          <w:sz w:val="20"/>
          <w:szCs w:val="20"/>
          <w:color w:val="auto"/>
        </w:rPr>
      </w:pPr>
      <w:r>
        <w:rPr>
          <w:rFonts w:ascii="Times New Roman" w:cs="Times New Roman" w:eastAsia="Times New Roman" w:hAnsi="Times New Roman"/>
          <w:sz w:val="17"/>
          <w:szCs w:val="17"/>
          <w:color w:val="auto"/>
        </w:rPr>
        <w:t>Inseego Corp. is a Delaware corporation formed in 2016 as the successor to Novatel Wireless, Inc., a Delaware corporation formed in 1996. Our principal executive office is located at 9710 Scranton Road, Suite 200, San Diego, CA 92121. Inseego’s common stock trades on The NASDAQ Global Select Market under the symbol “INSG.”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Repurchase of Preferred Stock</w:t>
      </w:r>
    </w:p>
    <w:p>
      <w:pPr>
        <w:spacing w:after="0" w:line="151" w:lineRule="exact"/>
        <w:rPr>
          <w:sz w:val="20"/>
          <w:szCs w:val="20"/>
          <w:color w:val="auto"/>
        </w:rPr>
      </w:pPr>
    </w:p>
    <w:p>
      <w:pPr>
        <w:ind w:right="180" w:firstLine="381"/>
        <w:spacing w:after="0" w:line="255" w:lineRule="auto"/>
        <w:rPr>
          <w:sz w:val="20"/>
          <w:szCs w:val="20"/>
          <w:color w:val="auto"/>
        </w:rPr>
      </w:pPr>
      <w:r>
        <w:rPr>
          <w:rFonts w:ascii="Times New Roman" w:cs="Times New Roman" w:eastAsia="Times New Roman" w:hAnsi="Times New Roman"/>
          <w:sz w:val="17"/>
          <w:szCs w:val="17"/>
          <w:color w:val="auto"/>
        </w:rPr>
        <w:t>On January 14, 2026 (the “Closing Date’), the Company entered into an Exchange Agreement (the “Exchange Agreement”) with an affiliate of Mubadala Capital (the “Holder”), which held all 25,000 outstanding shares of the Company’s Fixed-Rate Cumulative Perpetual Preferred Stock, Series E (the “Preferred Stock”).</w:t>
      </w:r>
    </w:p>
    <w:p>
      <w:pPr>
        <w:spacing w:after="0" w:line="113" w:lineRule="exact"/>
        <w:rPr>
          <w:sz w:val="20"/>
          <w:szCs w:val="20"/>
          <w:color w:val="auto"/>
        </w:rPr>
      </w:pPr>
    </w:p>
    <w:p>
      <w:pPr>
        <w:ind w:right="120" w:firstLine="381"/>
        <w:spacing w:after="0" w:line="245" w:lineRule="auto"/>
        <w:rPr>
          <w:sz w:val="20"/>
          <w:szCs w:val="20"/>
          <w:color w:val="auto"/>
        </w:rPr>
      </w:pPr>
      <w:r>
        <w:rPr>
          <w:rFonts w:ascii="Times New Roman" w:cs="Times New Roman" w:eastAsia="Times New Roman" w:hAnsi="Times New Roman"/>
          <w:sz w:val="17"/>
          <w:szCs w:val="17"/>
          <w:color w:val="auto"/>
        </w:rPr>
        <w:t>Pursuant to the Exchange Agreement, on the Closing Date all of the outstanding shares of Preferred Stock, which had a liquidation value of $42 million as of December 31, 2025, were surrendered and forfeited by the Holder in exchange for the following consideration, having an aggregate value of approximately $26 million and representing a discount of approximately 38% to the liquidation value: (i) $10 million in cash, one-third of which was paid on the Closing Date and the balance of which will be paid in two equal installments on the six and twelve month anniversaries of the Closing Date; (ii) 767,165 shares of the Company’s common stock (the “Common Shares”), and (iii) $8 million in additional principal amount of the Company’s existing 2029 Senior Secured Notes. The Common Shares and the 2029 Senior Secured Notes were issued to the Holder on the Closing Date.</w:t>
      </w:r>
    </w:p>
    <w:p>
      <w:pPr>
        <w:spacing w:after="0" w:line="123" w:lineRule="exact"/>
        <w:rPr>
          <w:sz w:val="20"/>
          <w:szCs w:val="20"/>
          <w:color w:val="auto"/>
        </w:rPr>
      </w:pPr>
    </w:p>
    <w:p>
      <w:pPr>
        <w:ind w:right="20" w:firstLine="381"/>
        <w:spacing w:after="0" w:line="293" w:lineRule="auto"/>
        <w:rPr>
          <w:sz w:val="20"/>
          <w:szCs w:val="20"/>
          <w:color w:val="auto"/>
        </w:rPr>
      </w:pPr>
      <w:r>
        <w:rPr>
          <w:rFonts w:ascii="Times New Roman" w:cs="Times New Roman" w:eastAsia="Times New Roman" w:hAnsi="Times New Roman"/>
          <w:sz w:val="16"/>
          <w:szCs w:val="16"/>
          <w:color w:val="auto"/>
        </w:rPr>
        <w:t>The Exchange Agreement provides the Holder with customary registration rights with respect to the Common Shares, pursuant to which, among other things, the Company agreed to file a registration statement with the Securities and Exchange Commission within six months following the Closing Date.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151"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As the largest technology platform in the world, mobile connectivity has changed the way we work, the way we live and the way we connect with each other. The scale and pace of innovation in mobile networks, especially around broadband speeds and network capacity, is expanding the market beyond traditional wireless which was predominantly focused on smartphones. The new capabilities of 5G technology and additional capacity provided by spectrum auctions is allowing mobile operators to enter the home and business broadband markets. These network enhancements allow enterprise and SMB customers to enable a multitude of business applications to their distributed sites and employees in an economical way. It is also expected that 5G will enable a variety of new low latency use cases once the complete mid-band and core networks are built out. These use cases include telemedicine, industrial automation, robotics, AR/VR, edge computing, cloud gaming, and other applications.</w:t>
      </w:r>
    </w:p>
    <w:p>
      <w:pPr>
        <w:spacing w:after="0" w:line="126"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We believe that 5G mid-band networks will bring a number of enhanced benefits not available on 4G networks, including the capacity to add significant numbers of broadband connections to either bring primary or alternative broadband options to a large number of consumer and business users. It is expected that these newly evolving 5G networks will also enable low latency use cases including manufacturing automation, augmented and virtual reality, video AI, and distributed networking.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835" w:right="840" w:bottom="1440" w:gutter="0" w:footer="0" w:header="0"/>
        </w:sectPr>
      </w:pPr>
    </w:p>
    <w:bookmarkStart w:id="5" w:name="page6"/>
    <w:bookmarkEnd w:id="5"/>
    <w:p>
      <w:pPr>
        <w:jc w:val="both"/>
        <w:ind w:right="20" w:firstLine="381"/>
        <w:spacing w:after="0" w:line="256" w:lineRule="auto"/>
        <w:rPr>
          <w:sz w:val="20"/>
          <w:szCs w:val="20"/>
          <w:color w:val="auto"/>
        </w:rPr>
      </w:pPr>
      <w:r>
        <w:rPr>
          <w:rFonts w:ascii="Times New Roman" w:cs="Times New Roman" w:eastAsia="Times New Roman" w:hAnsi="Times New Roman"/>
          <w:sz w:val="17"/>
          <w:szCs w:val="17"/>
          <w:color w:val="auto"/>
        </w:rPr>
        <w:t>The adoption of 5G and the cloud continues to grow as companies across a wide range of industries are leveraging digital transformation technologies to increase efficiency, gain better customer insights, facilitate compliance and build new business models. We believe this growth will be initially driven by fixed wireless access with the new low latency enterprise use cases to follow.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51" w:lineRule="exact"/>
        <w:rPr>
          <w:sz w:val="20"/>
          <w:szCs w:val="20"/>
          <w:color w:val="auto"/>
        </w:rPr>
      </w:pPr>
    </w:p>
    <w:p>
      <w:pPr>
        <w:ind w:right="160" w:firstLine="381"/>
        <w:spacing w:after="0" w:line="248" w:lineRule="auto"/>
        <w:rPr>
          <w:sz w:val="20"/>
          <w:szCs w:val="20"/>
          <w:color w:val="auto"/>
        </w:rPr>
      </w:pPr>
      <w:r>
        <w:rPr>
          <w:rFonts w:ascii="Times New Roman" w:cs="Times New Roman" w:eastAsia="Times New Roman" w:hAnsi="Times New Roman"/>
          <w:sz w:val="17"/>
          <w:szCs w:val="17"/>
          <w:color w:val="auto"/>
        </w:rPr>
        <w:t>Our objective is to be the leader in high performance 5G broadband solutions for mobile broadband and fixed wireless access applications for enterprise and SMBs. We expect to meet this objective through our innovations in 5G hotspots, routers and gateways and our cloud solutions that enable ease of deployment and corporate policy orchestration for network wide distributed deployments. We believe that we have a competitive advantage in the market that is rooted in deep technological differentiation in the 4G/5G modem technology that we design in-house.</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key elements of our strategy are to:</w:t>
      </w:r>
    </w:p>
    <w:p>
      <w:pPr>
        <w:spacing w:after="0" w:line="143" w:lineRule="exact"/>
        <w:rPr>
          <w:sz w:val="20"/>
          <w:szCs w:val="20"/>
          <w:color w:val="auto"/>
        </w:rPr>
      </w:pPr>
    </w:p>
    <w:p>
      <w:pPr>
        <w:jc w:val="both"/>
        <w:ind w:left="600" w:right="220" w:hanging="303"/>
        <w:spacing w:after="0" w:line="258" w:lineRule="auto"/>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Capitalize on our direct relationships with mobile operators, infrastructure vendors, 5G chipset vendors and component suppliers. </w:t>
      </w:r>
      <w:r>
        <w:rPr>
          <w:rFonts w:ascii="Times New Roman" w:cs="Times New Roman" w:eastAsia="Times New Roman" w:hAnsi="Times New Roman"/>
          <w:sz w:val="17"/>
          <w:szCs w:val="17"/>
          <w:color w:val="auto"/>
        </w:rPr>
        <w:t>We intend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 to capitalize on our direct and long-standing relationships with the key ecosystem players to strengthen our market position within the consumer, enterprise and SMB market segments.</w:t>
      </w:r>
    </w:p>
    <w:p>
      <w:pPr>
        <w:spacing w:after="0" w:line="106" w:lineRule="exact"/>
        <w:rPr>
          <w:rFonts w:ascii="Times New Roman" w:cs="Times New Roman" w:eastAsia="Times New Roman" w:hAnsi="Times New Roman"/>
          <w:sz w:val="17"/>
          <w:szCs w:val="17"/>
          <w:color w:val="auto"/>
        </w:rPr>
      </w:pPr>
    </w:p>
    <w:p>
      <w:pPr>
        <w:ind w:left="600" w:right="100" w:hanging="303"/>
        <w:spacing w:after="0" w:line="267" w:lineRule="auto"/>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Keep enhancing our 5G WWAN devices portfolio by leveraging our core mobile technologies and platforms. </w:t>
      </w:r>
      <w:r>
        <w:rPr>
          <w:rFonts w:ascii="Times New Roman" w:cs="Times New Roman" w:eastAsia="Times New Roman" w:hAnsi="Times New Roman"/>
          <w:sz w:val="17"/>
          <w:szCs w:val="17"/>
          <w:color w:val="auto"/>
        </w:rPr>
        <w:t>We intend to keep enhancing our 5G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WWAN portfolio in partnership with our key customers to bring the latest 5G capabilities to the enterprise and SMB market segments.</w:t>
      </w:r>
    </w:p>
    <w:p>
      <w:pPr>
        <w:spacing w:after="0" w:line="111" w:lineRule="exact"/>
        <w:rPr>
          <w:rFonts w:ascii="Times New Roman" w:cs="Times New Roman" w:eastAsia="Times New Roman" w:hAnsi="Times New Roman"/>
          <w:sz w:val="17"/>
          <w:szCs w:val="17"/>
          <w:color w:val="auto"/>
        </w:rPr>
      </w:pPr>
    </w:p>
    <w:p>
      <w:pPr>
        <w:ind w:left="600" w:right="120" w:hanging="303"/>
        <w:spacing w:after="0" w:line="267" w:lineRule="auto"/>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 our go-to-market to enterprise and SMB customers. </w:t>
      </w:r>
      <w:r>
        <w:rPr>
          <w:rFonts w:ascii="Times New Roman" w:cs="Times New Roman" w:eastAsia="Times New Roman" w:hAnsi="Times New Roman"/>
          <w:sz w:val="17"/>
          <w:szCs w:val="17"/>
          <w:color w:val="auto"/>
        </w:rPr>
        <w:t>We will continue to enhance our routes to market through mobile operators, multiple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 operators, channel partners, and OEM partners who sell into these market segments.</w:t>
      </w:r>
    </w:p>
    <w:p>
      <w:pPr>
        <w:spacing w:after="0" w:line="98" w:lineRule="exact"/>
        <w:rPr>
          <w:rFonts w:ascii="Times New Roman" w:cs="Times New Roman" w:eastAsia="Times New Roman" w:hAnsi="Times New Roman"/>
          <w:sz w:val="17"/>
          <w:szCs w:val="17"/>
          <w:color w:val="auto"/>
        </w:rPr>
      </w:pPr>
    </w:p>
    <w:p>
      <w:pPr>
        <w:ind w:left="600" w:right="580" w:hanging="303"/>
        <w:spacing w:after="0" w:line="283" w:lineRule="auto"/>
        <w:tabs>
          <w:tab w:leader="none" w:pos="5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Improve SaaS solution penetration</w:t>
      </w:r>
      <w:r>
        <w:rPr>
          <w:rFonts w:ascii="Times New Roman" w:cs="Times New Roman" w:eastAsia="Times New Roman" w:hAnsi="Times New Roman"/>
          <w:sz w:val="17"/>
          <w:szCs w:val="17"/>
          <w:color w:val="auto"/>
        </w:rPr>
        <w:t>. We are focused on continuing to improve our recurring subscription revenue by providing value added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capabilities to our customers through the cloud solutions that we develop.</w:t>
      </w:r>
    </w:p>
    <w:p>
      <w:pPr>
        <w:spacing w:after="0" w:line="89" w:lineRule="exact"/>
        <w:rPr>
          <w:rFonts w:ascii="Times New Roman" w:cs="Times New Roman" w:eastAsia="Times New Roman" w:hAnsi="Times New Roman"/>
          <w:sz w:val="17"/>
          <w:szCs w:val="17"/>
          <w:color w:val="auto"/>
        </w:rPr>
      </w:pPr>
    </w:p>
    <w:p>
      <w:pPr>
        <w:ind w:left="1220" w:right="360" w:hanging="314"/>
        <w:spacing w:after="0" w:line="262" w:lineRule="auto"/>
        <w:tabs>
          <w:tab w:leader="none" w:pos="121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cloud management solution (Inseego Connect) manages all of our mobile hotspots, gateways and routers deployed at distributed locations with a single pane of glass for ease of deployment and monitoring of all the connections.</w:t>
      </w:r>
    </w:p>
    <w:p>
      <w:pPr>
        <w:spacing w:after="0" w:line="119" w:lineRule="exact"/>
        <w:rPr>
          <w:rFonts w:ascii="Times New Roman" w:cs="Times New Roman" w:eastAsia="Times New Roman" w:hAnsi="Times New Roman"/>
          <w:sz w:val="17"/>
          <w:szCs w:val="17"/>
          <w:color w:val="auto"/>
        </w:rPr>
      </w:pPr>
    </w:p>
    <w:p>
      <w:pPr>
        <w:ind w:left="1220" w:right="200" w:hanging="314"/>
        <w:spacing w:after="0" w:line="262" w:lineRule="auto"/>
        <w:tabs>
          <w:tab w:leader="none" w:pos="121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wireless subscriber lifecycle management solution (Inseego Subscribe) is specifically built for carrier servicing of government and enterprise customers and is currently deployed in North America with a large carrier with several million end users.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164" w:lineRule="exact"/>
        <w:rPr>
          <w:sz w:val="20"/>
          <w:szCs w:val="20"/>
          <w:color w:val="auto"/>
        </w:rPr>
      </w:pPr>
    </w:p>
    <w:p>
      <w:pPr>
        <w:ind w:right="120" w:firstLine="381"/>
        <w:spacing w:after="0" w:line="244" w:lineRule="auto"/>
        <w:rPr>
          <w:sz w:val="20"/>
          <w:szCs w:val="20"/>
          <w:color w:val="auto"/>
        </w:rPr>
      </w:pPr>
      <w:r>
        <w:rPr>
          <w:rFonts w:ascii="Times New Roman" w:cs="Times New Roman" w:eastAsia="Times New Roman" w:hAnsi="Times New Roman"/>
          <w:sz w:val="17"/>
          <w:szCs w:val="17"/>
          <w:color w:val="auto"/>
        </w:rPr>
        <w:t>We provide a portfolio of high performance 5G WAN products as well as cloud solutions for the enterprise and SMB market segments. Our 4G and 5G devices connect end users with high performance broadband for both mobile and fixed wireless use cases. These solutions include “MiFi" ™ hotspots, routers, and gateways for a wide variety of end user deployments. We offer a cloud solution used for managing edge devices including security, status, configuration and software used at all of a customer’s locations. We also provide a CSP subscriber lifecycle management solution that is used to manage a carrier’s government and complex enterprise customer subscriptions.</w:t>
      </w:r>
    </w:p>
    <w:p>
      <w:pPr>
        <w:spacing w:after="0" w:line="124" w:lineRule="exact"/>
        <w:rPr>
          <w:sz w:val="20"/>
          <w:szCs w:val="20"/>
          <w:color w:val="auto"/>
        </w:rPr>
      </w:pPr>
    </w:p>
    <w:p>
      <w:pPr>
        <w:ind w:right="560" w:firstLine="381"/>
        <w:spacing w:after="0" w:line="278" w:lineRule="auto"/>
        <w:rPr>
          <w:sz w:val="20"/>
          <w:szCs w:val="20"/>
          <w:color w:val="auto"/>
        </w:rPr>
      </w:pPr>
      <w:r>
        <w:rPr>
          <w:rFonts w:ascii="Times New Roman" w:cs="Times New Roman" w:eastAsia="Times New Roman" w:hAnsi="Times New Roman"/>
          <w:sz w:val="17"/>
          <w:szCs w:val="17"/>
          <w:color w:val="auto"/>
        </w:rPr>
        <w:t>Our products currently operate on all major cellular networks in the US. Our mobile hotspots, sold under the MiFi ™ brand, have been sold to millions of end users and provide secure and convenient high-speed broadband access to the Internet on the go.</w:t>
      </w:r>
    </w:p>
    <w:p>
      <w:pPr>
        <w:spacing w:after="0" w:line="93" w:lineRule="exact"/>
        <w:rPr>
          <w:sz w:val="20"/>
          <w:szCs w:val="20"/>
          <w:color w:val="auto"/>
        </w:rPr>
      </w:pPr>
    </w:p>
    <w:p>
      <w:pPr>
        <w:jc w:val="both"/>
        <w:ind w:right="20" w:firstLine="381"/>
        <w:spacing w:after="0" w:line="248" w:lineRule="auto"/>
        <w:rPr>
          <w:sz w:val="20"/>
          <w:szCs w:val="20"/>
          <w:color w:val="auto"/>
        </w:rPr>
      </w:pPr>
      <w:r>
        <w:rPr>
          <w:rFonts w:ascii="Times New Roman" w:cs="Times New Roman" w:eastAsia="Times New Roman" w:hAnsi="Times New Roman"/>
          <w:sz w:val="17"/>
          <w:szCs w:val="17"/>
          <w:color w:val="auto"/>
        </w:rPr>
        <w:t>As the 5G networks continue to expand both coverage and capacity, new enterprise and SMB market opportunities are opening up. The largest initial opportunity is for enterprise and SMBs to provide primary or alternate broadband access to their distributed sites and employees through 5G fixed wireless access offerings. Mobile operators are now providing fixed wireless access specific broadband plans that allow businesses to deploy 5G technology broadly without waiting for the availability of wired connections at those locations.</w:t>
      </w:r>
    </w:p>
    <w:p>
      <w:pPr>
        <w:spacing w:after="0" w:line="119" w:lineRule="exact"/>
        <w:rPr>
          <w:sz w:val="20"/>
          <w:szCs w:val="20"/>
          <w:color w:val="auto"/>
        </w:rPr>
      </w:pPr>
    </w:p>
    <w:p>
      <w:pPr>
        <w:jc w:val="both"/>
        <w:ind w:firstLine="381"/>
        <w:spacing w:after="0" w:line="262" w:lineRule="auto"/>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 Fixed Wireless Access Solutions, and Software Services and Other.</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Mobile Solutions</w:t>
      </w:r>
    </w:p>
    <w:p>
      <w:pPr>
        <w:spacing w:after="0" w:line="151" w:lineRule="exact"/>
        <w:rPr>
          <w:sz w:val="20"/>
          <w:szCs w:val="20"/>
          <w:color w:val="auto"/>
        </w:rPr>
      </w:pPr>
    </w:p>
    <w:p>
      <w:pPr>
        <w:ind w:right="260" w:firstLine="381"/>
        <w:spacing w:after="0" w:line="255" w:lineRule="auto"/>
        <w:rPr>
          <w:sz w:val="20"/>
          <w:szCs w:val="20"/>
          <w:color w:val="auto"/>
        </w:rPr>
      </w:pPr>
      <w:r>
        <w:rPr>
          <w:rFonts w:ascii="Times New Roman" w:cs="Times New Roman" w:eastAsia="Times New Roman" w:hAnsi="Times New Roman"/>
          <w:sz w:val="17"/>
          <w:szCs w:val="17"/>
          <w:color w:val="auto"/>
        </w:rPr>
        <w:t>Our 5G and 4G mobile broadband (MiFi) business has been driving advanced wireless mobile technologies for a multitude of consumer and enterprise applications for over 20 years. In the 2000s, Inseego invented mobile hotspots sold under the MiFi ™ brand. During the 2010s, Inseego was a leader in the 4G mobile MiFi ™ market—delivering the highest 4G mobile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6" w:name="page7"/>
    <w:bookmarkEnd w:id="6"/>
    <w:p>
      <w:pPr>
        <w:ind w:right="220"/>
        <w:spacing w:after="0" w:line="262" w:lineRule="auto"/>
        <w:rPr>
          <w:sz w:val="20"/>
          <w:szCs w:val="20"/>
          <w:color w:val="auto"/>
        </w:rPr>
      </w:pPr>
      <w:r>
        <w:rPr>
          <w:rFonts w:ascii="Times New Roman" w:cs="Times New Roman" w:eastAsia="Times New Roman" w:hAnsi="Times New Roman"/>
          <w:sz w:val="17"/>
          <w:szCs w:val="17"/>
          <w:color w:val="auto"/>
        </w:rPr>
        <w:t>hotspot performance in the market. In 2019, Inseego developed and produced the world’s first 5G mobile hotspot and in early 2026 we plan to introduce our new generation using the Qualcomm SDX72 chipset.</w:t>
      </w:r>
    </w:p>
    <w:p>
      <w:pPr>
        <w:spacing w:after="0" w:line="119" w:lineRule="exact"/>
        <w:rPr>
          <w:sz w:val="20"/>
          <w:szCs w:val="20"/>
          <w:color w:val="auto"/>
        </w:rPr>
      </w:pPr>
    </w:p>
    <w:p>
      <w:pPr>
        <w:ind w:right="260" w:firstLine="381"/>
        <w:spacing w:after="0" w:line="262" w:lineRule="auto"/>
        <w:rPr>
          <w:sz w:val="20"/>
          <w:szCs w:val="20"/>
          <w:color w:val="auto"/>
        </w:rPr>
      </w:pPr>
      <w:r>
        <w:rPr>
          <w:rFonts w:ascii="Times New Roman" w:cs="Times New Roman" w:eastAsia="Times New Roman" w:hAnsi="Times New Roman"/>
          <w:sz w:val="17"/>
          <w:szCs w:val="17"/>
          <w:color w:val="auto"/>
        </w:rPr>
        <w:t>Our MiFi customer base is primarily comprised of mobile operators. Our mobile portfolio is supported by our cloud offering, Inseego Connect for device management, whose revenues are included in Software Services and Other below.</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Fixed Wireless Access Solutions</w:t>
      </w:r>
    </w:p>
    <w:p>
      <w:pPr>
        <w:spacing w:after="0" w:line="164" w:lineRule="exact"/>
        <w:rPr>
          <w:sz w:val="20"/>
          <w:szCs w:val="20"/>
          <w:color w:val="auto"/>
        </w:rPr>
      </w:pPr>
    </w:p>
    <w:p>
      <w:pPr>
        <w:ind w:firstLine="381"/>
        <w:spacing w:after="0" w:line="260" w:lineRule="auto"/>
        <w:rPr>
          <w:sz w:val="20"/>
          <w:szCs w:val="20"/>
          <w:color w:val="auto"/>
        </w:rPr>
      </w:pPr>
      <w:r>
        <w:rPr>
          <w:rFonts w:ascii="Times New Roman" w:cs="Times New Roman" w:eastAsia="Times New Roman" w:hAnsi="Times New Roman"/>
          <w:sz w:val="16"/>
          <w:szCs w:val="16"/>
          <w:color w:val="auto"/>
        </w:rPr>
        <w:t>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w:t>
      </w:r>
    </w:p>
    <w:p>
      <w:pPr>
        <w:ind w:right="80"/>
        <w:spacing w:after="0" w:line="244" w:lineRule="auto"/>
        <w:rPr>
          <w:sz w:val="20"/>
          <w:szCs w:val="20"/>
          <w:color w:val="auto"/>
        </w:rPr>
      </w:pPr>
      <w:r>
        <w:rPr>
          <w:rFonts w:ascii="Times New Roman" w:cs="Times New Roman" w:eastAsia="Times New Roman" w:hAnsi="Times New Roman"/>
          <w:sz w:val="17"/>
          <w:szCs w:val="17"/>
          <w:color w:val="auto"/>
        </w:rPr>
        <w:t xml:space="preserve">– Inseego Connect – for device management. Revenues related to our cloud offerings of Inseego Connect are included within </w:t>
      </w:r>
      <w:r>
        <w:rPr>
          <w:rFonts w:ascii="Times New Roman" w:cs="Times New Roman" w:eastAsia="Times New Roman" w:hAnsi="Times New Roman"/>
          <w:sz w:val="17"/>
          <w:szCs w:val="17"/>
          <w:i w:val="1"/>
          <w:iCs w:val="1"/>
          <w:color w:val="auto"/>
        </w:rPr>
        <w:t>Software Services and Other</w:t>
      </w:r>
      <w:r>
        <w:rPr>
          <w:rFonts w:ascii="Times New Roman" w:cs="Times New Roman" w:eastAsia="Times New Roman" w:hAnsi="Times New Roman"/>
          <w:sz w:val="17"/>
          <w:szCs w:val="17"/>
          <w:color w:val="auto"/>
        </w:rPr>
        <w:t xml:space="preserve"> below. These devices, sold under the Wavemaker brand, are sold by mobile operators such as T-Mobile, Verizon Wireless, and AT&amp;T along with distribution and channel partners.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Software Services and Other</w:t>
      </w:r>
    </w:p>
    <w:p>
      <w:pPr>
        <w:spacing w:after="0" w:line="164"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A substantial majority of our software services and other revenue comes from providing a SaaS CSP wireless 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1" w:lineRule="exact"/>
        <w:rPr>
          <w:sz w:val="20"/>
          <w:szCs w:val="20"/>
          <w:color w:val="auto"/>
        </w:rPr>
      </w:pPr>
    </w:p>
    <w:p>
      <w:pPr>
        <w:ind w:right="640" w:firstLine="381"/>
        <w:spacing w:after="0" w:line="278" w:lineRule="auto"/>
        <w:rPr>
          <w:sz w:val="20"/>
          <w:szCs w:val="20"/>
          <w:color w:val="auto"/>
        </w:rPr>
      </w:pPr>
      <w:r>
        <w:rPr>
          <w:rFonts w:ascii="Times New Roman" w:cs="Times New Roman" w:eastAsia="Times New Roman" w:hAnsi="Times New Roman"/>
          <w:sz w:val="17"/>
          <w:szCs w:val="17"/>
          <w:color w:val="auto"/>
        </w:rPr>
        <w:t>We engage in a wide variety of sales and marketing activities, driving market leadership and customer demand through integrated marketing campaigns. This includes product marketing, corporate communications, brand marketing and demand generation.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51" w:lineRule="exact"/>
        <w:rPr>
          <w:sz w:val="20"/>
          <w:szCs w:val="20"/>
          <w:color w:val="auto"/>
        </w:rPr>
      </w:pPr>
    </w:p>
    <w:p>
      <w:pPr>
        <w:ind w:right="520" w:firstLine="381"/>
        <w:spacing w:after="0" w:line="278" w:lineRule="auto"/>
        <w:rPr>
          <w:sz w:val="20"/>
          <w:szCs w:val="20"/>
          <w:color w:val="auto"/>
        </w:rPr>
      </w:pPr>
      <w:r>
        <w:rPr>
          <w:rFonts w:ascii="Times New Roman" w:cs="Times New Roman" w:eastAsia="Times New Roman" w:hAnsi="Times New Roman"/>
          <w:sz w:val="17"/>
          <w:szCs w:val="17"/>
          <w:color w:val="auto"/>
        </w:rPr>
        <w:t>The market for our 5G mobile and fixed wireless access solutions and SaaS offerings is rapidly evolving and highly competitive. It is likely to continue to be affected by new product introductions and industry participants.</w:t>
      </w:r>
    </w:p>
    <w:p>
      <w:pPr>
        <w:spacing w:after="0" w:line="93" w:lineRule="exact"/>
        <w:rPr>
          <w:sz w:val="20"/>
          <w:szCs w:val="20"/>
          <w:color w:val="auto"/>
        </w:rPr>
      </w:pPr>
    </w:p>
    <w:p>
      <w:pPr>
        <w:jc w:val="both"/>
        <w:ind w:right="60" w:firstLine="381"/>
        <w:spacing w:after="0" w:line="256" w:lineRule="auto"/>
        <w:rPr>
          <w:sz w:val="20"/>
          <w:szCs w:val="20"/>
          <w:color w:val="auto"/>
        </w:rPr>
      </w:pPr>
      <w:r>
        <w:rPr>
          <w:rFonts w:ascii="Times New Roman" w:cs="Times New Roman" w:eastAsia="Times New Roman" w:hAnsi="Times New Roman"/>
          <w:sz w:val="17"/>
          <w:szCs w:val="17"/>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products compete with a variety of solutions providers in different market segments. Our current competitors include:</w:t>
      </w:r>
    </w:p>
    <w:p>
      <w:pPr>
        <w:spacing w:after="0" w:line="147" w:lineRule="exact"/>
        <w:rPr>
          <w:sz w:val="20"/>
          <w:szCs w:val="20"/>
          <w:color w:val="auto"/>
        </w:rPr>
      </w:pPr>
    </w:p>
    <w:p>
      <w:pPr>
        <w:ind w:left="600" w:hanging="303"/>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 broadband – Companies such as Netgear, Franklin Wireless, TCL, ZTE, Orbic, and Sonim</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wireless access – Companies such as Nokia, Ericsson Wireless Solutions, ZTE, Peplink, Teltonika and Cisco</w:t>
      </w:r>
    </w:p>
    <w:p>
      <w:pPr>
        <w:spacing w:after="0" w:line="147" w:lineRule="exact"/>
        <w:rPr>
          <w:sz w:val="20"/>
          <w:szCs w:val="20"/>
          <w:color w:val="auto"/>
        </w:rPr>
      </w:pPr>
    </w:p>
    <w:p>
      <w:pPr>
        <w:ind w:right="1680" w:firstLine="381"/>
        <w:spacing w:after="0" w:line="428" w:lineRule="auto"/>
        <w:rPr>
          <w:sz w:val="20"/>
          <w:szCs w:val="20"/>
          <w:color w:val="auto"/>
        </w:rPr>
      </w:pPr>
      <w:r>
        <w:rPr>
          <w:rFonts w:ascii="Times New Roman" w:cs="Times New Roman" w:eastAsia="Times New Roman" w:hAnsi="Times New Roman"/>
          <w:sz w:val="17"/>
          <w:szCs w:val="17"/>
          <w:color w:val="auto"/>
        </w:rPr>
        <w:t xml:space="preserve">As the market for our products and services expands, other entrants may seek to compete with us either directly or indirectly. </w:t>
      </w:r>
      <w:r>
        <w:rPr>
          <w:rFonts w:ascii="Times New Roman" w:cs="Times New Roman" w:eastAsia="Times New Roman" w:hAnsi="Times New Roman"/>
          <w:sz w:val="17"/>
          <w:szCs w:val="17"/>
          <w:b w:val="1"/>
          <w:bCs w:val="1"/>
          <w:color w:val="auto"/>
        </w:rPr>
        <w:t>Research and Development</w:t>
      </w:r>
    </w:p>
    <w:p>
      <w:pPr>
        <w:spacing w:after="0" w:line="1"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Our research and development efforts are focused on developing innovative 5G mobile broadband and fixed wireless access solutions that includes mobile hotspots, gateways and routers. We also develop associated cloud management and enterprise networking cloud solutions to provide an end-to-end solution to our customers, including for our subscriber lifecycle management platform. We will continue to improve the functionality, design and performance of our current products and solutions.</w:t>
      </w:r>
    </w:p>
    <w:p>
      <w:pPr>
        <w:spacing w:after="0" w:line="119" w:lineRule="exact"/>
        <w:rPr>
          <w:sz w:val="20"/>
          <w:szCs w:val="20"/>
          <w:color w:val="auto"/>
        </w:rPr>
      </w:pPr>
    </w:p>
    <w:p>
      <w:pPr>
        <w:ind w:right="200" w:firstLine="381"/>
        <w:spacing w:after="0" w:line="262" w:lineRule="auto"/>
        <w:rPr>
          <w:sz w:val="20"/>
          <w:szCs w:val="20"/>
          <w:color w:val="auto"/>
        </w:rPr>
      </w:pPr>
      <w:r>
        <w:rPr>
          <w:rFonts w:ascii="Times New Roman" w:cs="Times New Roman" w:eastAsia="Times New Roman" w:hAnsi="Times New Roman"/>
          <w:sz w:val="17"/>
          <w:szCs w:val="17"/>
          <w:color w:val="auto"/>
        </w:rPr>
        <w:t>We are committed to continually identifying and responding to our customers' requirements by introducing new 5G designs that fulfill their market and customer needs.</w:t>
      </w:r>
    </w:p>
    <w:p>
      <w:pPr>
        <w:spacing w:after="0" w:line="107" w:lineRule="exact"/>
        <w:rPr>
          <w:sz w:val="20"/>
          <w:szCs w:val="20"/>
          <w:color w:val="auto"/>
        </w:rPr>
      </w:pPr>
    </w:p>
    <w:p>
      <w:pPr>
        <w:jc w:val="both"/>
        <w:ind w:right="340" w:firstLine="381"/>
        <w:spacing w:after="0" w:line="279" w:lineRule="auto"/>
        <w:rPr>
          <w:sz w:val="20"/>
          <w:szCs w:val="20"/>
          <w:color w:val="auto"/>
        </w:rPr>
      </w:pPr>
      <w:r>
        <w:rPr>
          <w:rFonts w:ascii="Times New Roman" w:cs="Times New Roman" w:eastAsia="Times New Roman" w:hAnsi="Times New Roman"/>
          <w:sz w:val="16"/>
          <w:szCs w:val="16"/>
          <w:color w:val="auto"/>
        </w:rPr>
        <w:t>We manage our research and development efforts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1" w:lineRule="exact"/>
        <w:rPr>
          <w:sz w:val="20"/>
          <w:szCs w:val="20"/>
          <w:color w:val="auto"/>
        </w:rPr>
      </w:pPr>
    </w:p>
    <w:p>
      <w:pPr>
        <w:ind w:right="240" w:firstLine="381"/>
        <w:spacing w:after="0" w:line="278" w:lineRule="auto"/>
        <w:rPr>
          <w:sz w:val="20"/>
          <w:szCs w:val="20"/>
          <w:color w:val="auto"/>
        </w:rPr>
      </w:pPr>
      <w:r>
        <w:rPr>
          <w:rFonts w:ascii="Times New Roman" w:cs="Times New Roman" w:eastAsia="Times New Roman" w:hAnsi="Times New Roman"/>
          <w:sz w:val="17"/>
          <w:szCs w:val="17"/>
          <w:color w:val="auto"/>
        </w:rPr>
        <w:t>Our solutions rely on and benefit from our portfolio of intellectual property, including patents and trademarks. We currently own 45 patents, which expire at various times between 2026 and 2042.</w:t>
      </w:r>
    </w:p>
    <w:p>
      <w:pPr>
        <w:spacing w:after="0" w:line="93" w:lineRule="exact"/>
        <w:rPr>
          <w:sz w:val="20"/>
          <w:szCs w:val="20"/>
          <w:color w:val="auto"/>
        </w:rPr>
      </w:pPr>
    </w:p>
    <w:p>
      <w:pPr>
        <w:ind w:right="460" w:firstLine="381"/>
        <w:spacing w:after="0" w:line="293" w:lineRule="auto"/>
        <w:rPr>
          <w:sz w:val="20"/>
          <w:szCs w:val="20"/>
          <w:color w:val="auto"/>
        </w:rPr>
      </w:pPr>
      <w:r>
        <w:rPr>
          <w:rFonts w:ascii="Times New Roman" w:cs="Times New Roman" w:eastAsia="Times New Roman" w:hAnsi="Times New Roman"/>
          <w:sz w:val="16"/>
          <w:szCs w:val="16"/>
          <w:color w:val="auto"/>
        </w:rPr>
        <w:t>We, along with our subsidiaries, also hold a number of trademarks or registered trademarks including “Inseego”, “Inseego Subscribe”, “Inseego Manage”, “Inseego Secure”, “Inseego Vision”, the Inseego logo, “MiFi”, “MiFi Intelligent Mobile Hotspot”, ”Wavemaker”, “Clarity”, and “Skyus.”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Partners and Customers</w:t>
      </w:r>
    </w:p>
    <w:p>
      <w:pPr>
        <w:spacing w:after="0" w:line="151" w:lineRule="exact"/>
        <w:rPr>
          <w:sz w:val="20"/>
          <w:szCs w:val="20"/>
          <w:color w:val="auto"/>
        </w:rPr>
      </w:pPr>
    </w:p>
    <w:p>
      <w:pPr>
        <w:jc w:val="both"/>
        <w:ind w:right="580" w:firstLine="381"/>
        <w:spacing w:after="0" w:line="255" w:lineRule="auto"/>
        <w:rPr>
          <w:sz w:val="20"/>
          <w:szCs w:val="20"/>
          <w:color w:val="auto"/>
        </w:rPr>
      </w:pPr>
      <w:r>
        <w:rPr>
          <w:rFonts w:ascii="Times New Roman" w:cs="Times New Roman" w:eastAsia="Times New Roman" w:hAnsi="Times New Roman"/>
          <w:sz w:val="17"/>
          <w:szCs w:val="17"/>
          <w:color w:val="auto"/>
        </w:rPr>
        <w:t>We have strategic technology, development and marketing relationships with several of our carrier customers and partners. Our strong carrier, enterprise, and partner relationships provide us with the opportunity to expand our market reach and sales. We partner with leading OEMs, mobile operators, value-added resellers and distributors which allows us to offer our customers integrated solutions.</w:t>
      </w:r>
    </w:p>
    <w:p>
      <w:pPr>
        <w:spacing w:after="0" w:line="113" w:lineRule="exact"/>
        <w:rPr>
          <w:sz w:val="20"/>
          <w:szCs w:val="20"/>
          <w:color w:val="auto"/>
        </w:rPr>
      </w:pPr>
    </w:p>
    <w:p>
      <w:pPr>
        <w:jc w:val="both"/>
        <w:ind w:firstLine="381"/>
        <w:spacing w:after="0" w:line="256" w:lineRule="auto"/>
        <w:rPr>
          <w:sz w:val="20"/>
          <w:szCs w:val="20"/>
          <w:color w:val="auto"/>
        </w:rPr>
      </w:pPr>
      <w:r>
        <w:rPr>
          <w:rFonts w:ascii="Times New Roman" w:cs="Times New Roman" w:eastAsia="Times New Roman" w:hAnsi="Times New Roman"/>
          <w:sz w:val="17"/>
          <w:szCs w:val="17"/>
          <w:color w:val="auto"/>
        </w:rPr>
        <w:t>Customers for our products include transportation companies, industrial companies, governmental agencies, manufacturers, mobile operators, system integrators, distributors, and enterprises in various industries, including finance, accounting, legal, insurance, energy and industrial automation, security and safety, medical monitoring and government.</w:t>
      </w:r>
    </w:p>
    <w:p>
      <w:pPr>
        <w:spacing w:after="0" w:line="111" w:lineRule="exact"/>
        <w:rPr>
          <w:sz w:val="20"/>
          <w:szCs w:val="20"/>
          <w:color w:val="auto"/>
        </w:rPr>
      </w:pPr>
    </w:p>
    <w:p>
      <w:pPr>
        <w:ind w:right="260" w:firstLine="381"/>
        <w:spacing w:after="0" w:line="262" w:lineRule="auto"/>
        <w:rPr>
          <w:sz w:val="20"/>
          <w:szCs w:val="20"/>
          <w:color w:val="auto"/>
        </w:rPr>
      </w:pPr>
      <w:r>
        <w:rPr>
          <w:rFonts w:ascii="Times New Roman" w:cs="Times New Roman" w:eastAsia="Times New Roman" w:hAnsi="Times New Roman"/>
          <w:sz w:val="17"/>
          <w:szCs w:val="17"/>
          <w:color w:val="auto"/>
        </w:rPr>
        <w:t>Our customers for our 5G products include mobile operators such as Verizon Wireless, T-Mobile, AT&amp;T TD Synnex, Get Wireless, and Fastental , amongst others. Customers for our device management solutions include mobile operators such as T-Mobile.</w:t>
      </w:r>
    </w:p>
    <w:p>
      <w:pPr>
        <w:spacing w:after="0" w:line="119"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A significant portion of our revenue during the year ended December 31, 2025 came from two customers, Verizon and T-Mobile, which together represented approximately 89% of our total revenues for the year ended December 31, 2025. We intend to continue diversifying our customer base, a recent example of which is the inclusion of our FX4200 5G FWA device in AT&amp;T Business’s device offerings.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Operations</w:t>
      </w:r>
    </w:p>
    <w:p>
      <w:pPr>
        <w:spacing w:after="0" w:line="151" w:lineRule="exact"/>
        <w:rPr>
          <w:sz w:val="20"/>
          <w:szCs w:val="20"/>
          <w:color w:val="auto"/>
        </w:rPr>
      </w:pPr>
    </w:p>
    <w:p>
      <w:pPr>
        <w:ind w:right="40" w:firstLine="381"/>
        <w:spacing w:after="0" w:line="244" w:lineRule="auto"/>
        <w:rPr>
          <w:sz w:val="20"/>
          <w:szCs w:val="20"/>
          <w:color w:val="auto"/>
        </w:rPr>
      </w:pPr>
      <w:r>
        <w:rPr>
          <w:rFonts w:ascii="Times New Roman" w:cs="Times New Roman" w:eastAsia="Times New Roman" w:hAnsi="Times New Roman"/>
          <w:sz w:val="17"/>
          <w:szCs w:val="17"/>
          <w:color w:val="auto"/>
        </w:rPr>
        <w:t>The hardware at the core of our products is produced by contract manufacturers. Our primary contract manufacturers include Hon Hai Precision Industry Co., Ltd. (“Foxconn”) and Inventec Appliance Corporation (“IAC”). Under our manufacturing agreements, such contract manufacturers provide us with services including component procurement, product manufacturing, final assembly, testing, quality control and fulfillment. These contract manufacturers are primarily located in Asia and are able to produce our products using modern state-of-the-art equipment and facilities with relatively low-cost labor.</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outsource our manufacturing in order to:</w:t>
      </w:r>
    </w:p>
    <w:p>
      <w:pPr>
        <w:spacing w:after="0" w:line="147" w:lineRule="exact"/>
        <w:rPr>
          <w:sz w:val="20"/>
          <w:szCs w:val="20"/>
          <w:color w:val="auto"/>
        </w:rPr>
      </w:pPr>
    </w:p>
    <w:p>
      <w:pPr>
        <w:ind w:left="600" w:hanging="30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 on our core competencies of design, development and marketing;</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minimize our capital expenditures and lease obligations;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manufacturing economies of scale;</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production scalability by adjusting manufacturing volumes to meet changes in demand; and</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best-in-class component procurement and manufacturing resources.</w:t>
      </w:r>
    </w:p>
    <w:p>
      <w:pPr>
        <w:spacing w:after="0" w:line="160"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1"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At December 31, 2025, we had 275 employees, 266 of whom were full-time employees. We also use the services of consultants and temporary workers from time to time. Our employees are not represented by any collective bargaining unit and we consider our relationship with our employees to be good.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47" w:lineRule="exact"/>
        <w:rPr>
          <w:sz w:val="20"/>
          <w:szCs w:val="20"/>
          <w:color w:val="auto"/>
        </w:rPr>
      </w:pPr>
    </w:p>
    <w:p>
      <w:pPr>
        <w:ind w:right="520" w:firstLine="381"/>
        <w:spacing w:after="0" w:line="258" w:lineRule="auto"/>
        <w:rPr>
          <w:sz w:val="20"/>
          <w:szCs w:val="20"/>
          <w:color w:val="auto"/>
        </w:rPr>
      </w:pPr>
      <w:r>
        <w:rPr>
          <w:rFonts w:ascii="Times New Roman" w:cs="Times New Roman" w:eastAsia="Times New Roman" w:hAnsi="Times New Roman"/>
          <w:sz w:val="17"/>
          <w:szCs w:val="17"/>
          <w:b w:val="1"/>
          <w:bCs w:val="1"/>
          <w:color w:val="auto"/>
        </w:rPr>
        <w:t>Our Culture</w:t>
      </w:r>
      <w:r>
        <w:rPr>
          <w:rFonts w:ascii="Times New Roman" w:cs="Times New Roman" w:eastAsia="Times New Roman" w:hAnsi="Times New Roman"/>
          <w:sz w:val="17"/>
          <w:szCs w:val="17"/>
          <w:color w:val="auto"/>
        </w:rPr>
        <w:t>: Culture is critically important to our growth and performance. We are driven by our values of Accountability, Sense of Urgency,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Driven Innovation, Customer Focus, and Integrity. We are committed to creating a world class employee experience through leadership development, career planning, open two-way communications, total compensation, and a positive work environment.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8" w:name="page9"/>
    <w:bookmarkEnd w:id="8"/>
    <w:p>
      <w:pPr>
        <w:ind w:right="180" w:firstLine="381"/>
        <w:spacing w:after="0" w:line="246" w:lineRule="auto"/>
        <w:rPr>
          <w:sz w:val="20"/>
          <w:szCs w:val="20"/>
          <w:color w:val="auto"/>
        </w:rPr>
      </w:pPr>
      <w:r>
        <w:rPr>
          <w:rFonts w:ascii="Times New Roman" w:cs="Times New Roman" w:eastAsia="Times New Roman" w:hAnsi="Times New Roman"/>
          <w:sz w:val="17"/>
          <w:szCs w:val="17"/>
          <w:b w:val="1"/>
          <w:bCs w:val="1"/>
          <w:color w:val="auto"/>
        </w:rPr>
        <w:t>Diversity &amp; Inclusion</w:t>
      </w:r>
      <w:r>
        <w:rPr>
          <w:rFonts w:ascii="Times New Roman" w:cs="Times New Roman" w:eastAsia="Times New Roman" w:hAnsi="Times New Roman"/>
          <w:sz w:val="17"/>
          <w:szCs w:val="17"/>
          <w:color w:val="auto"/>
        </w:rPr>
        <w:t>: Our people are our most important asset. At Inseego, we embrace an inclusive culture because good ideas come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everywhere. Diversity comes in all forms, from different backgrounds and experiences to different perspectives and skill sets. It is this diversity that fuels innovation. It is this common passion to innovate that makes Inseego an equal opportunity employer. Inseego does not unlawfully discriminate in any employment decisions, including hiring, compensation, promotion, discipline, or termination on the basis of race, religion, color, national origin, sex, sexual orientation, gender identity, age, protected veteran status or disability. Inseego is also committed to providing reasonable accommodations to qualified individuals with disabilities and individuals with sincerely held religious beliefs and practices.</w:t>
      </w:r>
    </w:p>
    <w:p>
      <w:pPr>
        <w:spacing w:after="0" w:line="119"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b w:val="1"/>
          <w:bCs w:val="1"/>
          <w:color w:val="auto"/>
        </w:rPr>
        <w:t>Talent</w:t>
      </w:r>
      <w:r>
        <w:rPr>
          <w:rFonts w:ascii="Times New Roman" w:cs="Times New Roman" w:eastAsia="Times New Roman" w:hAnsi="Times New Roman"/>
          <w:sz w:val="17"/>
          <w:szCs w:val="17"/>
          <w:color w:val="auto"/>
        </w:rPr>
        <w:t>: We believe that talent is key to our success. Our human capital resources objectives include, as applicable, identifying, recruiting, retaining,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incentivizing, and integrating our existing and new employees. Our company size and culture allows employees to build and expand their skill set in ways that will enrich their careers. Our goal setting and performance evaluation process enables the company to focus on accelerating development for those who are top performers and strengthening the talent pipeline.</w:t>
      </w:r>
    </w:p>
    <w:p>
      <w:pPr>
        <w:spacing w:after="0" w:line="113" w:lineRule="exact"/>
        <w:rPr>
          <w:sz w:val="20"/>
          <w:szCs w:val="20"/>
          <w:color w:val="auto"/>
        </w:rPr>
      </w:pPr>
    </w:p>
    <w:p>
      <w:pPr>
        <w:ind w:right="20" w:firstLine="381"/>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Employee Health and Wellness: </w:t>
      </w:r>
      <w:r>
        <w:rPr>
          <w:rFonts w:ascii="Times New Roman" w:cs="Times New Roman" w:eastAsia="Times New Roman" w:hAnsi="Times New Roman"/>
          <w:sz w:val="17"/>
          <w:szCs w:val="17"/>
          <w:color w:val="auto"/>
        </w:rPr>
        <w:t>As the success of our business is fundamentally connected to the well-being of our employees, we are committed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health, safety and wellness. We provide our employees and their families with access to convenient health and wellness programs. These programs include benefits that provide protection and security to help give our employees peace of mind concerning events that may require time away from work or that may impact their financial well-being. We offer choice where possible so employees can customize their benefits to meet their needs and the needs of their families. We also sponsor various Health &amp; Wellness Initiatives in the U.S. to help employees find ways to create more balance in their lives.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Regulations</w:t>
      </w:r>
    </w:p>
    <w:p>
      <w:pPr>
        <w:spacing w:after="0" w:line="147" w:lineRule="exact"/>
        <w:rPr>
          <w:sz w:val="20"/>
          <w:szCs w:val="20"/>
          <w:color w:val="auto"/>
        </w:rPr>
      </w:pPr>
    </w:p>
    <w:p>
      <w:pPr>
        <w:ind w:right="80" w:firstLine="381"/>
        <w:spacing w:after="0" w:line="243" w:lineRule="auto"/>
        <w:rPr>
          <w:sz w:val="20"/>
          <w:szCs w:val="20"/>
          <w:color w:val="auto"/>
        </w:rPr>
      </w:pP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Our products and manufacturing process are subject to numerous governmental regulations, which cover both the use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various materials as well as environmental 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spacing w:after="0" w:line="124" w:lineRule="exact"/>
        <w:rPr>
          <w:sz w:val="20"/>
          <w:szCs w:val="20"/>
          <w:color w:val="auto"/>
        </w:rPr>
      </w:pPr>
    </w:p>
    <w:p>
      <w:pPr>
        <w:ind w:right="100" w:firstLine="381"/>
        <w:spacing w:after="0" w:line="244" w:lineRule="auto"/>
        <w:rPr>
          <w:sz w:val="20"/>
          <w:szCs w:val="20"/>
          <w:color w:val="auto"/>
        </w:rPr>
      </w:pPr>
      <w:r>
        <w:rPr>
          <w:rFonts w:ascii="Times New Roman" w:cs="Times New Roman" w:eastAsia="Times New Roman" w:hAnsi="Times New Roman"/>
          <w:sz w:val="17"/>
          <w:szCs w:val="17"/>
          <w:b w:val="1"/>
          <w:bCs w:val="1"/>
          <w:color w:val="auto"/>
        </w:rPr>
        <w:t>Other Regulations</w:t>
      </w:r>
      <w:r>
        <w:rPr>
          <w:rFonts w:ascii="Times New Roman" w:cs="Times New Roman" w:eastAsia="Times New Roman" w:hAnsi="Times New Roman"/>
          <w:sz w:val="17"/>
          <w:szCs w:val="17"/>
          <w:color w:val="auto"/>
        </w:rPr>
        <w:t>: As a company with global operations, we are subject to complex foreign and U.S. laws and regulations, including trade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tariffs, import and export regulations, 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 Access to SEC Filings</w:t>
      </w:r>
    </w:p>
    <w:p>
      <w:pPr>
        <w:spacing w:after="0" w:line="151" w:lineRule="exact"/>
        <w:rPr>
          <w:sz w:val="20"/>
          <w:szCs w:val="20"/>
          <w:color w:val="auto"/>
        </w:rPr>
      </w:pPr>
    </w:p>
    <w:p>
      <w:pPr>
        <w:ind w:right="200" w:firstLine="381"/>
        <w:spacing w:after="0" w:line="242" w:lineRule="auto"/>
        <w:rPr>
          <w:sz w:val="20"/>
          <w:szCs w:val="20"/>
          <w:color w:val="auto"/>
        </w:rPr>
      </w:pPr>
      <w:r>
        <w:rPr>
          <w:rFonts w:ascii="Times New Roman" w:cs="Times New Roman" w:eastAsia="Times New Roman" w:hAnsi="Times New Roman"/>
          <w:sz w:val="17"/>
          <w:szCs w:val="17"/>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9" w:name="page10"/>
    <w:bookmarkEnd w:id="9"/>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147" w:lineRule="exact"/>
        <w:rPr>
          <w:sz w:val="20"/>
          <w:szCs w:val="20"/>
          <w:color w:val="auto"/>
        </w:rPr>
      </w:pPr>
    </w:p>
    <w:p>
      <w:pPr>
        <w:ind w:right="60" w:firstLine="381"/>
        <w:spacing w:after="0" w:line="244" w:lineRule="auto"/>
        <w:rPr>
          <w:sz w:val="20"/>
          <w:szCs w:val="20"/>
          <w:color w:val="auto"/>
        </w:rPr>
      </w:pPr>
      <w:r>
        <w:rPr>
          <w:rFonts w:ascii="Times New Roman" w:cs="Times New Roman" w:eastAsia="Times New Roman" w:hAnsi="Times New Roman"/>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Ability to Generate Revenues</w:t>
      </w:r>
    </w:p>
    <w:p>
      <w:pPr>
        <w:spacing w:after="0" w:line="50" w:lineRule="exact"/>
        <w:rPr>
          <w:sz w:val="20"/>
          <w:szCs w:val="20"/>
          <w:color w:val="auto"/>
        </w:rPr>
      </w:pPr>
    </w:p>
    <w:p>
      <w:pPr>
        <w:ind w:left="600" w:right="120" w:hanging="303"/>
        <w:spacing w:after="0" w:line="272"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upon two customers for a substantial portion of our revenues, and our business would be negatively affected by an adverse change in our business with either of these customers.</w:t>
      </w:r>
    </w:p>
    <w:p>
      <w:pPr>
        <w:spacing w:after="0" w:line="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retain and increase sales to our existing customers, which could negatively impact our financial results.</w:t>
      </w:r>
    </w:p>
    <w:p>
      <w:pPr>
        <w:spacing w:after="0" w:line="45"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or a significant reduction in business from, one or more significant customers could adversely affect our revenue and profitability.</w:t>
      </w:r>
    </w:p>
    <w:p>
      <w:pPr>
        <w:spacing w:after="0" w:line="58" w:lineRule="exact"/>
        <w:rPr>
          <w:rFonts w:ascii="Times New Roman" w:cs="Times New Roman" w:eastAsia="Times New Roman" w:hAnsi="Times New Roman"/>
          <w:sz w:val="17"/>
          <w:szCs w:val="17"/>
          <w:color w:val="auto"/>
        </w:rPr>
      </w:pPr>
    </w:p>
    <w:p>
      <w:pPr>
        <w:ind w:left="600" w:right="300" w:hanging="303"/>
        <w:spacing w:after="0" w:line="262"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FWA market may take longer to materialize than we expect or, if it does materialize rapidly, we may not be able to meet the development schedule and other customer demands.</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marketability of our products may suffer if wireless telecommunications operators do not deliver acceptable wireless services.</w:t>
      </w:r>
    </w:p>
    <w:p>
      <w:pPr>
        <w:spacing w:after="0" w:line="58" w:lineRule="exact"/>
        <w:rPr>
          <w:rFonts w:ascii="Times New Roman" w:cs="Times New Roman" w:eastAsia="Times New Roman" w:hAnsi="Times New Roman"/>
          <w:sz w:val="17"/>
          <w:szCs w:val="17"/>
          <w:color w:val="auto"/>
        </w:rPr>
      </w:pPr>
    </w:p>
    <w:p>
      <w:pPr>
        <w:ind w:left="600" w:right="140" w:hanging="303"/>
        <w:spacing w:after="0" w:line="262"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customers do not adopt and/or renew our software services, we may not be able to monetize these software assets and realize a key part of our growth and profitability strategy.</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the products and services that we offer is rapidly evolving and highly competitive. We may be unable to compete effectively.</w:t>
      </w:r>
    </w:p>
    <w:p>
      <w:pPr>
        <w:spacing w:after="0" w:line="58"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develop and maintain strategic relationships, we may not be able to penetrate new markets.</w:t>
      </w:r>
    </w:p>
    <w:p>
      <w:pPr>
        <w:spacing w:after="0" w:line="45" w:lineRule="exact"/>
        <w:rPr>
          <w:rFonts w:ascii="Times New Roman" w:cs="Times New Roman" w:eastAsia="Times New Roman" w:hAnsi="Times New Roman"/>
          <w:sz w:val="17"/>
          <w:szCs w:val="17"/>
          <w:color w:val="auto"/>
        </w:rPr>
      </w:pPr>
    </w:p>
    <w:p>
      <w:pPr>
        <w:ind w:left="600" w:right="60" w:hanging="303"/>
        <w:spacing w:after="0" w:line="262"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Developing, Manufacturing and Delivering Our Solutions</w:t>
      </w:r>
    </w:p>
    <w:p>
      <w:pPr>
        <w:spacing w:after="0" w:line="50" w:lineRule="exact"/>
        <w:rPr>
          <w:sz w:val="20"/>
          <w:szCs w:val="20"/>
          <w:color w:val="auto"/>
        </w:rPr>
      </w:pPr>
    </w:p>
    <w:p>
      <w:pPr>
        <w:ind w:left="600" w:right="4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manufacture and warehouse many of our products, which exposes us to a number of risks and uncertainties outside our control.</w:t>
      </w:r>
    </w:p>
    <w:p>
      <w:pPr>
        <w:spacing w:after="0" w:line="17" w:lineRule="exact"/>
        <w:rPr>
          <w:rFonts w:ascii="Times New Roman" w:cs="Times New Roman" w:eastAsia="Times New Roman" w:hAnsi="Times New Roman"/>
          <w:sz w:val="17"/>
          <w:szCs w:val="17"/>
          <w:color w:val="auto"/>
        </w:rPr>
      </w:pPr>
    </w:p>
    <w:p>
      <w:pPr>
        <w:ind w:left="60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spacing w:after="0" w:line="4" w:lineRule="exact"/>
        <w:rPr>
          <w:rFonts w:ascii="Times New Roman" w:cs="Times New Roman" w:eastAsia="Times New Roman" w:hAnsi="Times New Roman"/>
          <w:sz w:val="17"/>
          <w:szCs w:val="17"/>
          <w:color w:val="auto"/>
        </w:rPr>
      </w:pPr>
    </w:p>
    <w:p>
      <w:pPr>
        <w:ind w:left="600" w:right="500" w:hanging="304"/>
        <w:spacing w:after="0" w:line="27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1" w:lineRule="exact"/>
        <w:rPr>
          <w:rFonts w:ascii="Times New Roman" w:cs="Times New Roman" w:eastAsia="Times New Roman" w:hAnsi="Times New Roman"/>
          <w:sz w:val="17"/>
          <w:szCs w:val="17"/>
          <w:color w:val="auto"/>
        </w:rPr>
      </w:pPr>
    </w:p>
    <w:p>
      <w:pPr>
        <w:ind w:left="600" w:right="40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disruptions in our transportation network occur or our shipping costs substantially increase, we may be unable to sell or timely deliver our products, and our operating expenses could increase.</w:t>
      </w:r>
    </w:p>
    <w:p>
      <w:pPr>
        <w:spacing w:after="0" w:line="1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adequately control the costs or maintain adequate supply of components and raw materials associated with our operations.</w:t>
      </w:r>
    </w:p>
    <w:p>
      <w:pPr>
        <w:spacing w:after="0" w:line="45" w:lineRule="exact"/>
        <w:rPr>
          <w:rFonts w:ascii="Times New Roman" w:cs="Times New Roman" w:eastAsia="Times New Roman" w:hAnsi="Times New Roman"/>
          <w:sz w:val="17"/>
          <w:szCs w:val="17"/>
          <w:color w:val="auto"/>
        </w:rPr>
      </w:pPr>
    </w:p>
    <w:p>
      <w:pPr>
        <w:ind w:left="600" w:right="16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effectively manage our sales channel inventory and product mix, we may incur costs associated with excess inventory, or lose sales from having too few products.</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product replacement or recall costs could adversely affect our business and financial performance.</w:t>
      </w:r>
    </w:p>
    <w:p>
      <w:pPr>
        <w:spacing w:after="0" w:line="58" w:lineRule="exact"/>
        <w:rPr>
          <w:rFonts w:ascii="Times New Roman" w:cs="Times New Roman" w:eastAsia="Times New Roman" w:hAnsi="Times New Roman"/>
          <w:sz w:val="17"/>
          <w:szCs w:val="17"/>
          <w:color w:val="auto"/>
        </w:rPr>
      </w:pPr>
    </w:p>
    <w:p>
      <w:pPr>
        <w:ind w:left="600" w:right="6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software and other intellectual property to develop and provide our solutions and significant increases in licensing costs or defects in third-party software could harm our business.</w:t>
      </w:r>
    </w:p>
    <w:p>
      <w:pPr>
        <w:spacing w:after="0" w:line="4" w:lineRule="exact"/>
        <w:rPr>
          <w:rFonts w:ascii="Times New Roman" w:cs="Times New Roman" w:eastAsia="Times New Roman" w:hAnsi="Times New Roman"/>
          <w:sz w:val="17"/>
          <w:szCs w:val="17"/>
          <w:color w:val="auto"/>
        </w:rPr>
      </w:pPr>
    </w:p>
    <w:p>
      <w:pPr>
        <w:ind w:left="600" w:right="120" w:hanging="303"/>
        <w:spacing w:after="0" w:line="27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1" w:lineRule="exact"/>
        <w:rPr>
          <w:rFonts w:ascii="Times New Roman" w:cs="Times New Roman" w:eastAsia="Times New Roman" w:hAnsi="Times New Roman"/>
          <w:sz w:val="17"/>
          <w:szCs w:val="17"/>
          <w:color w:val="auto"/>
        </w:rPr>
      </w:pPr>
    </w:p>
    <w:p>
      <w:pPr>
        <w:ind w:left="600" w:right="160" w:hanging="303"/>
        <w:spacing w:after="0" w:line="262" w:lineRule="auto"/>
        <w:tabs>
          <w:tab w:leader="none" w:pos="5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00"/>
          </w:cols>
          <w:pgMar w:left="840" w:top="987" w:right="900" w:bottom="1440" w:gutter="0" w:footer="0" w:header="0"/>
        </w:sectPr>
      </w:pPr>
    </w:p>
    <w:bookmarkStart w:id="10" w:name="page11"/>
    <w:bookmarkEnd w:id="10"/>
    <w:p>
      <w:pPr>
        <w:ind w:left="600" w:right="100" w:hanging="303"/>
        <w:spacing w:after="0" w:line="262" w:lineRule="auto"/>
        <w:tabs>
          <w:tab w:leader="none" w:pos="5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7" w:lineRule="exact"/>
        <w:rPr>
          <w:rFonts w:ascii="Times New Roman" w:cs="Times New Roman" w:eastAsia="Times New Roman" w:hAnsi="Times New Roman"/>
          <w:sz w:val="17"/>
          <w:szCs w:val="17"/>
          <w:color w:val="auto"/>
        </w:rPr>
      </w:pPr>
    </w:p>
    <w:p>
      <w:pPr>
        <w:ind w:left="600" w:right="560" w:hanging="303"/>
        <w:spacing w:after="0" w:line="262" w:lineRule="auto"/>
        <w:tabs>
          <w:tab w:leader="none" w:pos="5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may increase our exposure to potential liability under anti-corruption, trade protection, tax and other laws and regulations.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Outstanding Debt</w:t>
      </w:r>
    </w:p>
    <w:p>
      <w:pPr>
        <w:spacing w:after="0" w:line="63" w:lineRule="exact"/>
        <w:rPr>
          <w:sz w:val="20"/>
          <w:szCs w:val="20"/>
          <w:color w:val="auto"/>
        </w:rPr>
      </w:pPr>
    </w:p>
    <w:p>
      <w:pPr>
        <w:ind w:left="600" w:hanging="303"/>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service requirements are significant, and we may not have sufficient cash flow from our business to pay our debt.</w:t>
      </w:r>
    </w:p>
    <w:p>
      <w:pPr>
        <w:spacing w:after="0" w:line="45" w:lineRule="exact"/>
        <w:rPr>
          <w:rFonts w:ascii="Times New Roman" w:cs="Times New Roman" w:eastAsia="Times New Roman" w:hAnsi="Times New Roman"/>
          <w:sz w:val="17"/>
          <w:szCs w:val="17"/>
          <w:color w:val="auto"/>
        </w:rPr>
      </w:pPr>
    </w:p>
    <w:p>
      <w:pPr>
        <w:ind w:left="600" w:right="140" w:hanging="303"/>
        <w:spacing w:after="0" w:line="262" w:lineRule="auto"/>
        <w:tabs>
          <w:tab w:leader="none" w:pos="5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needs are uncertain, and we may need to raise additional funds in the future. We may not be able to raise such additional funds on acceptable terms or at all.</w:t>
      </w:r>
    </w:p>
    <w:p>
      <w:pPr>
        <w:spacing w:after="0" w:line="17" w:lineRule="exact"/>
        <w:rPr>
          <w:rFonts w:ascii="Times New Roman" w:cs="Times New Roman" w:eastAsia="Times New Roman" w:hAnsi="Times New Roman"/>
          <w:sz w:val="17"/>
          <w:szCs w:val="17"/>
          <w:color w:val="auto"/>
        </w:rPr>
      </w:pPr>
    </w:p>
    <w:p>
      <w:pPr>
        <w:ind w:left="600" w:right="120" w:hanging="303"/>
        <w:spacing w:after="0" w:line="248" w:lineRule="auto"/>
        <w:tabs>
          <w:tab w:leader="none" w:pos="5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comply with certain financial and other covenants under the terms of our 2029 Senior Secured Notes and our Working Capital Facility (as defined below) and, if we fail to meet those financial or other covenants or otherwise suffer a default thereunder, our lenders may accelerate the payment of such obligations.</w:t>
      </w:r>
    </w:p>
    <w:p>
      <w:pPr>
        <w:spacing w:after="0" w:line="28" w:lineRule="exact"/>
        <w:rPr>
          <w:rFonts w:ascii="Times New Roman" w:cs="Times New Roman" w:eastAsia="Times New Roman" w:hAnsi="Times New Roman"/>
          <w:sz w:val="17"/>
          <w:szCs w:val="17"/>
          <w:color w:val="auto"/>
        </w:rPr>
      </w:pPr>
    </w:p>
    <w:p>
      <w:pPr>
        <w:jc w:val="both"/>
        <w:ind w:left="600" w:right="140" w:hanging="303"/>
        <w:spacing w:after="0" w:line="248" w:lineRule="auto"/>
        <w:tabs>
          <w:tab w:leader="none" w:pos="5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rely on borrowings under the Working Capital Facility and the accounts receivable securitization facility to provide funds to operate our business and make capital expenditures, and our business could be adversely affected if those facilities are not available to be drawn, or amounts available to be drawn are reduced.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Risks</w:t>
      </w:r>
    </w:p>
    <w:p>
      <w:pPr>
        <w:spacing w:after="0" w:line="50" w:lineRule="exact"/>
        <w:rPr>
          <w:sz w:val="20"/>
          <w:szCs w:val="20"/>
          <w:color w:val="auto"/>
        </w:rPr>
      </w:pPr>
    </w:p>
    <w:p>
      <w:pPr>
        <w:ind w:left="600" w:right="520" w:hanging="303"/>
        <w:spacing w:after="0" w:line="262" w:lineRule="auto"/>
        <w:tabs>
          <w:tab w:leader="none" w:pos="5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17" w:lineRule="exact"/>
        <w:rPr>
          <w:rFonts w:ascii="Times New Roman" w:cs="Times New Roman" w:eastAsia="Times New Roman" w:hAnsi="Times New Roman"/>
          <w:sz w:val="17"/>
          <w:szCs w:val="17"/>
          <w:color w:val="auto"/>
        </w:rPr>
      </w:pPr>
    </w:p>
    <w:p>
      <w:pPr>
        <w:ind w:left="600" w:right="540" w:hanging="303"/>
        <w:spacing w:after="0" w:line="262" w:lineRule="auto"/>
        <w:tabs>
          <w:tab w:leader="none" w:pos="5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United States fiscal, tax and trade restrictions and executive and legislative actions could adversely affect our business, financial condition, and results of operations.</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and other trade restrictions may have an adverse impact on our business, operations and financial results.</w:t>
      </w:r>
    </w:p>
    <w:p>
      <w:pPr>
        <w:spacing w:after="0" w:line="58" w:lineRule="exact"/>
        <w:rPr>
          <w:rFonts w:ascii="Times New Roman" w:cs="Times New Roman" w:eastAsia="Times New Roman" w:hAnsi="Times New Roman"/>
          <w:sz w:val="17"/>
          <w:szCs w:val="17"/>
          <w:color w:val="auto"/>
        </w:rPr>
      </w:pPr>
    </w:p>
    <w:p>
      <w:pPr>
        <w:ind w:left="600" w:right="80" w:hanging="303"/>
        <w:spacing w:after="0" w:line="262" w:lineRule="auto"/>
        <w:tabs>
          <w:tab w:leader="none" w:pos="5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focus on environmental sustainability and social initiatives could increase our costs, harm our reputation and adversely impact our financial results.</w:t>
      </w:r>
    </w:p>
    <w:p>
      <w:pPr>
        <w:spacing w:after="0" w:line="4" w:lineRule="exact"/>
        <w:rPr>
          <w:rFonts w:ascii="Times New Roman" w:cs="Times New Roman" w:eastAsia="Times New Roman" w:hAnsi="Times New Roman"/>
          <w:sz w:val="17"/>
          <w:szCs w:val="17"/>
          <w:color w:val="auto"/>
        </w:rPr>
      </w:pPr>
    </w:p>
    <w:p>
      <w:pPr>
        <w:ind w:left="600" w:right="160" w:hanging="303"/>
        <w:spacing w:after="0" w:line="272" w:lineRule="auto"/>
        <w:tabs>
          <w:tab w:leader="none" w:pos="5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assertion by a third party that we are infringing its intellectual property could subject us to costly and time-consuming litigation or expensive licenses and our business could be harmed.</w:t>
      </w:r>
    </w:p>
    <w:p>
      <w:pPr>
        <w:spacing w:after="0" w:line="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our intellectual property and proprietary rights, our competitive position and our business could be harmed.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Corporate Development Activities</w:t>
      </w:r>
    </w:p>
    <w:p>
      <w:pPr>
        <w:spacing w:after="0" w:line="63" w:lineRule="exact"/>
        <w:rPr>
          <w:sz w:val="20"/>
          <w:szCs w:val="20"/>
          <w:color w:val="auto"/>
        </w:rPr>
      </w:pPr>
    </w:p>
    <w:p>
      <w:pPr>
        <w:ind w:left="600" w:hanging="303"/>
        <w:spacing w:after="0" w:line="262" w:lineRule="auto"/>
        <w:tabs>
          <w:tab w:leader="none" w:pos="5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companies and businesses, and/or divest assets or businesses. The completion of acquisition or divestiture transactions could have an adverse effect on our financial condition.</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goodwill and acquired intangible assets become impaired, we may be required to record a significant charge to earnings.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Owning Our Securities</w:t>
      </w:r>
    </w:p>
    <w:p>
      <w:pPr>
        <w:spacing w:after="0" w:line="50" w:lineRule="exact"/>
        <w:rPr>
          <w:sz w:val="20"/>
          <w:szCs w:val="20"/>
          <w:color w:val="auto"/>
        </w:rPr>
      </w:pPr>
    </w:p>
    <w:p>
      <w:pPr>
        <w:ind w:left="600" w:hanging="30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share price has been highly volatile in the past and could be highly volatile in the future.</w:t>
      </w:r>
    </w:p>
    <w:p>
      <w:pPr>
        <w:spacing w:after="0" w:line="45"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carryforwards and certain other tax attributes may be limited.</w:t>
      </w:r>
    </w:p>
    <w:p>
      <w:pPr>
        <w:spacing w:after="0" w:line="58"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stock may be vulnerable to manipulation, including through short sales.</w:t>
      </w:r>
    </w:p>
    <w:p>
      <w:pPr>
        <w:spacing w:after="0" w:line="45" w:lineRule="exact"/>
        <w:rPr>
          <w:rFonts w:ascii="Times New Roman" w:cs="Times New Roman" w:eastAsia="Times New Roman" w:hAnsi="Times New Roman"/>
          <w:sz w:val="17"/>
          <w:szCs w:val="17"/>
          <w:color w:val="auto"/>
        </w:rPr>
      </w:pPr>
    </w:p>
    <w:p>
      <w:pPr>
        <w:ind w:left="600" w:right="900" w:hanging="303"/>
        <w:spacing w:after="0" w:line="262"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of common stock upon exercise of warrants or pursuant to employee equity awards may result in dilution to existing stockholders, lower prevailing market prices for our common stock or require a significant cash outlay.</w:t>
      </w:r>
    </w:p>
    <w:p>
      <w:pPr>
        <w:spacing w:after="0" w:line="4"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of our common stock is concentrated, and as a result, certain stockholders may exercise significant influence over the Company.</w:t>
      </w:r>
    </w:p>
    <w:p>
      <w:pPr>
        <w:spacing w:after="0" w:line="58" w:lineRule="exact"/>
        <w:rPr>
          <w:rFonts w:ascii="Times New Roman" w:cs="Times New Roman" w:eastAsia="Times New Roman" w:hAnsi="Times New Roman"/>
          <w:sz w:val="17"/>
          <w:szCs w:val="17"/>
          <w:color w:val="auto"/>
        </w:rPr>
      </w:pPr>
    </w:p>
    <w:p>
      <w:pPr>
        <w:ind w:left="600" w:right="340" w:hanging="303"/>
        <w:spacing w:after="0" w:line="262"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currently intend to pay dividends on our common stock, and, consequently, your ability to achieve a return on your investment will depend on appreciation, if any, in the price of our common stock.</w:t>
      </w:r>
    </w:p>
    <w:p>
      <w:pPr>
        <w:spacing w:after="0" w:line="4" w:lineRule="exact"/>
        <w:rPr>
          <w:rFonts w:ascii="Times New Roman" w:cs="Times New Roman" w:eastAsia="Times New Roman" w:hAnsi="Times New Roman"/>
          <w:sz w:val="17"/>
          <w:szCs w:val="17"/>
          <w:color w:val="auto"/>
        </w:rPr>
      </w:pPr>
    </w:p>
    <w:p>
      <w:pPr>
        <w:ind w:left="600" w:right="120" w:hanging="303"/>
        <w:spacing w:after="0" w:line="272"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restated certificate of incorporation and restated bylaws and Delaware law could prevent a takeover that stockholders consider favorable and could also reduce the market price of our stock.</w:t>
      </w:r>
    </w:p>
    <w:p>
      <w:pPr>
        <w:spacing w:after="0" w:line="1" w:lineRule="exact"/>
        <w:rPr>
          <w:rFonts w:ascii="Times New Roman" w:cs="Times New Roman" w:eastAsia="Times New Roman" w:hAnsi="Times New Roman"/>
          <w:sz w:val="17"/>
          <w:szCs w:val="17"/>
          <w:color w:val="auto"/>
        </w:rPr>
      </w:pPr>
    </w:p>
    <w:p>
      <w:pPr>
        <w:ind w:left="600" w:right="280" w:hanging="303"/>
        <w:spacing w:after="0" w:line="262"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financial or industry analysts do not publish research or reports about our business, or if they issue negative or misleading evaluations of our stock, our stock price and trading volume could be adversely affected.</w:t>
      </w:r>
    </w:p>
    <w:p>
      <w:pPr>
        <w:spacing w:after="0" w:line="17" w:lineRule="exact"/>
        <w:rPr>
          <w:rFonts w:ascii="Times New Roman" w:cs="Times New Roman" w:eastAsia="Times New Roman" w:hAnsi="Times New Roman"/>
          <w:sz w:val="17"/>
          <w:szCs w:val="17"/>
          <w:color w:val="auto"/>
        </w:rPr>
      </w:pPr>
    </w:p>
    <w:p>
      <w:pPr>
        <w:ind w:left="600" w:right="20" w:hanging="303"/>
        <w:spacing w:after="0" w:line="262"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spacing w:after="0" w:line="4" w:lineRule="exact"/>
        <w:rPr>
          <w:rFonts w:ascii="Times New Roman" w:cs="Times New Roman" w:eastAsia="Times New Roman" w:hAnsi="Times New Roman"/>
          <w:sz w:val="17"/>
          <w:szCs w:val="17"/>
          <w:color w:val="auto"/>
        </w:rPr>
      </w:pPr>
    </w:p>
    <w:p>
      <w:pPr>
        <w:ind w:left="600" w:right="320" w:hanging="303"/>
        <w:spacing w:after="0" w:line="278"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accounting estimates we make, and the assumptions on which we rely, in preparing our financial statements prove inaccurate, our actual results may be adversely affected.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889" w:right="860" w:bottom="1440" w:gutter="0" w:footer="0" w:header="0"/>
        </w:sectPr>
      </w:pPr>
    </w:p>
    <w:bookmarkStart w:id="11" w:name="page12"/>
    <w:bookmarkEnd w:id="11"/>
    <w:p>
      <w:pPr>
        <w:ind w:left="600" w:right="680" w:hanging="303"/>
        <w:spacing w:after="0" w:line="262" w:lineRule="auto"/>
        <w:tabs>
          <w:tab w:leader="none" w:pos="5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accounting systems or new accounting system implementations may be ineffective or cause delays in our ability to record transactions and/or provide timely financial results.</w:t>
      </w:r>
    </w:p>
    <w:p>
      <w:pPr>
        <w:spacing w:after="0" w:line="17" w:lineRule="exact"/>
        <w:rPr>
          <w:rFonts w:ascii="Times New Roman" w:cs="Times New Roman" w:eastAsia="Times New Roman" w:hAnsi="Times New Roman"/>
          <w:sz w:val="17"/>
          <w:szCs w:val="17"/>
          <w:color w:val="auto"/>
        </w:rPr>
      </w:pPr>
    </w:p>
    <w:p>
      <w:pPr>
        <w:ind w:left="600" w:right="540" w:hanging="303"/>
        <w:spacing w:after="0" w:line="262" w:lineRule="auto"/>
        <w:tabs>
          <w:tab w:leader="none" w:pos="5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existing accounting pronouncements or taxation rules or practices may cause adverse fluctuations in our reported results of operations or affect how we conduct our business.</w:t>
      </w:r>
    </w:p>
    <w:p>
      <w:pPr>
        <w:spacing w:after="0" w:line="4" w:lineRule="exact"/>
        <w:rPr>
          <w:rFonts w:ascii="Times New Roman" w:cs="Times New Roman" w:eastAsia="Times New Roman" w:hAnsi="Times New Roman"/>
          <w:sz w:val="17"/>
          <w:szCs w:val="17"/>
          <w:color w:val="auto"/>
        </w:rPr>
      </w:pPr>
    </w:p>
    <w:p>
      <w:pPr>
        <w:ind w:left="600" w:right="180" w:hanging="303"/>
        <w:spacing w:after="0" w:line="270" w:lineRule="auto"/>
        <w:tabs>
          <w:tab w:leader="none" w:pos="5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operating results have fluctuated in the past and may fluctuate in the future, which could cause declines or volatility in the price of our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 Factors</w:t>
      </w:r>
    </w:p>
    <w:p>
      <w:pPr>
        <w:spacing w:after="0" w:line="50" w:lineRule="exact"/>
        <w:rPr>
          <w:sz w:val="20"/>
          <w:szCs w:val="20"/>
          <w:color w:val="auto"/>
        </w:rPr>
      </w:pPr>
    </w:p>
    <w:p>
      <w:pPr>
        <w:ind w:left="600" w:hanging="303"/>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maintain and expand our business if we are not able to hire, retain and manage additional qualified personnel.</w:t>
      </w:r>
    </w:p>
    <w:p>
      <w:pPr>
        <w:spacing w:after="0" w:line="58"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adversely affected by unfavorable macroeconomic conditions</w:t>
      </w:r>
    </w:p>
    <w:p>
      <w:pPr>
        <w:spacing w:after="0" w:line="45"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or reduced spending on information technology solutions may adversely impact our revenue and profitability.</w:t>
      </w:r>
    </w:p>
    <w:p>
      <w:pPr>
        <w:spacing w:after="0" w:line="45" w:lineRule="exact"/>
        <w:rPr>
          <w:rFonts w:ascii="Times New Roman" w:cs="Times New Roman" w:eastAsia="Times New Roman" w:hAnsi="Times New Roman"/>
          <w:sz w:val="17"/>
          <w:szCs w:val="17"/>
          <w:color w:val="auto"/>
        </w:rPr>
      </w:pPr>
    </w:p>
    <w:p>
      <w:pPr>
        <w:ind w:left="600" w:right="140" w:hanging="303"/>
        <w:spacing w:after="0" w:line="278" w:lineRule="auto"/>
        <w:tabs>
          <w:tab w:leader="none" w:pos="5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exposed to risks related to litigation and administrative proceedings that could materially and adversely affect our business, results of operations and financial condition.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ABILITY TO GENERATE REVENUES</w:t>
      </w:r>
    </w:p>
    <w:p>
      <w:pPr>
        <w:spacing w:after="0" w:line="14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depend upon two customers for a substantial portion of our revenues, and our business would be negatively affected by an adverse change in our business with either of these customers.</w:t>
      </w:r>
    </w:p>
    <w:p>
      <w:pPr>
        <w:spacing w:after="0" w:line="89"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Sales to Verizon Wireless and T-Mobile collectively accounted for 89% and 76% of our consolidated revenues for the years ended December 31, 2025 and 2024, respectively. Revenues from T-Mobile generated through our wireless subscriber lifecycle management solution (Inseego Subscribe) makes up a substantial majority of our Software Services and Other revenue. While we have accelerated our engagements with prospective new customers and continue to focus on growing revenue in other parts of our business, we expect that Verizon Wireless and T-Mobile will continue to account for a substantial portion of our revenues, and any impairment of our relationship or reduction in our services with Verizon Wireless or T-Mobile would adversely affect our business and financial position. Additionally, any change in the forecasted or actual product sell-through of Verizon Wireless or T-Mobile could have a detrimental impact on our revenue, bottom line and cash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retain and increase sales to our existing customers, which could negatively impact our financial results.</w:t>
      </w:r>
    </w:p>
    <w:p>
      <w:pPr>
        <w:spacing w:after="0" w:line="164" w:lineRule="exact"/>
        <w:rPr>
          <w:sz w:val="20"/>
          <w:szCs w:val="20"/>
          <w:color w:val="auto"/>
        </w:rPr>
      </w:pPr>
    </w:p>
    <w:p>
      <w:pPr>
        <w:ind w:right="40" w:firstLine="381"/>
        <w:spacing w:after="0" w:line="242" w:lineRule="auto"/>
        <w:rPr>
          <w:sz w:val="20"/>
          <w:szCs w:val="20"/>
          <w:color w:val="auto"/>
        </w:rPr>
      </w:pPr>
      <w:r>
        <w:rPr>
          <w:rFonts w:ascii="Times New Roman" w:cs="Times New Roman" w:eastAsia="Times New Roman" w:hAnsi="Times New Roman"/>
          <w:sz w:val="17"/>
          <w:szCs w:val="17"/>
          <w:color w:val="auto"/>
        </w:rPr>
        <w:t>A part of our growth strategy is to sell additional new products and solutions to our existing customers. Our ability to sell new products and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124" w:lineRule="exact"/>
        <w:rPr>
          <w:sz w:val="20"/>
          <w:szCs w:val="20"/>
          <w:color w:val="auto"/>
        </w:rPr>
      </w:pPr>
    </w:p>
    <w:p>
      <w:pPr>
        <w:ind w:right="40" w:firstLine="381"/>
        <w:spacing w:after="0" w:line="242" w:lineRule="auto"/>
        <w:rPr>
          <w:sz w:val="20"/>
          <w:szCs w:val="20"/>
          <w:color w:val="auto"/>
        </w:rPr>
      </w:pPr>
      <w:r>
        <w:rPr>
          <w:rFonts w:ascii="Times New Roman" w:cs="Times New Roman" w:eastAsia="Times New Roman" w:hAnsi="Times New Roman"/>
          <w:sz w:val="17"/>
          <w:szCs w:val="17"/>
          <w:color w:val="auto"/>
        </w:rPr>
        <w:t>We generally seek to sell our software services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of, or a significant reduction in business from, one or more significant customers could adversely affect our revenue and profitability.</w:t>
      </w:r>
    </w:p>
    <w:p>
      <w:pPr>
        <w:spacing w:after="0" w:line="164" w:lineRule="exact"/>
        <w:rPr>
          <w:sz w:val="20"/>
          <w:szCs w:val="20"/>
          <w:color w:val="auto"/>
        </w:rPr>
      </w:pPr>
    </w:p>
    <w:p>
      <w:pPr>
        <w:ind w:right="60" w:firstLine="381"/>
        <w:spacing w:after="0" w:line="262" w:lineRule="auto"/>
        <w:rPr>
          <w:sz w:val="20"/>
          <w:szCs w:val="20"/>
          <w:color w:val="auto"/>
        </w:rPr>
      </w:pPr>
      <w:r>
        <w:rPr>
          <w:rFonts w:ascii="Times New Roman" w:cs="Times New Roman" w:eastAsia="Times New Roman" w:hAnsi="Times New Roman"/>
          <w:sz w:val="17"/>
          <w:szCs w:val="17"/>
          <w:color w:val="auto"/>
        </w:rPr>
        <w:t>Loss of one or more of our larger customers could result in a meaningful decrease in revenue and profitability. If we lose one or more large enterprise or government customers, or if we experience a significant reduction in business from one or more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889" w:right="840" w:bottom="1440" w:gutter="0" w:footer="0" w:header="0"/>
        </w:sectPr>
      </w:pPr>
    </w:p>
    <w:bookmarkStart w:id="12" w:name="page13"/>
    <w:bookmarkEnd w:id="12"/>
    <w:p>
      <w:pPr>
        <w:ind w:right="240"/>
        <w:spacing w:after="0" w:line="262" w:lineRule="auto"/>
        <w:rPr>
          <w:sz w:val="20"/>
          <w:szCs w:val="20"/>
          <w:color w:val="auto"/>
        </w:rPr>
      </w:pPr>
      <w:r>
        <w:rPr>
          <w:rFonts w:ascii="Times New Roman" w:cs="Times New Roman" w:eastAsia="Times New Roman" w:hAnsi="Times New Roman"/>
          <w:sz w:val="17"/>
          <w:szCs w:val="17"/>
          <w:color w:val="auto"/>
        </w:rPr>
        <w:t>large enterprise or government customers, there is no assurance that we would be able to replace those customers to generate comparable revenue over a short time period, which could harm our operating results and profitability.</w:t>
      </w:r>
    </w:p>
    <w:p>
      <w:pPr>
        <w:spacing w:after="0" w:line="11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FWA market may take longer to materialize than we expect or, if it does materialize rapidly, we may not be able to meet the development schedule and other customer demands.</w:t>
      </w:r>
    </w:p>
    <w:p>
      <w:pPr>
        <w:spacing w:after="0" w:line="102" w:lineRule="exact"/>
        <w:rPr>
          <w:sz w:val="20"/>
          <w:szCs w:val="20"/>
          <w:color w:val="auto"/>
        </w:rPr>
      </w:pPr>
    </w:p>
    <w:p>
      <w:pPr>
        <w:ind w:right="40" w:firstLine="381"/>
        <w:spacing w:after="0" w:line="243" w:lineRule="auto"/>
        <w:rPr>
          <w:sz w:val="20"/>
          <w:szCs w:val="20"/>
          <w:color w:val="auto"/>
        </w:rPr>
      </w:pPr>
      <w:r>
        <w:rPr>
          <w:rFonts w:ascii="Times New Roman" w:cs="Times New Roman" w:eastAsia="Times New Roman" w:hAnsi="Times New Roman"/>
          <w:sz w:val="17"/>
          <w:szCs w:val="17"/>
          <w:color w:val="auto"/>
        </w:rPr>
        <w:t>The FWA market and its emerging standards is continuing to develop, and this market may not see as much growth as we expect or this growth may take longer to materialize than we expect which could delay important commercial network launches. If the market does materialize at a rapid pace, we may have difficulties meeting aggressive timing expectations of our current customers and getting our products to market on time to meet the demands of our customers. The FWA market requires us to design routers and antennas that meet certain technical specifications, and we may have difficulties meeting the market and any further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FWA market. While we believe that 5G technology will provide expanded use cases and opportunities and that we are strategically placed to realize these opportunities, the development of our products and our portfolio may not prove to be as successful as we expect.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marketability of our products may suffer if wireless telecommunications operators do not deliver acceptable wireless services.</w:t>
      </w:r>
    </w:p>
    <w:p>
      <w:pPr>
        <w:spacing w:after="0" w:line="164"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3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customers do not adopt and/or renew our software services, we may not be able to monetize these software assets and realize a key part of our growth and profitability strategy.</w:t>
      </w:r>
    </w:p>
    <w:p>
      <w:pPr>
        <w:spacing w:after="0" w:line="102"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A key part of our business strategy is to increase customer adoption of our software, including Inseego Connect. If the markets relating to network software solutions do not develop as we anticipate, or if we are unable to commercialize, increase market awareness and gain adoption of our software and services within those markets, revenue from our software may not grow. We have a limited history in commercializing and selling these software solutions and we continue to build out the capability of our software portfolio. Moreover, the market and competitive landscape for these solutions is dynamic, and it is difficult to predict important trends, including the potential growth, if any, of this market. If the market for these software solutions does not evolve in the way we anticipate or if customers do not adopt our software, a part of our strategy for growth would be adversely affected and our financial results may suffer.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for the products and services that we offer is rapidly evolving and highly competitive. We may be unable to compete effectively.</w:t>
      </w:r>
    </w:p>
    <w:p>
      <w:pPr>
        <w:spacing w:after="0" w:line="151" w:lineRule="exact"/>
        <w:rPr>
          <w:sz w:val="20"/>
          <w:szCs w:val="20"/>
          <w:color w:val="auto"/>
        </w:rPr>
      </w:pPr>
    </w:p>
    <w:p>
      <w:pPr>
        <w:ind w:right="60" w:firstLine="381"/>
        <w:spacing w:after="0" w:line="263" w:lineRule="auto"/>
        <w:rPr>
          <w:sz w:val="20"/>
          <w:szCs w:val="20"/>
          <w:color w:val="auto"/>
        </w:rPr>
      </w:pPr>
      <w:r>
        <w:rPr>
          <w:rFonts w:ascii="Times New Roman" w:cs="Times New Roman" w:eastAsia="Times New Roman" w:hAnsi="Times New Roman"/>
          <w:sz w:val="16"/>
          <w:szCs w:val="16"/>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09" w:lineRule="exact"/>
        <w:rPr>
          <w:sz w:val="20"/>
          <w:szCs w:val="20"/>
          <w:color w:val="auto"/>
        </w:rPr>
      </w:pPr>
    </w:p>
    <w:p>
      <w:pPr>
        <w:ind w:right="100" w:firstLine="381"/>
        <w:spacing w:after="0" w:line="243" w:lineRule="auto"/>
        <w:rPr>
          <w:sz w:val="20"/>
          <w:szCs w:val="20"/>
          <w:color w:val="auto"/>
        </w:rPr>
      </w:pPr>
      <w:r>
        <w:rPr>
          <w:rFonts w:ascii="Times New Roman" w:cs="Times New Roman" w:eastAsia="Times New Roman" w:hAnsi="Times New Roman"/>
          <w:sz w:val="17"/>
          <w:szCs w:val="17"/>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991" w:right="860"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7"/>
          <w:szCs w:val="17"/>
          <w:color w:val="auto"/>
        </w:rPr>
        <w:t>Our current competitors include:</w:t>
      </w:r>
    </w:p>
    <w:p>
      <w:pPr>
        <w:spacing w:after="0" w:line="147" w:lineRule="exact"/>
        <w:rPr>
          <w:sz w:val="20"/>
          <w:szCs w:val="20"/>
          <w:color w:val="auto"/>
        </w:rPr>
      </w:pPr>
    </w:p>
    <w:p>
      <w:pPr>
        <w:ind w:left="600" w:hanging="303"/>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 broadband – Companies such as Netgear, Franklin Wireless, TCL, ZTE, Orbic, and Sonim</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wireless access – Companies such as Nokia, Ericsson Wireless Solutions, ZTE, Peplink, Teltonika and Cisco</w:t>
      </w:r>
    </w:p>
    <w:p>
      <w:pPr>
        <w:spacing w:after="0" w:line="147" w:lineRule="exact"/>
        <w:rPr>
          <w:sz w:val="20"/>
          <w:szCs w:val="20"/>
          <w:color w:val="auto"/>
        </w:rPr>
      </w:pPr>
    </w:p>
    <w:p>
      <w:pPr>
        <w:ind w:right="60" w:firstLine="381"/>
        <w:spacing w:after="0" w:line="245" w:lineRule="auto"/>
        <w:rPr>
          <w:sz w:val="20"/>
          <w:szCs w:val="20"/>
          <w:color w:val="auto"/>
        </w:rPr>
      </w:pPr>
      <w:r>
        <w:rPr>
          <w:rFonts w:ascii="Times New Roman" w:cs="Times New Roman" w:eastAsia="Times New Roman" w:hAnsi="Times New Roman"/>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and maintain strategic relationships, we may not be able to penetrate new markets.</w:t>
      </w:r>
    </w:p>
    <w:p>
      <w:pPr>
        <w:spacing w:after="0" w:line="151" w:lineRule="exact"/>
        <w:rPr>
          <w:sz w:val="20"/>
          <w:szCs w:val="20"/>
          <w:color w:val="auto"/>
        </w:rPr>
      </w:pPr>
    </w:p>
    <w:p>
      <w:pPr>
        <w:ind w:firstLine="381"/>
        <w:spacing w:after="0" w:line="245" w:lineRule="auto"/>
        <w:rPr>
          <w:sz w:val="20"/>
          <w:szCs w:val="20"/>
          <w:color w:val="auto"/>
        </w:rPr>
      </w:pPr>
      <w:r>
        <w:rPr>
          <w:rFonts w:ascii="Times New Roman" w:cs="Times New Roman" w:eastAsia="Times New Roman" w:hAnsi="Times New Roman"/>
          <w:sz w:val="17"/>
          <w:szCs w:val="17"/>
          <w:color w:val="auto"/>
        </w:rPr>
        <w:t>A key element of our business strategy is to penetrate new markets by developing new service offerings through strategic relationships with industry participants, including cellular carriers, distributors and channel partners.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19"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89" w:lineRule="exact"/>
        <w:rPr>
          <w:sz w:val="20"/>
          <w:szCs w:val="20"/>
          <w:color w:val="auto"/>
        </w:rPr>
      </w:pPr>
    </w:p>
    <w:p>
      <w:pPr>
        <w:ind w:right="20" w:firstLine="381"/>
        <w:spacing w:after="0" w:line="243" w:lineRule="auto"/>
        <w:rPr>
          <w:sz w:val="20"/>
          <w:szCs w:val="20"/>
          <w:color w:val="auto"/>
        </w:rPr>
      </w:pPr>
      <w:r>
        <w:rPr>
          <w:rFonts w:ascii="Times New Roman" w:cs="Times New Roman" w:eastAsia="Times New Roman" w:hAnsi="Times New Roman"/>
          <w:sz w:val="17"/>
          <w:szCs w:val="17"/>
          <w:color w:val="auto"/>
        </w:rPr>
        <w:t>The development of new products and services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w:t>
      </w:r>
    </w:p>
    <w:p>
      <w:pPr>
        <w:spacing w:after="0" w:line="126"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132" w:lineRule="exact"/>
        <w:rPr>
          <w:sz w:val="20"/>
          <w:szCs w:val="20"/>
          <w:color w:val="auto"/>
        </w:rPr>
      </w:pPr>
    </w:p>
    <w:p>
      <w:pPr>
        <w:ind w:right="200" w:firstLine="381"/>
        <w:spacing w:after="0" w:line="262" w:lineRule="auto"/>
        <w:rPr>
          <w:sz w:val="20"/>
          <w:szCs w:val="20"/>
          <w:color w:val="auto"/>
        </w:rPr>
      </w:pPr>
      <w:r>
        <w:rPr>
          <w:rFonts w:ascii="Times New Roman" w:cs="Times New Roman" w:eastAsia="Times New Roman" w:hAnsi="Times New Roman"/>
          <w:sz w:val="17"/>
          <w:szCs w:val="17"/>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DEVELOPING, MANUFACTURING AND DELIVERING OUR SOLUTIONS</w:t>
      </w:r>
    </w:p>
    <w:p>
      <w:pPr>
        <w:spacing w:after="0" w:line="16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and warehouse many of our products, which exposes us to a number of risks and uncertainties outside our control.</w:t>
      </w:r>
    </w:p>
    <w:p>
      <w:pPr>
        <w:spacing w:after="0" w:line="102" w:lineRule="exact"/>
        <w:rPr>
          <w:sz w:val="20"/>
          <w:szCs w:val="20"/>
          <w:color w:val="auto"/>
        </w:rPr>
      </w:pPr>
    </w:p>
    <w:p>
      <w:pPr>
        <w:ind w:right="80" w:firstLine="381"/>
        <w:spacing w:after="0" w:line="241" w:lineRule="auto"/>
        <w:rPr>
          <w:sz w:val="20"/>
          <w:szCs w:val="20"/>
          <w:color w:val="auto"/>
        </w:rPr>
      </w:pPr>
      <w:r>
        <w:rPr>
          <w:rFonts w:ascii="Times New Roman" w:cs="Times New Roman" w:eastAsia="Times New Roman" w:hAnsi="Times New Roman"/>
          <w:sz w:val="17"/>
          <w:szCs w:val="17"/>
          <w:color w:val="auto"/>
        </w:rPr>
        <w:t>We currently outsource the manufacturing of many of our products to companies including Foxconn and Inventec Appliances Corporation.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are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14" w:name="page15"/>
    <w:bookmarkEnd w:id="14"/>
    <w:p>
      <w:pPr>
        <w:ind w:right="280"/>
        <w:spacing w:after="0" w:line="256" w:lineRule="auto"/>
        <w:rPr>
          <w:sz w:val="20"/>
          <w:szCs w:val="20"/>
          <w:color w:val="auto"/>
        </w:rPr>
      </w:pPr>
      <w:r>
        <w:rPr>
          <w:rFonts w:ascii="Times New Roman" w:cs="Times New Roman" w:eastAsia="Times New Roman" w:hAnsi="Times New Roman"/>
          <w:sz w:val="17"/>
          <w:szCs w:val="17"/>
          <w:color w:val="auto"/>
        </w:rPr>
        <w:t>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11" w:lineRule="exact"/>
        <w:rPr>
          <w:sz w:val="20"/>
          <w:szCs w:val="20"/>
          <w:color w:val="auto"/>
        </w:rPr>
      </w:pPr>
    </w:p>
    <w:p>
      <w:pPr>
        <w:ind w:right="140" w:firstLine="381"/>
        <w:spacing w:after="0" w:line="255" w:lineRule="auto"/>
        <w:rPr>
          <w:sz w:val="20"/>
          <w:szCs w:val="20"/>
          <w:color w:val="auto"/>
        </w:rPr>
      </w:pPr>
      <w:r>
        <w:rPr>
          <w:rFonts w:ascii="Times New Roman" w:cs="Times New Roman" w:eastAsia="Times New Roman" w:hAnsi="Times New Roman"/>
          <w:sz w:val="17"/>
          <w:szCs w:val="17"/>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13" w:lineRule="exact"/>
        <w:rPr>
          <w:sz w:val="20"/>
          <w:szCs w:val="20"/>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increases in manufacturing costs;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shipments if a third-party manufacturer is unable to complete production in a timely manner;</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control quality of finished products;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control delivery schedules;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control production levels and to meet minimum volume commitments to our customers;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control manufacturing yield;</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adequate manufacturing capacity; and</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secure adequate volumes of acceptable components at suitable prices or in a timely manner.</w:t>
      </w:r>
    </w:p>
    <w:p>
      <w:pPr>
        <w:spacing w:after="0" w:line="160" w:lineRule="exact"/>
        <w:rPr>
          <w:sz w:val="20"/>
          <w:szCs w:val="20"/>
          <w:color w:val="auto"/>
        </w:rPr>
      </w:pPr>
    </w:p>
    <w:p>
      <w:pPr>
        <w:ind w:right="160" w:firstLine="381"/>
        <w:spacing w:after="0" w:line="263" w:lineRule="auto"/>
        <w:rPr>
          <w:sz w:val="20"/>
          <w:szCs w:val="20"/>
          <w:color w:val="auto"/>
        </w:rPr>
      </w:pPr>
      <w:r>
        <w:rPr>
          <w:rFonts w:ascii="Times New Roman" w:cs="Times New Roman" w:eastAsia="Times New Roman" w:hAnsi="Times New Roman"/>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5"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spacing w:after="0" w:line="89"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As an example, there is currently a worldwide shortage of memory chips, which could impact our operations if we are unable to secure adequate supply of memory chips for our products. In addition our financial results could be impacted if we obtain memory chips at inflated prices and are unable to pass on these price increases to our customers. If there is a shortage or interruption in the availability to us of any such components and we cannot timely obtain a commercially and technologically suitable substitute or make sufficient and timely design or other modifications to permit the use of such a substitute component,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1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89" w:lineRule="exact"/>
        <w:rPr>
          <w:sz w:val="20"/>
          <w:szCs w:val="20"/>
          <w:color w:val="auto"/>
        </w:rPr>
      </w:pPr>
    </w:p>
    <w:p>
      <w:pPr>
        <w:ind w:right="40" w:firstLine="381"/>
        <w:spacing w:after="0" w:line="243" w:lineRule="auto"/>
        <w:rPr>
          <w:sz w:val="20"/>
          <w:szCs w:val="20"/>
          <w:color w:val="auto"/>
        </w:rPr>
      </w:pPr>
      <w:r>
        <w:rPr>
          <w:rFonts w:ascii="Times New Roman" w:cs="Times New Roman" w:eastAsia="Times New Roman" w:hAnsi="Times New Roman"/>
          <w:sz w:val="17"/>
          <w:szCs w:val="17"/>
          <w:color w:val="auto"/>
        </w:rPr>
        <w:t>Our corporate offices in San Diego, California and the facilities of our third-party contract manufacturers are exposed to various natural hazards, including earthquake, fire, severe weather and landslides.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12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disruptions in our transportation network occur or our shipping costs substantially increase, we may be unable to sell or timely deliver our products, and our operating expenses could increase.</w:t>
      </w:r>
    </w:p>
    <w:p>
      <w:pPr>
        <w:spacing w:after="0" w:line="115" w:lineRule="exact"/>
        <w:rPr>
          <w:sz w:val="20"/>
          <w:szCs w:val="20"/>
          <w:color w:val="auto"/>
        </w:rPr>
      </w:pPr>
    </w:p>
    <w:p>
      <w:pPr>
        <w:ind w:right="40" w:firstLine="381"/>
        <w:spacing w:after="0" w:line="262" w:lineRule="auto"/>
        <w:rPr>
          <w:sz w:val="20"/>
          <w:szCs w:val="20"/>
          <w:color w:val="auto"/>
        </w:rPr>
      </w:pPr>
      <w:r>
        <w:rPr>
          <w:rFonts w:ascii="Times New Roman" w:cs="Times New Roman" w:eastAsia="Times New Roman" w:hAnsi="Times New Roman"/>
          <w:sz w:val="17"/>
          <w:szCs w:val="17"/>
          <w:color w:val="auto"/>
        </w:rPr>
        <w:t>We are highly dependent upon the transportation systems we use to ship our products, including surface and air freight. Our attempts to closely match our inventory levels to our product demand intensify the need for our transportation systems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15" w:name="page16"/>
    <w:bookmarkEnd w:id="15"/>
    <w:p>
      <w:pPr>
        <w:ind w:right="60"/>
        <w:spacing w:after="0" w:line="241" w:lineRule="auto"/>
        <w:rPr>
          <w:sz w:val="20"/>
          <w:szCs w:val="20"/>
          <w:color w:val="auto"/>
        </w:rPr>
      </w:pPr>
      <w:r>
        <w:rPr>
          <w:rFonts w:ascii="Times New Roman" w:cs="Times New Roman" w:eastAsia="Times New Roman" w:hAnsi="Times New Roman"/>
          <w:sz w:val="17"/>
          <w:szCs w:val="17"/>
          <w:color w:val="auto"/>
        </w:rPr>
        <w:t>function effectively and without delay. 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could significantly disrupt our business. Additionally, our 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adequately control the costs or maintain adequate supply of components and raw materials associated with our operations.</w:t>
      </w:r>
    </w:p>
    <w:p>
      <w:pPr>
        <w:spacing w:after="0" w:line="151" w:lineRule="exact"/>
        <w:rPr>
          <w:sz w:val="20"/>
          <w:szCs w:val="20"/>
          <w:color w:val="auto"/>
        </w:rPr>
      </w:pPr>
    </w:p>
    <w:p>
      <w:pPr>
        <w:ind w:right="140" w:firstLine="381"/>
        <w:spacing w:after="0" w:line="245" w:lineRule="auto"/>
        <w:rPr>
          <w:sz w:val="20"/>
          <w:szCs w:val="20"/>
          <w:color w:val="auto"/>
        </w:rPr>
      </w:pPr>
      <w:r>
        <w:rPr>
          <w:rFonts w:ascii="Times New Roman" w:cs="Times New Roman" w:eastAsia="Times New Roman" w:hAnsi="Times New Roman"/>
          <w:sz w:val="17"/>
          <w:szCs w:val="17"/>
          <w:color w:val="auto"/>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spacing w:after="0" w:line="123" w:lineRule="exact"/>
        <w:rPr>
          <w:sz w:val="20"/>
          <w:szCs w:val="20"/>
          <w:color w:val="auto"/>
        </w:rPr>
      </w:pPr>
    </w:p>
    <w:p>
      <w:pPr>
        <w:jc w:val="both"/>
        <w:ind w:right="160" w:firstLine="381"/>
        <w:spacing w:after="0" w:line="255" w:lineRule="auto"/>
        <w:rPr>
          <w:sz w:val="20"/>
          <w:szCs w:val="20"/>
          <w:color w:val="auto"/>
        </w:rPr>
      </w:pPr>
      <w:r>
        <w:rPr>
          <w:rFonts w:ascii="Times New Roman" w:cs="Times New Roman" w:eastAsia="Times New Roman" w:hAnsi="Times New Roman"/>
          <w:sz w:val="17"/>
          <w:szCs w:val="17"/>
          <w:color w:val="auto"/>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spacing w:after="0" w:line="113" w:lineRule="exact"/>
        <w:rPr>
          <w:sz w:val="20"/>
          <w:szCs w:val="20"/>
          <w:color w:val="auto"/>
        </w:rPr>
      </w:pPr>
    </w:p>
    <w:p>
      <w:pPr>
        <w:ind w:right="260" w:firstLine="381"/>
        <w:spacing w:after="0" w:line="248" w:lineRule="auto"/>
        <w:rPr>
          <w:sz w:val="20"/>
          <w:szCs w:val="20"/>
          <w:color w:val="auto"/>
        </w:rPr>
      </w:pPr>
      <w:r>
        <w:rPr>
          <w:rFonts w:ascii="Times New Roman" w:cs="Times New Roman" w:eastAsia="Times New Roman" w:hAnsi="Times New Roman"/>
          <w:sz w:val="17"/>
          <w:szCs w:val="17"/>
          <w:color w:val="auto"/>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spacing w:after="0" w:line="1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do not effectively manage our sales channel inventory and product mix, we may incur costs associated with excess inventory, or lose sales from having too few products.</w:t>
      </w:r>
    </w:p>
    <w:p>
      <w:pPr>
        <w:spacing w:after="0" w:line="89" w:lineRule="exact"/>
        <w:rPr>
          <w:sz w:val="20"/>
          <w:szCs w:val="20"/>
          <w:color w:val="auto"/>
        </w:rPr>
      </w:pPr>
    </w:p>
    <w:p>
      <w:pPr>
        <w:ind w:right="80" w:firstLine="381"/>
        <w:spacing w:after="0" w:line="241" w:lineRule="auto"/>
        <w:rPr>
          <w:sz w:val="20"/>
          <w:szCs w:val="20"/>
          <w:color w:val="auto"/>
        </w:rPr>
      </w:pPr>
      <w:r>
        <w:rPr>
          <w:rFonts w:ascii="Times New Roman" w:cs="Times New Roman" w:eastAsia="Times New Roman" w:hAnsi="Times New Roman"/>
          <w:sz w:val="17"/>
          <w:szCs w:val="17"/>
          <w:color w:val="auto"/>
        </w:rPr>
        <w:t>If we are unable to properly monitor and manage our sales channel inventory and maintain an appropriate level and mix of products with our distributors and within our sales channels, we may incur increased and unexpected costs associated with this inventory. We determine production levels based on our forecasts of demand for our products. Actual demand for our products 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product replacement or recall costs could adversely affect our business and financial performance.</w:t>
      </w:r>
    </w:p>
    <w:p>
      <w:pPr>
        <w:spacing w:after="0" w:line="151" w:lineRule="exact"/>
        <w:rPr>
          <w:sz w:val="20"/>
          <w:szCs w:val="20"/>
          <w:color w:val="auto"/>
        </w:rPr>
      </w:pPr>
    </w:p>
    <w:p>
      <w:pPr>
        <w:ind w:right="100" w:firstLine="381"/>
        <w:spacing w:after="0" w:line="243" w:lineRule="auto"/>
        <w:rPr>
          <w:sz w:val="20"/>
          <w:szCs w:val="20"/>
          <w:color w:val="auto"/>
        </w:rPr>
      </w:pPr>
      <w:r>
        <w:rPr>
          <w:rFonts w:ascii="Times New Roman" w:cs="Times New Roman" w:eastAsia="Times New Roman" w:hAnsi="Times New Roman"/>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16" w:name="page17"/>
    <w:bookmarkEnd w:id="16"/>
    <w:p>
      <w:pPr>
        <w:ind w:right="4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115" w:lineRule="exact"/>
        <w:rPr>
          <w:sz w:val="20"/>
          <w:szCs w:val="20"/>
          <w:color w:val="auto"/>
        </w:rPr>
      </w:pPr>
    </w:p>
    <w:p>
      <w:pPr>
        <w:ind w:right="100" w:firstLine="381"/>
        <w:spacing w:after="0" w:line="242" w:lineRule="auto"/>
        <w:rPr>
          <w:sz w:val="20"/>
          <w:szCs w:val="20"/>
          <w:color w:val="auto"/>
        </w:rPr>
      </w:pPr>
      <w:r>
        <w:rPr>
          <w:rFonts w:ascii="Times New Roman" w:cs="Times New Roman" w:eastAsia="Times New Roman" w:hAnsi="Times New Roman"/>
          <w:sz w:val="17"/>
          <w:szCs w:val="17"/>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34"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102" w:lineRule="exact"/>
        <w:rPr>
          <w:sz w:val="20"/>
          <w:szCs w:val="20"/>
          <w:color w:val="auto"/>
        </w:rPr>
      </w:pPr>
    </w:p>
    <w:p>
      <w:pPr>
        <w:ind w:right="40" w:firstLine="381"/>
        <w:spacing w:after="0" w:line="245" w:lineRule="auto"/>
        <w:rPr>
          <w:sz w:val="20"/>
          <w:szCs w:val="20"/>
          <w:color w:val="auto"/>
        </w:rPr>
      </w:pPr>
      <w:r>
        <w:rPr>
          <w:rFonts w:ascii="Times New Roman" w:cs="Times New Roman" w:eastAsia="Times New Roman" w:hAnsi="Times New Roman"/>
          <w:sz w:val="17"/>
          <w:szCs w:val="17"/>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19"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89" w:lineRule="exact"/>
        <w:rPr>
          <w:sz w:val="20"/>
          <w:szCs w:val="20"/>
          <w:color w:val="auto"/>
        </w:rPr>
      </w:pPr>
    </w:p>
    <w:p>
      <w:pPr>
        <w:ind w:right="140" w:firstLine="381"/>
        <w:spacing w:after="0" w:line="243" w:lineRule="auto"/>
        <w:rPr>
          <w:sz w:val="20"/>
          <w:szCs w:val="20"/>
          <w:color w:val="auto"/>
        </w:rPr>
      </w:pPr>
      <w:r>
        <w:rPr>
          <w:rFonts w:ascii="Times New Roman" w:cs="Times New Roman" w:eastAsia="Times New Roman" w:hAnsi="Times New Roman"/>
          <w:sz w:val="17"/>
          <w:szCs w:val="17"/>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2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15" w:lineRule="exact"/>
        <w:rPr>
          <w:sz w:val="20"/>
          <w:szCs w:val="20"/>
          <w:color w:val="auto"/>
        </w:rPr>
      </w:pPr>
    </w:p>
    <w:p>
      <w:pPr>
        <w:ind w:right="40" w:firstLine="381"/>
        <w:spacing w:after="0" w:line="241" w:lineRule="auto"/>
        <w:rPr>
          <w:sz w:val="20"/>
          <w:szCs w:val="20"/>
          <w:color w:val="auto"/>
        </w:rPr>
      </w:pPr>
      <w:r>
        <w:rPr>
          <w:rFonts w:ascii="Times New Roman" w:cs="Times New Roman" w:eastAsia="Times New Roman" w:hAnsi="Times New Roman"/>
          <w:sz w:val="17"/>
          <w:szCs w:val="17"/>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33" w:lineRule="exact"/>
        <w:rPr>
          <w:sz w:val="20"/>
          <w:szCs w:val="20"/>
          <w:color w:val="auto"/>
        </w:rPr>
      </w:pPr>
    </w:p>
    <w:p>
      <w:pPr>
        <w:ind w:right="8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international operations may increase our exposure to potential liability under anti-corruption, trade protection, tax and other laws and regulations.</w:t>
      </w:r>
    </w:p>
    <w:p>
      <w:pPr>
        <w:spacing w:after="0" w:line="102" w:lineRule="exact"/>
        <w:rPr>
          <w:sz w:val="20"/>
          <w:szCs w:val="20"/>
          <w:color w:val="auto"/>
        </w:rPr>
      </w:pPr>
    </w:p>
    <w:p>
      <w:pPr>
        <w:ind w:right="60" w:firstLine="381"/>
        <w:spacing w:after="0" w:line="269" w:lineRule="auto"/>
        <w:rPr>
          <w:sz w:val="20"/>
          <w:szCs w:val="20"/>
          <w:color w:val="auto"/>
        </w:rPr>
      </w:pPr>
      <w:r>
        <w:rPr>
          <w:rFonts w:ascii="Times New Roman" w:cs="Times New Roman" w:eastAsia="Times New Roman" w:hAnsi="Times New Roman"/>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15" w:lineRule="exact"/>
        <w:rPr>
          <w:sz w:val="20"/>
          <w:szCs w:val="20"/>
          <w:color w:val="auto"/>
        </w:rPr>
      </w:pPr>
    </w:p>
    <w:p>
      <w:pPr>
        <w:ind w:right="400" w:firstLine="381"/>
        <w:spacing w:after="0" w:line="262" w:lineRule="auto"/>
        <w:rPr>
          <w:sz w:val="20"/>
          <w:szCs w:val="20"/>
          <w:color w:val="auto"/>
        </w:rPr>
      </w:pPr>
      <w:r>
        <w:rPr>
          <w:rFonts w:ascii="Times New Roman" w:cs="Times New Roman" w:eastAsia="Times New Roman" w:hAnsi="Times New Roman"/>
          <w:sz w:val="17"/>
          <w:szCs w:val="17"/>
          <w:color w:val="auto"/>
        </w:rPr>
        <w:t>Our failure to comply with Anti-Corruption Laws could result in significant fines and penalties, criminal sanctions against us, our officers or our employees, prohibitions on the conduct of our business, and damage to our reputation. Operations outside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17" w:name="page18"/>
    <w:bookmarkEnd w:id="17"/>
    <w:p>
      <w:pPr>
        <w:ind w:right="420"/>
        <w:spacing w:after="0" w:line="262" w:lineRule="auto"/>
        <w:rPr>
          <w:sz w:val="20"/>
          <w:szCs w:val="20"/>
          <w:color w:val="auto"/>
        </w:rPr>
      </w:pPr>
      <w:r>
        <w:rPr>
          <w:rFonts w:ascii="Times New Roman" w:cs="Times New Roman" w:eastAsia="Times New Roman" w:hAnsi="Times New Roman"/>
          <w:sz w:val="17"/>
          <w:szCs w:val="17"/>
          <w:color w:val="auto"/>
        </w:rPr>
        <w:t>of the United States may be affected by changes in trade protection laws, policies and measures, and other regulatory requirements affecting trade and investment.</w:t>
      </w:r>
    </w:p>
    <w:p>
      <w:pPr>
        <w:spacing w:after="0" w:line="119" w:lineRule="exact"/>
        <w:rPr>
          <w:sz w:val="20"/>
          <w:szCs w:val="20"/>
          <w:color w:val="auto"/>
        </w:rPr>
      </w:pPr>
    </w:p>
    <w:p>
      <w:pPr>
        <w:ind w:right="140" w:firstLine="381"/>
        <w:spacing w:after="0" w:line="248" w:lineRule="auto"/>
        <w:rPr>
          <w:sz w:val="20"/>
          <w:szCs w:val="20"/>
          <w:color w:val="auto"/>
        </w:rPr>
      </w:pPr>
      <w:r>
        <w:rPr>
          <w:rFonts w:ascii="Times New Roman" w:cs="Times New Roman" w:eastAsia="Times New Roman" w:hAnsi="Times New Roman"/>
          <w:sz w:val="17"/>
          <w:szCs w:val="17"/>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131"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OUTSTANDING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debt service requirements are significant, and we may not have sufficient cash flow from our business to pay our debt.</w:t>
      </w:r>
    </w:p>
    <w:p>
      <w:pPr>
        <w:spacing w:after="0" w:line="151" w:lineRule="exact"/>
        <w:rPr>
          <w:sz w:val="20"/>
          <w:szCs w:val="20"/>
          <w:color w:val="auto"/>
        </w:rPr>
      </w:pPr>
    </w:p>
    <w:p>
      <w:pPr>
        <w:ind w:right="240" w:firstLine="381"/>
        <w:spacing w:after="0" w:line="279" w:lineRule="auto"/>
        <w:rPr>
          <w:sz w:val="20"/>
          <w:szCs w:val="20"/>
          <w:color w:val="auto"/>
        </w:rPr>
      </w:pPr>
      <w:r>
        <w:rPr>
          <w:rFonts w:ascii="Times New Roman" w:cs="Times New Roman" w:eastAsia="Times New Roman" w:hAnsi="Times New Roman"/>
          <w:sz w:val="16"/>
          <w:szCs w:val="16"/>
          <w:color w:val="auto"/>
        </w:rPr>
        <w:t>As of December 31, 2025, we had outstanding indebtedness of approximately $40.9 million in outstanding principal amount of our 9.0% senior secured notes due in 2029 (the “2029 Senior Secured Notes”). On January 14, 2026 we issued an additional $8.0 million in principal amount of the 2029 Senior Secured Notes in connection with the repurchase of our Preferred Stock. The 2029 Senior Secured Notes have a maturity date of May 1, 2029.</w:t>
      </w:r>
    </w:p>
    <w:p>
      <w:pPr>
        <w:spacing w:after="0" w:line="95" w:lineRule="exact"/>
        <w:rPr>
          <w:sz w:val="20"/>
          <w:szCs w:val="20"/>
          <w:color w:val="auto"/>
        </w:rPr>
      </w:pPr>
    </w:p>
    <w:p>
      <w:pPr>
        <w:ind w:right="40" w:firstLine="381"/>
        <w:spacing w:after="0" w:line="242" w:lineRule="auto"/>
        <w:rPr>
          <w:sz w:val="20"/>
          <w:szCs w:val="20"/>
          <w:color w:val="auto"/>
        </w:rPr>
      </w:pPr>
      <w:r>
        <w:rPr>
          <w:rFonts w:ascii="Times New Roman" w:cs="Times New Roman" w:eastAsia="Times New Roman" w:hAnsi="Times New Roman"/>
          <w:sz w:val="17"/>
          <w:szCs w:val="17"/>
          <w:color w:val="auto"/>
        </w:rPr>
        <w:t>Our ability to make scheduled payments on, or to refinance our indebtedness, depends on our cash balances on hand and our future performance, which is subject to economic, financial, competitive and other factors beyond our control. Our business may not generate cash flow from operations in the future and along with cash balances may not be sufficient to service our debt and other fixed charges, fund working capital needs and make necessary capital expenditures. If we do not have adequate cash or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3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future capital needs are uncertain, and we may need to raise additional funds in the future. We may not be able to raise such additional funds on acceptable terms or at all.</w:t>
      </w:r>
    </w:p>
    <w:p>
      <w:pPr>
        <w:spacing w:after="0" w:line="102" w:lineRule="exact"/>
        <w:rPr>
          <w:sz w:val="20"/>
          <w:szCs w:val="20"/>
          <w:color w:val="auto"/>
        </w:rPr>
      </w:pPr>
    </w:p>
    <w:p>
      <w:pPr>
        <w:ind w:right="100" w:firstLine="381"/>
        <w:spacing w:after="0" w:line="245" w:lineRule="auto"/>
        <w:rPr>
          <w:sz w:val="20"/>
          <w:szCs w:val="20"/>
          <w:color w:val="auto"/>
        </w:rPr>
      </w:pPr>
      <w:r>
        <w:rPr>
          <w:rFonts w:ascii="Times New Roman" w:cs="Times New Roman" w:eastAsia="Times New Roman" w:hAnsi="Times New Roman"/>
          <w:sz w:val="17"/>
          <w:szCs w:val="17"/>
          <w:color w:val="auto"/>
        </w:rPr>
        <w:t>We may need to raise substantial additional capital in the future to refinance our indebtedness,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123" w:lineRule="exact"/>
        <w:rPr>
          <w:sz w:val="20"/>
          <w:szCs w:val="20"/>
          <w:color w:val="auto"/>
        </w:rPr>
      </w:pPr>
    </w:p>
    <w:p>
      <w:pPr>
        <w:ind w:right="140" w:firstLine="381"/>
        <w:spacing w:after="0" w:line="256" w:lineRule="auto"/>
        <w:rPr>
          <w:sz w:val="20"/>
          <w:szCs w:val="20"/>
          <w:color w:val="auto"/>
        </w:rPr>
      </w:pPr>
      <w:r>
        <w:rPr>
          <w:rFonts w:ascii="Times New Roman" w:cs="Times New Roman" w:eastAsia="Times New Roman" w:hAnsi="Times New Roman"/>
          <w:sz w:val="17"/>
          <w:szCs w:val="17"/>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comply with certain financial and other covenants under the terms of our 2029 Senior Secured Notes and our Working Capital Facility and, if we fail to meet those financial or other covenants or otherwise suffer a default thereunder, our lenders may accelerate the payment of such obligations.</w:t>
      </w:r>
    </w:p>
    <w:p>
      <w:pPr>
        <w:spacing w:after="0" w:line="110" w:lineRule="exact"/>
        <w:rPr>
          <w:sz w:val="20"/>
          <w:szCs w:val="20"/>
          <w:color w:val="auto"/>
        </w:rPr>
      </w:pPr>
    </w:p>
    <w:p>
      <w:pPr>
        <w:jc w:val="both"/>
        <w:ind w:firstLine="381"/>
        <w:spacing w:after="0" w:line="260" w:lineRule="auto"/>
        <w:rPr>
          <w:sz w:val="20"/>
          <w:szCs w:val="20"/>
          <w:color w:val="auto"/>
        </w:rPr>
      </w:pPr>
      <w:r>
        <w:rPr>
          <w:rFonts w:ascii="Times New Roman" w:cs="Times New Roman" w:eastAsia="Times New Roman" w:hAnsi="Times New Roman"/>
          <w:sz w:val="16"/>
          <w:szCs w:val="16"/>
          <w:color w:val="auto"/>
        </w:rPr>
        <w:t>The Indenture that sets forth the terms of the 2029 Senior Secured Notes (the “2029 Senior Secured Notes Indenture”) and the credit agreement that sets forth the terms of the Working Capital Facility (the “Working Capital Facility Agreement”) contain various covenants which put certain restrictions on our ability to incur liens, sell or transfer assets, incur other indebtedness, pay dividends, make investments, enter into transactions with affiliates, make other distributions or payments on account of any redemption, retirement or purchase of any capital stock or pay certain other indebtedness. The restrictions in the 2029 Senior Secured Notes Indenture and the Working Capital Facility impose operating and financial restrictions on us and may limit our ability to compete effectively, take advantage of new business opportunities or take other actions that may be in our, or our stockholders’, best interests. Further, various risks and uncertainties may impact our ability to comply with our obligations under the 2029 Senior Secured Notes Indenture and the Working Capital Facility Agreement. Our obligations under the 2029 Senior Secured Notes and the Working Capital Facility are secured by a continuing security interest in all property (other than certain excluded collateral) of the Company and each of the obligors or borrower parties thereunder,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17"/>
          <w:szCs w:val="17"/>
          <w:color w:val="auto"/>
        </w:rPr>
        <w:t>Our inability to comply with any of the provisions of the 2029 Senior Secured Notes Indenture or the Working Capital Facility Agreement could result in a default under such applicable agreement. If such a default occurs, the noteholders or the lenders, as applicable may elect to demand payment in full of all or any portion of our obligations under the 2029 Senior Secured Notes or the Working Capital Facility, as applicable and, among other remedies, foreclose on our assets. The occurrence of any of these events could have a material adverse effect on our business, financial condition, results of operations and liquidity.</w:t>
      </w:r>
    </w:p>
    <w:p>
      <w:pPr>
        <w:spacing w:after="0" w:line="13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may rely on borrowings under the Working Capital Facility to provide funds to operate our business and make capital expenditures, and our business could be adversely affected if those facilities are not available to be drawn, or amounts available to be drawn are reduced.</w:t>
      </w:r>
    </w:p>
    <w:p>
      <w:pPr>
        <w:spacing w:after="0" w:line="102" w:lineRule="exact"/>
        <w:rPr>
          <w:sz w:val="20"/>
          <w:szCs w:val="20"/>
          <w:color w:val="auto"/>
        </w:rPr>
      </w:pPr>
    </w:p>
    <w:p>
      <w:pPr>
        <w:jc w:val="both"/>
        <w:ind w:firstLine="381"/>
        <w:spacing w:after="0" w:line="244" w:lineRule="auto"/>
        <w:rPr>
          <w:sz w:val="20"/>
          <w:szCs w:val="20"/>
          <w:color w:val="auto"/>
        </w:rPr>
      </w:pPr>
      <w:r>
        <w:rPr>
          <w:rFonts w:ascii="Times New Roman" w:cs="Times New Roman" w:eastAsia="Times New Roman" w:hAnsi="Times New Roman"/>
          <w:sz w:val="17"/>
          <w:szCs w:val="17"/>
          <w:color w:val="auto"/>
        </w:rPr>
        <w:t>In order to support our operations and make capital expenditures, we may borrow funds under the Working Capital Facility. The amount of borrowings permitted at any time under the Working Capital Facility is limited to a periodic borrowing base valuation of the collateral thereunder. Borrowings under the Working Capital Facility are principally supported by pledges of inventory and accounts receivable. As a result, our access to credit under the Working Capital Facility is potentially subject to significant fluctuations depending on the value of the borrowing base of eligible assets as of any measurement date, and, in the case of the Working Capital Facility, certain discretionary rights of the agent in respect of the calculation of such borrowing base value. If our access to such financing was unavailable or reduced, our liquidity, results of operations and financial position may be adversely affected, which could cause material harm to our business. In addition, if certain of our lenders experience difficulties that render them unable to fund future draws on the facilities, we may not be able to access all or a portion of these funds, which could have similar adverse consequences.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AND REGULATORY RISKS</w:t>
      </w:r>
    </w:p>
    <w:p>
      <w:pPr>
        <w:spacing w:after="0" w:line="14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89" w:lineRule="exact"/>
        <w:rPr>
          <w:sz w:val="20"/>
          <w:szCs w:val="20"/>
          <w:color w:val="auto"/>
        </w:rPr>
      </w:pPr>
    </w:p>
    <w:p>
      <w:pPr>
        <w:ind w:right="20" w:firstLine="381"/>
        <w:spacing w:after="0" w:line="245" w:lineRule="auto"/>
        <w:rPr>
          <w:sz w:val="20"/>
          <w:szCs w:val="20"/>
          <w:color w:val="auto"/>
        </w:rPr>
      </w:pPr>
      <w:r>
        <w:rPr>
          <w:rFonts w:ascii="Times New Roman" w:cs="Times New Roman" w:eastAsia="Times New Roman" w:hAnsi="Times New Roman"/>
          <w:sz w:val="17"/>
          <w:szCs w:val="17"/>
          <w:color w:val="auto"/>
        </w:rPr>
        <w:t>Our products and solutions enable us to collect, manage and store a wide range of data.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In addition, the California Consumer Privacy Act, which took effect on January 1, 2020, provides new data privacy rights for California consumers, including the right to know what personal information is being collected about them and how it is being used. If our privacy or data security measures fail to comply, or are perceived to fail to comply, with current or future laws and regulations, we may be subject to litigation, regulatory investigations or other liabilities.</w:t>
      </w:r>
    </w:p>
    <w:p>
      <w:pPr>
        <w:spacing w:after="0" w:line="123" w:lineRule="exact"/>
        <w:rPr>
          <w:sz w:val="20"/>
          <w:szCs w:val="20"/>
          <w:color w:val="auto"/>
        </w:rPr>
      </w:pPr>
    </w:p>
    <w:p>
      <w:pPr>
        <w:ind w:right="20" w:firstLine="381"/>
        <w:spacing w:after="0" w:line="245" w:lineRule="auto"/>
        <w:rPr>
          <w:sz w:val="20"/>
          <w:szCs w:val="20"/>
          <w:color w:val="auto"/>
        </w:rPr>
      </w:pPr>
      <w:r>
        <w:rPr>
          <w:rFonts w:ascii="Times New Roman" w:cs="Times New Roman" w:eastAsia="Times New Roman" w:hAnsi="Times New Roman"/>
          <w:sz w:val="17"/>
          <w:szCs w:val="17"/>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123"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24" w:lineRule="exact"/>
        <w:rPr>
          <w:sz w:val="20"/>
          <w:szCs w:val="20"/>
          <w:color w:val="auto"/>
        </w:rPr>
      </w:pPr>
    </w:p>
    <w:p>
      <w:pPr>
        <w:ind w:right="160" w:firstLine="381"/>
        <w:spacing w:after="0" w:line="248" w:lineRule="auto"/>
        <w:rPr>
          <w:sz w:val="20"/>
          <w:szCs w:val="20"/>
          <w:color w:val="auto"/>
        </w:rPr>
      </w:pPr>
      <w:r>
        <w:rPr>
          <w:rFonts w:ascii="Times New Roman" w:cs="Times New Roman" w:eastAsia="Times New Roman" w:hAnsi="Times New Roman"/>
          <w:sz w:val="17"/>
          <w:szCs w:val="17"/>
          <w:color w:val="auto"/>
        </w:rPr>
        <w:t>Our solutions and products enable us to collect, manage and store a wide range of data.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We have updated and will continue to evaluate our group data protection and security policies, charters, and procedures to assist in maintaining data privacy and data security in line with international practices.</w:t>
      </w:r>
    </w:p>
    <w:p>
      <w:pPr>
        <w:spacing w:after="0" w:line="120" w:lineRule="exact"/>
        <w:rPr>
          <w:sz w:val="20"/>
          <w:szCs w:val="20"/>
          <w:color w:val="auto"/>
        </w:rPr>
      </w:pPr>
    </w:p>
    <w:p>
      <w:pPr>
        <w:ind w:right="140" w:firstLine="381"/>
        <w:spacing w:after="0" w:line="256" w:lineRule="auto"/>
        <w:rPr>
          <w:sz w:val="20"/>
          <w:szCs w:val="20"/>
          <w:color w:val="auto"/>
        </w:rPr>
      </w:pPr>
      <w:r>
        <w:rPr>
          <w:rFonts w:ascii="Times New Roman" w:cs="Times New Roman" w:eastAsia="Times New Roman" w:hAnsi="Times New Roman"/>
          <w:sz w:val="17"/>
          <w:szCs w:val="17"/>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spacing w:after="0" w:line="111" w:lineRule="exact"/>
        <w:rPr>
          <w:sz w:val="20"/>
          <w:szCs w:val="20"/>
          <w:color w:val="auto"/>
        </w:rPr>
      </w:pPr>
    </w:p>
    <w:p>
      <w:pPr>
        <w:ind w:right="340" w:firstLine="381"/>
        <w:spacing w:after="0" w:line="262" w:lineRule="auto"/>
        <w:rPr>
          <w:sz w:val="20"/>
          <w:szCs w:val="20"/>
          <w:color w:val="auto"/>
        </w:rPr>
      </w:pPr>
      <w:r>
        <w:rPr>
          <w:rFonts w:ascii="Times New Roman" w:cs="Times New Roman" w:eastAsia="Times New Roman" w:hAnsi="Times New Roman"/>
          <w:sz w:val="17"/>
          <w:szCs w:val="17"/>
          <w:color w:val="auto"/>
        </w:rPr>
        <w:t>As noted above, we have sought to implement internationally recognized practices regarding data privacy and data security. If our privacy or data security measures fail to comply, or are perceived to fail to comply, with current or future 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19" w:name="page20"/>
    <w:bookmarkEnd w:id="19"/>
    <w:p>
      <w:pPr>
        <w:ind w:right="80"/>
        <w:spacing w:after="0" w:line="248" w:lineRule="auto"/>
        <w:rPr>
          <w:sz w:val="20"/>
          <w:szCs w:val="20"/>
          <w:color w:val="auto"/>
        </w:rPr>
      </w:pPr>
      <w:r>
        <w:rPr>
          <w:rFonts w:ascii="Times New Roman" w:cs="Times New Roman" w:eastAsia="Times New Roman" w:hAnsi="Times New Roman"/>
          <w:sz w:val="17"/>
          <w:szCs w:val="17"/>
          <w:color w:val="auto"/>
        </w:rPr>
        <w:t>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115"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Enhanced United States fiscal, tax and trade restrictions and executive and legislative actions could adversely affect our business, financial condition, and results of operations.</w:t>
      </w:r>
    </w:p>
    <w:p>
      <w:pPr>
        <w:spacing w:after="0" w:line="89" w:lineRule="exact"/>
        <w:rPr>
          <w:sz w:val="20"/>
          <w:szCs w:val="20"/>
          <w:color w:val="auto"/>
        </w:rPr>
      </w:pPr>
    </w:p>
    <w:p>
      <w:pPr>
        <w:ind w:right="20" w:firstLine="381"/>
        <w:spacing w:after="0" w:line="243" w:lineRule="auto"/>
        <w:rPr>
          <w:sz w:val="20"/>
          <w:szCs w:val="20"/>
          <w:color w:val="auto"/>
        </w:rPr>
      </w:pPr>
      <w:r>
        <w:rPr>
          <w:rFonts w:ascii="Times New Roman" w:cs="Times New Roman" w:eastAsia="Times New Roman" w:hAnsi="Times New Roman"/>
          <w:sz w:val="17"/>
          <w:szCs w:val="17"/>
          <w:color w:val="auto"/>
        </w:rPr>
        <w:t>There is currently significant uncertainty about the future relationship between the United States and various other countries, with respect to trade policies, treaties, tariffs and taxes. Recent U.S. administrations have have implemented substantial changes to U.S. foreign trade policy with respect to China and other countries, including significant new and increased tariffs on goods imported into the United States. The current U.S. administration has announced increased tariffs and may put additional tariffs in place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26" w:lineRule="exact"/>
        <w:rPr>
          <w:sz w:val="20"/>
          <w:szCs w:val="20"/>
          <w:color w:val="auto"/>
        </w:rPr>
      </w:pPr>
    </w:p>
    <w:p>
      <w:pPr>
        <w:ind w:right="360" w:firstLine="381"/>
        <w:spacing w:after="0" w:line="248" w:lineRule="auto"/>
        <w:rPr>
          <w:sz w:val="20"/>
          <w:szCs w:val="20"/>
          <w:color w:val="auto"/>
        </w:rPr>
      </w:pPr>
      <w:r>
        <w:rPr>
          <w:rFonts w:ascii="Times New Roman" w:cs="Times New Roman" w:eastAsia="Times New Roman" w:hAnsi="Times New Roman"/>
          <w:sz w:val="17"/>
          <w:szCs w:val="17"/>
          <w:color w:val="auto"/>
        </w:rPr>
        <w:t>We have taken actions to mitigate the impact of such tariffs, however, there is no assurance that all such efforts will be successful. These actions include importing our products from contract manufacturing locations outside of mainland China and working directly with U.S. Customs and Border Protection (“CBP”) to address the harmonized tariff codes used for our products.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120" w:lineRule="exact"/>
        <w:rPr>
          <w:sz w:val="20"/>
          <w:szCs w:val="20"/>
          <w:color w:val="auto"/>
        </w:rPr>
      </w:pPr>
    </w:p>
    <w:p>
      <w:pPr>
        <w:ind w:right="280" w:firstLine="381"/>
        <w:spacing w:after="0" w:line="248" w:lineRule="auto"/>
        <w:rPr>
          <w:sz w:val="20"/>
          <w:szCs w:val="20"/>
          <w:color w:val="auto"/>
        </w:rPr>
      </w:pPr>
      <w:r>
        <w:rPr>
          <w:rFonts w:ascii="Times New Roman" w:cs="Times New Roman" w:eastAsia="Times New Roman" w:hAnsi="Times New Roman"/>
          <w:sz w:val="17"/>
          <w:szCs w:val="17"/>
          <w:color w:val="auto"/>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spacing w:after="0" w:line="119"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In August 2022, the Inflation Reduction Act of 2022 was signed into law which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the Treasury and we cannot predict how this legislation or any future changes in tax laws might affect us or purchasers of our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Tariffs and other trade restrictions may have an adverse impact on our business, operations and financial results.</w:t>
      </w:r>
    </w:p>
    <w:p>
      <w:pPr>
        <w:spacing w:after="0" w:line="101" w:lineRule="exact"/>
        <w:rPr>
          <w:sz w:val="20"/>
          <w:szCs w:val="20"/>
          <w:color w:val="auto"/>
        </w:rPr>
      </w:pPr>
    </w:p>
    <w:p>
      <w:pPr>
        <w:ind w:firstLine="381"/>
        <w:spacing w:after="0" w:line="241" w:lineRule="auto"/>
        <w:rPr>
          <w:sz w:val="20"/>
          <w:szCs w:val="20"/>
          <w:color w:val="auto"/>
        </w:rPr>
      </w:pPr>
      <w:r>
        <w:rPr>
          <w:rFonts w:ascii="Times New Roman" w:cs="Times New Roman" w:eastAsia="Times New Roman" w:hAnsi="Times New Roman"/>
          <w:sz w:val="17"/>
          <w:szCs w:val="17"/>
          <w:color w:val="auto"/>
        </w:rPr>
        <w:t>We source materials from, and manufacture products in, foreign countries, including countries in Asia, and we also sell products in foreign countries. As a result, the price and availability of our products is susceptible to international trade risks and other international conditions. For example, any economic and political uncertainty caused by the tariffs imposed on goods from other countries by the current administration of the United States, and any corresponding tariffs or currency devaluations from other countries in response, may negatively impact demand and/or increase the cost for certain of our products. Furthermore, the imposition of additional tariffs, duties, border adjustment taxes or other trade restrictions by the United States could result in the adoption of additional or increased tariffs or other trade restrictions by other countries. Tariffs may in the future increase our cost of materials and may cause us to increase prices to our customers, which we believe may reduce demand for our products. Our price increases may not be sufficient to fully offset the impact of tariffs and may result in lowering our margin on products sold. In sum, if the United States Government increases or implements additional tariffs, or if additional tariffs or trade restrictions are implemented by other countries, the resulting trade barriers could have a significant adverse impact on our suppliers, our customers and on our business. The volatility and unpredictability of international trade policies and conditions add further complexity to our operations, making it challenging to forecast and plan effectively. We are not able to predict future trade policy of the United States or of any foreign countries in which we operate or purchase goods, or the terms of any trade agreements or their impact on our business. The adoption and expansion of trade restrictions and tariffs, quotas and embargoes, the occurrence or threat of a trade war or other governmental action related to tariffs or trade agreements or policies, has the potential to adversely impact demand for our products, our costs, our customers, our suppliers and the world and U.S. economies, which in turn could have a material adverse effect on our business, operating results and financial condition.</w:t>
      </w:r>
    </w:p>
    <w:p>
      <w:pPr>
        <w:spacing w:after="0" w:line="12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20" w:name="page21"/>
    <w:bookmarkEnd w:id="20"/>
    <w:p>
      <w:pPr>
        <w:ind w:right="40" w:firstLine="381"/>
        <w:spacing w:after="0" w:line="245" w:lineRule="auto"/>
        <w:rPr>
          <w:sz w:val="20"/>
          <w:szCs w:val="20"/>
          <w:color w:val="auto"/>
        </w:rPr>
      </w:pPr>
      <w:r>
        <w:rPr>
          <w:rFonts w:ascii="Times New Roman" w:cs="Times New Roman" w:eastAsia="Times New Roman" w:hAnsi="Times New Roman"/>
          <w:sz w:val="17"/>
          <w:szCs w:val="17"/>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123" w:lineRule="exact"/>
        <w:rPr>
          <w:sz w:val="20"/>
          <w:szCs w:val="20"/>
          <w:color w:val="auto"/>
        </w:rPr>
      </w:pPr>
    </w:p>
    <w:p>
      <w:pPr>
        <w:ind w:right="140" w:firstLine="381"/>
        <w:spacing w:after="0" w:line="255"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09"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115" w:lineRule="exact"/>
        <w:rPr>
          <w:sz w:val="20"/>
          <w:szCs w:val="20"/>
          <w:color w:val="auto"/>
        </w:rPr>
      </w:pPr>
    </w:p>
    <w:p>
      <w:pPr>
        <w:ind w:right="100" w:firstLine="381"/>
        <w:spacing w:after="0" w:line="244" w:lineRule="auto"/>
        <w:rPr>
          <w:sz w:val="20"/>
          <w:szCs w:val="20"/>
          <w:color w:val="auto"/>
        </w:rPr>
      </w:pPr>
      <w:r>
        <w:rPr>
          <w:rFonts w:ascii="Times New Roman" w:cs="Times New Roman" w:eastAsia="Times New Roman" w:hAnsi="Times New Roman"/>
          <w:sz w:val="17"/>
          <w:szCs w:val="17"/>
          <w:color w:val="auto"/>
        </w:rPr>
        <w:t>The technology industries involving wireless data communications,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124"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24" w:lineRule="exact"/>
        <w:rPr>
          <w:sz w:val="20"/>
          <w:szCs w:val="20"/>
          <w:color w:val="auto"/>
        </w:rPr>
      </w:pPr>
    </w:p>
    <w:p>
      <w:pPr>
        <w:ind w:right="60" w:firstLine="381"/>
        <w:spacing w:after="0" w:line="243" w:lineRule="auto"/>
        <w:rPr>
          <w:sz w:val="20"/>
          <w:szCs w:val="20"/>
          <w:color w:val="auto"/>
        </w:rPr>
      </w:pPr>
      <w:r>
        <w:rPr>
          <w:rFonts w:ascii="Times New Roman" w:cs="Times New Roman" w:eastAsia="Times New Roman" w:hAnsi="Times New Roman"/>
          <w:sz w:val="17"/>
          <w:szCs w:val="17"/>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and proprietary rights, our competitive position and our business could be harmed.</w:t>
      </w:r>
    </w:p>
    <w:p>
      <w:pPr>
        <w:spacing w:after="0" w:line="151" w:lineRule="exact"/>
        <w:rPr>
          <w:sz w:val="20"/>
          <w:szCs w:val="20"/>
          <w:color w:val="auto"/>
        </w:rPr>
      </w:pPr>
    </w:p>
    <w:p>
      <w:pPr>
        <w:ind w:right="140" w:firstLine="381"/>
        <w:spacing w:after="0" w:line="244" w:lineRule="auto"/>
        <w:rPr>
          <w:sz w:val="20"/>
          <w:szCs w:val="20"/>
          <w:color w:val="auto"/>
        </w:rPr>
      </w:pPr>
      <w:r>
        <w:rPr>
          <w:rFonts w:ascii="Times New Roman" w:cs="Times New Roman" w:eastAsia="Times New Roman" w:hAnsi="Times New Roman"/>
          <w:sz w:val="17"/>
          <w:szCs w:val="17"/>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RISKS RELATED TO CORPORATE DEVELOPMENT ACTIVITIES</w:t>
      </w:r>
    </w:p>
    <w:p>
      <w:pPr>
        <w:spacing w:after="0" w:line="14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may acquire companies and businesses, and/or divest assets or businesses. The completion of acquisition or divestiture transactions could have an adverse effect on our financial condition.</w:t>
      </w:r>
    </w:p>
    <w:p>
      <w:pPr>
        <w:spacing w:after="0" w:line="89"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divest a business or exit a product line, it could result in any one of which could adversely affect our business, financial condition, results of operations or stock price:</w:t>
      </w:r>
    </w:p>
    <w:p>
      <w:pPr>
        <w:spacing w:after="0" w:line="137" w:lineRule="exact"/>
        <w:rPr>
          <w:sz w:val="20"/>
          <w:szCs w:val="20"/>
          <w:color w:val="auto"/>
        </w:rPr>
      </w:pPr>
    </w:p>
    <w:p>
      <w:pPr>
        <w:ind w:left="600" w:hanging="30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substantial decrease in revenue;</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gross margins and EBITDA; and</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substantial charges in connection with disposed assets.</w:t>
      </w:r>
    </w:p>
    <w:p>
      <w:pPr>
        <w:spacing w:after="0" w:line="160" w:lineRule="exact"/>
        <w:rPr>
          <w:sz w:val="20"/>
          <w:szCs w:val="20"/>
          <w:color w:val="auto"/>
        </w:rPr>
      </w:pPr>
    </w:p>
    <w:p>
      <w:pPr>
        <w:ind w:right="40" w:firstLine="381"/>
        <w:spacing w:after="0" w:line="262" w:lineRule="auto"/>
        <w:rPr>
          <w:sz w:val="20"/>
          <w:szCs w:val="20"/>
          <w:color w:val="auto"/>
        </w:rPr>
      </w:pPr>
      <w:r>
        <w:rPr>
          <w:rFonts w:ascii="Times New Roman" w:cs="Times New Roman" w:eastAsia="Times New Roman" w:hAnsi="Times New Roman"/>
          <w:sz w:val="17"/>
          <w:szCs w:val="17"/>
          <w:color w:val="auto"/>
        </w:rPr>
        <w:t>Similarly, if we make an acquisition, we could take any or all of the following actions, any one of which could adversely affect our business, financial condition, results of operations or stock price:</w:t>
      </w:r>
    </w:p>
    <w:p>
      <w:pPr>
        <w:spacing w:after="0" w:line="107" w:lineRule="exact"/>
        <w:rPr>
          <w:sz w:val="20"/>
          <w:szCs w:val="20"/>
          <w:color w:val="auto"/>
        </w:rPr>
      </w:pPr>
    </w:p>
    <w:p>
      <w:pPr>
        <w:ind w:left="600" w:hanging="303"/>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 substantial portion of our available cash;</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substantial debt, which may not be available to us on favorable terms and may adversely affect our liquidity;</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equity or equity-based securities that would dilute the percentage ownership of existing stockholders;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 contingent liabilities; and</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substantial charges in connection with acquired assets.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Acquired businesses may have liabilities or adverse operating issues that we fail to discover through due diligence prior to the acquisition, such as:</w:t>
      </w:r>
    </w:p>
    <w:p>
      <w:pPr>
        <w:spacing w:after="0" w:line="147" w:lineRule="exact"/>
        <w:rPr>
          <w:sz w:val="20"/>
          <w:szCs w:val="20"/>
          <w:color w:val="auto"/>
        </w:rPr>
      </w:pPr>
    </w:p>
    <w:p>
      <w:pPr>
        <w:ind w:left="600" w:hanging="30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previous management to comply with applicable laws or regulations;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representations; and</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unfulfilled contractual obligations to customers or vendors.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goodwill and acquired intangible assets become impaired, we may be required to record a significant charge to earnings.</w:t>
      </w:r>
    </w:p>
    <w:p>
      <w:pPr>
        <w:spacing w:after="0" w:line="164"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spacing w:after="0" w:line="131" w:lineRule="exact"/>
        <w:rPr>
          <w:sz w:val="20"/>
          <w:szCs w:val="20"/>
          <w:color w:val="auto"/>
        </w:rPr>
      </w:pPr>
    </w:p>
    <w:p>
      <w:pPr>
        <w:ind w:right="40" w:firstLine="381"/>
        <w:spacing w:after="0"/>
        <w:rPr>
          <w:sz w:val="20"/>
          <w:szCs w:val="20"/>
          <w:color w:val="auto"/>
        </w:rPr>
      </w:pPr>
      <w:r>
        <w:rPr>
          <w:rFonts w:ascii="Times New Roman" w:cs="Times New Roman" w:eastAsia="Times New Roman" w:hAnsi="Times New Roman"/>
          <w:sz w:val="17"/>
          <w:szCs w:val="17"/>
          <w:color w:val="auto"/>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OWNING OUR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share price has been highly volatile in the past and could be highly volatile in the future.</w:t>
      </w:r>
    </w:p>
    <w:p>
      <w:pPr>
        <w:spacing w:after="0" w:line="151" w:lineRule="exact"/>
        <w:rPr>
          <w:sz w:val="20"/>
          <w:szCs w:val="20"/>
          <w:color w:val="auto"/>
        </w:rPr>
      </w:pPr>
    </w:p>
    <w:p>
      <w:pPr>
        <w:ind w:right="500" w:firstLine="381"/>
        <w:spacing w:after="0" w:line="278" w:lineRule="auto"/>
        <w:rPr>
          <w:sz w:val="20"/>
          <w:szCs w:val="20"/>
          <w:color w:val="auto"/>
        </w:rPr>
      </w:pPr>
      <w:r>
        <w:rPr>
          <w:rFonts w:ascii="Times New Roman" w:cs="Times New Roman" w:eastAsia="Times New Roman" w:hAnsi="Times New Roman"/>
          <w:sz w:val="17"/>
          <w:szCs w:val="17"/>
          <w:color w:val="auto"/>
        </w:rPr>
        <w:t>The market price of our common stock can be highly volatile due to the risks and uncertainties described in this report, as well as other factors, including: comments by securities analysts; announcements by us or others regarding, among other things,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22" w:name="page23"/>
    <w:bookmarkEnd w:id="22"/>
    <w:p>
      <w:pPr>
        <w:ind w:right="20"/>
        <w:spacing w:after="0" w:line="248" w:lineRule="auto"/>
        <w:rPr>
          <w:sz w:val="20"/>
          <w:szCs w:val="20"/>
          <w:color w:val="auto"/>
        </w:rPr>
      </w:pPr>
      <w:r>
        <w:rPr>
          <w:rFonts w:ascii="Times New Roman" w:cs="Times New Roman" w:eastAsia="Times New Roman" w:hAnsi="Times New Roman"/>
          <w:sz w:val="17"/>
          <w:szCs w:val="17"/>
          <w:color w:val="auto"/>
        </w:rPr>
        <w:t>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spacing w:after="0" w:line="119" w:lineRule="exact"/>
        <w:rPr>
          <w:sz w:val="20"/>
          <w:szCs w:val="20"/>
          <w:color w:val="auto"/>
        </w:rPr>
      </w:pPr>
    </w:p>
    <w:p>
      <w:pPr>
        <w:ind w:right="20" w:firstLine="381"/>
        <w:spacing w:after="0" w:line="256" w:lineRule="auto"/>
        <w:rPr>
          <w:sz w:val="20"/>
          <w:szCs w:val="20"/>
          <w:color w:val="auto"/>
        </w:rPr>
      </w:pPr>
      <w:r>
        <w:rPr>
          <w:rFonts w:ascii="Times New Roman" w:cs="Times New Roman" w:eastAsia="Times New Roman" w:hAnsi="Times New Roman"/>
          <w:sz w:val="17"/>
          <w:szCs w:val="17"/>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164" w:lineRule="exact"/>
        <w:rPr>
          <w:sz w:val="20"/>
          <w:szCs w:val="20"/>
          <w:color w:val="auto"/>
        </w:rPr>
      </w:pPr>
    </w:p>
    <w:p>
      <w:pPr>
        <w:ind w:right="140" w:firstLine="381"/>
        <w:spacing w:after="0" w:line="242" w:lineRule="auto"/>
        <w:rPr>
          <w:sz w:val="20"/>
          <w:szCs w:val="20"/>
          <w:color w:val="auto"/>
        </w:rPr>
      </w:pPr>
      <w:r>
        <w:rPr>
          <w:rFonts w:ascii="Times New Roman" w:cs="Times New Roman" w:eastAsia="Times New Roman" w:hAnsi="Times New Roman"/>
          <w:sz w:val="17"/>
          <w:szCs w:val="17"/>
          <w:color w:val="auto"/>
        </w:rPr>
        <w:t>At December 31, 2025, the Company had U.S. federal net operating loss carryforwards (“NOLs”) related to tax years 2025 and 2022 and prior of approximately $374.0 million. Approximately $119.6 million of these NOLs have no expiration date. The remainder will begin to expire in 2030, unless previously utilized. Some of these NOLs may be limited by either past or future changes in control events. The Company has California NOLs at December 31, 2025 of approximately $64.8 million, which begin to expire in 2031, unless previously utilized, and no foreign NOLs for its active foreign subsidiaries. At December 31, 2025, the Company had federal research and development tax credit carryforwards, net of unrecognized tax benefits, of approximately $11.7 million, which begin to expire in 2026, unless previously utilized, and California research and development tax credit carryforwards, net of unrecognized tax benefits, of approximately $11.9 million, which have no expiration date. It is possible that we will not generate taxable income in time to use these NOLs before their expiration and additional NOLs will expire unused.</w:t>
      </w:r>
    </w:p>
    <w:p>
      <w:pPr>
        <w:spacing w:after="0" w:line="125"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Under legislative changes made in December 2017, as modified by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Also, certain states have begun to limit the utilization of NOLs. In addition, the federal and state net operating loss carryforwards and certain tax credits may be subject to significant limitations under Section 382 and Section 383 of the Internal Revenue Code of 1986, as amended, or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stock may be vulnerable to manipulation, including through short sales.</w:t>
      </w:r>
    </w:p>
    <w:p>
      <w:pPr>
        <w:spacing w:after="0" w:line="164" w:lineRule="exact"/>
        <w:rPr>
          <w:sz w:val="20"/>
          <w:szCs w:val="20"/>
          <w:color w:val="auto"/>
        </w:rPr>
      </w:pPr>
    </w:p>
    <w:p>
      <w:pPr>
        <w:ind w:right="280" w:firstLine="381"/>
        <w:spacing w:after="0" w:line="251" w:lineRule="auto"/>
        <w:rPr>
          <w:sz w:val="20"/>
          <w:szCs w:val="20"/>
          <w:color w:val="auto"/>
        </w:rPr>
      </w:pPr>
      <w:r>
        <w:rPr>
          <w:rFonts w:ascii="Times New Roman" w:cs="Times New Roman" w:eastAsia="Times New Roman" w:hAnsi="Times New Roman"/>
          <w:sz w:val="17"/>
          <w:szCs w:val="17"/>
          <w:color w:val="auto"/>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w:t>
      </w:r>
    </w:p>
    <w:p>
      <w:pPr>
        <w:spacing w:after="0"/>
        <w:rPr>
          <w:sz w:val="20"/>
          <w:szCs w:val="20"/>
          <w:color w:val="auto"/>
        </w:rPr>
      </w:pPr>
      <w:r>
        <w:rPr>
          <w:rFonts w:ascii="Times New Roman" w:cs="Times New Roman" w:eastAsia="Times New Roman" w:hAnsi="Times New Roman"/>
          <w:sz w:val="17"/>
          <w:szCs w:val="17"/>
          <w:color w:val="auto"/>
        </w:rPr>
        <w:t>Authority (“FINRA”). Short sales are transactions in which a market participant sells a security that it does not own. To complete the transaction, the</w:t>
      </w:r>
    </w:p>
    <w:p>
      <w:pPr>
        <w:spacing w:after="0" w:line="2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spacing w:after="0" w:line="123" w:lineRule="exact"/>
        <w:rPr>
          <w:sz w:val="20"/>
          <w:szCs w:val="20"/>
          <w:color w:val="auto"/>
        </w:rPr>
      </w:pPr>
    </w:p>
    <w:p>
      <w:pPr>
        <w:ind w:right="20" w:firstLine="381"/>
        <w:spacing w:after="0" w:line="261" w:lineRule="auto"/>
        <w:rPr>
          <w:sz w:val="20"/>
          <w:szCs w:val="20"/>
          <w:color w:val="auto"/>
        </w:rPr>
      </w:pPr>
      <w:r>
        <w:rPr>
          <w:rFonts w:ascii="Times New Roman" w:cs="Times New Roman" w:eastAsia="Times New Roman" w:hAnsi="Times New Roman"/>
          <w:sz w:val="16"/>
          <w:szCs w:val="16"/>
          <w:color w:val="auto"/>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23" w:name="page24"/>
    <w:bookmarkEnd w:id="23"/>
    <w:p>
      <w:pPr>
        <w:ind w:right="1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common stock upon exercise of our outstanding warrants or pursuant to employee equity awards may result in dilution to existing stockholders, lower prevailing market prices for our common stock or require a significant cash outlay.</w:t>
      </w:r>
    </w:p>
    <w:p>
      <w:pPr>
        <w:spacing w:after="0" w:line="115"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As of December 31, 2025, we had approximately 2.9 million outstanding warrants which are currently exercisable at the option of the holders, at exercise prices ranging from $11.27 to $15.77 per share. We also have granted equity awards to our executive officers and certain employees. As of December 31, 2025 there were 1,517,039 stock options outstanding, with a weighted average exercise price of $16.70, and 1,846,156 non-vested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provisions in the 2029 Senior Secured Notes Indenture could delay or prevent an otherwise beneficial takeover or takeover attempt of us.</w:t>
      </w:r>
    </w:p>
    <w:p>
      <w:pPr>
        <w:spacing w:after="0" w:line="151" w:lineRule="exact"/>
        <w:rPr>
          <w:sz w:val="20"/>
          <w:szCs w:val="20"/>
          <w:color w:val="auto"/>
        </w:rPr>
      </w:pPr>
    </w:p>
    <w:p>
      <w:pPr>
        <w:ind w:right="80" w:firstLine="381"/>
        <w:spacing w:after="0" w:line="261" w:lineRule="auto"/>
        <w:rPr>
          <w:sz w:val="20"/>
          <w:szCs w:val="20"/>
          <w:color w:val="auto"/>
        </w:rPr>
      </w:pPr>
      <w:r>
        <w:rPr>
          <w:rFonts w:ascii="Times New Roman" w:cs="Times New Roman" w:eastAsia="Times New Roman" w:hAnsi="Times New Roman"/>
          <w:sz w:val="16"/>
          <w:szCs w:val="16"/>
          <w:color w:val="auto"/>
        </w:rPr>
        <w:t>Certain provisions in the 2029 Senior Secured Notes Indenture could make it more difficult or more expensive for a third party to acquire us and could delay or prevent an otherwise beneficial takeover or takeover attempt. For example, if a takeover would constitute a fundamental change (as defined in the 2029 Senior Secured Notes Indenture and/or the Indenture), holders of the 2029 Senior Secured Notes will have the right to require us to repurchase their notes in cash. As a result, our obligations under the 2029 Senior Secured Notes could increase the cost of acquiring us or otherwise discourage a third</w:t>
      </w:r>
    </w:p>
    <w:p>
      <w:pPr>
        <w:spacing w:after="0"/>
        <w:rPr>
          <w:sz w:val="20"/>
          <w:szCs w:val="20"/>
          <w:color w:val="auto"/>
        </w:rPr>
      </w:pPr>
      <w:r>
        <w:rPr>
          <w:rFonts w:ascii="Times New Roman" w:cs="Times New Roman" w:eastAsia="Times New Roman" w:hAnsi="Times New Roman"/>
          <w:sz w:val="17"/>
          <w:szCs w:val="17"/>
          <w:color w:val="auto"/>
        </w:rPr>
        <w:t>party from acquiring us</w:t>
      </w:r>
      <w:r>
        <w:rPr>
          <w:rFonts w:ascii="Times New Roman" w:cs="Times New Roman" w:eastAsia="Times New Roman" w:hAnsi="Times New Roman"/>
          <w:sz w:val="20"/>
          <w:szCs w:val="20"/>
          <w:color w:val="005253"/>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Ownership of our common stock is concentrated, and as a result, certain stockholders may exercise significant influence over the Company.</w:t>
      </w:r>
    </w:p>
    <w:p>
      <w:pPr>
        <w:spacing w:after="0" w:line="151" w:lineRule="exact"/>
        <w:rPr>
          <w:sz w:val="20"/>
          <w:szCs w:val="20"/>
          <w:color w:val="auto"/>
        </w:rPr>
      </w:pPr>
    </w:p>
    <w:p>
      <w:pPr>
        <w:jc w:val="both"/>
        <w:ind w:right="20" w:firstLine="381"/>
        <w:spacing w:after="0" w:line="255" w:lineRule="auto"/>
        <w:rPr>
          <w:sz w:val="20"/>
          <w:szCs w:val="20"/>
          <w:color w:val="auto"/>
        </w:rPr>
      </w:pPr>
      <w:r>
        <w:rPr>
          <w:rFonts w:ascii="Times New Roman" w:cs="Times New Roman" w:eastAsia="Times New Roman" w:hAnsi="Times New Roman"/>
          <w:sz w:val="17"/>
          <w:szCs w:val="17"/>
          <w:color w:val="auto"/>
        </w:rPr>
        <w:t>As of December 31, 2025, Golden Harbor Ltd. and North Sound Management Inc. (together the “Investors”) and their affiliates beneficially owned an aggregate of approximately 18.3% and 13.9%, respectively, for an aggregate of approximately 32.2%, of the outstanding shares of our common stock. As a result, the Investors have the ability to significantly influence the outcome of any matter submitted for the vote of the holders of our common stock.</w:t>
      </w:r>
    </w:p>
    <w:p>
      <w:pPr>
        <w:spacing w:after="0" w:line="113" w:lineRule="exact"/>
        <w:rPr>
          <w:sz w:val="20"/>
          <w:szCs w:val="20"/>
          <w:color w:val="auto"/>
        </w:rPr>
      </w:pPr>
    </w:p>
    <w:p>
      <w:pPr>
        <w:ind w:right="140" w:firstLine="381"/>
        <w:spacing w:after="0" w:line="248" w:lineRule="auto"/>
        <w:rPr>
          <w:sz w:val="20"/>
          <w:szCs w:val="20"/>
          <w:color w:val="auto"/>
        </w:rPr>
      </w:pPr>
      <w:r>
        <w:rPr>
          <w:rFonts w:ascii="Times New Roman" w:cs="Times New Roman" w:eastAsia="Times New Roman" w:hAnsi="Times New Roman"/>
          <w:sz w:val="17"/>
          <w:szCs w:val="17"/>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11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91"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We currently anticipate that we will retain any future earnings for the development, operation and expansion of our business and do not anticipate declaring or paying any cash dividends for the foreseeable future. In addition, the terms of our debt agreements and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and restated bylaws and Delaware law could prevent a takeover that stockholders consider favorable and could also reduce the market price of our stock.</w:t>
      </w:r>
    </w:p>
    <w:p>
      <w:pPr>
        <w:spacing w:after="0" w:line="89" w:lineRule="exact"/>
        <w:rPr>
          <w:sz w:val="20"/>
          <w:szCs w:val="20"/>
          <w:color w:val="auto"/>
        </w:rPr>
      </w:pPr>
    </w:p>
    <w:p>
      <w:pPr>
        <w:ind w:right="40" w:firstLine="610"/>
        <w:spacing w:after="0" w:line="241" w:lineRule="auto"/>
        <w:rPr>
          <w:sz w:val="20"/>
          <w:szCs w:val="20"/>
          <w:color w:val="auto"/>
        </w:rPr>
      </w:pPr>
      <w:r>
        <w:rPr>
          <w:rFonts w:ascii="Times New Roman" w:cs="Times New Roman" w:eastAsia="Times New Roman" w:hAnsi="Times New Roman"/>
          <w:sz w:val="17"/>
          <w:szCs w:val="17"/>
          <w:color w:val="auto"/>
        </w:rPr>
        <w:t>Our restated certificate of incorporation and restated bylaws contain provisions that could delay or prevent a change in control of us. These provisions could also make it more difficult for stockholders to elect directors and take other corporate actions. These provisions include: providing for a classified board of directors with staggered, three-year terms; authorizing the board of directors to issue, without stockholder approval, preferred stock with rights senior to those of our common stock; providing that vacancies on our board of directors be filled by appointment by the board of directors; prohibiting stockholder action by written consent; requiring that certain litigation must be brought in Delaware; limiting the persons who may call special meetings of stockholders; and requiring advance notification of stockholder nominations and proposals. In addition, we are subject to Section 203 of the Delaware General Corporation Law which may prohibit large stockholders, in particular those owning fifteen percent or more of our outstanding voting stock, from merging or combining with us for a certain period of time without the consent of our board of directors. These and other provisions in our restated certificate of incorporation and our restated bylaws and under the Delaware General Corporation Law could discourage potential takeover attempts, reduce the price that investors might be willing to pay in the future for shares of our common stock and result in the market price of our common stock being lower than it would be without these provisions.</w:t>
      </w:r>
    </w:p>
    <w:p>
      <w:pPr>
        <w:spacing w:after="0" w:line="13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financial or industry analysts do not publish research or reports about our business, or if they issue negative or misleading evaluations of our stock, our stock price and trading volume could be adversely affected.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24" w:name="page25"/>
    <w:bookmarkEnd w:id="24"/>
    <w:p>
      <w:pPr>
        <w:ind w:right="40" w:firstLine="381"/>
        <w:spacing w:after="0" w:line="244"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13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spacing w:after="0" w:line="102" w:lineRule="exact"/>
        <w:rPr>
          <w:sz w:val="20"/>
          <w:szCs w:val="20"/>
          <w:color w:val="auto"/>
        </w:rPr>
      </w:pPr>
    </w:p>
    <w:p>
      <w:pPr>
        <w:ind w:right="180" w:firstLine="381"/>
        <w:spacing w:after="0" w:line="256"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111"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1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the accounting estimates we make, and the assumptions on which we rely, in preparing our financial statements prove inaccurate, our actual results may be adversely affected.</w:t>
      </w:r>
    </w:p>
    <w:p>
      <w:pPr>
        <w:spacing w:after="0" w:line="115"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2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Changes to the accounting systems or new accounting system implementations may be ineffective or cause delays in our ability to record transactions and/or provide timely financial results.</w:t>
      </w:r>
    </w:p>
    <w:p>
      <w:pPr>
        <w:spacing w:after="0" w:line="115" w:lineRule="exact"/>
        <w:rPr>
          <w:sz w:val="20"/>
          <w:szCs w:val="20"/>
          <w:color w:val="auto"/>
        </w:rPr>
      </w:pPr>
    </w:p>
    <w:p>
      <w:pPr>
        <w:ind w:right="300" w:firstLine="381"/>
        <w:spacing w:after="0" w:line="248" w:lineRule="auto"/>
        <w:rPr>
          <w:sz w:val="20"/>
          <w:szCs w:val="20"/>
          <w:color w:val="auto"/>
        </w:rPr>
      </w:pPr>
      <w:r>
        <w:rPr>
          <w:rFonts w:ascii="Times New Roman" w:cs="Times New Roman" w:eastAsia="Times New Roman" w:hAnsi="Times New Roman"/>
          <w:sz w:val="17"/>
          <w:szCs w:val="17"/>
          <w:color w:val="auto"/>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11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02" w:lineRule="exact"/>
        <w:rPr>
          <w:sz w:val="20"/>
          <w:szCs w:val="20"/>
          <w:color w:val="auto"/>
        </w:rPr>
      </w:pPr>
    </w:p>
    <w:p>
      <w:pPr>
        <w:ind w:right="120" w:firstLine="381"/>
        <w:spacing w:after="0" w:line="248" w:lineRule="auto"/>
        <w:rPr>
          <w:sz w:val="20"/>
          <w:szCs w:val="20"/>
          <w:color w:val="auto"/>
        </w:rPr>
      </w:pPr>
      <w:r>
        <w:rPr>
          <w:rFonts w:ascii="Times New Roman" w:cs="Times New Roman" w:eastAsia="Times New Roman" w:hAnsi="Times New Roman"/>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2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quarterly operating results have fluctuated in the past and may fluctuate in the future, which could cause declines or volatility in the price of our common stock.</w:t>
      </w:r>
    </w:p>
    <w:p>
      <w:pPr>
        <w:spacing w:after="0" w:line="102" w:lineRule="exact"/>
        <w:rPr>
          <w:sz w:val="20"/>
          <w:szCs w:val="20"/>
          <w:color w:val="auto"/>
        </w:rPr>
      </w:pPr>
    </w:p>
    <w:p>
      <w:pPr>
        <w:ind w:right="60" w:firstLine="381"/>
        <w:spacing w:after="0" w:line="255" w:lineRule="auto"/>
        <w:rPr>
          <w:sz w:val="20"/>
          <w:szCs w:val="20"/>
          <w:color w:val="auto"/>
        </w:rPr>
      </w:pPr>
      <w:r>
        <w:rPr>
          <w:rFonts w:ascii="Times New Roman" w:cs="Times New Roman" w:eastAsia="Times New Roman" w:hAnsi="Times New Roman"/>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25" w:name="page26"/>
    <w:bookmarkEnd w:id="25"/>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retain existing customers;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predict changes in customer demand due to matters beyond our control;</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new features, including integration of our existing solutions with third-party software and devices;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our competitors, including consolidation within the industry, pricing changes or the introduction of new services;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employees, given intense competition for qualified personnel;</w:t>
      </w:r>
    </w:p>
    <w:p>
      <w:pPr>
        <w:spacing w:after="0" w:line="147" w:lineRule="exact"/>
        <w:rPr>
          <w:rFonts w:ascii="Times New Roman" w:cs="Times New Roman" w:eastAsia="Times New Roman" w:hAnsi="Times New Roman"/>
          <w:sz w:val="17"/>
          <w:szCs w:val="17"/>
          <w:color w:val="auto"/>
        </w:rPr>
      </w:pPr>
    </w:p>
    <w:p>
      <w:pPr>
        <w:ind w:left="600" w:right="600" w:hanging="303"/>
        <w:spacing w:after="0" w:line="278"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and realize the anticipated benefits of any future divestitures or acquisitions of businesses, solutions or technologies;</w:t>
      </w:r>
    </w:p>
    <w:p>
      <w:pPr>
        <w:spacing w:after="0" w:line="93"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launch new services or solutions or sell existing services or solutions into additional geographies or vertical markets;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developing or acquiring technologies, services or businesses;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operating costs, and capital expenditures related to the operation, maintenance and expansion of our business;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outages or security breaches and any related occurrences which could impact our reputation;</w:t>
      </w:r>
    </w:p>
    <w:p>
      <w:pPr>
        <w:spacing w:after="0" w:line="147" w:lineRule="exact"/>
        <w:rPr>
          <w:rFonts w:ascii="Times New Roman" w:cs="Times New Roman" w:eastAsia="Times New Roman" w:hAnsi="Times New Roman"/>
          <w:sz w:val="17"/>
          <w:szCs w:val="17"/>
          <w:color w:val="auto"/>
        </w:rPr>
      </w:pPr>
    </w:p>
    <w:p>
      <w:pPr>
        <w:ind w:left="600" w:right="140" w:hanging="303"/>
        <w:spacing w:after="0" w:line="256" w:lineRule="auto"/>
        <w:tabs>
          <w:tab w:leader="none" w:pos="5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worldwide economic, industry, and market conditions, including disruptions in financial markets and the deterioration of the underlying economic conditions in some countries, rises in inflation and interest rates, and those conditions specific to Internet usage and online businesses;</w:t>
      </w:r>
    </w:p>
    <w:p>
      <w:pPr>
        <w:spacing w:after="0" w:line="111"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global events, which could extend lead times in our supply chain and lengthen sales cycles with our customers;</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(such as tariffs and duties) and import or export licensing requirements;</w:t>
      </w:r>
    </w:p>
    <w:p>
      <w:pPr>
        <w:spacing w:after="0" w:line="147"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defending intellectual property infringement and other claims; and</w:t>
      </w:r>
    </w:p>
    <w:p>
      <w:pPr>
        <w:spacing w:after="0" w:line="160" w:lineRule="exact"/>
        <w:rPr>
          <w:rFonts w:ascii="Times New Roman" w:cs="Times New Roman" w:eastAsia="Times New Roman" w:hAnsi="Times New Roman"/>
          <w:sz w:val="17"/>
          <w:szCs w:val="17"/>
          <w:color w:val="auto"/>
        </w:rPr>
      </w:pPr>
    </w:p>
    <w:p>
      <w:pPr>
        <w:ind w:left="600" w:hanging="303"/>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147" w:lineRule="exact"/>
        <w:rPr>
          <w:sz w:val="20"/>
          <w:szCs w:val="20"/>
          <w:color w:val="auto"/>
        </w:rPr>
      </w:pPr>
    </w:p>
    <w:p>
      <w:pPr>
        <w:ind w:right="600" w:firstLine="381"/>
        <w:spacing w:after="0" w:line="262" w:lineRule="auto"/>
        <w:rPr>
          <w:sz w:val="20"/>
          <w:szCs w:val="20"/>
          <w:color w:val="auto"/>
        </w:rPr>
      </w:pPr>
      <w:r>
        <w:rPr>
          <w:rFonts w:ascii="Times New Roman" w:cs="Times New Roman" w:eastAsia="Times New Roman" w:hAnsi="Times New Roman"/>
          <w:sz w:val="17"/>
          <w:szCs w:val="17"/>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maintain and expand our business if we are not able to hire, retain and manage additional qualified personnel.</w:t>
      </w:r>
    </w:p>
    <w:p>
      <w:pPr>
        <w:spacing w:after="0" w:line="151"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32"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adversely affected by unfavorable macroeconomic conditions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00"/>
          </w:cols>
          <w:pgMar w:left="840" w:top="991" w:right="900" w:bottom="1440" w:gutter="0" w:footer="0" w:header="0"/>
        </w:sectPr>
      </w:pPr>
    </w:p>
    <w:bookmarkStart w:id="26" w:name="page27"/>
    <w:bookmarkEnd w:id="26"/>
    <w:p>
      <w:pPr>
        <w:ind w:firstLine="381"/>
        <w:spacing w:after="0" w:line="242" w:lineRule="auto"/>
        <w:rPr>
          <w:sz w:val="20"/>
          <w:szCs w:val="20"/>
          <w:color w:val="auto"/>
        </w:rPr>
      </w:pPr>
      <w:r>
        <w:rPr>
          <w:rFonts w:ascii="Times New Roman" w:cs="Times New Roman" w:eastAsia="Times New Roman" w:hAnsi="Times New Roman"/>
          <w:sz w:val="17"/>
          <w:szCs w:val="17"/>
          <w:color w:val="auto"/>
        </w:rPr>
        <w:t>Our business, our results of operations and our financial condition could be adversely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financial markets and the global economy may also be adversely affected by the current or anticipated impact of military conflicts, including the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w:t>
      </w:r>
    </w:p>
    <w:p>
      <w:pPr>
        <w:spacing w:after="0" w:line="124" w:lineRule="exact"/>
        <w:rPr>
          <w:sz w:val="20"/>
          <w:szCs w:val="20"/>
          <w:color w:val="auto"/>
        </w:rPr>
      </w:pPr>
    </w:p>
    <w:p>
      <w:pPr>
        <w:ind w:firstLine="610"/>
        <w:spacing w:after="0" w:line="248" w:lineRule="auto"/>
        <w:rPr>
          <w:sz w:val="20"/>
          <w:szCs w:val="20"/>
          <w:color w:val="auto"/>
        </w:rPr>
      </w:pPr>
      <w:r>
        <w:rPr>
          <w:rFonts w:ascii="Times New Roman" w:cs="Times New Roman" w:eastAsia="Times New Roman" w:hAnsi="Times New Roman"/>
          <w:sz w:val="17"/>
          <w:szCs w:val="17"/>
          <w:color w:val="auto"/>
        </w:rPr>
        <w:t>In addition, these macroeconomic factors could affect the ability of our current or potential future third-party manufacturers or sole source suppliers to remain in business, or otherwise maintain our manufacturing or supply demands, which could result in potential supply chain disruptions. This, along with any of the foregoing factors, could impact our financial conditions, results of operations and cash flows. We cannot anticipate all of the ways in which the current and future economic climate and financial market conditions could adversely impact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economic conditions or reduced spending on information technology solutions may adversely impact our revenue and profitability.</w:t>
      </w:r>
    </w:p>
    <w:p>
      <w:pPr>
        <w:spacing w:after="0" w:line="164" w:lineRule="exact"/>
        <w:rPr>
          <w:sz w:val="20"/>
          <w:szCs w:val="20"/>
          <w:color w:val="auto"/>
        </w:rPr>
      </w:pPr>
    </w:p>
    <w:p>
      <w:pPr>
        <w:ind w:right="180" w:firstLine="381"/>
        <w:spacing w:after="0" w:line="244" w:lineRule="auto"/>
        <w:rPr>
          <w:sz w:val="20"/>
          <w:szCs w:val="20"/>
          <w:color w:val="auto"/>
        </w:rPr>
      </w:pPr>
      <w:r>
        <w:rPr>
          <w:rFonts w:ascii="Times New Roman" w:cs="Times New Roman" w:eastAsia="Times New Roman" w:hAnsi="Times New Roman"/>
          <w:sz w:val="17"/>
          <w:szCs w:val="17"/>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may be exposed to risks related to litigation and administrative proceedings that could materially and adversely affect our business, results of operations and financial condition.</w:t>
      </w:r>
    </w:p>
    <w:p>
      <w:pPr>
        <w:spacing w:after="0" w:line="89" w:lineRule="exact"/>
        <w:rPr>
          <w:sz w:val="20"/>
          <w:szCs w:val="20"/>
          <w:color w:val="auto"/>
        </w:rPr>
      </w:pPr>
    </w:p>
    <w:p>
      <w:pPr>
        <w:ind w:firstLine="381"/>
        <w:spacing w:after="0" w:line="241" w:lineRule="auto"/>
        <w:rPr>
          <w:sz w:val="20"/>
          <w:szCs w:val="20"/>
          <w:color w:val="auto"/>
        </w:rPr>
      </w:pPr>
      <w:r>
        <w:rPr>
          <w:rFonts w:ascii="Times New Roman" w:cs="Times New Roman" w:eastAsia="Times New Roman" w:hAnsi="Times New Roman"/>
          <w:sz w:val="17"/>
          <w:szCs w:val="17"/>
          <w:color w:val="auto"/>
        </w:rPr>
        <w:t>In addition to intellectual property and other claims mentioned above, our business may expose us to litigation and administrative proceedings relating to labor, regulatory, tax proceedings, governmental investigations, tort claims, contractual 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pacing w:after="0" w:line="1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6"/>
          <w:szCs w:val="16"/>
          <w:b w:val="1"/>
          <w:bCs w:val="1"/>
          <w:i w:val="1"/>
          <w:iCs w:val="1"/>
          <w:color w:val="auto"/>
        </w:rPr>
        <w:t>Cybersecurity</w:t>
      </w:r>
    </w:p>
    <w:p>
      <w:pPr>
        <w:spacing w:after="0" w:line="164"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We recognize the critical importance of maintaining the safety and security of our technology systems and data and have a holistic process for overseeing and managing cybersecurity and information technology related risks. This process is supported by both management and our Board. The Audit Committee (the “Audit Committee”) of our Board has oversight of the Company’s risk management program, and cybersecurity is a component of our overall approach to risk management.</w:t>
      </w:r>
    </w:p>
    <w:p>
      <w:pPr>
        <w:spacing w:after="0" w:line="119" w:lineRule="exact"/>
        <w:rPr>
          <w:sz w:val="20"/>
          <w:szCs w:val="20"/>
          <w:color w:val="auto"/>
        </w:rPr>
      </w:pPr>
    </w:p>
    <w:p>
      <w:pPr>
        <w:ind w:right="40" w:firstLine="381"/>
        <w:spacing w:after="0" w:line="255" w:lineRule="auto"/>
        <w:rPr>
          <w:sz w:val="20"/>
          <w:szCs w:val="20"/>
          <w:color w:val="auto"/>
        </w:rPr>
      </w:pPr>
      <w:r>
        <w:rPr>
          <w:rFonts w:ascii="Times New Roman" w:cs="Times New Roman" w:eastAsia="Times New Roman" w:hAnsi="Times New Roman"/>
          <w:sz w:val="17"/>
          <w:szCs w:val="17"/>
          <w:color w:val="auto"/>
        </w:rPr>
        <w:t>Our cybersecurity policies, standards, processes, and practices are integrated across our operational risk management programs and are based on recognized frameworks. A cybersecurity threat is any potential unauthorized occurrence, on or conducted through, our information systems that may result in material adverse effects on the confidentiality, integrity or availability of our information systems or any information residing therein.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27" w:name="page28"/>
    <w:bookmarkEnd w:id="27"/>
    <w:p>
      <w:pPr>
        <w:ind w:right="560" w:firstLine="381"/>
        <w:spacing w:after="0" w:line="293" w:lineRule="auto"/>
        <w:rPr>
          <w:sz w:val="20"/>
          <w:szCs w:val="20"/>
          <w:color w:val="auto"/>
        </w:rPr>
      </w:pPr>
      <w:r>
        <w:rPr>
          <w:rFonts w:ascii="Times New Roman" w:cs="Times New Roman" w:eastAsia="Times New Roman" w:hAnsi="Times New Roman"/>
          <w:sz w:val="16"/>
          <w:szCs w:val="16"/>
          <w:color w:val="auto"/>
        </w:rPr>
        <w:t>We are committed to protecting the security and integrity of our systems, networks, databases and applications and, as a result, have dedicated resources and implemented processes designed to prevent, assess, identify, and manage material risks associated with cybersecurity threats.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 and strategy</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one of the critical elements of our overall risk management program, our cybersecurity program is focused on the following key areas:</w:t>
      </w:r>
    </w:p>
    <w:p>
      <w:pPr>
        <w:spacing w:after="0" w:line="131" w:lineRule="exact"/>
        <w:rPr>
          <w:sz w:val="20"/>
          <w:szCs w:val="20"/>
          <w:color w:val="auto"/>
        </w:rPr>
      </w:pPr>
    </w:p>
    <w:p>
      <w:pPr>
        <w:ind w:left="600" w:right="140" w:firstLine="382"/>
        <w:spacing w:after="0" w:line="247" w:lineRule="auto"/>
        <w:tabs>
          <w:tab w:leader="none" w:pos="12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Technical Safeguards: </w:t>
      </w:r>
      <w:r>
        <w:rPr>
          <w:rFonts w:ascii="Times New Roman" w:cs="Times New Roman" w:eastAsia="Times New Roman" w:hAnsi="Times New Roman"/>
          <w:sz w:val="17"/>
          <w:szCs w:val="17"/>
          <w:color w:val="auto"/>
        </w:rPr>
        <w:t>We deploy technical safeguards that are designed to protect our information systems from cybersecurity threats,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firewalls, intrusion prevention and detection systems, anti-malware functionality,</w:t>
      </w:r>
    </w:p>
    <w:p>
      <w:pPr>
        <w:ind w:left="600" w:right="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information and event management, Managed detection and response and access controls, which are regularly evaluated and improved through vulnerability assessments and cybersecurity threat intelligence.</w:t>
      </w:r>
    </w:p>
    <w:p>
      <w:pPr>
        <w:spacing w:after="0" w:line="133" w:lineRule="exact"/>
        <w:rPr>
          <w:rFonts w:ascii="Times New Roman" w:cs="Times New Roman" w:eastAsia="Times New Roman" w:hAnsi="Times New Roman"/>
          <w:sz w:val="17"/>
          <w:szCs w:val="17"/>
          <w:color w:val="auto"/>
        </w:rPr>
      </w:pPr>
    </w:p>
    <w:p>
      <w:pPr>
        <w:ind w:left="600" w:right="60" w:firstLine="382"/>
        <w:spacing w:after="0" w:line="258" w:lineRule="auto"/>
        <w:tabs>
          <w:tab w:leader="none" w:pos="12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Incident Response &amp; Recovery Planning: </w:t>
      </w:r>
      <w:r>
        <w:rPr>
          <w:rFonts w:ascii="Times New Roman" w:cs="Times New Roman" w:eastAsia="Times New Roman" w:hAnsi="Times New Roman"/>
          <w:sz w:val="17"/>
          <w:szCs w:val="17"/>
          <w:color w:val="auto"/>
        </w:rPr>
        <w:t>We have established and maintain incident response and recovery plans that address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response procedures in the event of a multitude of various cybersecurity incidents. We leverage a Managed Detection and Response service which further helps support our internal security team to identify real time threats across our landscape.</w:t>
      </w:r>
    </w:p>
    <w:p>
      <w:pPr>
        <w:spacing w:after="0" w:line="106" w:lineRule="exact"/>
        <w:rPr>
          <w:rFonts w:ascii="Times New Roman" w:cs="Times New Roman" w:eastAsia="Times New Roman" w:hAnsi="Times New Roman"/>
          <w:sz w:val="17"/>
          <w:szCs w:val="17"/>
          <w:color w:val="auto"/>
        </w:rPr>
      </w:pPr>
    </w:p>
    <w:p>
      <w:pPr>
        <w:ind w:left="600" w:right="20" w:firstLine="382"/>
        <w:spacing w:after="0" w:line="244" w:lineRule="auto"/>
        <w:tabs>
          <w:tab w:leader="none" w:pos="12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Risk Management: </w:t>
      </w:r>
      <w:r>
        <w:rPr>
          <w:rFonts w:ascii="Times New Roman" w:cs="Times New Roman" w:eastAsia="Times New Roman" w:hAnsi="Times New Roman"/>
          <w:sz w:val="17"/>
          <w:szCs w:val="17"/>
          <w:color w:val="auto"/>
        </w:rPr>
        <w:t>We maintain a preemptive and comprehensive risk-based approach to identifying and overseeing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cybersecurity risks across our entire technology stack. Our cybersecurity program is built upon internationally recognized frameworks, such as ISO 27001, and maps to standards published by The National Institute of Standards and Technology. This approach also includes third-party risk management issues presented by third parties, including our vendors, service providers and other external users of our systems. We conduct cybersecurity assessments of third-party vendors that we engage with in our operations to identify and evaluate potential vulnerabilities. We also evaluate certain core operational capabilities of our third-party vendors. In addition, our agreements with material vendors include indemnification provisions with respect to cybersecurity matters.</w:t>
      </w:r>
    </w:p>
    <w:p>
      <w:pPr>
        <w:spacing w:after="0" w:line="120" w:lineRule="exact"/>
        <w:rPr>
          <w:rFonts w:ascii="Times New Roman" w:cs="Times New Roman" w:eastAsia="Times New Roman" w:hAnsi="Times New Roman"/>
          <w:sz w:val="17"/>
          <w:szCs w:val="17"/>
          <w:color w:val="auto"/>
        </w:rPr>
      </w:pPr>
    </w:p>
    <w:p>
      <w:pPr>
        <w:jc w:val="both"/>
        <w:ind w:left="600" w:firstLine="382"/>
        <w:spacing w:after="0" w:line="250" w:lineRule="auto"/>
        <w:tabs>
          <w:tab w:leader="none" w:pos="12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Outside Consultants: </w:t>
      </w:r>
      <w:r>
        <w:rPr>
          <w:rFonts w:ascii="Times New Roman" w:cs="Times New Roman" w:eastAsia="Times New Roman" w:hAnsi="Times New Roman"/>
          <w:sz w:val="17"/>
          <w:szCs w:val="17"/>
          <w:color w:val="auto"/>
        </w:rPr>
        <w:t>In addition to the broad capabilities of our internal information security team, we also engage various outside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consultants, including contractors, auditors, and other third parties, to among other things, conduct regular testing of our networks and systems to identify vulnerabilities through penetration testing, while also measuring and advise on potential improvements to our incident prevention, response, and documentation procedures.</w:t>
      </w:r>
    </w:p>
    <w:p>
      <w:pPr>
        <w:spacing w:after="0" w:line="125" w:lineRule="exact"/>
        <w:rPr>
          <w:rFonts w:ascii="Times New Roman" w:cs="Times New Roman" w:eastAsia="Times New Roman" w:hAnsi="Times New Roman"/>
          <w:sz w:val="17"/>
          <w:szCs w:val="17"/>
          <w:color w:val="auto"/>
        </w:rPr>
      </w:pPr>
    </w:p>
    <w:p>
      <w:pPr>
        <w:ind w:left="600" w:right="60" w:firstLine="382"/>
        <w:spacing w:after="0" w:line="250" w:lineRule="auto"/>
        <w:tabs>
          <w:tab w:leader="none" w:pos="12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Team Member Education &amp; Awareness: </w:t>
      </w:r>
      <w:r>
        <w:rPr>
          <w:rFonts w:ascii="Times New Roman" w:cs="Times New Roman" w:eastAsia="Times New Roman" w:hAnsi="Times New Roman"/>
          <w:sz w:val="17"/>
          <w:szCs w:val="17"/>
          <w:color w:val="auto"/>
        </w:rPr>
        <w:t>We provide training to new team members, as well as frequent, mandatory training for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team members regarding cybersecurity threats to equip our team members with effective tools to identify and prevent cybersecurity threats, and to communicate our evolving information security policies, standards, processes and practices.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 &amp; Personnel</w:t>
      </w:r>
    </w:p>
    <w:p>
      <w:pPr>
        <w:spacing w:after="0" w:line="151"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Our Board has delegated to the Audit Committee the responsibility for monitoring and overseeing our cybersecurity and other information technology risks, controls, strategies and procedures. The Audit Committee periodically evaluates our information security strategies to ensure effectiveness and, if appropriate, may also include a review from third-party consultants and experts. Senior management updates the Board and Audit Committee on matters regarding information security policies and procedures and cybersecurity risk management strategy. In addition, the full Board may review and assess cybersecurity risks as part of its responsibilities for our risk management oversight.</w:t>
      </w:r>
    </w:p>
    <w:p>
      <w:pPr>
        <w:spacing w:after="0" w:line="137"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In addition, we have an IT Security Committee comprised of our top executives from across the Company, including our Chief Executive Officer, Chief Financial Officer, Vice President, Legal and Commercial Operations, and our Vice President, IT Transformation and AI. The IT Security Committee meets quarterly to discuss and address management of the risks facing our business. Technological risk is a regular component analyzed by our IT Security Committee to identify and assess potential cybersecurity risks across our business operations.</w:t>
      </w:r>
    </w:p>
    <w:p>
      <w:pPr>
        <w:spacing w:after="0" w:line="119" w:lineRule="exact"/>
        <w:rPr>
          <w:sz w:val="20"/>
          <w:szCs w:val="20"/>
          <w:color w:val="auto"/>
        </w:rPr>
      </w:pPr>
    </w:p>
    <w:p>
      <w:pPr>
        <w:ind w:right="120" w:firstLine="381"/>
        <w:spacing w:after="0" w:line="245" w:lineRule="auto"/>
        <w:rPr>
          <w:sz w:val="20"/>
          <w:szCs w:val="20"/>
          <w:color w:val="auto"/>
        </w:rPr>
      </w:pPr>
      <w:r>
        <w:rPr>
          <w:rFonts w:ascii="Times New Roman" w:cs="Times New Roman" w:eastAsia="Times New Roman" w:hAnsi="Times New Roman"/>
          <w:sz w:val="17"/>
          <w:szCs w:val="17"/>
          <w:color w:val="auto"/>
        </w:rPr>
        <w:t>Our information security team is led by our Vice President, IT Transformation and AI, who has multiple years of experience in information technology and cybersecurity. The information security team conducts periodic assessment and testing of our policies, standards, processes, and practices that are designed to address a multitude of potential cybersecurity threats and incidents. These efforts include a wide range of activities, including penetration testing, adoption and regular evaluation of incident response plans and procedures, regular team member email phishing test campaigns, email security monitoring, real-time vulnerability scanning and intrusion detection, team member cybersecurity awareness training, regular audits &amp; evaluations of internal and third-party systems, and continuous improvement of the information security management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cybersecurity risks on business strategy, results of operations or financial condition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28" w:name="page29"/>
    <w:bookmarkEnd w:id="28"/>
    <w:p>
      <w:pPr>
        <w:ind w:right="560" w:firstLine="381"/>
        <w:spacing w:after="0" w:line="262" w:lineRule="auto"/>
        <w:rPr>
          <w:sz w:val="20"/>
          <w:szCs w:val="20"/>
          <w:color w:val="auto"/>
        </w:rPr>
      </w:pPr>
      <w:r>
        <w:rPr>
          <w:rFonts w:ascii="Times New Roman" w:cs="Times New Roman" w:eastAsia="Times New Roman" w:hAnsi="Times New Roman"/>
          <w:sz w:val="17"/>
          <w:szCs w:val="17"/>
          <w:color w:val="auto"/>
        </w:rPr>
        <w:t>As of the date of this Form 10-K, there have been no cybersecurity incidents that have materially affected, or are likely to materially affect the Company’s business strategy, results of operations or financial condition.</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151"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Our principal executive office is located in San Diego, California. Our corporate offices are located in San Diego, California where we lease approximately 25,000 square feet under lease agreements that expire in August 2027 and August 2030, in addition to approximately 12,000 square feet under a separate lease agreement that expires in July 2027. We further lease space in various geographic locations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51" w:lineRule="exact"/>
        <w:rPr>
          <w:sz w:val="20"/>
          <w:szCs w:val="20"/>
          <w:color w:val="auto"/>
        </w:rPr>
      </w:pPr>
    </w:p>
    <w:p>
      <w:pPr>
        <w:jc w:val="both"/>
        <w:ind w:right="400" w:firstLine="381"/>
        <w:spacing w:after="0" w:line="293" w:lineRule="auto"/>
        <w:rPr>
          <w:sz w:val="20"/>
          <w:szCs w:val="20"/>
          <w:color w:val="auto"/>
        </w:rPr>
      </w:pPr>
      <w:r>
        <w:rPr>
          <w:rFonts w:ascii="Times New Roman" w:cs="Times New Roman" w:eastAsia="Times New Roman" w:hAnsi="Times New Roman"/>
          <w:sz w:val="16"/>
          <w:szCs w:val="16"/>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93" w:lineRule="exact"/>
        <w:rPr>
          <w:sz w:val="20"/>
          <w:szCs w:val="20"/>
          <w:color w:val="auto"/>
        </w:rPr>
      </w:pPr>
    </w:p>
    <w:p>
      <w:pPr>
        <w:ind w:right="360" w:firstLine="381"/>
        <w:spacing w:after="0" w:line="267" w:lineRule="auto"/>
        <w:rPr>
          <w:sz w:val="20"/>
          <w:szCs w:val="20"/>
          <w:color w:val="auto"/>
        </w:rPr>
      </w:pPr>
      <w:r>
        <w:rPr>
          <w:rFonts w:ascii="Times New Roman" w:cs="Times New Roman" w:eastAsia="Times New Roman" w:hAnsi="Times New Roman"/>
          <w:sz w:val="17"/>
          <w:szCs w:val="17"/>
          <w:color w:val="auto"/>
        </w:rPr>
        <w:t xml:space="preserve">See Part IV Item 15 </w:t>
      </w:r>
      <w:r>
        <w:rPr>
          <w:rFonts w:ascii="Times New Roman" w:cs="Times New Roman" w:eastAsia="Times New Roman" w:hAnsi="Times New Roman"/>
          <w:sz w:val="17"/>
          <w:szCs w:val="17"/>
          <w:i w:val="1"/>
          <w:iCs w:val="1"/>
          <w:color w:val="auto"/>
        </w:rPr>
        <w:t>Note 11 – Commitments and Contingencies</w:t>
      </w:r>
      <w:r>
        <w:rPr>
          <w:rFonts w:ascii="Times New Roman" w:cs="Times New Roman" w:eastAsia="Times New Roman" w:hAnsi="Times New Roman"/>
          <w:sz w:val="17"/>
          <w:szCs w:val="17"/>
          <w:color w:val="auto"/>
        </w:rPr>
        <w:t>, in the accompanying consolidated financial statements for additional disclosure, which is incorporated herein by reference.</w:t>
      </w:r>
    </w:p>
    <w:p>
      <w:pPr>
        <w:spacing w:after="0" w:line="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29" w:name="page30"/>
    <w:bookmarkEnd w:id="29"/>
    <w:p>
      <w:pPr>
        <w:ind w:left="496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Data</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Shares of our common stock are currently quoted and traded on The Nasdaq Global Select Market under the symbol “INSG.”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Stockholders of Record</w:t>
      </w:r>
    </w:p>
    <w:p>
      <w:pPr>
        <w:spacing w:after="0" w:line="151" w:lineRule="exact"/>
        <w:rPr>
          <w:sz w:val="20"/>
          <w:szCs w:val="20"/>
          <w:color w:val="auto"/>
        </w:rPr>
      </w:pPr>
    </w:p>
    <w:p>
      <w:pPr>
        <w:ind w:firstLine="381"/>
        <w:spacing w:after="0" w:line="255" w:lineRule="auto"/>
        <w:rPr>
          <w:sz w:val="20"/>
          <w:szCs w:val="20"/>
          <w:color w:val="auto"/>
        </w:rPr>
      </w:pPr>
      <w:r>
        <w:rPr>
          <w:rFonts w:ascii="Times New Roman" w:cs="Times New Roman" w:eastAsia="Times New Roman" w:hAnsi="Times New Roman"/>
          <w:sz w:val="17"/>
          <w:szCs w:val="17"/>
          <w:color w:val="auto"/>
        </w:rPr>
        <w:t>As of February 13, 2026, there were approximately 19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64"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440"/>
          </w:cols>
          <w:pgMar w:left="840" w:top="835" w:right="960"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47"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1" w:lineRule="exact"/>
        <w:rPr>
          <w:sz w:val="20"/>
          <w:szCs w:val="20"/>
          <w:color w:val="auto"/>
        </w:rPr>
      </w:pPr>
    </w:p>
    <w:p>
      <w:pPr>
        <w:ind w:right="60" w:firstLine="381"/>
        <w:spacing w:after="0" w:line="245" w:lineRule="auto"/>
        <w:rPr>
          <w:sz w:val="20"/>
          <w:szCs w:val="20"/>
          <w:color w:val="auto"/>
        </w:rPr>
      </w:pPr>
      <w:r>
        <w:rPr>
          <w:rFonts w:ascii="Times New Roman" w:cs="Times New Roman" w:eastAsia="Times New Roman" w:hAnsi="Times New Roman"/>
          <w:sz w:val="17"/>
          <w:szCs w:val="17"/>
          <w:color w:val="auto"/>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spacing w:after="0" w:line="111" w:lineRule="exact"/>
        <w:rPr>
          <w:sz w:val="20"/>
          <w:szCs w:val="20"/>
          <w:color w:val="auto"/>
        </w:rPr>
      </w:pPr>
    </w:p>
    <w:p>
      <w:pPr>
        <w:ind w:right="380" w:firstLine="381"/>
        <w:spacing w:after="0" w:line="248" w:lineRule="auto"/>
        <w:rPr>
          <w:sz w:val="20"/>
          <w:szCs w:val="20"/>
          <w:color w:val="auto"/>
        </w:rPr>
      </w:pPr>
      <w:r>
        <w:rPr>
          <w:rFonts w:ascii="Times New Roman" w:cs="Times New Roman" w:eastAsia="Times New Roman" w:hAnsi="Times New Roman"/>
          <w:sz w:val="17"/>
          <w:szCs w:val="17"/>
          <w:color w:val="auto"/>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spacing w:after="0" w:line="131"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 brand, have been sold to millions of end users and provide secure and convenient high-speed broadband access to the Internet on the go.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 Reporting</w:t>
      </w:r>
    </w:p>
    <w:p>
      <w:pPr>
        <w:spacing w:after="0" w:line="164" w:lineRule="exact"/>
        <w:rPr>
          <w:sz w:val="20"/>
          <w:szCs w:val="20"/>
          <w:color w:val="auto"/>
        </w:rPr>
      </w:pPr>
    </w:p>
    <w:p>
      <w:pPr>
        <w:ind w:right="160" w:firstLine="381"/>
        <w:spacing w:after="0" w:line="244" w:lineRule="auto"/>
        <w:rPr>
          <w:sz w:val="20"/>
          <w:szCs w:val="20"/>
          <w:color w:val="auto"/>
        </w:rPr>
      </w:pPr>
      <w:r>
        <w:rPr>
          <w:rFonts w:ascii="Times New Roman" w:cs="Times New Roman" w:eastAsia="Times New Roman" w:hAnsi="Times New Roman"/>
          <w:sz w:val="17"/>
          <w:szCs w:val="17"/>
          <w:color w:val="auto"/>
        </w:rPr>
        <w:t>We operate as one business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Repurchase of Preferred Stock</w:t>
      </w:r>
    </w:p>
    <w:p>
      <w:pPr>
        <w:spacing w:after="0" w:line="151" w:lineRule="exact"/>
        <w:rPr>
          <w:sz w:val="20"/>
          <w:szCs w:val="20"/>
          <w:color w:val="auto"/>
        </w:rPr>
      </w:pPr>
    </w:p>
    <w:p>
      <w:pPr>
        <w:ind w:right="60" w:firstLine="381"/>
        <w:spacing w:after="0" w:line="262" w:lineRule="auto"/>
        <w:rPr>
          <w:sz w:val="20"/>
          <w:szCs w:val="20"/>
          <w:color w:val="auto"/>
        </w:rPr>
      </w:pPr>
      <w:r>
        <w:rPr>
          <w:rFonts w:ascii="Times New Roman" w:cs="Times New Roman" w:eastAsia="Times New Roman" w:hAnsi="Times New Roman"/>
          <w:sz w:val="17"/>
          <w:szCs w:val="17"/>
          <w:color w:val="auto"/>
        </w:rPr>
        <w:t>On January 14, 2026, the Company entered into an Exchange Agreement with the Holder of all of the outstanding shares of the Company’s Preferred Stock.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Pursuant to the Exchange Agreement, on the Closing Date all of the 25,000 outstanding shares of Preferred Stock, which had a liquidation value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 million as of December 31, 2025, were surrendered and forfeited by the Holder in exchange for the following consideration, having an aggregate value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approximately $26 million and representing a discount of approximately 38% to the liquidation value: (i) $10 million in cash, one-third of which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paid on the Closing Date and the balance of which will be paid in two equal installments on the six and twelve month anniversaries of the Closing Date;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767,165 shares of the Company’s common stock, and (iii) $8 million in additional principal amount of the Company’s existing 2029 Senior Secured Notes.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Common Shares and the 2029 Senior Secured Notes were issued to the Holder on the Closing Date.</w:t>
      </w:r>
    </w:p>
    <w:p>
      <w:pPr>
        <w:spacing w:after="0" w:line="142" w:lineRule="exact"/>
        <w:rPr>
          <w:sz w:val="20"/>
          <w:szCs w:val="20"/>
          <w:color w:val="auto"/>
        </w:rPr>
      </w:pPr>
    </w:p>
    <w:p>
      <w:pPr>
        <w:ind w:firstLine="381"/>
        <w:spacing w:after="0" w:line="293" w:lineRule="auto"/>
        <w:rPr>
          <w:sz w:val="20"/>
          <w:szCs w:val="20"/>
          <w:color w:val="auto"/>
        </w:rPr>
      </w:pPr>
      <w:r>
        <w:rPr>
          <w:rFonts w:ascii="Times New Roman" w:cs="Times New Roman" w:eastAsia="Times New Roman" w:hAnsi="Times New Roman"/>
          <w:sz w:val="16"/>
          <w:szCs w:val="16"/>
          <w:color w:val="auto"/>
        </w:rPr>
        <w:t>The Exchange Agreement provides the Holder with customary registration rights with respect to the Common Shares, pursuant to which, among other things, the Company agreed to file a registration statement with the Securities and Exchange Commission within six months following the Closing Date.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987" w:right="86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7"/>
          <w:szCs w:val="17"/>
          <w:i w:val="1"/>
          <w:iCs w:val="1"/>
          <w:color w:val="auto"/>
        </w:rPr>
        <w:t>Debt Restructurings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Throughout the year ended December 31, 2024, the Company entered into a series of repurchase and exchange agreements with various holders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2025 Convertible Notes (as defined below), some of whom were considered related parties of the Company. In summary, as a result of these</w:t>
      </w:r>
    </w:p>
    <w:p>
      <w:pPr>
        <w:spacing w:after="0" w:line="233" w:lineRule="auto"/>
        <w:rPr>
          <w:sz w:val="20"/>
          <w:szCs w:val="20"/>
          <w:color w:val="auto"/>
        </w:rPr>
      </w:pPr>
      <w:r>
        <w:rPr>
          <w:rFonts w:ascii="Times New Roman" w:cs="Times New Roman" w:eastAsia="Times New Roman" w:hAnsi="Times New Roman"/>
          <w:sz w:val="17"/>
          <w:szCs w:val="17"/>
          <w:color w:val="auto"/>
        </w:rPr>
        <w:t>repurchase and exchange agreements, the company exchanged $146.9 million of outstanding principal of the 2025 Convertible Notes in exchange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$33.8 million of cash, $40.9 million of principal of the 2029 Senior Secured Notes (as defined below), 2.9 million shares of the Company’s common stock,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warrants to purchase an aggregate of approximately 2.5 million shares of the Company’s common stock. These exchanges have significantly improved</w:t>
      </w:r>
    </w:p>
    <w:p>
      <w:pPr>
        <w:spacing w:after="0"/>
        <w:rPr>
          <w:sz w:val="20"/>
          <w:szCs w:val="20"/>
          <w:color w:val="auto"/>
        </w:rPr>
      </w:pPr>
      <w:r>
        <w:rPr>
          <w:rFonts w:ascii="Times New Roman" w:cs="Times New Roman" w:eastAsia="Times New Roman" w:hAnsi="Times New Roman"/>
          <w:sz w:val="17"/>
          <w:szCs w:val="17"/>
          <w:color w:val="auto"/>
        </w:rPr>
        <w:t>the Company’s liquidity position.</w:t>
      </w:r>
    </w:p>
    <w:p>
      <w:pPr>
        <w:spacing w:after="0" w:line="129" w:lineRule="exact"/>
        <w:rPr>
          <w:sz w:val="20"/>
          <w:szCs w:val="20"/>
          <w:color w:val="auto"/>
        </w:rPr>
      </w:pPr>
    </w:p>
    <w:p>
      <w:pPr>
        <w:ind w:right="100" w:firstLine="381"/>
        <w:spacing w:after="0" w:line="278" w:lineRule="auto"/>
        <w:rPr>
          <w:sz w:val="20"/>
          <w:szCs w:val="20"/>
          <w:color w:val="auto"/>
        </w:rPr>
      </w:pPr>
      <w:r>
        <w:rPr>
          <w:rFonts w:ascii="Times New Roman" w:cs="Times New Roman" w:eastAsia="Times New Roman" w:hAnsi="Times New Roman"/>
          <w:sz w:val="17"/>
          <w:szCs w:val="17"/>
          <w:color w:val="auto"/>
        </w:rPr>
        <w:t>The remaining 2025 Convertible Notes matured on May 1, 2025, at which time all outstanding principal of $14.9 million and related accrued interest was repaid.</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Divestiture of Telematics Business</w:t>
      </w:r>
    </w:p>
    <w:p>
      <w:pPr>
        <w:spacing w:after="0" w:line="147" w:lineRule="exact"/>
        <w:rPr>
          <w:sz w:val="20"/>
          <w:szCs w:val="20"/>
          <w:color w:val="auto"/>
        </w:rPr>
      </w:pPr>
    </w:p>
    <w:p>
      <w:pPr>
        <w:ind w:right="80" w:firstLine="381"/>
        <w:spacing w:after="0" w:line="245" w:lineRule="auto"/>
        <w:rPr>
          <w:sz w:val="20"/>
          <w:szCs w:val="20"/>
          <w:color w:val="auto"/>
        </w:rPr>
      </w:pPr>
      <w:r>
        <w:rPr>
          <w:rFonts w:ascii="Times New Roman" w:cs="Times New Roman" w:eastAsia="Times New Roman" w:hAnsi="Times New Roman"/>
          <w:sz w:val="17"/>
          <w:szCs w:val="17"/>
          <w:color w:val="auto"/>
        </w:rPr>
        <w:t xml:space="preserve">As previously noted in </w:t>
      </w:r>
      <w:r>
        <w:rPr>
          <w:rFonts w:ascii="Times New Roman" w:cs="Times New Roman" w:eastAsia="Times New Roman" w:hAnsi="Times New Roman"/>
          <w:sz w:val="17"/>
          <w:szCs w:val="17"/>
          <w:i w:val="1"/>
          <w:iCs w:val="1"/>
          <w:color w:val="auto"/>
        </w:rPr>
        <w:t>Part I. Item 1. Business</w:t>
      </w:r>
      <w:r>
        <w:rPr>
          <w:rFonts w:ascii="Times New Roman" w:cs="Times New Roman" w:eastAsia="Times New Roman" w:hAnsi="Times New Roman"/>
          <w:sz w:val="17"/>
          <w:szCs w:val="17"/>
          <w:color w:val="auto"/>
        </w:rPr>
        <w:t>, 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$52.0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 The Purchase Agreement provided for a working capital adjustment, which was determined in December 2024 and funded in January 2025, resulting in an increase to the initial purchase consideration of $0.7 million as a result of changes in closing working capital and net debt.</w:t>
      </w:r>
    </w:p>
    <w:p>
      <w:pPr>
        <w:spacing w:after="0" w:line="122"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spacing w:after="0" w:line="119"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The results of operations and cash flows related to the divested Telematics Business have been classified as discontinued operations within the Consolidated Statements of Operations and Comprehensive Income and Consolidated Statements of Cash Flows for all periods presented within the consolidated financial statements included in Part IV, Item 15 of this Form 10-K. All discussion below relates to the Company’s continuing operations only, which excludes any results related to the divested Telematics Business, unless noted otherwise.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Which May Influence Future Results of Operations</w:t>
      </w:r>
    </w:p>
    <w:p>
      <w:pPr>
        <w:spacing w:after="0" w:line="14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6"/>
          <w:szCs w:val="16"/>
          <w:i w:val="1"/>
          <w:iCs w:val="1"/>
          <w:color w:val="auto"/>
        </w:rPr>
        <w:t xml:space="preserve">Revenues. </w:t>
      </w:r>
      <w:r>
        <w:rPr>
          <w:rFonts w:ascii="Times New Roman" w:cs="Times New Roman" w:eastAsia="Times New Roman" w:hAnsi="Times New Roman"/>
          <w:sz w:val="16"/>
          <w:szCs w:val="16"/>
          <w:color w:val="auto"/>
        </w:rPr>
        <w:t>We classify our revenues from the sale of our products and services into two categories: Product Revenue, which consists of our Mobile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Solutions and Fixed Wireless Access Solutions, and Software Services and Other. A description of each of the current revenue classifications is as follows:</w:t>
      </w:r>
    </w:p>
    <w:p>
      <w:pPr>
        <w:spacing w:after="0" w:line="155" w:lineRule="exact"/>
        <w:rPr>
          <w:sz w:val="20"/>
          <w:szCs w:val="20"/>
          <w:color w:val="auto"/>
        </w:rPr>
      </w:pPr>
    </w:p>
    <w:p>
      <w:pPr>
        <w:ind w:left="600" w:right="80"/>
        <w:spacing w:after="0" w:line="249" w:lineRule="auto"/>
        <w:rPr>
          <w:sz w:val="20"/>
          <w:szCs w:val="20"/>
          <w:color w:val="auto"/>
        </w:rPr>
      </w:pPr>
      <w:r>
        <w:rPr>
          <w:rFonts w:ascii="Times New Roman" w:cs="Times New Roman" w:eastAsia="Times New Roman" w:hAnsi="Times New Roman"/>
          <w:sz w:val="17"/>
          <w:szCs w:val="17"/>
          <w:i w:val="1"/>
          <w:iCs w:val="1"/>
          <w:color w:val="auto"/>
        </w:rPr>
        <w:t>Mobile solutions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mobile broadband devices, sold under the MiFi brand, are actively used by millions of end users to provide secure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7"/>
          <w:szCs w:val="17"/>
          <w:i w:val="1"/>
          <w:iCs w:val="1"/>
          <w:color w:val="auto"/>
        </w:rPr>
        <w:t>Software Services and Other</w:t>
      </w:r>
      <w:r>
        <w:rPr>
          <w:rFonts w:ascii="Times New Roman" w:cs="Times New Roman" w:eastAsia="Times New Roman" w:hAnsi="Times New Roman"/>
          <w:sz w:val="17"/>
          <w:szCs w:val="17"/>
          <w:color w:val="auto"/>
        </w:rPr>
        <w:t xml:space="preserve"> below. Our Mobile Solutions customer base is primarily comprised of mobile operators. These mobile operators include T-Mobile, Verizon Wireless, and AT&amp;T in the United States, Rogers and Telus in Canada, and various companies in other vertical markets.</w:t>
      </w:r>
    </w:p>
    <w:p>
      <w:pPr>
        <w:spacing w:after="0" w:line="191" w:lineRule="exact"/>
        <w:rPr>
          <w:sz w:val="20"/>
          <w:szCs w:val="20"/>
          <w:color w:val="auto"/>
        </w:rPr>
      </w:pPr>
    </w:p>
    <w:p>
      <w:pPr>
        <w:ind w:left="600" w:right="10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Fixed wireless access solutions: </w:t>
      </w:r>
      <w:r>
        <w:rPr>
          <w:rFonts w:ascii="Times New Roman" w:cs="Times New Roman" w:eastAsia="Times New Roman" w:hAnsi="Times New Roman"/>
          <w:sz w:val="17"/>
          <w:szCs w:val="17"/>
          <w:color w:val="auto"/>
        </w:rPr>
        <w:t>Our fixed wireless access solutions are deployed by enterprise and SMB customers for their distributed sites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7"/>
          <w:szCs w:val="17"/>
          <w:i w:val="1"/>
          <w:iCs w:val="1"/>
          <w:color w:val="auto"/>
        </w:rPr>
        <w:t>Software Services and Other</w:t>
      </w:r>
      <w:r>
        <w:rPr>
          <w:rFonts w:ascii="Times New Roman" w:cs="Times New Roman" w:eastAsia="Times New Roman" w:hAnsi="Times New Roman"/>
          <w:sz w:val="17"/>
          <w:szCs w:val="17"/>
          <w:color w:val="auto"/>
        </w:rPr>
        <w:t xml:space="preserve"> below. These devices, sold under the Wavemaker brand, are sold by mobile operators such as T-Mobile, Verizon Wireless, and AT&amp;T along with distribution and channel partners.</w:t>
      </w:r>
    </w:p>
    <w:p>
      <w:pPr>
        <w:spacing w:after="0" w:line="188" w:lineRule="exact"/>
        <w:rPr>
          <w:sz w:val="20"/>
          <w:szCs w:val="20"/>
          <w:color w:val="auto"/>
        </w:rPr>
      </w:pPr>
    </w:p>
    <w:p>
      <w:pPr>
        <w:ind w:left="600" w:right="18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Software Services and Other: </w:t>
      </w:r>
      <w:r>
        <w:rPr>
          <w:rFonts w:ascii="Times New Roman" w:cs="Times New Roman" w:eastAsia="Times New Roman" w:hAnsi="Times New Roman"/>
          <w:sz w:val="17"/>
          <w:szCs w:val="17"/>
          <w:color w:val="auto"/>
        </w:rPr>
        <w:t>A substantial majority of our software services and other revenue comes from providing a SaaS CSP wireless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We believe that our future revenues may be influenced by a number of factors including:</w:t>
      </w:r>
    </w:p>
    <w:p>
      <w:pPr>
        <w:spacing w:after="0" w:line="147" w:lineRule="exact"/>
        <w:rPr>
          <w:sz w:val="20"/>
          <w:szCs w:val="20"/>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deployment of 5G infrastructure equipment;</w:t>
      </w:r>
    </w:p>
    <w:p>
      <w:pPr>
        <w:spacing w:after="0" w:line="16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5G end point products;</w:t>
      </w:r>
    </w:p>
    <w:p>
      <w:pPr>
        <w:spacing w:after="0" w:line="147"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area of 5G technology;</w:t>
      </w:r>
    </w:p>
    <w:p>
      <w:pPr>
        <w:spacing w:after="0" w:line="147"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by new vertical markets;</w:t>
      </w:r>
    </w:p>
    <w:p>
      <w:pPr>
        <w:spacing w:after="0" w:line="16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 of change to new products;</w:t>
      </w:r>
    </w:p>
    <w:p>
      <w:pPr>
        <w:spacing w:after="0" w:line="147"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environment and related market conditions;</w:t>
      </w:r>
    </w:p>
    <w:p>
      <w:pPr>
        <w:spacing w:after="0" w:line="147"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pricing; and</w:t>
      </w:r>
    </w:p>
    <w:p>
      <w:pPr>
        <w:spacing w:after="0" w:line="160" w:lineRule="exact"/>
        <w:rPr>
          <w:rFonts w:ascii="Times New Roman" w:cs="Times New Roman" w:eastAsia="Times New Roman" w:hAnsi="Times New Roman"/>
          <w:sz w:val="17"/>
          <w:szCs w:val="17"/>
          <w:color w:val="auto"/>
        </w:rPr>
      </w:pPr>
    </w:p>
    <w:p>
      <w:pPr>
        <w:ind w:left="900" w:hanging="299"/>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technologies.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revenues are also significantly dependent upon the availability of materials and components used in our hardware products.</w:t>
      </w:r>
    </w:p>
    <w:p>
      <w:pPr>
        <w:spacing w:after="0" w:line="143"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Cost of Revenues. </w:t>
      </w:r>
      <w:r>
        <w:rPr>
          <w:rFonts w:ascii="Times New Roman" w:cs="Times New Roman" w:eastAsia="Times New Roman" w:hAnsi="Times New Roman"/>
          <w:sz w:val="17"/>
          <w:szCs w:val="17"/>
          <w:color w:val="auto"/>
        </w:rPr>
        <w:t>Cost of revenues includes all costs associated with our contract manufacturers, distribution, fulfillment and repair services, delivery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SaaS services, warranty costs, royalties, operations overhead, costs associated with cancellation of purchase orders and costs related to outside services. Also included in cost of revenues are costs related to write downs for excess and obsolete inventory and provisions for contract manufacturer liabilities. Inventory adjustments are impacted primarily by demand for our products, which is influenced by the factors discussed above.</w:t>
      </w:r>
    </w:p>
    <w:p>
      <w:pPr>
        <w:spacing w:after="0" w:line="125" w:lineRule="exact"/>
        <w:rPr>
          <w:sz w:val="20"/>
          <w:szCs w:val="20"/>
          <w:color w:val="auto"/>
        </w:rPr>
      </w:pPr>
    </w:p>
    <w:p>
      <w:pPr>
        <w:ind w:right="200" w:firstLine="381"/>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Operating Costs and Expenses. </w:t>
      </w:r>
      <w:r>
        <w:rPr>
          <w:rFonts w:ascii="Times New Roman" w:cs="Times New Roman" w:eastAsia="Times New Roman" w:hAnsi="Times New Roman"/>
          <w:sz w:val="17"/>
          <w:szCs w:val="17"/>
          <w:color w:val="auto"/>
        </w:rPr>
        <w:t>Our operating costs consist of four primary categories: research and development, sales and marketing, general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administrative, and depreciation and amortization costs.</w:t>
      </w:r>
    </w:p>
    <w:p>
      <w:pPr>
        <w:spacing w:after="0" w:line="102" w:lineRule="exact"/>
        <w:rPr>
          <w:sz w:val="20"/>
          <w:szCs w:val="20"/>
          <w:color w:val="auto"/>
        </w:rPr>
      </w:pPr>
    </w:p>
    <w:p>
      <w:pPr>
        <w:jc w:val="both"/>
        <w:ind w:right="80" w:firstLine="381"/>
        <w:spacing w:after="0" w:line="256" w:lineRule="auto"/>
        <w:rPr>
          <w:sz w:val="20"/>
          <w:szCs w:val="20"/>
          <w:color w:val="auto"/>
        </w:rPr>
      </w:pPr>
      <w:r>
        <w:rPr>
          <w:rFonts w:ascii="Times New Roman" w:cs="Times New Roman" w:eastAsia="Times New Roman" w:hAnsi="Times New Roman"/>
          <w:sz w:val="17"/>
          <w:szCs w:val="17"/>
          <w:color w:val="auto"/>
        </w:rPr>
        <w:t>Research and development is at the core of our ability to produce innovative, leading-edge products. These expenses consist primarily of the cost of internal and third-party engineers and technicians who design and test our highly complex products, the cost of testing and certification services, including prototypes, and other necessary expenditures.</w:t>
      </w:r>
    </w:p>
    <w:p>
      <w:pPr>
        <w:spacing w:after="0" w:line="111" w:lineRule="exact"/>
        <w:rPr>
          <w:sz w:val="20"/>
          <w:szCs w:val="20"/>
          <w:color w:val="auto"/>
        </w:rPr>
      </w:pPr>
    </w:p>
    <w:p>
      <w:pPr>
        <w:ind w:firstLine="381"/>
        <w:spacing w:after="0" w:line="279" w:lineRule="auto"/>
        <w:rPr>
          <w:sz w:val="20"/>
          <w:szCs w:val="20"/>
          <w:color w:val="auto"/>
        </w:rPr>
      </w:pPr>
      <w:r>
        <w:rPr>
          <w:rFonts w:ascii="Times New Roman" w:cs="Times New Roman" w:eastAsia="Times New Roman" w:hAnsi="Times New Roman"/>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variety of marketing activities, such as awareness and lead generation programs as well as product marketing. Other marketing initiatives include public relations, seminars and co-branding with partners.</w:t>
      </w:r>
    </w:p>
    <w:p>
      <w:pPr>
        <w:spacing w:after="0" w:line="95"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General and administrative expenses include primarily corporate functions such as accounting, human resources, legal, information technology,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116" w:lineRule="exact"/>
        <w:rPr>
          <w:sz w:val="20"/>
          <w:szCs w:val="20"/>
          <w:color w:val="auto"/>
        </w:rPr>
      </w:pPr>
    </w:p>
    <w:p>
      <w:pPr>
        <w:ind w:right="60" w:firstLine="381"/>
        <w:spacing w:after="0" w:line="267" w:lineRule="auto"/>
        <w:rPr>
          <w:sz w:val="20"/>
          <w:szCs w:val="20"/>
          <w:color w:val="auto"/>
        </w:rPr>
      </w:pPr>
      <w:r>
        <w:rPr>
          <w:rFonts w:ascii="Times New Roman" w:cs="Times New Roman" w:eastAsia="Times New Roman" w:hAnsi="Times New Roman"/>
          <w:sz w:val="17"/>
          <w:szCs w:val="17"/>
          <w:i w:val="1"/>
          <w:iCs w:val="1"/>
          <w:color w:val="auto"/>
        </w:rPr>
        <w:t>Depreciation and amortization expenses</w:t>
      </w:r>
      <w:r>
        <w:rPr>
          <w:rFonts w:ascii="Times New Roman" w:cs="Times New Roman" w:eastAsia="Times New Roman" w:hAnsi="Times New Roman"/>
          <w:sz w:val="17"/>
          <w:szCs w:val="17"/>
          <w:color w:val="auto"/>
        </w:rPr>
        <w:t>. Our depreciation and amortization expenses primarily include amortization of capitalized software projects,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depreciation on our property, plant, and equipment, and amortization of intangibles purchased through acquisitions.</w:t>
      </w:r>
    </w:p>
    <w:p>
      <w:pPr>
        <w:spacing w:after="0" w:line="111"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Impairment of capitalized software. </w:t>
      </w:r>
      <w:r>
        <w:rPr>
          <w:rFonts w:ascii="Times New Roman" w:cs="Times New Roman" w:eastAsia="Times New Roman" w:hAnsi="Times New Roman"/>
          <w:sz w:val="17"/>
          <w:szCs w:val="17"/>
          <w:color w:val="auto"/>
        </w:rPr>
        <w:t>Impairment expenses can be recorded on capitalized balances related to software intended for internal use and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intended to be sold. Impairments of capitalized software intended for internal use are recorded when the carrying value of the asset group to which the software belongs is not recoverable and exceeds its fair value. Impairments of capitalized software intended to be sold are recorded when the net realizable value of the asset falls below its carrying value.</w:t>
      </w:r>
    </w:p>
    <w:p>
      <w:pPr>
        <w:spacing w:after="0" w:line="113" w:lineRule="exact"/>
        <w:rPr>
          <w:sz w:val="20"/>
          <w:szCs w:val="20"/>
          <w:color w:val="auto"/>
        </w:rPr>
      </w:pPr>
    </w:p>
    <w:p>
      <w:pPr>
        <w:ind w:right="20" w:firstLine="381"/>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Operating Results. </w:t>
      </w:r>
      <w:r>
        <w:rPr>
          <w:rFonts w:ascii="Times New Roman" w:cs="Times New Roman" w:eastAsia="Times New Roman" w:hAnsi="Times New Roman"/>
          <w:sz w:val="17"/>
          <w:szCs w:val="17"/>
          <w:color w:val="auto"/>
        </w:rPr>
        <w:t>Our results are affected by numerous macroeconomic factors including inflation, consumer spending confidence, component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global supply chains. The existence of inflation in the U.S. and global economy has resulted in, and may continue to result in, higher interest rates and capital costs, increased costs of labor, fluctuating exchange rates and other similar effects. If the inflation rate increases, it could affect our expenses, especially employee compensation expense. Inflation and related increases in interest rates could also increase our customers' operating costs, which could result in reduced operating budgets. To the extent our products are perceived by customers and potential customers as discretionary, our revenue may be disproportionately affected by delays or reductions in general information technology spending. Such delays or reductions in technology spending are often associated with enhanced budget scrutiny by our customers including additional levels of approvals, cloud optimization efforts and additional time to evaluate and test our products, which can lead to long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991" w:right="860" w:bottom="1440" w:gutter="0" w:footer="0" w:header="0"/>
        </w:sectPr>
      </w:pPr>
    </w:p>
    <w:bookmarkStart w:id="33" w:name="page34"/>
    <w:bookmarkEnd w:id="33"/>
    <w:p>
      <w:pPr>
        <w:ind w:right="180"/>
        <w:spacing w:after="0" w:line="248" w:lineRule="auto"/>
        <w:rPr>
          <w:sz w:val="20"/>
          <w:szCs w:val="20"/>
          <w:color w:val="auto"/>
        </w:rPr>
      </w:pPr>
      <w:r>
        <w:rPr>
          <w:rFonts w:ascii="Times New Roman" w:cs="Times New Roman" w:eastAsia="Times New Roman" w:hAnsi="Times New Roman"/>
          <w:sz w:val="17"/>
          <w:szCs w:val="17"/>
          <w:color w:val="auto"/>
        </w:rPr>
        <w:t>unpredictable sales cycles. Such increases have, and may continue to have, a negative impact on the Company’s revenue and profit margins, if the selling prices of products do not increase with the increased costs. Recently, a worldwide shortage of memory chips has occurred, which could impact our operations if we are unable to secure adequate supply of memory chips for our products. In addition our operating results could be impacted if we obtain memory chips at inflated prices and are unable to pass on these price increases to our customers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4" w:lineRule="exact"/>
        <w:rPr>
          <w:sz w:val="20"/>
          <w:szCs w:val="20"/>
          <w:color w:val="auto"/>
        </w:rPr>
      </w:pPr>
    </w:p>
    <w:p>
      <w:pPr>
        <w:ind w:right="160" w:firstLine="381"/>
        <w:spacing w:after="0" w:line="262" w:lineRule="auto"/>
        <w:rPr>
          <w:sz w:val="20"/>
          <w:szCs w:val="20"/>
          <w:color w:val="auto"/>
        </w:rPr>
      </w:pPr>
      <w:r>
        <w:rPr>
          <w:rFonts w:ascii="Times New Roman" w:cs="Times New Roman" w:eastAsia="Times New Roman" w:hAnsi="Times New Roman"/>
          <w:sz w:val="17"/>
          <w:szCs w:val="17"/>
          <w:color w:val="auto"/>
        </w:rPr>
        <w:t>The following table sets forth our consolidated statements of operations in dollars (in thousands) and expressed as a percentage of revenues, derived from the accompanying consolidated financial statements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Revenues: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Mobile solutions</w:t>
            </w:r>
          </w:p>
        </w:tc>
        <w:tc>
          <w:tcPr>
            <w:tcW w:w="320" w:type="dxa"/>
            <w:vAlign w:val="bottom"/>
            <w:shd w:val="clear" w:color="auto" w:fill="D1EDF5"/>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67,928</w:t>
            </w:r>
          </w:p>
        </w:tc>
        <w:tc>
          <w:tcPr>
            <w:tcW w:w="360" w:type="dxa"/>
            <w:vAlign w:val="bottom"/>
            <w:shd w:val="clear" w:color="auto" w:fill="D1EDF5"/>
          </w:tcPr>
          <w:p>
            <w:pPr>
              <w:spacing w:after="0"/>
              <w:rPr>
                <w:sz w:val="17"/>
                <w:szCs w:val="17"/>
                <w:color w:val="auto"/>
              </w:rPr>
            </w:pPr>
          </w:p>
        </w:tc>
        <w:tc>
          <w:tcPr>
            <w:tcW w:w="1300" w:type="dxa"/>
            <w:vAlign w:val="bottom"/>
            <w:gridSpan w:val="3"/>
            <w:shd w:val="clear" w:color="auto" w:fill="D1EDF5"/>
          </w:tcPr>
          <w:p>
            <w:pPr>
              <w:jc w:val="right"/>
              <w:ind w:right="240"/>
              <w:spacing w:after="0"/>
              <w:rPr>
                <w:sz w:val="20"/>
                <w:szCs w:val="20"/>
                <w:color w:val="auto"/>
              </w:rPr>
            </w:pPr>
            <w:r>
              <w:rPr>
                <w:rFonts w:ascii="Times New Roman" w:cs="Times New Roman" w:eastAsia="Times New Roman" w:hAnsi="Times New Roman"/>
                <w:sz w:val="15"/>
                <w:szCs w:val="15"/>
                <w:color w:val="auto"/>
              </w:rPr>
              <w:t>40.9 %  $</w:t>
            </w: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98,930</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51.7 %</w:t>
            </w:r>
          </w:p>
        </w:tc>
        <w:tc>
          <w:tcPr>
            <w:tcW w:w="0" w:type="dxa"/>
            <w:vAlign w:val="bottom"/>
          </w:tcPr>
          <w:p>
            <w:pPr>
              <w:spacing w:after="0"/>
              <w:rPr>
                <w:sz w:val="1"/>
                <w:szCs w:val="1"/>
                <w:color w:val="auto"/>
              </w:rPr>
            </w:pPr>
          </w:p>
        </w:tc>
      </w:tr>
      <w:tr>
        <w:trPr>
          <w:trHeight w:val="201"/>
        </w:trPr>
        <w:tc>
          <w:tcPr>
            <w:tcW w:w="57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Fixed wireless access solutions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49,751</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29.9</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47,649</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198"/>
        </w:trPr>
        <w:tc>
          <w:tcPr>
            <w:tcW w:w="578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Product revenues</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117,679</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70.8</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146,579</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76.6</w:t>
            </w:r>
          </w:p>
        </w:tc>
        <w:tc>
          <w:tcPr>
            <w:tcW w:w="0" w:type="dxa"/>
            <w:vAlign w:val="bottom"/>
          </w:tcPr>
          <w:p>
            <w:pPr>
              <w:spacing w:after="0"/>
              <w:rPr>
                <w:sz w:val="1"/>
                <w:szCs w:val="1"/>
                <w:color w:val="auto"/>
              </w:rPr>
            </w:pPr>
          </w:p>
        </w:tc>
      </w:tr>
      <w:tr>
        <w:trPr>
          <w:trHeight w:val="201"/>
        </w:trPr>
        <w:tc>
          <w:tcPr>
            <w:tcW w:w="5780" w:type="dxa"/>
            <w:vAlign w:val="bottom"/>
            <w:tcBorders>
              <w:bottom w:val="single" w:sz="8" w:color="D1EDF5"/>
            </w:tcBorders>
          </w:tcPr>
          <w:p>
            <w:pPr>
              <w:ind w:left="320"/>
              <w:spacing w:after="0"/>
              <w:rPr>
                <w:sz w:val="20"/>
                <w:szCs w:val="20"/>
                <w:color w:val="auto"/>
              </w:rPr>
            </w:pPr>
            <w:r>
              <w:rPr>
                <w:rFonts w:ascii="Times New Roman" w:cs="Times New Roman" w:eastAsia="Times New Roman" w:hAnsi="Times New Roman"/>
                <w:sz w:val="15"/>
                <w:szCs w:val="15"/>
                <w:color w:val="auto"/>
              </w:rPr>
              <w:t>Software services and other</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48,509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29.2</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44,665</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98"/>
        </w:trPr>
        <w:tc>
          <w:tcPr>
            <w:tcW w:w="57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Total revenues</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166,188</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191,244</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1"/>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Product</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89,523</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53.9</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115,390</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60.3</w:t>
            </w:r>
          </w:p>
        </w:tc>
        <w:tc>
          <w:tcPr>
            <w:tcW w:w="0" w:type="dxa"/>
            <w:vAlign w:val="bottom"/>
          </w:tcPr>
          <w:p>
            <w:pPr>
              <w:spacing w:after="0"/>
              <w:rPr>
                <w:sz w:val="1"/>
                <w:szCs w:val="1"/>
                <w:color w:val="auto"/>
              </w:rPr>
            </w:pPr>
          </w:p>
        </w:tc>
      </w:tr>
      <w:tr>
        <w:trPr>
          <w:trHeight w:val="201"/>
        </w:trPr>
        <w:tc>
          <w:tcPr>
            <w:tcW w:w="57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Software services and other</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7,057</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8"/>
        </w:trPr>
        <w:tc>
          <w:tcPr>
            <w:tcW w:w="57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Total cost of revenues</w:t>
            </w:r>
          </w:p>
        </w:tc>
        <w:tc>
          <w:tcPr>
            <w:tcW w:w="32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95,192</w:t>
            </w:r>
          </w:p>
        </w:tc>
        <w:tc>
          <w:tcPr>
            <w:tcW w:w="3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57.3</w:t>
            </w:r>
          </w:p>
        </w:tc>
        <w:tc>
          <w:tcPr>
            <w:tcW w:w="100" w:type="dxa"/>
            <w:vAlign w:val="bottom"/>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122,447</w:t>
            </w:r>
          </w:p>
        </w:tc>
        <w:tc>
          <w:tcPr>
            <w:tcW w:w="46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64.0</w:t>
            </w:r>
          </w:p>
        </w:tc>
        <w:tc>
          <w:tcPr>
            <w:tcW w:w="0" w:type="dxa"/>
            <w:vAlign w:val="bottom"/>
          </w:tcPr>
          <w:p>
            <w:pPr>
              <w:spacing w:after="0"/>
              <w:rPr>
                <w:sz w:val="1"/>
                <w:szCs w:val="1"/>
                <w:color w:val="auto"/>
              </w:rPr>
            </w:pPr>
          </w:p>
        </w:tc>
      </w:tr>
      <w:tr>
        <w:trPr>
          <w:trHeight w:val="193"/>
        </w:trPr>
        <w:tc>
          <w:tcPr>
            <w:tcW w:w="57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70,996</w:t>
            </w:r>
          </w:p>
        </w:tc>
        <w:tc>
          <w:tcPr>
            <w:tcW w:w="360" w:type="dxa"/>
            <w:vAlign w:val="bottom"/>
          </w:tcPr>
          <w:p>
            <w:pPr>
              <w:spacing w:after="0"/>
              <w:rPr>
                <w:sz w:val="16"/>
                <w:szCs w:val="16"/>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68,797</w:t>
            </w:r>
          </w:p>
        </w:tc>
        <w:tc>
          <w:tcPr>
            <w:tcW w:w="460" w:type="dxa"/>
            <w:vAlign w:val="bottom"/>
          </w:tcPr>
          <w:p>
            <w:pPr>
              <w:spacing w:after="0"/>
              <w:rPr>
                <w:sz w:val="16"/>
                <w:szCs w:val="16"/>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36.0</w:t>
            </w: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Operating costs and expenses:</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3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20,596</w:t>
            </w:r>
          </w:p>
        </w:tc>
        <w:tc>
          <w:tcPr>
            <w:tcW w:w="46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Sales and marketing</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17,398</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15,951</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201"/>
        </w:trPr>
        <w:tc>
          <w:tcPr>
            <w:tcW w:w="5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20,761</w:t>
            </w:r>
          </w:p>
        </w:tc>
        <w:tc>
          <w:tcPr>
            <w:tcW w:w="3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17,240</w:t>
            </w:r>
          </w:p>
        </w:tc>
        <w:tc>
          <w:tcPr>
            <w:tcW w:w="460" w:type="dxa"/>
            <w:vAlign w:val="bottom"/>
          </w:tcPr>
          <w:p>
            <w:pPr>
              <w:spacing w:after="0"/>
              <w:rPr>
                <w:sz w:val="17"/>
                <w:szCs w:val="17"/>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8,336</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12,368</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01"/>
        </w:trPr>
        <w:tc>
          <w:tcPr>
            <w:tcW w:w="57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8"/>
        </w:trPr>
        <w:tc>
          <w:tcPr>
            <w:tcW w:w="57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Total operating costs and expenses</w:t>
            </w:r>
          </w:p>
        </w:tc>
        <w:tc>
          <w:tcPr>
            <w:tcW w:w="32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66,680</w:t>
            </w:r>
          </w:p>
        </w:tc>
        <w:tc>
          <w:tcPr>
            <w:tcW w:w="3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67,082</w:t>
            </w:r>
          </w:p>
        </w:tc>
        <w:tc>
          <w:tcPr>
            <w:tcW w:w="46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35.1</w:t>
            </w: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4,316</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1,715</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32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on debt restructurings, net</w:t>
            </w:r>
          </w:p>
        </w:tc>
        <w:tc>
          <w:tcPr>
            <w:tcW w:w="32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Loss on extinguishment of revolving credit facility</w:t>
            </w:r>
          </w:p>
        </w:tc>
        <w:tc>
          <w:tcPr>
            <w:tcW w:w="320" w:type="dxa"/>
            <w:vAlign w:val="bottom"/>
            <w:shd w:val="clear" w:color="auto" w:fill="D1EDF5"/>
          </w:tcPr>
          <w:p>
            <w:pPr>
              <w:spacing w:after="0"/>
              <w:rPr>
                <w:sz w:val="17"/>
                <w:szCs w:val="17"/>
                <w:color w:val="auto"/>
              </w:rPr>
            </w:pPr>
          </w:p>
        </w:tc>
        <w:tc>
          <w:tcPr>
            <w:tcW w:w="1140" w:type="dxa"/>
            <w:vAlign w:val="bottom"/>
            <w:gridSpan w:val="2"/>
            <w:shd w:val="clear" w:color="auto" w:fill="D1EDF5"/>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(3,771)</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D1EDF5"/>
            </w:tcBorders>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Other income (expense), net</w:t>
            </w:r>
          </w:p>
        </w:tc>
        <w:tc>
          <w:tcPr>
            <w:tcW w:w="320" w:type="dxa"/>
            <w:vAlign w:val="bottom"/>
            <w:tcBorders>
              <w:bottom w:val="single" w:sz="8" w:color="auto"/>
            </w:tcBorders>
            <w:shd w:val="clear" w:color="auto" w:fill="D1EDF5"/>
          </w:tcPr>
          <w:p>
            <w:pPr>
              <w:spacing w:after="0"/>
              <w:rPr>
                <w:sz w:val="19"/>
                <w:szCs w:val="19"/>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360" w:type="dxa"/>
            <w:vAlign w:val="bottom"/>
            <w:tcBorders>
              <w:bottom w:val="single" w:sz="8" w:color="D1EDF5"/>
            </w:tcBorders>
            <w:shd w:val="clear" w:color="auto" w:fill="D1EDF5"/>
          </w:tcPr>
          <w:p>
            <w:pPr>
              <w:spacing w:after="0"/>
              <w:rPr>
                <w:sz w:val="19"/>
                <w:szCs w:val="19"/>
                <w:color w:val="auto"/>
              </w:rPr>
            </w:pPr>
          </w:p>
        </w:tc>
        <w:tc>
          <w:tcPr>
            <w:tcW w:w="860" w:type="dxa"/>
            <w:vAlign w:val="bottom"/>
            <w:tcBorders>
              <w:bottom w:val="single" w:sz="8" w:color="D1EDF5"/>
            </w:tcBorders>
            <w:shd w:val="clear" w:color="auto" w:fill="D1EDF5"/>
          </w:tcPr>
          <w:p>
            <w:pPr>
              <w:spacing w:after="0"/>
              <w:rPr>
                <w:sz w:val="19"/>
                <w:szCs w:val="19"/>
                <w:color w:val="auto"/>
              </w:rPr>
            </w:pPr>
          </w:p>
        </w:tc>
        <w:tc>
          <w:tcPr>
            <w:tcW w:w="100" w:type="dxa"/>
            <w:vAlign w:val="bottom"/>
            <w:tcBorders>
              <w:bottom w:val="single" w:sz="8" w:color="D1EDF5"/>
            </w:tcBorders>
            <w:shd w:val="clear" w:color="auto" w:fill="D1EDF5"/>
          </w:tcPr>
          <w:p>
            <w:pPr>
              <w:spacing w:after="0"/>
              <w:rPr>
                <w:sz w:val="19"/>
                <w:szCs w:val="19"/>
                <w:color w:val="auto"/>
              </w:rPr>
            </w:pPr>
          </w:p>
        </w:tc>
        <w:tc>
          <w:tcPr>
            <w:tcW w:w="340" w:type="dxa"/>
            <w:vAlign w:val="bottom"/>
            <w:tcBorders>
              <w:bottom w:val="single" w:sz="8" w:color="auto"/>
            </w:tcBorders>
            <w:shd w:val="clear" w:color="auto" w:fill="D1EDF5"/>
          </w:tcPr>
          <w:p>
            <w:pPr>
              <w:spacing w:after="0"/>
              <w:rPr>
                <w:sz w:val="19"/>
                <w:szCs w:val="19"/>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460" w:type="dxa"/>
            <w:vAlign w:val="bottom"/>
            <w:tcBorders>
              <w:bottom w:val="single" w:sz="8" w:color="D1EDF5"/>
            </w:tcBorders>
            <w:shd w:val="clear" w:color="auto" w:fill="D1EDF5"/>
          </w:tcPr>
          <w:p>
            <w:pPr>
              <w:spacing w:after="0"/>
              <w:rPr>
                <w:sz w:val="19"/>
                <w:szCs w:val="19"/>
                <w:color w:val="auto"/>
              </w:rPr>
            </w:pPr>
          </w:p>
        </w:tc>
        <w:tc>
          <w:tcPr>
            <w:tcW w:w="780" w:type="dxa"/>
            <w:vAlign w:val="bottom"/>
            <w:tcBorders>
              <w:bottom w:val="single" w:sz="8" w:color="D1EDF5"/>
            </w:tcBorders>
            <w:shd w:val="clear" w:color="auto" w:fill="D1EDF5"/>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1,282</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(13,680)</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32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continuing operations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(14,369)</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780" w:type="dxa"/>
            <w:vAlign w:val="bottom"/>
            <w:shd w:val="clear" w:color="auto" w:fill="D1EDF5"/>
          </w:tcPr>
          <w:p>
            <w:pPr>
              <w:ind w:left="120"/>
              <w:spacing w:after="0" w:line="156" w:lineRule="exact"/>
              <w:rPr>
                <w:sz w:val="20"/>
                <w:szCs w:val="20"/>
                <w:color w:val="auto"/>
              </w:rPr>
            </w:pPr>
            <w:r>
              <w:rPr>
                <w:rFonts w:ascii="Times New Roman" w:cs="Times New Roman" w:eastAsia="Times New Roman" w:hAnsi="Times New Roman"/>
                <w:sz w:val="15"/>
                <w:szCs w:val="15"/>
                <w:color w:val="auto"/>
              </w:rPr>
              <w:t>Income (Loss) from discontinued operations (net of income tax provision of $400 and</w:t>
            </w:r>
          </w:p>
        </w:tc>
        <w:tc>
          <w:tcPr>
            <w:tcW w:w="320" w:type="dxa"/>
            <w:vAlign w:val="bottom"/>
            <w:shd w:val="clear" w:color="auto" w:fill="D1EDF5"/>
          </w:tcPr>
          <w:p>
            <w:pPr>
              <w:spacing w:after="0"/>
              <w:rPr>
                <w:sz w:val="13"/>
                <w:szCs w:val="13"/>
                <w:color w:val="auto"/>
              </w:rPr>
            </w:pPr>
          </w:p>
        </w:tc>
        <w:tc>
          <w:tcPr>
            <w:tcW w:w="78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360" w:type="dxa"/>
            <w:vAlign w:val="bottom"/>
            <w:shd w:val="clear" w:color="auto" w:fill="D1EDF5"/>
          </w:tcPr>
          <w:p>
            <w:pPr>
              <w:spacing w:after="0"/>
              <w:rPr>
                <w:sz w:val="13"/>
                <w:szCs w:val="13"/>
                <w:color w:val="auto"/>
              </w:rPr>
            </w:pPr>
          </w:p>
        </w:tc>
        <w:tc>
          <w:tcPr>
            <w:tcW w:w="860" w:type="dxa"/>
            <w:vAlign w:val="bottom"/>
            <w:shd w:val="clear" w:color="auto" w:fill="D1EDF5"/>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340" w:type="dxa"/>
            <w:vAlign w:val="bottom"/>
            <w:shd w:val="clear" w:color="auto" w:fill="D1EDF5"/>
          </w:tcPr>
          <w:p>
            <w:pPr>
              <w:spacing w:after="0"/>
              <w:rPr>
                <w:sz w:val="13"/>
                <w:szCs w:val="13"/>
                <w:color w:val="auto"/>
              </w:rPr>
            </w:pPr>
          </w:p>
        </w:tc>
        <w:tc>
          <w:tcPr>
            <w:tcW w:w="78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18,941</w:t>
            </w:r>
          </w:p>
        </w:tc>
        <w:tc>
          <w:tcPr>
            <w:tcW w:w="460" w:type="dxa"/>
            <w:vAlign w:val="bottom"/>
            <w:shd w:val="clear" w:color="auto" w:fill="D1EDF5"/>
          </w:tcPr>
          <w:p>
            <w:pPr>
              <w:spacing w:after="0"/>
              <w:rPr>
                <w:sz w:val="13"/>
                <w:szCs w:val="13"/>
                <w:color w:val="auto"/>
              </w:rPr>
            </w:pPr>
          </w:p>
        </w:tc>
        <w:tc>
          <w:tcPr>
            <w:tcW w:w="780" w:type="dxa"/>
            <w:vAlign w:val="bottom"/>
            <w:shd w:val="clear" w:color="auto" w:fill="D1EDF5"/>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$1,956, respectively)</w:t>
            </w:r>
          </w:p>
        </w:tc>
        <w:tc>
          <w:tcPr>
            <w:tcW w:w="32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vMerge w:val="continue"/>
            <w:shd w:val="clear" w:color="auto" w:fill="D1EDF5"/>
          </w:tcPr>
          <w:p>
            <w:pPr>
              <w:spacing w:after="0"/>
              <w:rPr>
                <w:sz w:val="17"/>
                <w:szCs w:val="17"/>
                <w:color w:val="auto"/>
              </w:rPr>
            </w:pPr>
          </w:p>
        </w:tc>
        <w:tc>
          <w:tcPr>
            <w:tcW w:w="360" w:type="dxa"/>
            <w:vAlign w:val="bottom"/>
            <w:shd w:val="clear" w:color="auto" w:fill="D1EDF5"/>
          </w:tcPr>
          <w:p>
            <w:pPr>
              <w:spacing w:after="0"/>
              <w:rPr>
                <w:sz w:val="17"/>
                <w:szCs w:val="17"/>
                <w:color w:val="auto"/>
              </w:rPr>
            </w:pPr>
          </w:p>
        </w:tc>
        <w:tc>
          <w:tcPr>
            <w:tcW w:w="8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vMerge w:val="continue"/>
            <w:shd w:val="clear" w:color="auto" w:fill="D1EDF5"/>
          </w:tcPr>
          <w:p>
            <w:pPr>
              <w:spacing w:after="0"/>
              <w:rPr>
                <w:sz w:val="17"/>
                <w:szCs w:val="17"/>
                <w:color w:val="auto"/>
              </w:rPr>
            </w:pPr>
          </w:p>
        </w:tc>
        <w:tc>
          <w:tcPr>
            <w:tcW w:w="460" w:type="dxa"/>
            <w:vAlign w:val="bottom"/>
            <w:shd w:val="clear" w:color="auto" w:fill="D1EDF5"/>
          </w:tcPr>
          <w:p>
            <w:pPr>
              <w:spacing w:after="0"/>
              <w:rPr>
                <w:sz w:val="17"/>
                <w:szCs w:val="17"/>
                <w:color w:val="auto"/>
              </w:rPr>
            </w:pPr>
          </w:p>
        </w:tc>
        <w:tc>
          <w:tcPr>
            <w:tcW w:w="78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4,572</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Preferred stock dividends</w:t>
            </w:r>
          </w:p>
        </w:tc>
        <w:tc>
          <w:tcPr>
            <w:tcW w:w="32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(3,574)</w:t>
            </w:r>
          </w:p>
        </w:tc>
        <w:tc>
          <w:tcPr>
            <w:tcW w:w="360" w:type="dxa"/>
            <w:vAlign w:val="bottom"/>
            <w:tcBorders>
              <w:bottom w:val="single" w:sz="8" w:color="D1EDF5"/>
            </w:tcBorders>
            <w:shd w:val="clear" w:color="auto" w:fill="D1EDF5"/>
          </w:tcPr>
          <w:p>
            <w:pPr>
              <w:spacing w:after="0"/>
              <w:rPr>
                <w:sz w:val="17"/>
                <w:szCs w:val="17"/>
                <w:color w:val="auto"/>
              </w:rPr>
            </w:pPr>
          </w:p>
        </w:tc>
        <w:tc>
          <w:tcPr>
            <w:tcW w:w="860" w:type="dxa"/>
            <w:vAlign w:val="bottom"/>
            <w:tcBorders>
              <w:bottom w:val="single" w:sz="8" w:color="D1EDF5"/>
            </w:tcBorders>
            <w:shd w:val="clear" w:color="auto" w:fill="D1EDF5"/>
          </w:tcPr>
          <w:p>
            <w:pPr>
              <w:spacing w:after="0"/>
              <w:rPr>
                <w:sz w:val="17"/>
                <w:szCs w:val="17"/>
                <w:color w:val="auto"/>
              </w:rPr>
            </w:pPr>
          </w:p>
        </w:tc>
        <w:tc>
          <w:tcPr>
            <w:tcW w:w="100" w:type="dxa"/>
            <w:vAlign w:val="bottom"/>
            <w:tcBorders>
              <w:bottom w:val="single" w:sz="8" w:color="D1EDF5"/>
            </w:tcBorders>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(3,269)</w:t>
            </w:r>
          </w:p>
        </w:tc>
        <w:tc>
          <w:tcPr>
            <w:tcW w:w="460" w:type="dxa"/>
            <w:vAlign w:val="bottom"/>
            <w:tcBorders>
              <w:bottom w:val="single" w:sz="8" w:color="D1EDF5"/>
            </w:tcBorders>
            <w:shd w:val="clear" w:color="auto" w:fill="D1EDF5"/>
          </w:tcPr>
          <w:p>
            <w:pPr>
              <w:spacing w:after="0"/>
              <w:rPr>
                <w:sz w:val="17"/>
                <w:szCs w:val="17"/>
                <w:color w:val="auto"/>
              </w:rPr>
            </w:pPr>
          </w:p>
        </w:tc>
        <w:tc>
          <w:tcPr>
            <w:tcW w:w="780" w:type="dxa"/>
            <w:vAlign w:val="bottom"/>
            <w:tcBorders>
              <w:bottom w:val="single" w:sz="8" w:color="D1EDF5"/>
            </w:tcBorders>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attributable to common stockholders</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(2,736)</w:t>
            </w:r>
          </w:p>
        </w:tc>
        <w:tc>
          <w:tcPr>
            <w:tcW w:w="360" w:type="dxa"/>
            <w:vAlign w:val="bottom"/>
          </w:tcPr>
          <w:p>
            <w:pPr>
              <w:spacing w:after="0"/>
              <w:rPr>
                <w:sz w:val="17"/>
                <w:szCs w:val="17"/>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Year Ended December 31, 2025 Compared to Year Ended December 31, 2024</w:t>
      </w:r>
    </w:p>
    <w:p>
      <w:pPr>
        <w:spacing w:after="0" w:line="147" w:lineRule="exact"/>
        <w:rPr>
          <w:sz w:val="20"/>
          <w:szCs w:val="20"/>
          <w:color w:val="auto"/>
        </w:rPr>
      </w:pPr>
    </w:p>
    <w:p>
      <w:pPr>
        <w:ind w:right="60" w:firstLine="381"/>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Revenues</w:t>
      </w:r>
      <w:r>
        <w:rPr>
          <w:rFonts w:ascii="Times New Roman" w:cs="Times New Roman" w:eastAsia="Times New Roman" w:hAnsi="Times New Roman"/>
          <w:sz w:val="17"/>
          <w:szCs w:val="17"/>
          <w:color w:val="auto"/>
        </w:rPr>
        <w:t>. Revenues for the year ended December 31, 2025 were $166.2 million, a decrease of $25.1 million, or 13.1%, compared to the same period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2024.</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revenues by category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Product Category</w:t>
            </w:r>
          </w:p>
        </w:tc>
        <w:tc>
          <w:tcPr>
            <w:tcW w:w="1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0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5"/>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1EDF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D1EDF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Mobile solutions</w:t>
            </w:r>
          </w:p>
        </w:tc>
        <w:tc>
          <w:tcPr>
            <w:tcW w:w="220" w:type="dxa"/>
            <w:vAlign w:val="bottom"/>
            <w:shd w:val="clear" w:color="auto" w:fill="D1EDF5"/>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67,928</w:t>
            </w:r>
          </w:p>
        </w:tc>
        <w:tc>
          <w:tcPr>
            <w:tcW w:w="100" w:type="dxa"/>
            <w:vAlign w:val="bottom"/>
            <w:shd w:val="clear" w:color="auto" w:fill="D1EDF5"/>
          </w:tcPr>
          <w:p>
            <w:pPr>
              <w:spacing w:after="0"/>
              <w:rPr>
                <w:sz w:val="17"/>
                <w:szCs w:val="17"/>
                <w:color w:val="auto"/>
              </w:rPr>
            </w:pPr>
          </w:p>
        </w:tc>
        <w:tc>
          <w:tcPr>
            <w:tcW w:w="240" w:type="dxa"/>
            <w:vAlign w:val="bottom"/>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98,930</w:t>
            </w:r>
          </w:p>
        </w:tc>
        <w:tc>
          <w:tcPr>
            <w:tcW w:w="100" w:type="dxa"/>
            <w:vAlign w:val="bottom"/>
            <w:shd w:val="clear" w:color="auto" w:fill="D1EDF5"/>
          </w:tcPr>
          <w:p>
            <w:pPr>
              <w:spacing w:after="0"/>
              <w:rPr>
                <w:sz w:val="17"/>
                <w:szCs w:val="17"/>
                <w:color w:val="auto"/>
              </w:rPr>
            </w:pPr>
          </w:p>
        </w:tc>
        <w:tc>
          <w:tcPr>
            <w:tcW w:w="240" w:type="dxa"/>
            <w:vAlign w:val="bottom"/>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(31,002)</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ind w:left="180"/>
              <w:spacing w:after="0"/>
              <w:rPr>
                <w:sz w:val="20"/>
                <w:szCs w:val="20"/>
                <w:color w:val="auto"/>
              </w:rPr>
            </w:pPr>
            <w:r>
              <w:rPr>
                <w:rFonts w:ascii="Times New Roman" w:cs="Times New Roman" w:eastAsia="Times New Roman" w:hAnsi="Times New Roman"/>
                <w:sz w:val="15"/>
                <w:szCs w:val="15"/>
                <w:color w:val="auto"/>
              </w:rPr>
              <w:t>(31.3)%</w:t>
            </w:r>
          </w:p>
        </w:tc>
        <w:tc>
          <w:tcPr>
            <w:tcW w:w="0" w:type="dxa"/>
            <w:vAlign w:val="bottom"/>
          </w:tcPr>
          <w:p>
            <w:pPr>
              <w:spacing w:after="0"/>
              <w:rPr>
                <w:sz w:val="1"/>
                <w:szCs w:val="1"/>
                <w:color w:val="auto"/>
              </w:rPr>
            </w:pPr>
          </w:p>
        </w:tc>
      </w:tr>
      <w:tr>
        <w:trPr>
          <w:trHeight w:val="201"/>
        </w:trPr>
        <w:tc>
          <w:tcPr>
            <w:tcW w:w="6200" w:type="dxa"/>
            <w:vAlign w:val="bottom"/>
            <w:tcBorders>
              <w:bottom w:val="single" w:sz="8" w:color="D1EDF5"/>
            </w:tcBorders>
            <w:gridSpan w:val="2"/>
          </w:tcPr>
          <w:p>
            <w:pPr>
              <w:ind w:left="220"/>
              <w:spacing w:after="0"/>
              <w:rPr>
                <w:sz w:val="20"/>
                <w:szCs w:val="20"/>
                <w:color w:val="auto"/>
              </w:rPr>
            </w:pPr>
            <w:r>
              <w:rPr>
                <w:rFonts w:ascii="Times New Roman" w:cs="Times New Roman" w:eastAsia="Times New Roman" w:hAnsi="Times New Roman"/>
                <w:sz w:val="15"/>
                <w:szCs w:val="15"/>
                <w:color w:val="auto"/>
              </w:rPr>
              <w:t>Fixed wireless access solutions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49,751</w:t>
            </w:r>
          </w:p>
        </w:tc>
        <w:tc>
          <w:tcPr>
            <w:tcW w:w="100" w:type="dxa"/>
            <w:vAlign w:val="bottom"/>
            <w:tcBorders>
              <w:bottom w:val="single" w:sz="8" w:color="D1ED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47,649</w:t>
            </w:r>
          </w:p>
        </w:tc>
        <w:tc>
          <w:tcPr>
            <w:tcW w:w="100" w:type="dxa"/>
            <w:vAlign w:val="bottom"/>
            <w:tcBorders>
              <w:bottom w:val="single" w:sz="8" w:color="D1ED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D1EDF5"/>
            </w:tcBorders>
          </w:tcPr>
          <w:p>
            <w:pPr>
              <w:spacing w:after="0"/>
              <w:rPr>
                <w:sz w:val="17"/>
                <w:szCs w:val="17"/>
                <w:color w:val="auto"/>
              </w:rPr>
            </w:pPr>
          </w:p>
        </w:tc>
        <w:tc>
          <w:tcPr>
            <w:tcW w:w="700" w:type="dxa"/>
            <w:vAlign w:val="bottom"/>
            <w:tcBorders>
              <w:bottom w:val="single" w:sz="8" w:color="D1EDF5"/>
            </w:tcBorders>
          </w:tcPr>
          <w:p>
            <w:pPr>
              <w:jc w:val="right"/>
              <w:ind w:right="125"/>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Product revenues</w:t>
            </w:r>
          </w:p>
        </w:tc>
        <w:tc>
          <w:tcPr>
            <w:tcW w:w="220" w:type="dxa"/>
            <w:vAlign w:val="bottom"/>
            <w:shd w:val="clear" w:color="auto" w:fill="D1EDF5"/>
          </w:tcPr>
          <w:p>
            <w:pPr>
              <w:spacing w:after="0"/>
              <w:rPr>
                <w:sz w:val="17"/>
                <w:szCs w:val="17"/>
                <w:color w:val="auto"/>
              </w:rPr>
            </w:pPr>
          </w:p>
        </w:tc>
        <w:tc>
          <w:tcPr>
            <w:tcW w:w="8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117,679</w:t>
            </w:r>
          </w:p>
        </w:tc>
        <w:tc>
          <w:tcPr>
            <w:tcW w:w="100" w:type="dxa"/>
            <w:vAlign w:val="bottom"/>
            <w:shd w:val="clear" w:color="auto" w:fill="D1EDF5"/>
          </w:tcPr>
          <w:p>
            <w:pPr>
              <w:spacing w:after="0"/>
              <w:rPr>
                <w:sz w:val="17"/>
                <w:szCs w:val="17"/>
                <w:color w:val="auto"/>
              </w:rPr>
            </w:pPr>
          </w:p>
        </w:tc>
        <w:tc>
          <w:tcPr>
            <w:tcW w:w="24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146,579</w:t>
            </w:r>
          </w:p>
        </w:tc>
        <w:tc>
          <w:tcPr>
            <w:tcW w:w="100" w:type="dxa"/>
            <w:vAlign w:val="bottom"/>
            <w:shd w:val="clear" w:color="auto" w:fill="D1EDF5"/>
          </w:tcPr>
          <w:p>
            <w:pPr>
              <w:spacing w:after="0"/>
              <w:rPr>
                <w:sz w:val="17"/>
                <w:szCs w:val="17"/>
                <w:color w:val="auto"/>
              </w:rPr>
            </w:pPr>
          </w:p>
        </w:tc>
        <w:tc>
          <w:tcPr>
            <w:tcW w:w="2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(28,900)</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ind w:left="180"/>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01"/>
        </w:trPr>
        <w:tc>
          <w:tcPr>
            <w:tcW w:w="6200" w:type="dxa"/>
            <w:vAlign w:val="bottom"/>
            <w:tcBorders>
              <w:bottom w:val="single" w:sz="8" w:color="D1EDF5"/>
            </w:tcBorders>
            <w:gridSpan w:val="2"/>
          </w:tcPr>
          <w:p>
            <w:pPr>
              <w:ind w:left="120"/>
              <w:spacing w:after="0"/>
              <w:rPr>
                <w:sz w:val="20"/>
                <w:szCs w:val="20"/>
                <w:color w:val="auto"/>
              </w:rPr>
            </w:pPr>
            <w:r>
              <w:rPr>
                <w:rFonts w:ascii="Times New Roman" w:cs="Times New Roman" w:eastAsia="Times New Roman" w:hAnsi="Times New Roman"/>
                <w:sz w:val="15"/>
                <w:szCs w:val="15"/>
                <w:color w:val="auto"/>
              </w:rPr>
              <w:t>Software services and 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48,509</w:t>
            </w:r>
          </w:p>
        </w:tc>
        <w:tc>
          <w:tcPr>
            <w:tcW w:w="100" w:type="dxa"/>
            <w:vAlign w:val="bottom"/>
            <w:tcBorders>
              <w:bottom w:val="single" w:sz="8" w:color="D1ED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44,665</w:t>
            </w:r>
          </w:p>
        </w:tc>
        <w:tc>
          <w:tcPr>
            <w:tcW w:w="100" w:type="dxa"/>
            <w:vAlign w:val="bottom"/>
            <w:tcBorders>
              <w:bottom w:val="single" w:sz="8" w:color="D1ED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3,844</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D1EDF5"/>
            </w:tcBorders>
          </w:tcPr>
          <w:p>
            <w:pPr>
              <w:spacing w:after="0"/>
              <w:rPr>
                <w:sz w:val="17"/>
                <w:szCs w:val="17"/>
                <w:color w:val="auto"/>
              </w:rPr>
            </w:pPr>
          </w:p>
        </w:tc>
        <w:tc>
          <w:tcPr>
            <w:tcW w:w="700" w:type="dxa"/>
            <w:vAlign w:val="bottom"/>
            <w:tcBorders>
              <w:bottom w:val="single" w:sz="8" w:color="D1EDF5"/>
            </w:tcBorders>
          </w:tcPr>
          <w:p>
            <w:pPr>
              <w:jc w:val="right"/>
              <w:ind w:right="125"/>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D1EDF5"/>
            </w:tcBorders>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auto"/>
            </w:tcBorders>
            <w:shd w:val="clear" w:color="auto" w:fill="D1EDF5"/>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166,188</w:t>
            </w:r>
          </w:p>
        </w:tc>
        <w:tc>
          <w:tcPr>
            <w:tcW w:w="100" w:type="dxa"/>
            <w:vAlign w:val="bottom"/>
            <w:tcBorders>
              <w:bottom w:val="single" w:sz="8" w:color="D1EDF5"/>
            </w:tcBorders>
            <w:shd w:val="clear" w:color="auto" w:fill="D1EDF5"/>
          </w:tcPr>
          <w:p>
            <w:pPr>
              <w:spacing w:after="0"/>
              <w:rPr>
                <w:sz w:val="18"/>
                <w:szCs w:val="18"/>
                <w:color w:val="auto"/>
              </w:rPr>
            </w:pPr>
          </w:p>
        </w:tc>
        <w:tc>
          <w:tcPr>
            <w:tcW w:w="240" w:type="dxa"/>
            <w:vAlign w:val="bottom"/>
            <w:tcBorders>
              <w:bottom w:val="single" w:sz="8" w:color="auto"/>
            </w:tcBorders>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191,244</w:t>
            </w:r>
          </w:p>
        </w:tc>
        <w:tc>
          <w:tcPr>
            <w:tcW w:w="100" w:type="dxa"/>
            <w:vAlign w:val="bottom"/>
            <w:tcBorders>
              <w:bottom w:val="single" w:sz="8" w:color="D1EDF5"/>
            </w:tcBorders>
            <w:shd w:val="clear" w:color="auto" w:fill="D1EDF5"/>
          </w:tcPr>
          <w:p>
            <w:pPr>
              <w:spacing w:after="0"/>
              <w:rPr>
                <w:sz w:val="18"/>
                <w:szCs w:val="18"/>
                <w:color w:val="auto"/>
              </w:rPr>
            </w:pPr>
          </w:p>
        </w:tc>
        <w:tc>
          <w:tcPr>
            <w:tcW w:w="240" w:type="dxa"/>
            <w:vAlign w:val="bottom"/>
            <w:tcBorders>
              <w:bottom w:val="single" w:sz="8" w:color="auto"/>
            </w:tcBorders>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(25,056)</w:t>
            </w:r>
          </w:p>
        </w:tc>
        <w:tc>
          <w:tcPr>
            <w:tcW w:w="100" w:type="dxa"/>
            <w:vAlign w:val="bottom"/>
            <w:tcBorders>
              <w:bottom w:val="single" w:sz="8" w:color="D1EDF5"/>
            </w:tcBorders>
            <w:shd w:val="clear" w:color="auto" w:fill="D1EDF5"/>
          </w:tcPr>
          <w:p>
            <w:pPr>
              <w:spacing w:after="0"/>
              <w:rPr>
                <w:sz w:val="18"/>
                <w:szCs w:val="18"/>
                <w:color w:val="auto"/>
              </w:rPr>
            </w:pPr>
          </w:p>
        </w:tc>
        <w:tc>
          <w:tcPr>
            <w:tcW w:w="340" w:type="dxa"/>
            <w:vAlign w:val="bottom"/>
            <w:tcBorders>
              <w:bottom w:val="single" w:sz="8" w:color="D1EDF5"/>
            </w:tcBorders>
            <w:shd w:val="clear" w:color="auto" w:fill="D1EDF5"/>
          </w:tcPr>
          <w:p>
            <w:pPr>
              <w:spacing w:after="0"/>
              <w:rPr>
                <w:sz w:val="18"/>
                <w:szCs w:val="18"/>
                <w:color w:val="auto"/>
              </w:rPr>
            </w:pPr>
          </w:p>
        </w:tc>
        <w:tc>
          <w:tcPr>
            <w:tcW w:w="700" w:type="dxa"/>
            <w:vAlign w:val="bottom"/>
            <w:tcBorders>
              <w:bottom w:val="single" w:sz="8" w:color="D1EDF5"/>
            </w:tcBorders>
            <w:shd w:val="clear" w:color="auto" w:fill="D1EDF5"/>
          </w:tcPr>
          <w:p>
            <w:pPr>
              <w:ind w:left="180"/>
              <w:spacing w:after="0"/>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20"/>
        </w:trPr>
        <w:tc>
          <w:tcPr>
            <w:tcW w:w="604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tcBorders>
          </w:tcPr>
          <w:p>
            <w:pPr>
              <w:spacing w:after="0" w:line="20" w:lineRule="exact"/>
              <w:rPr>
                <w:sz w:val="1"/>
                <w:szCs w:val="1"/>
                <w:color w:val="auto"/>
              </w:rPr>
            </w:pPr>
          </w:p>
        </w:tc>
        <w:tc>
          <w:tcPr>
            <w:tcW w:w="220" w:type="dxa"/>
            <w:vAlign w:val="bottom"/>
            <w:tcBorders>
              <w:top w:val="single" w:sz="8" w:color="D1EDF5"/>
              <w:bottom w:val="single" w:sz="8" w:color="auto"/>
            </w:tcBorders>
          </w:tcPr>
          <w:p>
            <w:pPr>
              <w:spacing w:after="0" w:line="20" w:lineRule="exact"/>
              <w:rPr>
                <w:sz w:val="1"/>
                <w:szCs w:val="1"/>
                <w:color w:val="auto"/>
              </w:rPr>
            </w:pPr>
          </w:p>
        </w:tc>
        <w:tc>
          <w:tcPr>
            <w:tcW w:w="8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8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4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240" w:right="100" w:firstLine="381"/>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Mobile solutions. </w:t>
      </w:r>
      <w:r>
        <w:rPr>
          <w:rFonts w:ascii="Times New Roman" w:cs="Times New Roman" w:eastAsia="Times New Roman" w:hAnsi="Times New Roman"/>
          <w:sz w:val="17"/>
          <w:szCs w:val="17"/>
          <w:color w:val="auto"/>
        </w:rPr>
        <w:t>The $31.0 million decrease in mobile solutions revenues is primarily due to decreased sales with one of our carrier partners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significant promotional activity in the prior period.</w:t>
      </w:r>
    </w:p>
    <w:p>
      <w:pPr>
        <w:spacing w:after="0" w:line="111" w:lineRule="exact"/>
        <w:rPr>
          <w:sz w:val="20"/>
          <w:szCs w:val="20"/>
          <w:color w:val="auto"/>
        </w:rPr>
      </w:pPr>
    </w:p>
    <w:p>
      <w:pPr>
        <w:jc w:val="both"/>
        <w:ind w:left="240" w:right="40"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Fixed wireless access solutions. </w:t>
      </w:r>
      <w:r>
        <w:rPr>
          <w:rFonts w:ascii="Times New Roman" w:cs="Times New Roman" w:eastAsia="Times New Roman" w:hAnsi="Times New Roman"/>
          <w:sz w:val="17"/>
          <w:szCs w:val="17"/>
          <w:color w:val="auto"/>
        </w:rPr>
        <w:t>The $2.1 million increase in fixed wireless access solutions revenues is primarily due to increased sales of current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generation of fixed wireless access products to one of our carrier partners that launched during the second quarter of 2025, partially offset by decreased sales in our channel program.</w:t>
      </w:r>
    </w:p>
    <w:p>
      <w:pPr>
        <w:spacing w:after="0" w:line="126" w:lineRule="exact"/>
        <w:rPr>
          <w:sz w:val="20"/>
          <w:szCs w:val="20"/>
          <w:color w:val="auto"/>
        </w:rPr>
      </w:pPr>
    </w:p>
    <w:p>
      <w:pPr>
        <w:ind w:left="240" w:right="120"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Software services and other. </w:t>
      </w:r>
      <w:r>
        <w:rPr>
          <w:rFonts w:ascii="Times New Roman" w:cs="Times New Roman" w:eastAsia="Times New Roman" w:hAnsi="Times New Roman"/>
          <w:sz w:val="17"/>
          <w:szCs w:val="17"/>
          <w:color w:val="auto"/>
        </w:rPr>
        <w:t>The $3.8 million increase in software services and other revenues is primarily due to increased Inseego Subscribe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related to the terms of a two-year service contract with a major customer that was executed in April 2024 and subsequently extended through July 2026.</w:t>
      </w:r>
    </w:p>
    <w:p>
      <w:pPr>
        <w:spacing w:after="0" w:line="126" w:lineRule="exact"/>
        <w:rPr>
          <w:sz w:val="20"/>
          <w:szCs w:val="20"/>
          <w:color w:val="auto"/>
        </w:rPr>
      </w:pPr>
    </w:p>
    <w:p>
      <w:pPr>
        <w:ind w:right="180" w:firstLine="38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Cost of revenues for the year ended December 31, 2025 was $95.2 million, or 57.3% of revenues, compared to $122.4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64.0% of revenues, for the same period in 2024.</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cost of revenues by category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6"/>
              </w:rPr>
              <w:t>Year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Product Category</w:t>
            </w:r>
          </w:p>
        </w:tc>
        <w:tc>
          <w:tcPr>
            <w:tcW w:w="16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5"/>
            </w:tcBorders>
            <w:vMerge w:val="continue"/>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D1EDF5"/>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D1EDF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D1EDF5"/>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Product</w:t>
            </w:r>
          </w:p>
        </w:tc>
        <w:tc>
          <w:tcPr>
            <w:tcW w:w="240" w:type="dxa"/>
            <w:vAlign w:val="bottom"/>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89,523</w:t>
            </w:r>
          </w:p>
        </w:tc>
        <w:tc>
          <w:tcPr>
            <w:tcW w:w="100" w:type="dxa"/>
            <w:vAlign w:val="bottom"/>
            <w:shd w:val="clear" w:color="auto" w:fill="D1EDF5"/>
          </w:tcPr>
          <w:p>
            <w:pPr>
              <w:spacing w:after="0"/>
              <w:rPr>
                <w:sz w:val="17"/>
                <w:szCs w:val="17"/>
                <w:color w:val="auto"/>
              </w:rPr>
            </w:pPr>
          </w:p>
        </w:tc>
        <w:tc>
          <w:tcPr>
            <w:tcW w:w="360" w:type="dxa"/>
            <w:vAlign w:val="bottom"/>
            <w:shd w:val="clear" w:color="auto" w:fill="D1EDF5"/>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115,390</w:t>
            </w:r>
          </w:p>
        </w:tc>
        <w:tc>
          <w:tcPr>
            <w:tcW w:w="100" w:type="dxa"/>
            <w:vAlign w:val="bottom"/>
            <w:shd w:val="clear" w:color="auto" w:fill="D1EDF5"/>
          </w:tcPr>
          <w:p>
            <w:pPr>
              <w:spacing w:after="0"/>
              <w:rPr>
                <w:sz w:val="17"/>
                <w:szCs w:val="17"/>
                <w:color w:val="auto"/>
              </w:rPr>
            </w:pPr>
          </w:p>
        </w:tc>
        <w:tc>
          <w:tcPr>
            <w:tcW w:w="240" w:type="dxa"/>
            <w:vAlign w:val="bottom"/>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(25,867)</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ind w:left="180"/>
              <w:spacing w:after="0"/>
              <w:rPr>
                <w:sz w:val="20"/>
                <w:szCs w:val="20"/>
                <w:color w:val="auto"/>
              </w:rPr>
            </w:pPr>
            <w:r>
              <w:rPr>
                <w:rFonts w:ascii="Times New Roman" w:cs="Times New Roman" w:eastAsia="Times New Roman" w:hAnsi="Times New Roman"/>
                <w:sz w:val="15"/>
                <w:szCs w:val="15"/>
                <w:color w:val="auto"/>
              </w:rPr>
              <w:t>(22.4)%</w:t>
            </w:r>
          </w:p>
        </w:tc>
        <w:tc>
          <w:tcPr>
            <w:tcW w:w="0" w:type="dxa"/>
            <w:vAlign w:val="bottom"/>
          </w:tcPr>
          <w:p>
            <w:pPr>
              <w:spacing w:after="0"/>
              <w:rPr>
                <w:sz w:val="1"/>
                <w:szCs w:val="1"/>
                <w:color w:val="auto"/>
              </w:rPr>
            </w:pPr>
          </w:p>
        </w:tc>
      </w:tr>
      <w:tr>
        <w:trPr>
          <w:trHeight w:val="201"/>
        </w:trPr>
        <w:tc>
          <w:tcPr>
            <w:tcW w:w="6200" w:type="dxa"/>
            <w:vAlign w:val="bottom"/>
            <w:tcBorders>
              <w:bottom w:val="single" w:sz="8" w:color="D1EDF5"/>
            </w:tcBorders>
            <w:gridSpan w:val="2"/>
          </w:tcPr>
          <w:p>
            <w:pPr>
              <w:ind w:left="200"/>
              <w:spacing w:after="0"/>
              <w:rPr>
                <w:sz w:val="20"/>
                <w:szCs w:val="20"/>
                <w:color w:val="auto"/>
              </w:rPr>
            </w:pPr>
            <w:r>
              <w:rPr>
                <w:rFonts w:ascii="Times New Roman" w:cs="Times New Roman" w:eastAsia="Times New Roman" w:hAnsi="Times New Roman"/>
                <w:sz w:val="15"/>
                <w:szCs w:val="15"/>
                <w:color w:val="auto"/>
              </w:rPr>
              <w:t>Software services and other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5,669</w:t>
            </w:r>
          </w:p>
        </w:tc>
        <w:tc>
          <w:tcPr>
            <w:tcW w:w="10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7,057</w:t>
            </w:r>
          </w:p>
        </w:tc>
        <w:tc>
          <w:tcPr>
            <w:tcW w:w="100" w:type="dxa"/>
            <w:vAlign w:val="bottom"/>
            <w:tcBorders>
              <w:bottom w:val="single" w:sz="8" w:color="D1EDF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D1EDF5"/>
            </w:tcBorders>
          </w:tcPr>
          <w:p>
            <w:pPr>
              <w:spacing w:after="0"/>
              <w:rPr>
                <w:sz w:val="17"/>
                <w:szCs w:val="17"/>
                <w:color w:val="auto"/>
              </w:rPr>
            </w:pPr>
          </w:p>
        </w:tc>
        <w:tc>
          <w:tcPr>
            <w:tcW w:w="700" w:type="dxa"/>
            <w:vAlign w:val="bottom"/>
            <w:tcBorders>
              <w:bottom w:val="single" w:sz="8" w:color="D1EDF5"/>
            </w:tcBorders>
          </w:tcPr>
          <w:p>
            <w:pPr>
              <w:ind w:left="180"/>
              <w:spacing w:after="0"/>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D1EDF5"/>
            </w:tcBorders>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95,192</w:t>
            </w:r>
          </w:p>
        </w:tc>
        <w:tc>
          <w:tcPr>
            <w:tcW w:w="100" w:type="dxa"/>
            <w:vAlign w:val="bottom"/>
            <w:tcBorders>
              <w:bottom w:val="single" w:sz="8" w:color="D1EDF5"/>
            </w:tcBorders>
            <w:shd w:val="clear" w:color="auto" w:fill="D1EDF5"/>
          </w:tcPr>
          <w:p>
            <w:pPr>
              <w:spacing w:after="0"/>
              <w:rPr>
                <w:sz w:val="18"/>
                <w:szCs w:val="18"/>
                <w:color w:val="auto"/>
              </w:rPr>
            </w:pPr>
          </w:p>
        </w:tc>
        <w:tc>
          <w:tcPr>
            <w:tcW w:w="360" w:type="dxa"/>
            <w:vAlign w:val="bottom"/>
            <w:tcBorders>
              <w:bottom w:val="single" w:sz="8" w:color="auto"/>
            </w:tcBorders>
            <w:shd w:val="clear" w:color="auto" w:fill="D1EDF5"/>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122,447</w:t>
            </w:r>
          </w:p>
        </w:tc>
        <w:tc>
          <w:tcPr>
            <w:tcW w:w="100" w:type="dxa"/>
            <w:vAlign w:val="bottom"/>
            <w:tcBorders>
              <w:bottom w:val="single" w:sz="8" w:color="D1EDF5"/>
            </w:tcBorders>
            <w:shd w:val="clear" w:color="auto" w:fill="D1EDF5"/>
          </w:tcPr>
          <w:p>
            <w:pPr>
              <w:spacing w:after="0"/>
              <w:rPr>
                <w:sz w:val="18"/>
                <w:szCs w:val="18"/>
                <w:color w:val="auto"/>
              </w:rPr>
            </w:pPr>
          </w:p>
        </w:tc>
        <w:tc>
          <w:tcPr>
            <w:tcW w:w="240" w:type="dxa"/>
            <w:vAlign w:val="bottom"/>
            <w:tcBorders>
              <w:bottom w:val="single" w:sz="8" w:color="auto"/>
            </w:tcBorders>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(27,255)</w:t>
            </w:r>
          </w:p>
        </w:tc>
        <w:tc>
          <w:tcPr>
            <w:tcW w:w="100" w:type="dxa"/>
            <w:vAlign w:val="bottom"/>
            <w:tcBorders>
              <w:bottom w:val="single" w:sz="8" w:color="D1EDF5"/>
            </w:tcBorders>
            <w:shd w:val="clear" w:color="auto" w:fill="D1EDF5"/>
          </w:tcPr>
          <w:p>
            <w:pPr>
              <w:spacing w:after="0"/>
              <w:rPr>
                <w:sz w:val="18"/>
                <w:szCs w:val="18"/>
                <w:color w:val="auto"/>
              </w:rPr>
            </w:pPr>
          </w:p>
        </w:tc>
        <w:tc>
          <w:tcPr>
            <w:tcW w:w="340" w:type="dxa"/>
            <w:vAlign w:val="bottom"/>
            <w:tcBorders>
              <w:bottom w:val="single" w:sz="8" w:color="D1EDF5"/>
            </w:tcBorders>
            <w:shd w:val="clear" w:color="auto" w:fill="D1EDF5"/>
          </w:tcPr>
          <w:p>
            <w:pPr>
              <w:spacing w:after="0"/>
              <w:rPr>
                <w:sz w:val="18"/>
                <w:szCs w:val="18"/>
                <w:color w:val="auto"/>
              </w:rPr>
            </w:pPr>
          </w:p>
        </w:tc>
        <w:tc>
          <w:tcPr>
            <w:tcW w:w="700" w:type="dxa"/>
            <w:vAlign w:val="bottom"/>
            <w:tcBorders>
              <w:bottom w:val="single" w:sz="8" w:color="D1EDF5"/>
            </w:tcBorders>
            <w:shd w:val="clear" w:color="auto" w:fill="D1EDF5"/>
          </w:tcPr>
          <w:p>
            <w:pPr>
              <w:ind w:left="180"/>
              <w:spacing w:after="0"/>
              <w:rPr>
                <w:sz w:val="20"/>
                <w:szCs w:val="20"/>
                <w:color w:val="auto"/>
              </w:rPr>
            </w:pPr>
            <w:r>
              <w:rPr>
                <w:rFonts w:ascii="Times New Roman" w:cs="Times New Roman" w:eastAsia="Times New Roman" w:hAnsi="Times New Roman"/>
                <w:sz w:val="15"/>
                <w:szCs w:val="15"/>
                <w:color w:val="auto"/>
              </w:rPr>
              <w:t>(22.3)</w:t>
            </w:r>
          </w:p>
        </w:tc>
        <w:tc>
          <w:tcPr>
            <w:tcW w:w="0" w:type="dxa"/>
            <w:vAlign w:val="bottom"/>
          </w:tcPr>
          <w:p>
            <w:pPr>
              <w:spacing w:after="0"/>
              <w:rPr>
                <w:sz w:val="1"/>
                <w:szCs w:val="1"/>
                <w:color w:val="auto"/>
              </w:rPr>
            </w:pPr>
          </w:p>
        </w:tc>
      </w:tr>
      <w:tr>
        <w:trPr>
          <w:trHeight w:val="20"/>
        </w:trPr>
        <w:tc>
          <w:tcPr>
            <w:tcW w:w="604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8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68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4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Product. </w:t>
      </w:r>
      <w:r>
        <w:rPr>
          <w:rFonts w:ascii="Times New Roman" w:cs="Times New Roman" w:eastAsia="Times New Roman" w:hAnsi="Times New Roman"/>
          <w:sz w:val="17"/>
          <w:szCs w:val="17"/>
          <w:color w:val="auto"/>
        </w:rPr>
        <w:t>The $25.9 million decrease in product cost of revenues is primarily due to decreased product revenues.</w:t>
      </w:r>
    </w:p>
    <w:p>
      <w:pPr>
        <w:spacing w:after="0" w:line="160" w:lineRule="exact"/>
        <w:rPr>
          <w:sz w:val="20"/>
          <w:szCs w:val="20"/>
          <w:color w:val="auto"/>
        </w:rPr>
      </w:pPr>
    </w:p>
    <w:p>
      <w:pPr>
        <w:ind w:left="240" w:right="140"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Software services and other. </w:t>
      </w:r>
      <w:r>
        <w:rPr>
          <w:rFonts w:ascii="Times New Roman" w:cs="Times New Roman" w:eastAsia="Times New Roman" w:hAnsi="Times New Roman"/>
          <w:sz w:val="17"/>
          <w:szCs w:val="17"/>
          <w:color w:val="auto"/>
        </w:rPr>
        <w:t>The $1.4 million decrease in software services and other cost of revenues is primarily due to decreased outside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costs related to Inseego Subscribe revenues, decreased annual incentive bonus accruals, and decreased non-recurring engineering revenues and the related costs of performing those services.</w:t>
      </w:r>
    </w:p>
    <w:p>
      <w:pPr>
        <w:spacing w:after="0" w:line="126"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Gross profit. </w:t>
      </w:r>
      <w:r>
        <w:rPr>
          <w:rFonts w:ascii="Times New Roman" w:cs="Times New Roman" w:eastAsia="Times New Roman" w:hAnsi="Times New Roman"/>
          <w:sz w:val="17"/>
          <w:szCs w:val="17"/>
          <w:color w:val="auto"/>
        </w:rPr>
        <w:t>Gross profit for the year ended December 31, 2025 was $71.0 million, or a gross margin of 42.7%, compared to $68.8 million, or a gross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margin of 36.0%, for the same period in 2024. The increase in both gross profit and gross margin is primarily due to increased higher margin Inseego Subscribe service and fixed wireless access solutions product revenues, both in total and as a percentage of total revenues, partially offset by decreased mobile solutions product revenues.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Operating costs and expenses. </w:t>
      </w:r>
      <w:r>
        <w:rPr>
          <w:rFonts w:ascii="Times New Roman" w:cs="Times New Roman" w:eastAsia="Times New Roman" w:hAnsi="Times New Roman"/>
          <w:sz w:val="17"/>
          <w:szCs w:val="17"/>
          <w:color w:val="auto"/>
        </w:rPr>
        <w:t>The following table summarizes operating costs and expenses (dollars in thousands):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120" w:type="dxa"/>
            <w:vAlign w:val="bottom"/>
            <w:tcBorders>
              <w:bottom w:val="single" w:sz="8" w:color="D1EDF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D1ED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D1EDF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40" w:type="dxa"/>
            <w:vAlign w:val="bottom"/>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19,801</w:t>
            </w:r>
          </w:p>
        </w:tc>
        <w:tc>
          <w:tcPr>
            <w:tcW w:w="100" w:type="dxa"/>
            <w:vAlign w:val="bottom"/>
            <w:shd w:val="clear" w:color="auto" w:fill="D1EDF5"/>
          </w:tcPr>
          <w:p>
            <w:pPr>
              <w:spacing w:after="0"/>
              <w:rPr>
                <w:sz w:val="17"/>
                <w:szCs w:val="17"/>
                <w:color w:val="auto"/>
              </w:rPr>
            </w:pPr>
          </w:p>
        </w:tc>
        <w:tc>
          <w:tcPr>
            <w:tcW w:w="360" w:type="dxa"/>
            <w:vAlign w:val="bottom"/>
            <w:shd w:val="clear" w:color="auto" w:fill="D1EDF5"/>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20,596</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1"/>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0" w:type="dxa"/>
            <w:vAlign w:val="bottom"/>
          </w:tcPr>
          <w:p>
            <w:pPr>
              <w:spacing w:after="0"/>
              <w:rPr>
                <w:sz w:val="1"/>
                <w:szCs w:val="1"/>
                <w:color w:val="auto"/>
              </w:rPr>
            </w:pPr>
          </w:p>
        </w:tc>
      </w:tr>
      <w:tr>
        <w:trPr>
          <w:trHeight w:val="206"/>
        </w:trPr>
        <w:tc>
          <w:tcPr>
            <w:tcW w:w="62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4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20,761</w:t>
            </w:r>
          </w:p>
        </w:tc>
        <w:tc>
          <w:tcPr>
            <w:tcW w:w="100" w:type="dxa"/>
            <w:vAlign w:val="bottom"/>
            <w:shd w:val="clear" w:color="auto" w:fill="D1EDF5"/>
          </w:tcPr>
          <w:p>
            <w:pPr>
              <w:spacing w:after="0"/>
              <w:rPr>
                <w:sz w:val="17"/>
                <w:szCs w:val="17"/>
                <w:color w:val="auto"/>
              </w:rPr>
            </w:pPr>
          </w:p>
        </w:tc>
        <w:tc>
          <w:tcPr>
            <w:tcW w:w="3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17,240</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3,521</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20.4 %</w:t>
            </w:r>
          </w:p>
        </w:tc>
        <w:tc>
          <w:tcPr>
            <w:tcW w:w="0" w:type="dxa"/>
            <w:vAlign w:val="bottom"/>
          </w:tcPr>
          <w:p>
            <w:pPr>
              <w:spacing w:after="0"/>
              <w:rPr>
                <w:sz w:val="1"/>
                <w:szCs w:val="1"/>
                <w:color w:val="auto"/>
              </w:rPr>
            </w:pPr>
          </w:p>
        </w:tc>
      </w:tr>
      <w:tr>
        <w:trPr>
          <w:trHeight w:val="201"/>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0" w:type="dxa"/>
            <w:vAlign w:val="bottom"/>
          </w:tcPr>
          <w:p>
            <w:pPr>
              <w:spacing w:after="0"/>
              <w:rPr>
                <w:sz w:val="1"/>
                <w:szCs w:val="1"/>
                <w:color w:val="auto"/>
              </w:rPr>
            </w:pPr>
          </w:p>
        </w:tc>
      </w:tr>
      <w:tr>
        <w:trPr>
          <w:trHeight w:val="206"/>
        </w:trPr>
        <w:tc>
          <w:tcPr>
            <w:tcW w:w="62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40" w:type="dxa"/>
            <w:vAlign w:val="bottom"/>
            <w:tcBorders>
              <w:bottom w:val="single" w:sz="8" w:color="auto"/>
            </w:tcBorders>
            <w:shd w:val="clear" w:color="auto" w:fill="D1EDF5"/>
          </w:tcPr>
          <w:p>
            <w:pPr>
              <w:spacing w:after="0"/>
              <w:rPr>
                <w:sz w:val="17"/>
                <w:szCs w:val="17"/>
                <w:color w:val="auto"/>
              </w:rPr>
            </w:pP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tcBorders>
              <w:bottom w:val="single" w:sz="8" w:color="auto"/>
            </w:tcBorders>
            <w:shd w:val="clear" w:color="auto" w:fill="D1EDF5"/>
          </w:tcPr>
          <w:p>
            <w:pPr>
              <w:spacing w:after="0"/>
              <w:rPr>
                <w:sz w:val="17"/>
                <w:szCs w:val="17"/>
                <w:color w:val="auto"/>
              </w:rPr>
            </w:pPr>
          </w:p>
        </w:tc>
        <w:tc>
          <w:tcPr>
            <w:tcW w:w="360" w:type="dxa"/>
            <w:vAlign w:val="bottom"/>
            <w:tcBorders>
              <w:bottom w:val="single" w:sz="8" w:color="auto"/>
            </w:tcBorders>
            <w:shd w:val="clear" w:color="auto" w:fill="D1EDF5"/>
          </w:tcPr>
          <w:p>
            <w:pPr>
              <w:spacing w:after="0"/>
              <w:rPr>
                <w:sz w:val="17"/>
                <w:szCs w:val="17"/>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0" w:type="dxa"/>
            <w:vAlign w:val="bottom"/>
          </w:tcPr>
          <w:p>
            <w:pPr>
              <w:spacing w:after="0"/>
              <w:rPr>
                <w:sz w:val="1"/>
                <w:szCs w:val="1"/>
                <w:color w:val="auto"/>
              </w:rPr>
            </w:pPr>
          </w:p>
        </w:tc>
      </w:tr>
      <w:tr>
        <w:trPr>
          <w:trHeight w:val="193"/>
        </w:trPr>
        <w:tc>
          <w:tcPr>
            <w:tcW w:w="6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66,680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67,082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firstLine="381"/>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for the year ended December 31, 2025 were $19.8 million, or 11.9%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revenues, compared to $20.6 million, or 10.8% of revenues, for the same period in 2024. The decrease in research and development expenses was primarily due to more research and development projects that were capitalizable during the year ended December 31, 2025, which resulted in a less research and development costs being recorded as operating expenses, and decreased annual incentive bonus accruals, partially offset by increased outside services costs and prototype and certification costs related to the Company’s increased development efforts for its next line of products.</w:t>
      </w:r>
    </w:p>
    <w:p>
      <w:pPr>
        <w:spacing w:after="0" w:line="116" w:lineRule="exact"/>
        <w:rPr>
          <w:sz w:val="20"/>
          <w:szCs w:val="20"/>
          <w:color w:val="auto"/>
        </w:rPr>
      </w:pPr>
    </w:p>
    <w:p>
      <w:pPr>
        <w:ind w:right="100"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Sales and marketing expenses. </w:t>
      </w:r>
      <w:r>
        <w:rPr>
          <w:rFonts w:ascii="Times New Roman" w:cs="Times New Roman" w:eastAsia="Times New Roman" w:hAnsi="Times New Roman"/>
          <w:sz w:val="17"/>
          <w:szCs w:val="17"/>
          <w:color w:val="auto"/>
        </w:rPr>
        <w:t>Sales and marketing expenses for the year ended December 31, 2025 were $17.4 million, or 10.5% of revenues,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$16.0 million, or 8.3% of revenues, for the same period in 2024. The increase in sales and marketing expenses was primarily due to increased sales personnel-related compensation costs as a result of an increase in overall sales headcount, partially offset by decreased sales commissions as a result of lower sales and decreased annual incentive bonus accruals.</w:t>
      </w:r>
    </w:p>
    <w:p>
      <w:pPr>
        <w:spacing w:after="0" w:line="125" w:lineRule="exact"/>
        <w:rPr>
          <w:sz w:val="20"/>
          <w:szCs w:val="20"/>
          <w:color w:val="auto"/>
        </w:rPr>
      </w:pPr>
    </w:p>
    <w:p>
      <w:pPr>
        <w:ind w:right="40"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for the year ended December 31, 2025 were $20.8 million, or 12.5%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revenues, compared to $17.2 million, or 9.0% of revenues, for the same period in 2024. The increase in general and administrative expense was primarily due to an increase in share-based compensation expense related to awards issued to the Company’s CEO who was hired in January 2025, partially offset by decreased annual incentive bonus accruals and a gain on early lease termination recorded during 2025.</w:t>
      </w:r>
    </w:p>
    <w:p>
      <w:pPr>
        <w:spacing w:after="0" w:line="113" w:lineRule="exact"/>
        <w:rPr>
          <w:sz w:val="20"/>
          <w:szCs w:val="20"/>
          <w:color w:val="auto"/>
        </w:rPr>
      </w:pPr>
    </w:p>
    <w:p>
      <w:pPr>
        <w:ind w:right="160"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Depreciation and amortization expenses for the year ended December 31, 2025 was $8.3 million, or 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revenues, compared to $12.4 million, or 6.5% of revenues, for the same period in 2024. The decrease in depreciation and amortization expenses was primarily due to the capitalized costs on the Company’s next generation of software intended for sale being capitalized but not amortizable during all or most of the year ended December 31, 2025 and the ending of the useful life of certain amortizable purchased intangibles.</w:t>
      </w:r>
    </w:p>
    <w:p>
      <w:pPr>
        <w:spacing w:after="0" w:line="113" w:lineRule="exact"/>
        <w:rPr>
          <w:sz w:val="20"/>
          <w:szCs w:val="20"/>
          <w:color w:val="auto"/>
        </w:rPr>
      </w:pPr>
    </w:p>
    <w:p>
      <w:pPr>
        <w:ind w:right="240" w:firstLine="381"/>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of capitalized software. </w:t>
      </w:r>
      <w:r>
        <w:rPr>
          <w:rFonts w:ascii="Times New Roman" w:cs="Times New Roman" w:eastAsia="Times New Roman" w:hAnsi="Times New Roman"/>
          <w:sz w:val="17"/>
          <w:szCs w:val="17"/>
          <w:color w:val="auto"/>
        </w:rPr>
        <w:t>For the years ended December 31, 2025 and 2024, we recorded impairments of $0.4 million and $0.9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income (expense). </w:t>
      </w:r>
      <w:r>
        <w:rPr>
          <w:rFonts w:ascii="Times New Roman" w:cs="Times New Roman" w:eastAsia="Times New Roman" w:hAnsi="Times New Roman"/>
          <w:sz w:val="17"/>
          <w:szCs w:val="17"/>
          <w:color w:val="auto"/>
        </w:rPr>
        <w:t>The following table summarizes other income (expense)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D1ED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D1EDF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Loss on debt restructurings, net</w:t>
            </w:r>
          </w:p>
        </w:tc>
        <w:tc>
          <w:tcPr>
            <w:tcW w:w="240" w:type="dxa"/>
            <w:vAlign w:val="bottom"/>
            <w:shd w:val="clear" w:color="auto" w:fill="D1EDF5"/>
          </w:tcPr>
          <w:p>
            <w:pPr>
              <w:spacing w:after="0"/>
              <w:rPr>
                <w:sz w:val="17"/>
                <w:szCs w:val="17"/>
                <w:color w:val="auto"/>
              </w:rPr>
            </w:pPr>
          </w:p>
        </w:tc>
        <w:tc>
          <w:tcPr>
            <w:tcW w:w="90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6200" w:type="dxa"/>
            <w:vAlign w:val="bottom"/>
          </w:tcPr>
          <w:p>
            <w:pPr>
              <w:spacing w:after="0"/>
              <w:rPr>
                <w:sz w:val="20"/>
                <w:szCs w:val="20"/>
                <w:color w:val="auto"/>
              </w:rPr>
            </w:pPr>
            <w:r>
              <w:rPr>
                <w:rFonts w:ascii="Times New Roman" w:cs="Times New Roman" w:eastAsia="Times New Roman" w:hAnsi="Times New Roman"/>
                <w:sz w:val="15"/>
                <w:szCs w:val="15"/>
                <w:color w:val="auto"/>
              </w:rPr>
              <w:t>Loss on extinguishment of revolving credit facility</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6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shd w:val="clear" w:color="auto" w:fill="D1EDF5"/>
          </w:tcPr>
          <w:p>
            <w:pPr>
              <w:spacing w:after="0"/>
              <w:rPr>
                <w:sz w:val="17"/>
                <w:szCs w:val="17"/>
                <w:color w:val="auto"/>
              </w:rPr>
            </w:pPr>
          </w:p>
        </w:tc>
        <w:tc>
          <w:tcPr>
            <w:tcW w:w="8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(3,771)</w:t>
            </w:r>
          </w:p>
        </w:tc>
        <w:tc>
          <w:tcPr>
            <w:tcW w:w="100" w:type="dxa"/>
            <w:vAlign w:val="bottom"/>
            <w:shd w:val="clear" w:color="auto" w:fill="D1EDF5"/>
          </w:tcPr>
          <w:p>
            <w:pPr>
              <w:spacing w:after="0"/>
              <w:rPr>
                <w:sz w:val="17"/>
                <w:szCs w:val="17"/>
                <w:color w:val="auto"/>
              </w:rPr>
            </w:pPr>
          </w:p>
        </w:tc>
        <w:tc>
          <w:tcPr>
            <w:tcW w:w="3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6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7,135</w:t>
            </w:r>
          </w:p>
        </w:tc>
        <w:tc>
          <w:tcPr>
            <w:tcW w:w="100" w:type="dxa"/>
            <w:vAlign w:val="bottom"/>
            <w:shd w:val="clear" w:color="auto" w:fill="D1EDF5"/>
          </w:tcPr>
          <w:p>
            <w:pPr>
              <w:spacing w:after="0"/>
              <w:rPr>
                <w:sz w:val="17"/>
                <w:szCs w:val="17"/>
                <w:color w:val="auto"/>
              </w:rPr>
            </w:pPr>
          </w:p>
        </w:tc>
        <w:tc>
          <w:tcPr>
            <w:tcW w:w="34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0" w:type="dxa"/>
            <w:vAlign w:val="bottom"/>
          </w:tcPr>
          <w:p>
            <w:pPr>
              <w:spacing w:after="0"/>
              <w:rPr>
                <w:sz w:val="1"/>
                <w:szCs w:val="1"/>
                <w:color w:val="auto"/>
              </w:rPr>
            </w:pPr>
          </w:p>
        </w:tc>
      </w:tr>
      <w:tr>
        <w:trPr>
          <w:trHeight w:val="201"/>
        </w:trPr>
        <w:tc>
          <w:tcPr>
            <w:tcW w:w="6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00" w:type="dxa"/>
            <w:vAlign w:val="bottom"/>
            <w:tcBorders>
              <w:bottom w:val="single" w:sz="8" w:color="D1EDF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100" w:type="dxa"/>
            <w:vAlign w:val="bottom"/>
            <w:tcBorders>
              <w:bottom w:val="single" w:sz="8" w:color="D1EDF5"/>
            </w:tcBorders>
          </w:tcPr>
          <w:p>
            <w:pPr>
              <w:spacing w:after="0"/>
              <w:rPr>
                <w:sz w:val="17"/>
                <w:szCs w:val="17"/>
                <w:color w:val="auto"/>
              </w:rPr>
            </w:pPr>
          </w:p>
        </w:tc>
        <w:tc>
          <w:tcPr>
            <w:tcW w:w="340" w:type="dxa"/>
            <w:vAlign w:val="bottom"/>
            <w:tcBorders>
              <w:bottom w:val="single" w:sz="8" w:color="D1EDF5"/>
            </w:tcBorders>
          </w:tcPr>
          <w:p>
            <w:pPr>
              <w:spacing w:after="0"/>
              <w:rPr>
                <w:sz w:val="17"/>
                <w:szCs w:val="17"/>
                <w:color w:val="auto"/>
              </w:rPr>
            </w:pPr>
          </w:p>
        </w:tc>
        <w:tc>
          <w:tcPr>
            <w:tcW w:w="70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shd w:val="clear" w:color="auto" w:fill="D1EDF5"/>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(3,034)</w:t>
            </w:r>
          </w:p>
        </w:tc>
        <w:tc>
          <w:tcPr>
            <w:tcW w:w="100" w:type="dxa"/>
            <w:vAlign w:val="bottom"/>
            <w:tcBorders>
              <w:bottom w:val="single" w:sz="8" w:color="D1EDF5"/>
            </w:tcBorders>
            <w:shd w:val="clear" w:color="auto" w:fill="D1EDF5"/>
          </w:tcPr>
          <w:p>
            <w:pPr>
              <w:spacing w:after="0"/>
              <w:rPr>
                <w:sz w:val="18"/>
                <w:szCs w:val="18"/>
                <w:color w:val="auto"/>
              </w:rPr>
            </w:pPr>
          </w:p>
        </w:tc>
        <w:tc>
          <w:tcPr>
            <w:tcW w:w="360" w:type="dxa"/>
            <w:vAlign w:val="bottom"/>
            <w:tcBorders>
              <w:bottom w:val="single" w:sz="8" w:color="auto"/>
            </w:tcBorders>
            <w:shd w:val="clear" w:color="auto" w:fill="D1EDF5"/>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(15,395)</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12,361</w:t>
            </w:r>
          </w:p>
        </w:tc>
        <w:tc>
          <w:tcPr>
            <w:tcW w:w="100" w:type="dxa"/>
            <w:vAlign w:val="bottom"/>
            <w:tcBorders>
              <w:bottom w:val="single" w:sz="8" w:color="D1EDF5"/>
            </w:tcBorders>
            <w:shd w:val="clear" w:color="auto" w:fill="D1EDF5"/>
          </w:tcPr>
          <w:p>
            <w:pPr>
              <w:spacing w:after="0"/>
              <w:rPr>
                <w:sz w:val="18"/>
                <w:szCs w:val="18"/>
                <w:color w:val="auto"/>
              </w:rPr>
            </w:pPr>
          </w:p>
        </w:tc>
        <w:tc>
          <w:tcPr>
            <w:tcW w:w="340" w:type="dxa"/>
            <w:vAlign w:val="bottom"/>
            <w:tcBorders>
              <w:bottom w:val="single" w:sz="8" w:color="D1EDF5"/>
            </w:tcBorders>
            <w:shd w:val="clear" w:color="auto" w:fill="D1EDF5"/>
          </w:tcPr>
          <w:p>
            <w:pPr>
              <w:spacing w:after="0"/>
              <w:rPr>
                <w:sz w:val="18"/>
                <w:szCs w:val="18"/>
                <w:color w:val="auto"/>
              </w:rPr>
            </w:pPr>
          </w:p>
        </w:tc>
        <w:tc>
          <w:tcPr>
            <w:tcW w:w="700" w:type="dxa"/>
            <w:vAlign w:val="bottom"/>
            <w:tcBorders>
              <w:bottom w:val="single" w:sz="8" w:color="D1EDF5"/>
            </w:tcBorders>
            <w:shd w:val="clear" w:color="auto" w:fill="D1EDF5"/>
          </w:tcPr>
          <w:p>
            <w:pPr>
              <w:jc w:val="right"/>
              <w:ind w:right="85"/>
              <w:spacing w:after="0"/>
              <w:rPr>
                <w:sz w:val="20"/>
                <w:szCs w:val="20"/>
                <w:color w:val="auto"/>
              </w:rPr>
            </w:pPr>
            <w:r>
              <w:rPr>
                <w:rFonts w:ascii="Times New Roman" w:cs="Times New Roman" w:eastAsia="Times New Roman" w:hAnsi="Times New Roman"/>
                <w:sz w:val="15"/>
                <w:szCs w:val="15"/>
                <w:color w:val="auto"/>
              </w:rPr>
              <w:t>(80.3)</w:t>
            </w:r>
          </w:p>
        </w:tc>
        <w:tc>
          <w:tcPr>
            <w:tcW w:w="0" w:type="dxa"/>
            <w:vAlign w:val="bottom"/>
          </w:tcPr>
          <w:p>
            <w:pPr>
              <w:spacing w:after="0"/>
              <w:rPr>
                <w:sz w:val="1"/>
                <w:szCs w:val="1"/>
                <w:color w:val="auto"/>
              </w:rPr>
            </w:pPr>
          </w:p>
        </w:tc>
      </w:tr>
      <w:tr>
        <w:trPr>
          <w:trHeight w:val="20"/>
        </w:trPr>
        <w:tc>
          <w:tcPr>
            <w:tcW w:w="620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8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60" w:type="dxa"/>
            <w:vAlign w:val="bottom"/>
            <w:tcBorders>
              <w:top w:val="single" w:sz="8" w:color="D1EDF5"/>
              <w:bottom w:val="single" w:sz="8" w:color="auto"/>
            </w:tcBorders>
          </w:tcPr>
          <w:p>
            <w:pPr>
              <w:spacing w:after="0" w:line="20" w:lineRule="exact"/>
              <w:rPr>
                <w:sz w:val="1"/>
                <w:szCs w:val="1"/>
                <w:color w:val="auto"/>
              </w:rPr>
            </w:pPr>
          </w:p>
        </w:tc>
        <w:tc>
          <w:tcPr>
            <w:tcW w:w="68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68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4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46" w:lineRule="exact"/>
        <w:rPr>
          <w:sz w:val="20"/>
          <w:szCs w:val="20"/>
          <w:color w:val="auto"/>
        </w:rPr>
      </w:pPr>
    </w:p>
    <w:p>
      <w:pPr>
        <w:ind w:right="200"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The $7.1 million decrease in interest expense, net for the year ended December 31, 2025 over the same period in 2024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a result the Company’s various repurchases and exchanges of the 2025 Convertible Notes (as defined below) that occurred during 2024 and the full repayment of the remaining 2025 Convertible Notes on May 1, 2025, resulting in lower coupon interest, partially offset by interest expense on the Company’s 2029 Senior Secured Notes (as defined below) that were issued in the fourth quarter of 2024.</w:t>
      </w:r>
    </w:p>
    <w:p>
      <w:pPr>
        <w:spacing w:after="0" w:line="113" w:lineRule="exact"/>
        <w:rPr>
          <w:sz w:val="20"/>
          <w:szCs w:val="20"/>
          <w:color w:val="auto"/>
        </w:rPr>
      </w:pPr>
    </w:p>
    <w:p>
      <w:pPr>
        <w:ind w:right="160" w:firstLine="381"/>
        <w:spacing w:after="0" w:line="31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debt restructurings, net </w:t>
      </w:r>
      <w:r>
        <w:rPr>
          <w:rFonts w:ascii="Times New Roman" w:cs="Times New Roman" w:eastAsia="Times New Roman" w:hAnsi="Times New Roman"/>
          <w:sz w:val="16"/>
          <w:szCs w:val="16"/>
          <w:color w:val="auto"/>
        </w:rPr>
        <w:t>The $2.9 million net loss on debt restructurings for the year ended December 31, 2024 is a result of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2025 Convertible Notes restructurings entered into during 2024 as part of our overall capital structure management efforts, as described below.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1000" w:right="840" w:bottom="1440" w:gutter="0" w:footer="0" w:header="0"/>
        </w:sectPr>
      </w:pPr>
    </w:p>
    <w:bookmarkStart w:id="36" w:name="page37"/>
    <w:bookmarkEnd w:id="36"/>
    <w:p>
      <w:pPr>
        <w:ind w:right="80" w:firstLine="38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Loss on extinguishment of revolving credit facility </w:t>
      </w:r>
      <w:r>
        <w:rPr>
          <w:rFonts w:ascii="Times New Roman" w:cs="Times New Roman" w:eastAsia="Times New Roman" w:hAnsi="Times New Roman"/>
          <w:sz w:val="17"/>
          <w:szCs w:val="17"/>
          <w:color w:val="auto"/>
        </w:rPr>
        <w:t>The $0.8 million loss on extinguishment of revolving credit facility for the year ended December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31, 2024 relates to the voluntary early termination of the Company’s Prior Credit Facility (as defined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xml:space="preserve"> in the accompanying condensed consolidated financial statements) in April 2024.</w:t>
      </w:r>
    </w:p>
    <w:p>
      <w:pPr>
        <w:spacing w:after="0" w:line="106" w:lineRule="exact"/>
        <w:rPr>
          <w:sz w:val="20"/>
          <w:szCs w:val="20"/>
          <w:color w:val="auto"/>
        </w:rPr>
      </w:pPr>
    </w:p>
    <w:p>
      <w:pPr>
        <w:ind w:right="360" w:firstLine="381"/>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income (expense), net. </w:t>
      </w:r>
      <w:r>
        <w:rPr>
          <w:rFonts w:ascii="Times New Roman" w:cs="Times New Roman" w:eastAsia="Times New Roman" w:hAnsi="Times New Roman"/>
          <w:sz w:val="17"/>
          <w:szCs w:val="17"/>
          <w:color w:val="auto"/>
        </w:rPr>
        <w:t>Other income (expense), net for the years ended December 31, 2025 and 2024 was $0.7 million and $(0.9)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 The increase in other income, net was primarily due to interest income earned on money market fund accounts that the Company began investing in during the first quarter of 2025 and a decrease in other expenses that were incurred during 2024 related to the preliminary stages of the Company’s capital structure management efforts.</w:t>
      </w:r>
    </w:p>
    <w:p>
      <w:pPr>
        <w:spacing w:after="0" w:line="113" w:lineRule="exact"/>
        <w:rPr>
          <w:sz w:val="20"/>
          <w:szCs w:val="20"/>
          <w:color w:val="auto"/>
        </w:rPr>
      </w:pPr>
    </w:p>
    <w:p>
      <w:pPr>
        <w:ind w:right="460" w:firstLine="381"/>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 provision. </w:t>
      </w:r>
      <w:r>
        <w:rPr>
          <w:rFonts w:ascii="Times New Roman" w:cs="Times New Roman" w:eastAsia="Times New Roman" w:hAnsi="Times New Roman"/>
          <w:sz w:val="17"/>
          <w:szCs w:val="17"/>
          <w:color w:val="auto"/>
        </w:rPr>
        <w:t>Income tax provision for the years ended December 31, 2025 and 2024 was a provision of $0.0 million and $0.7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Income (loss) from discontinued operations, net of tax </w:t>
      </w:r>
      <w:r>
        <w:rPr>
          <w:rFonts w:ascii="Times New Roman" w:cs="Times New Roman" w:eastAsia="Times New Roman" w:hAnsi="Times New Roman"/>
          <w:sz w:val="17"/>
          <w:szCs w:val="17"/>
          <w:color w:val="auto"/>
        </w:rPr>
        <w:t>Income (Loss) from discontinued operations, net of tax for the years ended December 31,</w:t>
      </w:r>
    </w:p>
    <w:p>
      <w:pPr>
        <w:spacing w:after="0" w:line="1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7"/>
          <w:szCs w:val="17"/>
          <w:color w:val="auto"/>
        </w:rPr>
        <w:t>2025 and 2024 was $(0.4) million and $18.9 million, respectively. The change in income (loss) from discontinued operations is due to the sale of the Telematics Business in November 2024.</w:t>
      </w:r>
    </w:p>
    <w:p>
      <w:pPr>
        <w:spacing w:after="0" w:line="107" w:lineRule="exact"/>
        <w:rPr>
          <w:sz w:val="20"/>
          <w:szCs w:val="20"/>
          <w:color w:val="auto"/>
        </w:rPr>
      </w:pPr>
    </w:p>
    <w:p>
      <w:pPr>
        <w:ind w:right="20" w:firstLine="381"/>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Preferred stock dividends. </w:t>
      </w:r>
      <w:r>
        <w:rPr>
          <w:rFonts w:ascii="Times New Roman" w:cs="Times New Roman" w:eastAsia="Times New Roman" w:hAnsi="Times New Roman"/>
          <w:sz w:val="16"/>
          <w:szCs w:val="16"/>
          <w:color w:val="auto"/>
        </w:rPr>
        <w:t>During the years ended December 31, 2025 and 2024, we recorded dividends of $3.6 million and $3.3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on our Preferred Stock. As mentioned in Part I Item 1 above, in January 2026, all of the outstanding shares of Preferred Stock were exchanged by the Holder for a combination of cash, common stock, and an additional principal amount of the Company’s existing 2029 Senior Secured Notes.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Reverse Stock Split</w:t>
      </w:r>
    </w:p>
    <w:p>
      <w:pPr>
        <w:spacing w:after="0" w:line="151" w:lineRule="exact"/>
        <w:rPr>
          <w:sz w:val="20"/>
          <w:szCs w:val="20"/>
          <w:color w:val="auto"/>
        </w:rPr>
      </w:pPr>
    </w:p>
    <w:p>
      <w:pPr>
        <w:ind w:right="120" w:firstLine="381"/>
        <w:spacing w:after="0" w:line="245" w:lineRule="auto"/>
        <w:rPr>
          <w:sz w:val="20"/>
          <w:szCs w:val="20"/>
          <w:color w:val="auto"/>
        </w:rPr>
      </w:pPr>
      <w:r>
        <w:rPr>
          <w:rFonts w:ascii="Times New Roman" w:cs="Times New Roman" w:eastAsia="Times New Roman" w:hAnsi="Times New Roman"/>
          <w:sz w:val="17"/>
          <w:szCs w:val="17"/>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4" w:lineRule="exact"/>
        <w:rPr>
          <w:sz w:val="20"/>
          <w:szCs w:val="20"/>
          <w:color w:val="auto"/>
        </w:rPr>
      </w:pPr>
    </w:p>
    <w:p>
      <w:pPr>
        <w:ind w:right="260" w:firstLine="381"/>
        <w:spacing w:after="0" w:line="262" w:lineRule="auto"/>
        <w:rPr>
          <w:sz w:val="20"/>
          <w:szCs w:val="20"/>
          <w:color w:val="auto"/>
        </w:rPr>
      </w:pPr>
      <w:r>
        <w:rPr>
          <w:rFonts w:ascii="Times New Roman" w:cs="Times New Roman" w:eastAsia="Times New Roman" w:hAnsi="Times New Roman"/>
          <w:sz w:val="17"/>
          <w:szCs w:val="17"/>
          <w:color w:val="auto"/>
        </w:rPr>
        <w:t>As of December 31, 2025, the Company had available cash and cash equivalents totaling $24.9 million and maintained positive working capital of $15.6 million. The Company had cash inflows from operative activities of $7.2 million for the year ended December 31, 2025.</w:t>
      </w:r>
    </w:p>
    <w:p>
      <w:pPr>
        <w:spacing w:after="0" w:line="107"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December 31, 2025.</w:t>
      </w:r>
    </w:p>
    <w:p>
      <w:pPr>
        <w:spacing w:after="0" w:line="132" w:lineRule="exact"/>
        <w:rPr>
          <w:sz w:val="20"/>
          <w:szCs w:val="20"/>
          <w:color w:val="auto"/>
        </w:rPr>
      </w:pPr>
    </w:p>
    <w:p>
      <w:pPr>
        <w:jc w:val="both"/>
        <w:ind w:firstLine="381"/>
        <w:spacing w:after="0" w:line="244" w:lineRule="auto"/>
        <w:rPr>
          <w:sz w:val="20"/>
          <w:szCs w:val="20"/>
          <w:color w:val="auto"/>
        </w:rPr>
      </w:pPr>
      <w:r>
        <w:rPr>
          <w:rFonts w:ascii="Times New Roman" w:cs="Times New Roman" w:eastAsia="Times New Roman" w:hAnsi="Times New Roman"/>
          <w:sz w:val="17"/>
          <w:szCs w:val="17"/>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spacing w:after="0" w:line="124" w:lineRule="exact"/>
        <w:rPr>
          <w:sz w:val="20"/>
          <w:szCs w:val="20"/>
          <w:color w:val="auto"/>
        </w:rPr>
      </w:pPr>
    </w:p>
    <w:p>
      <w:pPr>
        <w:jc w:val="both"/>
        <w:ind w:firstLine="381"/>
        <w:spacing w:after="0" w:line="255" w:lineRule="auto"/>
        <w:rPr>
          <w:sz w:val="20"/>
          <w:szCs w:val="20"/>
          <w:color w:val="auto"/>
        </w:rPr>
      </w:pPr>
      <w:r>
        <w:rPr>
          <w:rFonts w:ascii="Times New Roman" w:cs="Times New Roman" w:eastAsia="Times New Roman" w:hAnsi="Times New Roman"/>
          <w:sz w:val="17"/>
          <w:szCs w:val="17"/>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113" w:lineRule="exact"/>
        <w:rPr>
          <w:sz w:val="20"/>
          <w:szCs w:val="20"/>
          <w:color w:val="auto"/>
        </w:rPr>
      </w:pPr>
    </w:p>
    <w:p>
      <w:pPr>
        <w:ind w:left="380"/>
        <w:spacing w:after="0" w:line="344" w:lineRule="auto"/>
        <w:rPr>
          <w:sz w:val="20"/>
          <w:szCs w:val="20"/>
          <w:color w:val="auto"/>
        </w:rPr>
      </w:pPr>
      <w:r>
        <w:rPr>
          <w:rFonts w:ascii="Times New Roman" w:cs="Times New Roman" w:eastAsia="Times New Roman" w:hAnsi="Times New Roman"/>
          <w:sz w:val="17"/>
          <w:szCs w:val="17"/>
          <w:color w:val="auto"/>
        </w:rPr>
        <w:t>As of December 31, 2025, there were no outstanding borrowings and availability to borrow under the Working Capital Facility was $14.5 million. The Company’s 3.25% convertible notes due in 2025 (the “2025 Convertible Notes”) had a principal balance of $14.9 million as of December 31,</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2024 and matured on May 1, 2025, at which time all outstanding principal and related accrued interest was paid-off in full. The Company’s 9.0% senior secured notes due in 2029 (the “2029 Senior Secured Notes”) had a principal balance of $40.9 million as of December 31, 2025 and mature on May 1, 2029. As noted above, January 14, 2026,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7" w:right="8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Company issued an additional $8.0 million in principal amount of the 2029 Senior Secured Notes in connection with the repurchase of the Preferred Stock.</w:t>
      </w:r>
    </w:p>
    <w:p>
      <w:pPr>
        <w:spacing w:after="0" w:line="135" w:lineRule="exact"/>
        <w:rPr>
          <w:sz w:val="20"/>
          <w:szCs w:val="20"/>
          <w:color w:val="auto"/>
        </w:rPr>
      </w:pPr>
    </w:p>
    <w:p>
      <w:pPr>
        <w:ind w:right="60" w:firstLine="381"/>
        <w:spacing w:after="0" w:line="238" w:lineRule="auto"/>
        <w:rPr>
          <w:sz w:val="20"/>
          <w:szCs w:val="20"/>
          <w:color w:val="auto"/>
        </w:rPr>
      </w:pPr>
      <w:r>
        <w:rPr>
          <w:rFonts w:ascii="Times New Roman" w:cs="Times New Roman" w:eastAsia="Times New Roman" w:hAnsi="Times New Roman"/>
          <w:sz w:val="17"/>
          <w:szCs w:val="17"/>
          <w:color w:val="auto"/>
        </w:rPr>
        <w:t>While the Company’s liquidity and financial results had several positive developments in 2024 and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42"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 and Commitments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December 31, 2025, our material contractual obligations consisted of the following:</w:t>
      </w:r>
    </w:p>
    <w:p>
      <w:pPr>
        <w:spacing w:after="0" w:line="160" w:lineRule="exact"/>
        <w:rPr>
          <w:sz w:val="20"/>
          <w:szCs w:val="20"/>
          <w:color w:val="auto"/>
        </w:rPr>
      </w:pPr>
    </w:p>
    <w:p>
      <w:pPr>
        <w:ind w:left="600" w:right="460" w:hanging="303"/>
        <w:spacing w:after="0" w:line="248" w:lineRule="auto"/>
        <w:tabs>
          <w:tab w:leader="none" w:pos="596" w:val="left"/>
        </w:tabs>
        <w:numPr>
          <w:ilvl w:val="0"/>
          <w:numId w:val="26"/>
        </w:numPr>
        <w:rPr>
          <w:rFonts w:ascii="Arial" w:cs="Arial" w:eastAsia="Arial" w:hAnsi="Arial"/>
          <w:sz w:val="17"/>
          <w:szCs w:val="17"/>
          <w:i w:val="1"/>
          <w:iCs w:val="1"/>
          <w:color w:val="auto"/>
        </w:rPr>
      </w:pPr>
      <w:r>
        <w:rPr>
          <w:rFonts w:ascii="Times New Roman" w:cs="Times New Roman" w:eastAsia="Times New Roman" w:hAnsi="Times New Roman"/>
          <w:sz w:val="17"/>
          <w:szCs w:val="17"/>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2025, our future payments under these noncancellable purchase obligations were approximately $101.2 million.</w:t>
      </w:r>
    </w:p>
    <w:p>
      <w:pPr>
        <w:spacing w:after="0" w:line="114" w:lineRule="exact"/>
        <w:rPr>
          <w:rFonts w:ascii="Arial" w:cs="Arial" w:eastAsia="Arial" w:hAnsi="Arial"/>
          <w:sz w:val="17"/>
          <w:szCs w:val="17"/>
          <w:i w:val="1"/>
          <w:iCs w:val="1"/>
          <w:color w:val="auto"/>
        </w:rPr>
      </w:pPr>
    </w:p>
    <w:p>
      <w:pPr>
        <w:ind w:left="600" w:hanging="303"/>
        <w:spacing w:after="0"/>
        <w:tabs>
          <w:tab w:leader="none" w:pos="600" w:val="left"/>
        </w:tabs>
        <w:numPr>
          <w:ilvl w:val="0"/>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 xml:space="preserve">$40.9 million in outstanding borrowings under the 2029 Senior Secured Notes; see Part IV Item 15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and</w:t>
      </w:r>
    </w:p>
    <w:p>
      <w:pPr>
        <w:spacing w:after="0" w:line="147" w:lineRule="exact"/>
        <w:rPr>
          <w:rFonts w:ascii="Times New Roman" w:cs="Times New Roman" w:eastAsia="Times New Roman" w:hAnsi="Times New Roman"/>
          <w:sz w:val="17"/>
          <w:szCs w:val="17"/>
          <w:b w:val="1"/>
          <w:bCs w:val="1"/>
          <w:i w:val="1"/>
          <w:iCs w:val="1"/>
          <w:color w:val="auto"/>
        </w:rPr>
      </w:pPr>
    </w:p>
    <w:p>
      <w:pPr>
        <w:ind w:left="600" w:hanging="303"/>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Operating lease liabilities that are included on our consolidated balance sheet; see Part IV Item 15 </w:t>
      </w:r>
      <w:r>
        <w:rPr>
          <w:rFonts w:ascii="Times New Roman" w:cs="Times New Roman" w:eastAsia="Times New Roman" w:hAnsi="Times New Roman"/>
          <w:sz w:val="17"/>
          <w:szCs w:val="17"/>
          <w:i w:val="1"/>
          <w:iCs w:val="1"/>
          <w:color w:val="auto"/>
        </w:rPr>
        <w:t>Note 12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Historical Cash Flows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consolidated statements of cash flows for the periods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Operating cash flows from continuing operations</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8,103</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26,657</w:t>
            </w:r>
          </w:p>
        </w:tc>
      </w:tr>
      <w:tr>
        <w:trPr>
          <w:trHeight w:val="201"/>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Operating cash flows from discontinued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6,862</w:t>
            </w:r>
          </w:p>
        </w:tc>
      </w:tr>
      <w:tr>
        <w:trPr>
          <w:trHeight w:val="198"/>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7,195</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33,519</w:t>
            </w:r>
          </w:p>
        </w:tc>
      </w:tr>
      <w:tr>
        <w:trPr>
          <w:trHeight w:val="241"/>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Investing cash flows from continuing operations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(9,277)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(5,061)</w:t>
            </w:r>
          </w:p>
        </w:tc>
      </w:tr>
      <w:tr>
        <w:trPr>
          <w:trHeight w:val="201"/>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Investing cash flows from discontinued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48,092</w:t>
            </w:r>
          </w:p>
        </w:tc>
      </w:tr>
      <w:tr>
        <w:trPr>
          <w:trHeight w:val="198"/>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(8,567)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43,031</w:t>
            </w:r>
          </w:p>
        </w:tc>
      </w:tr>
      <w:tr>
        <w:trPr>
          <w:trHeight w:val="241"/>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Financing cash flows from continuing operations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(13,431)</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(38,781)</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Financing cash flows from discontinued operations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200" w:type="dxa"/>
            <w:vAlign w:val="bottom"/>
            <w:tcBorders>
              <w:top w:val="single" w:sz="8" w:color="D1EDF5"/>
            </w:tcBorders>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tcBorders>
              <w:top w:val="single" w:sz="8" w:color="auto"/>
            </w:tcBorders>
            <w:shd w:val="clear" w:color="auto" w:fill="D1EDF5"/>
          </w:tcPr>
          <w:p>
            <w:pPr>
              <w:spacing w:after="0"/>
              <w:rPr>
                <w:sz w:val="17"/>
                <w:szCs w:val="17"/>
                <w:color w:val="auto"/>
              </w:rPr>
            </w:pPr>
          </w:p>
        </w:tc>
        <w:tc>
          <w:tcPr>
            <w:tcW w:w="860" w:type="dxa"/>
            <w:vAlign w:val="bottom"/>
            <w:tcBorders>
              <w:top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(13,431)</w:t>
            </w:r>
          </w:p>
        </w:tc>
        <w:tc>
          <w:tcPr>
            <w:tcW w:w="100" w:type="dxa"/>
            <w:vAlign w:val="bottom"/>
            <w:tcBorders>
              <w:top w:val="single" w:sz="8" w:color="D1EDF5"/>
            </w:tcBorders>
            <w:shd w:val="clear" w:color="auto" w:fill="D1EDF5"/>
          </w:tcPr>
          <w:p>
            <w:pPr>
              <w:spacing w:after="0"/>
              <w:rPr>
                <w:sz w:val="17"/>
                <w:szCs w:val="17"/>
                <w:color w:val="auto"/>
              </w:rPr>
            </w:pPr>
          </w:p>
        </w:tc>
        <w:tc>
          <w:tcPr>
            <w:tcW w:w="260" w:type="dxa"/>
            <w:vAlign w:val="bottom"/>
            <w:tcBorders>
              <w:top w:val="single" w:sz="8" w:color="auto"/>
            </w:tcBorders>
            <w:shd w:val="clear" w:color="auto" w:fill="D1EDF5"/>
          </w:tcPr>
          <w:p>
            <w:pPr>
              <w:spacing w:after="0"/>
              <w:rPr>
                <w:sz w:val="17"/>
                <w:szCs w:val="17"/>
                <w:color w:val="auto"/>
              </w:rPr>
            </w:pPr>
          </w:p>
        </w:tc>
        <w:tc>
          <w:tcPr>
            <w:tcW w:w="880" w:type="dxa"/>
            <w:vAlign w:val="bottom"/>
            <w:tcBorders>
              <w:top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(38,781)</w:t>
            </w:r>
          </w:p>
        </w:tc>
      </w:tr>
      <w:tr>
        <w:trPr>
          <w:trHeight w:val="241"/>
        </w:trPr>
        <w:tc>
          <w:tcPr>
            <w:tcW w:w="8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(582)</w:t>
            </w:r>
          </w:p>
        </w:tc>
      </w:tr>
      <w:tr>
        <w:trPr>
          <w:trHeight w:val="193"/>
        </w:trPr>
        <w:tc>
          <w:tcPr>
            <w:tcW w:w="8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37,187</w:t>
            </w:r>
          </w:p>
        </w:tc>
      </w:tr>
      <w:tr>
        <w:trPr>
          <w:trHeight w:val="223"/>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60" w:type="dxa"/>
            <w:vAlign w:val="bottom"/>
            <w:tcBorders>
              <w:bottom w:val="single" w:sz="8" w:color="auto"/>
            </w:tcBorders>
            <w:shd w:val="clear" w:color="auto" w:fill="D1EDF5"/>
          </w:tcPr>
          <w:p>
            <w:pPr>
              <w:spacing w:after="0"/>
              <w:rPr>
                <w:sz w:val="19"/>
                <w:szCs w:val="19"/>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39,596</w:t>
            </w:r>
          </w:p>
        </w:tc>
        <w:tc>
          <w:tcPr>
            <w:tcW w:w="100" w:type="dxa"/>
            <w:vAlign w:val="bottom"/>
            <w:tcBorders>
              <w:bottom w:val="single" w:sz="8" w:color="D1EDF5"/>
            </w:tcBorders>
            <w:shd w:val="clear" w:color="auto" w:fill="D1EDF5"/>
          </w:tcPr>
          <w:p>
            <w:pPr>
              <w:spacing w:after="0"/>
              <w:rPr>
                <w:sz w:val="19"/>
                <w:szCs w:val="19"/>
                <w:color w:val="auto"/>
              </w:rPr>
            </w:pPr>
          </w:p>
        </w:tc>
        <w:tc>
          <w:tcPr>
            <w:tcW w:w="260" w:type="dxa"/>
            <w:vAlign w:val="bottom"/>
            <w:tcBorders>
              <w:bottom w:val="single" w:sz="8" w:color="auto"/>
            </w:tcBorders>
            <w:shd w:val="clear" w:color="auto" w:fill="D1EDF5"/>
          </w:tcPr>
          <w:p>
            <w:pPr>
              <w:spacing w:after="0"/>
              <w:rPr>
                <w:sz w:val="19"/>
                <w:szCs w:val="19"/>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2,409</w:t>
            </w:r>
          </w:p>
        </w:tc>
      </w:tr>
      <w:tr>
        <w:trPr>
          <w:trHeight w:val="176"/>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24,886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39,596</w:t>
            </w: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51" w:lineRule="exact"/>
        <w:rPr>
          <w:sz w:val="20"/>
          <w:szCs w:val="20"/>
          <w:color w:val="auto"/>
        </w:rPr>
      </w:pPr>
    </w:p>
    <w:p>
      <w:pPr>
        <w:ind w:right="520" w:firstLine="381"/>
        <w:spacing w:after="0" w:line="278"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2025 is comprised of cash flows from continuing operations of $8.1 million and cash outflows from discontinued operations of $0.9 million. The cash inflows from</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38" w:name="page39"/>
    <w:bookmarkEnd w:id="38"/>
    <w:p>
      <w:pPr>
        <w:jc w:val="both"/>
        <w:ind w:right="240"/>
        <w:spacing w:after="0" w:line="293" w:lineRule="auto"/>
        <w:rPr>
          <w:sz w:val="20"/>
          <w:szCs w:val="20"/>
          <w:color w:val="auto"/>
        </w:rPr>
      </w:pPr>
      <w:r>
        <w:rPr>
          <w:rFonts w:ascii="Times New Roman" w:cs="Times New Roman" w:eastAsia="Times New Roman" w:hAnsi="Times New Roman"/>
          <w:sz w:val="16"/>
          <w:szCs w:val="16"/>
          <w:color w:val="auto"/>
        </w:rPr>
        <w:t>continuing operations were primarily related to net income from continuing operations of $1.2 million and non-cash charges, including depreciation and amortization of $8.4 million and share-based compensation expense of $7.4 million, partially offset by net cash used for working capital of $7.4 million.</w:t>
      </w:r>
    </w:p>
    <w:p>
      <w:pPr>
        <w:spacing w:after="0" w:line="97"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2024 is comprised of cash flows from continuing operations of $26.7 million and cash flows from discontinued operations of $6.9 million. The cash inflows from continuing operations were primarily related to net cash provided by working capital of $15.5 million and a net loss from continuing operations of $14.4 million that was fully offset by non-cash charges, including depreciation and amortization of $12.5 million, amortization of debt discount and issuance costs of $4.4 million, share-based compensation expense of $3.8 million, loss on debt restructurings of $2.9 million, non-cash operating lease expense of $1.0 million, capitalized software impairments of $0.9 million, and a loss on extinguishment of our revolving credit facility of $0.8 million.</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1" w:lineRule="exact"/>
        <w:rPr>
          <w:sz w:val="20"/>
          <w:szCs w:val="20"/>
          <w:color w:val="auto"/>
        </w:rPr>
      </w:pPr>
    </w:p>
    <w:p>
      <w:pPr>
        <w:ind w:right="160" w:firstLine="381"/>
        <w:spacing w:after="0" w:line="262" w:lineRule="auto"/>
        <w:rPr>
          <w:sz w:val="20"/>
          <w:szCs w:val="20"/>
          <w:color w:val="auto"/>
        </w:rPr>
      </w:pPr>
      <w:r>
        <w:rPr>
          <w:rFonts w:ascii="Times New Roman" w:cs="Times New Roman" w:eastAsia="Times New Roman" w:hAnsi="Times New Roman"/>
          <w:sz w:val="17"/>
          <w:szCs w:val="17"/>
          <w:color w:val="auto"/>
        </w:rPr>
        <w:t>Net cash used in investing activities during the year ended December 31, 2025 is primarily comprised of $8.6 million of cash outflows related to the development of software in support of our products and services.</w:t>
      </w:r>
    </w:p>
    <w:p>
      <w:pPr>
        <w:spacing w:after="0" w:line="119"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Net cash provided by investing activities during the year ended December 31, 2024 was primarily comprised of cash flows from discontinued operations of $48.1 million related to the divestiture of the Telematics Business, partially offset by $5.0 million of cash outflows related to the development of software in support of our products and services and $0.1 million of property, plant and equipment purchases.</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51" w:lineRule="exact"/>
        <w:rPr>
          <w:sz w:val="20"/>
          <w:szCs w:val="20"/>
          <w:color w:val="auto"/>
        </w:rPr>
      </w:pPr>
    </w:p>
    <w:p>
      <w:pPr>
        <w:ind w:right="500" w:firstLine="381"/>
        <w:spacing w:after="0" w:line="262" w:lineRule="auto"/>
        <w:rPr>
          <w:sz w:val="20"/>
          <w:szCs w:val="20"/>
          <w:color w:val="auto"/>
        </w:rPr>
      </w:pPr>
      <w:r>
        <w:rPr>
          <w:rFonts w:ascii="Times New Roman" w:cs="Times New Roman" w:eastAsia="Times New Roman" w:hAnsi="Times New Roman"/>
          <w:sz w:val="17"/>
          <w:szCs w:val="17"/>
          <w:color w:val="auto"/>
        </w:rPr>
        <w:t>Net cash used in financing activities during the year ended December 31, 2025 is primarily comprised of the repayment of the remaining $14.9 million 2025 Convertible Notes principal balance, partially offset by $1.0 million of cash received from exercises of common stock warrants.</w:t>
      </w:r>
    </w:p>
    <w:p>
      <w:pPr>
        <w:spacing w:after="0" w:line="119" w:lineRule="exact"/>
        <w:rPr>
          <w:sz w:val="20"/>
          <w:szCs w:val="20"/>
          <w:color w:val="auto"/>
        </w:rPr>
      </w:pPr>
    </w:p>
    <w:p>
      <w:pPr>
        <w:ind w:right="140" w:firstLine="381"/>
        <w:spacing w:after="0" w:line="248" w:lineRule="auto"/>
        <w:rPr>
          <w:sz w:val="20"/>
          <w:szCs w:val="20"/>
          <w:color w:val="auto"/>
        </w:rPr>
      </w:pPr>
      <w:r>
        <w:rPr>
          <w:rFonts w:ascii="Times New Roman" w:cs="Times New Roman" w:eastAsia="Times New Roman" w:hAnsi="Times New Roman"/>
          <w:sz w:val="17"/>
          <w:szCs w:val="17"/>
          <w:color w:val="auto"/>
        </w:rPr>
        <w:t>Net cash used in financing activities during the year ended December 31, 2024 is primarily comprised of cash outflows of $33.8 million from the repurchases of a portion of our convertible notes, $19.5 million from the full repayment of the Company’s Short-Term Loan and $4.9 million from the voluntary early termination and repayment of our revolving credit facility, partially offset by cash inflows of $19.4 million from the issuance of the Short-Term Loan, net of debt issuance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51" w:lineRule="exact"/>
        <w:rPr>
          <w:sz w:val="20"/>
          <w:szCs w:val="20"/>
          <w:color w:val="auto"/>
        </w:rPr>
      </w:pPr>
    </w:p>
    <w:p>
      <w:pPr>
        <w:ind w:right="80" w:firstLine="381"/>
        <w:spacing w:after="0" w:line="244"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upon our consolidated financial statements which are prepared in accordance with accounting principles that are generally accepted in the United States. The preparation of these consolidated financial statements requires us to make estimates and judgments that affect the reported amounts of assets and liabilities, related disclosure of contingent assets and liabilities at the date of the consolidated financial statements, and the reported amounts of revenues and expenses during the reporting period. We continually evaluate our estimates and judgments, the most critical of which are those related to capitalization and subsequent valuation of externally marketed software development costs and inventory valuation. We base our estimates and judgments on historical experience and other factors that we believe to be reasonable under the circumstances. Materially different results can occur as circumstances change and additional information becomes known.</w:t>
      </w:r>
    </w:p>
    <w:p>
      <w:pPr>
        <w:spacing w:after="0" w:line="125" w:lineRule="exact"/>
        <w:rPr>
          <w:sz w:val="20"/>
          <w:szCs w:val="20"/>
          <w:color w:val="auto"/>
        </w:rPr>
      </w:pPr>
    </w:p>
    <w:p>
      <w:pPr>
        <w:ind w:right="120" w:firstLine="381"/>
        <w:spacing w:after="0" w:line="248" w:lineRule="auto"/>
        <w:rPr>
          <w:sz w:val="20"/>
          <w:szCs w:val="20"/>
          <w:color w:val="auto"/>
        </w:rPr>
      </w:pPr>
      <w:r>
        <w:rPr>
          <w:rFonts w:ascii="Times New Roman" w:cs="Times New Roman" w:eastAsia="Times New Roman" w:hAnsi="Times New Roman"/>
          <w:sz w:val="17"/>
          <w:szCs w:val="17"/>
          <w:color w:val="auto"/>
        </w:rPr>
        <w:t xml:space="preserve">We believe that the following accounting estimates we have identified as critical involve a greater degree of judgment and complexity than our other accounting estimates. Accordingly, these are the estimates we believe are the most critical to understanding and evaluating our consolidated financial condition and results of operations. Refer to </w:t>
      </w:r>
      <w:r>
        <w:rPr>
          <w:rFonts w:ascii="Times New Roman" w:cs="Times New Roman" w:eastAsia="Times New Roman" w:hAnsi="Times New Roman"/>
          <w:sz w:val="17"/>
          <w:szCs w:val="17"/>
          <w:i w:val="1"/>
          <w:iCs w:val="1"/>
          <w:color w:val="auto"/>
        </w:rPr>
        <w:t>Note 1 – Nature of Business and Significant Accounting Policies</w:t>
      </w:r>
      <w:r>
        <w:rPr>
          <w:rFonts w:ascii="Times New Roman" w:cs="Times New Roman" w:eastAsia="Times New Roman" w:hAnsi="Times New Roman"/>
          <w:sz w:val="17"/>
          <w:szCs w:val="17"/>
          <w:color w:val="auto"/>
        </w:rPr>
        <w:t xml:space="preserve"> to our consolidated financial statements included elsewhere in this report for a summary of each of the related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Capitalization and Subsequent Valuation of Externally Marketed Software Development Costs</w:t>
      </w:r>
    </w:p>
    <w:p>
      <w:pPr>
        <w:spacing w:after="0" w:line="151" w:lineRule="exact"/>
        <w:rPr>
          <w:sz w:val="20"/>
          <w:szCs w:val="20"/>
          <w:color w:val="auto"/>
        </w:rPr>
      </w:pPr>
    </w:p>
    <w:p>
      <w:pPr>
        <w:ind w:right="80" w:firstLine="381"/>
        <w:spacing w:after="0" w:line="245" w:lineRule="auto"/>
        <w:rPr>
          <w:sz w:val="20"/>
          <w:szCs w:val="20"/>
          <w:color w:val="auto"/>
        </w:rPr>
      </w:pPr>
      <w:r>
        <w:rPr>
          <w:rFonts w:ascii="Times New Roman" w:cs="Times New Roman" w:eastAsia="Times New Roman" w:hAnsi="Times New Roman"/>
          <w:sz w:val="17"/>
          <w:szCs w:val="17"/>
          <w:color w:val="auto"/>
        </w:rPr>
        <w:t>Estimates in the capitalization and subsequent valuation of externally marketed software development costs involve a significant level of estimation uncertainty include our estimates of what costs are capitalizable and when they’re capitalizable, the proper useful life to amortize capitalized costs over, and the proper valuation of such capitalizable costs at each balance sheet date. These estimates are sensitive to determinations of project progress, expectations of the period over which the software will be sold, as well as forecasts of future demand for the externally marketed software. Any changes to such estimates, for example changes in the expected period over which the software will be sold, impact our consolidated financial results in periods subsequent to determining those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Valuation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91" w:right="840" w:bottom="1440" w:gutter="0" w:footer="0" w:header="0"/>
        </w:sectPr>
      </w:pPr>
    </w:p>
    <w:bookmarkStart w:id="39" w:name="page40"/>
    <w:bookmarkEnd w:id="39"/>
    <w:p>
      <w:pPr>
        <w:ind w:firstLine="381"/>
        <w:spacing w:after="0" w:line="244" w:lineRule="auto"/>
        <w:rPr>
          <w:sz w:val="20"/>
          <w:szCs w:val="20"/>
          <w:color w:val="auto"/>
        </w:rPr>
      </w:pPr>
      <w:r>
        <w:rPr>
          <w:rFonts w:ascii="Times New Roman" w:cs="Times New Roman" w:eastAsia="Times New Roman" w:hAnsi="Times New Roman"/>
          <w:sz w:val="17"/>
          <w:szCs w:val="17"/>
          <w:color w:val="auto"/>
        </w:rPr>
        <w:t>Estimates in the valuation of inventory that involve a significant level of estimation uncertainty include our estimates of excess and obsolete inventory based on forecasts of future demand for our products in inventory. Any changes to such estimates, for example differences in actual sales versus our estimates of demand, or conversely, the ultimate sell-through of fully reserved inventory for which we did not anticipate any future demand, impact our consolidated financial results in periods subsequent to recording those estimates. Other than our forecasts of future demand, there are no assumptions inherent in our estimates in the valuation of inventory that would result in sensitivity of reported amounts to such assumptions.</w:t>
      </w:r>
    </w:p>
    <w:p>
      <w:pPr>
        <w:spacing w:after="0" w:line="13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2029 Senior Secured Notes</w:t>
      </w:r>
    </w:p>
    <w:p>
      <w:pPr>
        <w:spacing w:after="0" w:line="164" w:lineRule="exact"/>
        <w:rPr>
          <w:sz w:val="20"/>
          <w:szCs w:val="20"/>
          <w:color w:val="auto"/>
        </w:rPr>
      </w:pPr>
    </w:p>
    <w:p>
      <w:pPr>
        <w:ind w:right="120" w:firstLine="381"/>
        <w:spacing w:after="0" w:line="248" w:lineRule="auto"/>
        <w:rPr>
          <w:sz w:val="20"/>
          <w:szCs w:val="20"/>
          <w:color w:val="auto"/>
        </w:rPr>
      </w:pPr>
      <w:r>
        <w:rPr>
          <w:rFonts w:ascii="Times New Roman" w:cs="Times New Roman" w:eastAsia="Times New Roman" w:hAnsi="Times New Roman"/>
          <w:sz w:val="17"/>
          <w:szCs w:val="17"/>
          <w:color w:val="auto"/>
        </w:rPr>
        <w:t>The Company’s only fixed-rate borrowings, made under the 2029 Senior Secured Notes, had an outstanding principal balance of $40.9 million as of December 31, 2025. We record all fixed-rate borrowings at amortized cost and therefore, any changes in interest rates do not impact the values that we report for these senior notes on our consolidated financial statements. As of December 31, 2025 and December 31, 2024, we had no variable-rate borrowings.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Working Capital Facility</w:t>
      </w:r>
    </w:p>
    <w:p>
      <w:pPr>
        <w:spacing w:after="0" w:line="151" w:lineRule="exact"/>
        <w:rPr>
          <w:sz w:val="20"/>
          <w:szCs w:val="20"/>
          <w:color w:val="auto"/>
        </w:rPr>
      </w:pPr>
    </w:p>
    <w:p>
      <w:pPr>
        <w:jc w:val="both"/>
        <w:ind w:firstLine="381"/>
        <w:spacing w:after="0" w:line="255" w:lineRule="auto"/>
        <w:rPr>
          <w:sz w:val="20"/>
          <w:szCs w:val="20"/>
          <w:color w:val="auto"/>
        </w:rPr>
      </w:pPr>
      <w:r>
        <w:rPr>
          <w:rFonts w:ascii="Times New Roman" w:cs="Times New Roman" w:eastAsia="Times New Roman" w:hAnsi="Times New Roman"/>
          <w:sz w:val="17"/>
          <w:szCs w:val="17"/>
          <w:color w:val="auto"/>
        </w:rPr>
        <w:t>We are exposed to interest rate risk associated with fluctuations in interest rates on our Working Capital Facility. As of December 31, 2025, assuming our Working Capital Facility was fully drawn up to the $15.0 million borrowing base, a 1% change in interest rates would result in a $0.2 million change in annualized interest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164" w:lineRule="exact"/>
        <w:rPr>
          <w:sz w:val="20"/>
          <w:szCs w:val="20"/>
          <w:color w:val="auto"/>
        </w:rPr>
      </w:pPr>
    </w:p>
    <w:p>
      <w:pPr>
        <w:jc w:val="both"/>
        <w:ind w:right="60" w:firstLine="381"/>
        <w:spacing w:after="0" w:line="248" w:lineRule="auto"/>
        <w:rPr>
          <w:sz w:val="20"/>
          <w:szCs w:val="20"/>
          <w:color w:val="auto"/>
        </w:rPr>
      </w:pPr>
      <w:r>
        <w:rPr>
          <w:rFonts w:ascii="Times New Roman" w:cs="Times New Roman" w:eastAsia="Times New Roman" w:hAnsi="Times New Roman"/>
          <w:sz w:val="17"/>
          <w:szCs w:val="17"/>
          <w:color w:val="auto"/>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Currency Risk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51" w:lineRule="exact"/>
        <w:rPr>
          <w:sz w:val="20"/>
          <w:szCs w:val="20"/>
          <w:color w:val="auto"/>
        </w:rPr>
      </w:pPr>
    </w:p>
    <w:p>
      <w:pPr>
        <w:ind w:right="200" w:firstLine="381"/>
        <w:spacing w:after="0" w:line="248"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2" w:lineRule="exact"/>
        <w:rPr>
          <w:sz w:val="20"/>
          <w:szCs w:val="20"/>
          <w:color w:val="auto"/>
        </w:rPr>
      </w:pPr>
    </w:p>
    <w:p>
      <w:pPr>
        <w:ind w:right="160" w:firstLine="381"/>
        <w:spacing w:after="0" w:line="244" w:lineRule="auto"/>
        <w:rPr>
          <w:sz w:val="20"/>
          <w:szCs w:val="20"/>
          <w:color w:val="auto"/>
        </w:rPr>
      </w:pPr>
      <w:r>
        <w:rPr>
          <w:rFonts w:ascii="Times New Roman" w:cs="Times New Roman" w:eastAsia="Times New Roman" w:hAnsi="Times New Roman"/>
          <w:sz w:val="17"/>
          <w:szCs w:val="17"/>
          <w:color w:val="auto"/>
        </w:rPr>
        <w:t>For the fiscal year ended December 31, 2025, sales denominated in foreign currencies were approximately 0.9% of total revenue. Our results of operations and cash flows are, therefore, subject to fluctuations due to changes in foreign currency exchange rates and may be adversely affected in the future due to changes in foreign exchange rates. For the twelve months ended December 31, 2025, a hypothetical 10% change in these foreign currencies would have increased or decreased our revenue by approximately $0.1 million. Actual gains and losses in the future may differ materially from the hypothetical gains and losses discussed above based on changes in the timing and amount of foreign currency exchange rate movements.</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consolidated financial statements and the Reports of Independent Registered Public Accounting Firms appear in Part IV of this report.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991" w:right="880" w:bottom="1440" w:gutter="0" w:footer="0" w:header="0"/>
        </w:sectPr>
      </w:pPr>
    </w:p>
    <w:bookmarkStart w:id="40" w:name="page41"/>
    <w:bookmarkEnd w:id="40"/>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4"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w:t>
      </w:r>
    </w:p>
    <w:p>
      <w:pPr>
        <w:spacing w:after="0" w:line="119"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As required by SEC rules, we carried out an evaluation, under the supervision and with the participation of our management, including our principal executive officer and our principal financial officer, of the effectiveness of the design and operation of our disclosure controls and procedures as of December 31, 2025, the end of the period covered by this report. Based on the foregoing, our principal executive officer and principal financial officer concluded that our disclosure controls and procedures were effective as of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64"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138" w:lineRule="exact"/>
        <w:rPr>
          <w:sz w:val="20"/>
          <w:szCs w:val="20"/>
          <w:color w:val="auto"/>
        </w:rPr>
      </w:pPr>
    </w:p>
    <w:p>
      <w:pPr>
        <w:ind w:right="80" w:firstLine="381"/>
        <w:spacing w:after="0" w:line="244"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Internal Control—Integrated Framework. Based on our evaluation under the framework in Internal Control—Integrated Framework, our management concluded that our internal control over financial reporting was effective as of December 31, 2025.</w:t>
      </w:r>
    </w:p>
    <w:p>
      <w:pPr>
        <w:spacing w:after="0" w:line="124" w:lineRule="exact"/>
        <w:rPr>
          <w:sz w:val="20"/>
          <w:szCs w:val="20"/>
          <w:color w:val="auto"/>
        </w:rPr>
      </w:pPr>
    </w:p>
    <w:p>
      <w:pPr>
        <w:jc w:val="both"/>
        <w:ind w:firstLine="381"/>
        <w:spacing w:after="0" w:line="256" w:lineRule="auto"/>
        <w:rPr>
          <w:sz w:val="20"/>
          <w:szCs w:val="20"/>
          <w:color w:val="auto"/>
        </w:rPr>
      </w:pPr>
      <w:r>
        <w:rPr>
          <w:rFonts w:ascii="Times New Roman" w:cs="Times New Roman" w:eastAsia="Times New Roman" w:hAnsi="Times New Roman"/>
          <w:sz w:val="17"/>
          <w:szCs w:val="17"/>
          <w:color w:val="auto"/>
        </w:rPr>
        <w:t>CBIZ CPAs P.C., the independent registered public accounting firm that audited the consolidated financial statements included in this Annual Report on Form 10-K, has also audited our internal control over financial reporting as of December 31, 2025. Their report on the effectiveness of the Company’s internal control over financial reporting is included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64"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An evaluation was also performed under the supervision and with the participation of our management, including our principal executive officer and our principal financial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ind w:left="940" w:right="100"/>
        <w:spacing w:after="0" w:line="292" w:lineRule="auto"/>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 Inseego Corp.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1"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7"/>
          <w:szCs w:val="17"/>
          <w:color w:val="auto"/>
        </w:rPr>
        <w:t>We have audited Inseego Corp.'s (the “Company”) internal control over financial reporting as of December 31, 2025,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2025, based on criteria established in COSO.</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balance sheet as of December 31, 2025 and the related consolidated statements of operations and</w:t>
      </w: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460"/>
          </w:cols>
          <w:pgMar w:left="840" w:top="987" w:right="940" w:bottom="1440" w:gutter="0" w:footer="0" w:header="0"/>
        </w:sectPr>
      </w:pPr>
    </w:p>
    <w:bookmarkStart w:id="41" w:name="page42"/>
    <w:bookmarkEnd w:id="41"/>
    <w:p>
      <w:pPr>
        <w:ind w:right="60"/>
        <w:spacing w:after="0" w:line="262" w:lineRule="auto"/>
        <w:rPr>
          <w:sz w:val="20"/>
          <w:szCs w:val="20"/>
          <w:color w:val="auto"/>
        </w:rPr>
      </w:pPr>
      <w:r>
        <w:rPr>
          <w:rFonts w:ascii="Times New Roman" w:cs="Times New Roman" w:eastAsia="Times New Roman" w:hAnsi="Times New Roman"/>
          <w:sz w:val="17"/>
          <w:szCs w:val="17"/>
          <w:color w:val="auto"/>
        </w:rPr>
        <w:t>comprehensive income, stockholders’ deficit, and cash flows and the related notes (collectively referred to as the “financial statements”) for the year ended December 31, 2025 of the Company, and our report dated February 19, 2026 expressed an unqualified opinion on those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CBIZ CPAs P.C.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CBIZ CPAs P.C.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rPr>
          <w:sz w:val="20"/>
          <w:szCs w:val="20"/>
          <w:color w:val="auto"/>
        </w:rPr>
      </w:pPr>
      <w:r>
        <w:rPr>
          <w:rFonts w:ascii="Times New Roman" w:cs="Times New Roman" w:eastAsia="Times New Roman" w:hAnsi="Times New Roman"/>
          <w:sz w:val="17"/>
          <w:szCs w:val="17"/>
          <w:color w:val="auto"/>
        </w:rPr>
        <w:t>February 19, 2026</w:t>
      </w:r>
    </w:p>
    <w:p>
      <w:pPr>
        <w:spacing w:after="0" w:line="1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826" w:right="8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10, 11, 12, 13 and 14.</w:t>
      </w:r>
    </w:p>
    <w:p>
      <w:pPr>
        <w:spacing w:after="0" w:line="151" w:lineRule="exact"/>
        <w:rPr>
          <w:sz w:val="20"/>
          <w:szCs w:val="20"/>
          <w:color w:val="auto"/>
        </w:rPr>
      </w:pPr>
    </w:p>
    <w:p>
      <w:pPr>
        <w:ind w:right="180" w:firstLine="381"/>
        <w:spacing w:after="0" w:line="256" w:lineRule="auto"/>
        <w:rPr>
          <w:sz w:val="20"/>
          <w:szCs w:val="20"/>
          <w:color w:val="auto"/>
        </w:rPr>
      </w:pPr>
      <w:r>
        <w:rPr>
          <w:rFonts w:ascii="Times New Roman" w:cs="Times New Roman" w:eastAsia="Times New Roman" w:hAnsi="Times New Roman"/>
          <w:sz w:val="17"/>
          <w:szCs w:val="17"/>
          <w:color w:val="auto"/>
        </w:rPr>
        <w:t>The information required by Items 10, 11, 12, 13 and 14 is incorporated by reference from the Company’s definitive proxy statement for the 2026 Annual Meeting of Stockholders or an amendment to this report, which the Company intends to file with the SEC within 120 days of the end of the fiscal year end to which this report relates.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 and Financial Statement Schedules</w:t>
      </w:r>
    </w:p>
    <w:p>
      <w:pPr>
        <w:spacing w:after="0" w:line="164" w:lineRule="exact"/>
        <w:rPr>
          <w:sz w:val="20"/>
          <w:szCs w:val="20"/>
          <w:color w:val="auto"/>
        </w:rPr>
      </w:pPr>
    </w:p>
    <w:p>
      <w:pPr>
        <w:ind w:left="900" w:right="280" w:hanging="532"/>
        <w:spacing w:after="0" w:line="262" w:lineRule="auto"/>
        <w:tabs>
          <w:tab w:leader="none" w:pos="880" w:val="left"/>
        </w:tabs>
        <w:rPr>
          <w:sz w:val="20"/>
          <w:szCs w:val="20"/>
          <w:color w:val="auto"/>
        </w:rPr>
      </w:pPr>
      <w:r>
        <w:rPr>
          <w:rFonts w:ascii="Times New Roman" w:cs="Times New Roman" w:eastAsia="Times New Roman" w:hAnsi="Times New Roman"/>
          <w:sz w:val="17"/>
          <w:szCs w:val="17"/>
          <w:color w:val="auto"/>
        </w:rPr>
        <w:t>(a)(1)</w:t>
        <w:tab/>
        <w:t>The Company’s consolidated financial statements and report of the CBIZ CPAs P.C., Independent Registered Public Accounting Firm, are included in Section IV of this report beginning on page F-1.</w:t>
      </w:r>
    </w:p>
    <w:p>
      <w:pPr>
        <w:spacing w:after="0" w:line="107" w:lineRule="exact"/>
        <w:rPr>
          <w:sz w:val="20"/>
          <w:szCs w:val="20"/>
          <w:color w:val="auto"/>
        </w:rPr>
      </w:pPr>
    </w:p>
    <w:p>
      <w:pPr>
        <w:ind w:left="900" w:right="60" w:hanging="532"/>
        <w:spacing w:after="0" w:line="278" w:lineRule="auto"/>
        <w:tabs>
          <w:tab w:leader="none" w:pos="880" w:val="left"/>
        </w:tabs>
        <w:rPr>
          <w:sz w:val="20"/>
          <w:szCs w:val="20"/>
          <w:color w:val="auto"/>
        </w:rPr>
      </w:pPr>
      <w:r>
        <w:rPr>
          <w:rFonts w:ascii="Times New Roman" w:cs="Times New Roman" w:eastAsia="Times New Roman" w:hAnsi="Times New Roman"/>
          <w:sz w:val="17"/>
          <w:szCs w:val="17"/>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93" w:lineRule="exact"/>
        <w:rPr>
          <w:sz w:val="20"/>
          <w:szCs w:val="20"/>
          <w:color w:val="auto"/>
        </w:rPr>
      </w:pPr>
    </w:p>
    <w:p>
      <w:pPr>
        <w:ind w:left="380"/>
        <w:spacing w:after="0"/>
        <w:tabs>
          <w:tab w:leader="none" w:pos="900" w:val="left"/>
        </w:tabs>
        <w:rPr>
          <w:sz w:val="20"/>
          <w:szCs w:val="20"/>
          <w:color w:val="auto"/>
        </w:rPr>
      </w:pPr>
      <w:r>
        <w:rPr>
          <w:rFonts w:ascii="Times New Roman" w:cs="Times New Roman" w:eastAsia="Times New Roman" w:hAnsi="Times New Roman"/>
          <w:sz w:val="17"/>
          <w:szCs w:val="17"/>
          <w:color w:val="auto"/>
        </w:rPr>
        <w:t>(a)(3)</w:t>
        <w:tab/>
        <w:t>Exhibits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tcPr>
          <w:p>
            <w:pPr>
              <w:ind w:left="200"/>
              <w:spacing w:after="0"/>
              <w:rPr>
                <w:sz w:val="20"/>
                <w:szCs w:val="20"/>
                <w:color w:val="auto"/>
              </w:rPr>
            </w:pPr>
            <w:r>
              <w:rPr>
                <w:rFonts w:ascii="Times New Roman" w:cs="Times New Roman" w:eastAsia="Times New Roman" w:hAnsi="Times New Roman"/>
                <w:sz w:val="15"/>
                <w:szCs w:val="15"/>
                <w:b w:val="1"/>
                <w:bCs w:val="1"/>
                <w:color w:val="auto"/>
              </w:rPr>
              <w:t>Incorporated by Reference to: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000" w:type="dxa"/>
            <w:vAlign w:val="bottom"/>
            <w:tcBorders>
              <w:top w:val="single" w:sz="8" w:color="auto"/>
              <w:bottom w:val="single" w:sz="8" w:color="auto"/>
            </w:tcBorders>
            <w:gridSpan w:val="30"/>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Filing Date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Amended and Restated Certificate of Incorporation.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Borders>
              <w:top w:val="single" w:sz="8" w:color="0D248E"/>
              <w:bottom w:val="single" w:sz="8" w:color="0D248E"/>
            </w:tcBorders>
            <w:gridSpan w:val="5"/>
          </w:tcPr>
          <w:p>
            <w:pPr>
              <w:spacing w:after="0"/>
              <w:rPr>
                <w:sz w:val="20"/>
                <w:szCs w:val="20"/>
                <w:color w:val="auto"/>
              </w:rPr>
            </w:pPr>
            <w:r>
              <w:rPr>
                <w:rFonts w:ascii="Times New Roman" w:cs="Times New Roman" w:eastAsia="Times New Roman" w:hAnsi="Times New Roman"/>
                <w:sz w:val="17"/>
                <w:szCs w:val="17"/>
                <w:color w:val="0D248E"/>
                <w:w w:val="98"/>
              </w:rPr>
              <w:t>Amended and Restated Bylaws.</w:t>
            </w:r>
          </w:p>
        </w:tc>
        <w:tc>
          <w:tcPr>
            <w:tcW w:w="1340" w:type="dxa"/>
            <w:vAlign w:val="bottom"/>
            <w:tcBorders>
              <w:top w:val="single" w:sz="8" w:color="0D248E"/>
            </w:tcBorders>
            <w:gridSpan w:val="9"/>
          </w:tcPr>
          <w:p>
            <w:pPr>
              <w:spacing w:after="0"/>
              <w:rPr>
                <w:sz w:val="19"/>
                <w:szCs w:val="19"/>
                <w:color w:val="auto"/>
              </w:rPr>
            </w:pPr>
          </w:p>
        </w:tc>
        <w:tc>
          <w:tcPr>
            <w:tcW w:w="3500" w:type="dxa"/>
            <w:vAlign w:val="bottom"/>
            <w:gridSpan w:val="16"/>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5/9/2026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Certificate of Designation of Series E Fixed-Rate Cumulative Perpetual Preferred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8/13/2019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460" w:type="dxa"/>
            <w:vAlign w:val="bottom"/>
            <w:shd w:val="clear" w:color="auto" w:fill="0D248E"/>
          </w:tcPr>
          <w:p>
            <w:pPr>
              <w:spacing w:after="0" w:line="20" w:lineRule="exact"/>
              <w:rPr>
                <w:sz w:val="1"/>
                <w:szCs w:val="1"/>
                <w:color w:val="auto"/>
              </w:rPr>
            </w:pPr>
          </w:p>
        </w:tc>
        <w:tc>
          <w:tcPr>
            <w:tcW w:w="80" w:type="dxa"/>
            <w:vAlign w:val="bottom"/>
            <w:shd w:val="clear" w:color="auto" w:fill="0D248E"/>
          </w:tcPr>
          <w:p>
            <w:pPr>
              <w:spacing w:after="0" w:line="20" w:lineRule="exact"/>
              <w:rPr>
                <w:sz w:val="1"/>
                <w:szCs w:val="1"/>
                <w:color w:val="auto"/>
              </w:rPr>
            </w:pPr>
          </w:p>
        </w:tc>
        <w:tc>
          <w:tcPr>
            <w:tcW w:w="540" w:type="dxa"/>
            <w:vAlign w:val="bottom"/>
            <w:gridSpan w:val="2"/>
            <w:shd w:val="clear" w:color="auto" w:fill="0D248E"/>
          </w:tcPr>
          <w:p>
            <w:pPr>
              <w:spacing w:after="0" w:line="20" w:lineRule="exact"/>
              <w:rPr>
                <w:sz w:val="1"/>
                <w:szCs w:val="1"/>
                <w:color w:val="auto"/>
              </w:rPr>
            </w:pPr>
          </w:p>
        </w:tc>
        <w:tc>
          <w:tcPr>
            <w:tcW w:w="320" w:type="dxa"/>
            <w:vAlign w:val="bottom"/>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240" w:type="dxa"/>
            <w:vAlign w:val="bottom"/>
            <w:gridSpan w:val="2"/>
            <w:shd w:val="clear" w:color="auto" w:fill="0D248E"/>
          </w:tcPr>
          <w:p>
            <w:pPr>
              <w:spacing w:after="0" w:line="20" w:lineRule="exact"/>
              <w:rPr>
                <w:sz w:val="1"/>
                <w:szCs w:val="1"/>
                <w:color w:val="auto"/>
              </w:rPr>
            </w:pPr>
          </w:p>
        </w:tc>
        <w:tc>
          <w:tcPr>
            <w:tcW w:w="500" w:type="dxa"/>
            <w:vAlign w:val="bottom"/>
            <w:shd w:val="clear" w:color="auto" w:fill="0D248E"/>
          </w:tcPr>
          <w:p>
            <w:pPr>
              <w:spacing w:after="0" w:line="20" w:lineRule="exact"/>
              <w:rPr>
                <w:sz w:val="1"/>
                <w:szCs w:val="1"/>
                <w:color w:val="auto"/>
              </w:rPr>
            </w:pPr>
          </w:p>
        </w:tc>
        <w:tc>
          <w:tcPr>
            <w:tcW w:w="134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340" w:type="dxa"/>
            <w:vAlign w:val="bottom"/>
            <w:shd w:val="clear" w:color="auto" w:fill="0D248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Certificate of Amendment to Certificate of Designation of Series E Fixed-Rate Cumulative Perpetual</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3/10/2020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0D248E"/>
              <w:bottom w:val="single" w:sz="8" w:color="0D248E"/>
            </w:tcBorders>
            <w:gridSpan w:val="2"/>
          </w:tcPr>
          <w:p>
            <w:pPr>
              <w:spacing w:after="0" w:line="145" w:lineRule="exact"/>
              <w:rPr>
                <w:sz w:val="20"/>
                <w:szCs w:val="20"/>
                <w:color w:val="auto"/>
              </w:rPr>
            </w:pPr>
            <w:r>
              <w:rPr>
                <w:rFonts w:ascii="Times New Roman" w:cs="Times New Roman" w:eastAsia="Times New Roman" w:hAnsi="Times New Roman"/>
                <w:sz w:val="16"/>
                <w:szCs w:val="16"/>
                <w:color w:val="0D248E"/>
              </w:rPr>
              <w:t>Preferred Stock.</w:t>
            </w:r>
          </w:p>
        </w:tc>
        <w:tc>
          <w:tcPr>
            <w:tcW w:w="5740" w:type="dxa"/>
            <w:vAlign w:val="bottom"/>
            <w:tcBorders>
              <w:top w:val="single" w:sz="8" w:color="0D248E"/>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tcBorders>
              <w:bottom w:val="single" w:sz="8" w:color="0D248E"/>
            </w:tcBorders>
            <w:gridSpan w:val="25"/>
          </w:tcPr>
          <w:p>
            <w:pPr>
              <w:spacing w:after="0"/>
              <w:rPr>
                <w:sz w:val="20"/>
                <w:szCs w:val="20"/>
                <w:color w:val="auto"/>
              </w:rPr>
            </w:pPr>
            <w:r>
              <w:rPr>
                <w:rFonts w:ascii="Times New Roman" w:cs="Times New Roman" w:eastAsia="Times New Roman" w:hAnsi="Times New Roman"/>
                <w:sz w:val="17"/>
                <w:szCs w:val="17"/>
                <w:color w:val="0D248E"/>
                <w:w w:val="99"/>
              </w:rPr>
              <w:t>Certificate of Amendment of Certificate of Incorporation of Inseego Corp., dated January 23, 2024.</w:t>
            </w:r>
          </w:p>
        </w:tc>
        <w:tc>
          <w:tcPr>
            <w:tcW w:w="260" w:type="dxa"/>
            <w:vAlign w:val="bottom"/>
            <w:gridSpan w:val="5"/>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D248E"/>
            </w:tcBorders>
            <w:gridSpan w:val="13"/>
          </w:tcPr>
          <w:p>
            <w:pPr>
              <w:spacing w:after="0"/>
              <w:rPr>
                <w:sz w:val="20"/>
                <w:szCs w:val="20"/>
                <w:color w:val="auto"/>
              </w:rPr>
            </w:pPr>
            <w:r>
              <w:rPr>
                <w:rFonts w:ascii="Times New Roman" w:cs="Times New Roman" w:eastAsia="Times New Roman" w:hAnsi="Times New Roman"/>
                <w:sz w:val="17"/>
                <w:szCs w:val="17"/>
                <w:color w:val="0D248E"/>
                <w:w w:val="98"/>
              </w:rPr>
              <w:t>Form of Inseego Corp. Common Stock Certificate.</w:t>
            </w:r>
          </w:p>
        </w:tc>
        <w:tc>
          <w:tcPr>
            <w:tcW w:w="3560" w:type="dxa"/>
            <w:vAlign w:val="bottom"/>
            <w:gridSpan w:val="17"/>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11/9/2016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D248E"/>
            </w:tcBorders>
            <w:gridSpan w:val="18"/>
          </w:tcPr>
          <w:p>
            <w:pPr>
              <w:spacing w:after="0"/>
              <w:rPr>
                <w:sz w:val="20"/>
                <w:szCs w:val="20"/>
                <w:color w:val="auto"/>
              </w:rPr>
            </w:pPr>
            <w:r>
              <w:rPr>
                <w:rFonts w:ascii="Times New Roman" w:cs="Times New Roman" w:eastAsia="Times New Roman" w:hAnsi="Times New Roman"/>
                <w:sz w:val="17"/>
                <w:szCs w:val="17"/>
                <w:color w:val="0D248E"/>
                <w:w w:val="99"/>
              </w:rPr>
              <w:t>Description of Equity Securities Registered under Section 12 of the Exchange Act..</w:t>
            </w:r>
          </w:p>
        </w:tc>
        <w:tc>
          <w:tcPr>
            <w:tcW w:w="1360" w:type="dxa"/>
            <w:vAlign w:val="bottom"/>
            <w:gridSpan w:val="12"/>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Base Indenture, dated May 12, 2020, between Inseego Corp. and Wilmington Trust, National</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5/12/2020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top w:val="single" w:sz="8" w:color="0D248E"/>
              <w:bottom w:val="single" w:sz="8" w:color="0D248E"/>
            </w:tcBorders>
            <w:gridSpan w:val="3"/>
          </w:tcPr>
          <w:p>
            <w:pPr>
              <w:spacing w:after="0" w:line="145" w:lineRule="exact"/>
              <w:rPr>
                <w:sz w:val="20"/>
                <w:szCs w:val="20"/>
                <w:color w:val="auto"/>
              </w:rPr>
            </w:pPr>
            <w:r>
              <w:rPr>
                <w:rFonts w:ascii="Times New Roman" w:cs="Times New Roman" w:eastAsia="Times New Roman" w:hAnsi="Times New Roman"/>
                <w:sz w:val="16"/>
                <w:szCs w:val="16"/>
                <w:color w:val="0D248E"/>
              </w:rPr>
              <w:t>Association, as trustee.</w:t>
            </w:r>
          </w:p>
        </w:tc>
        <w:tc>
          <w:tcPr>
            <w:tcW w:w="4740" w:type="dxa"/>
            <w:vAlign w:val="bottom"/>
            <w:tcBorders>
              <w:top w:val="single" w:sz="8" w:color="0D248E"/>
            </w:tcBorders>
            <w:gridSpan w:val="18"/>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First Supplemental Indenture, dated May 12, 2020, between Inseego Corp. and Wilmington Trust,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5/12/2020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top w:val="single" w:sz="8" w:color="0D248E"/>
              <w:bottom w:val="single" w:sz="8" w:color="0D248E"/>
            </w:tcBorders>
            <w:gridSpan w:val="6"/>
          </w:tcPr>
          <w:p>
            <w:pPr>
              <w:spacing w:after="0" w:line="145" w:lineRule="exact"/>
              <w:rPr>
                <w:sz w:val="20"/>
                <w:szCs w:val="20"/>
                <w:color w:val="auto"/>
              </w:rPr>
            </w:pPr>
            <w:r>
              <w:rPr>
                <w:rFonts w:ascii="Times New Roman" w:cs="Times New Roman" w:eastAsia="Times New Roman" w:hAnsi="Times New Roman"/>
                <w:sz w:val="16"/>
                <w:szCs w:val="16"/>
                <w:color w:val="0D248E"/>
              </w:rPr>
              <w:t>National Association, as trustee.</w:t>
            </w:r>
          </w:p>
        </w:tc>
        <w:tc>
          <w:tcPr>
            <w:tcW w:w="4440" w:type="dxa"/>
            <w:vAlign w:val="bottom"/>
            <w:tcBorders>
              <w:top w:val="single" w:sz="8" w:color="0D248E"/>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Form of 3.25% convertible senior note due 2025.</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8/10/2020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1220" w:type="dxa"/>
            <w:vAlign w:val="bottom"/>
            <w:gridSpan w:val="3"/>
            <w:shd w:val="clear" w:color="auto" w:fill="0D248E"/>
          </w:tcPr>
          <w:p>
            <w:pPr>
              <w:spacing w:after="0" w:line="20" w:lineRule="exact"/>
              <w:rPr>
                <w:sz w:val="1"/>
                <w:szCs w:val="1"/>
                <w:color w:val="auto"/>
              </w:rPr>
            </w:pPr>
          </w:p>
        </w:tc>
        <w:tc>
          <w:tcPr>
            <w:tcW w:w="860" w:type="dxa"/>
            <w:vAlign w:val="bottom"/>
            <w:gridSpan w:val="3"/>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40" w:type="dxa"/>
            <w:vAlign w:val="bottom"/>
            <w:shd w:val="clear" w:color="auto" w:fill="0D248E"/>
          </w:tcPr>
          <w:p>
            <w:pPr>
              <w:spacing w:after="0" w:line="20" w:lineRule="exact"/>
              <w:rPr>
                <w:sz w:val="1"/>
                <w:szCs w:val="1"/>
                <w:color w:val="auto"/>
              </w:rPr>
            </w:pPr>
          </w:p>
        </w:tc>
        <w:tc>
          <w:tcPr>
            <w:tcW w:w="160" w:type="dxa"/>
            <w:vAlign w:val="bottom"/>
            <w:shd w:val="clear" w:color="auto" w:fill="0D248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8/7/2018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Registration Rights Agreement, dated August 6, 2018, by and among Inseego Corp. and the Investors</w:t>
            </w:r>
          </w:p>
        </w:tc>
        <w:tc>
          <w:tcPr>
            <w:tcW w:w="5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D248E"/>
              <w:bottom w:val="single" w:sz="8" w:color="0D248E"/>
            </w:tcBorders>
            <w:gridSpan w:val="16"/>
          </w:tcPr>
          <w:p>
            <w:pPr>
              <w:spacing w:after="0" w:line="171" w:lineRule="exact"/>
              <w:rPr>
                <w:sz w:val="20"/>
                <w:szCs w:val="20"/>
                <w:color w:val="auto"/>
              </w:rPr>
            </w:pPr>
            <w:r>
              <w:rPr>
                <w:rFonts w:ascii="Times New Roman" w:cs="Times New Roman" w:eastAsia="Times New Roman" w:hAnsi="Times New Roman"/>
                <w:sz w:val="17"/>
                <w:szCs w:val="17"/>
                <w:color w:val="0D248E"/>
                <w:w w:val="98"/>
              </w:rPr>
              <w:t>identified on Exhibit A to the Securities Purchase Agreement.</w:t>
            </w:r>
          </w:p>
        </w:tc>
        <w:tc>
          <w:tcPr>
            <w:tcW w:w="2680" w:type="dxa"/>
            <w:vAlign w:val="bottom"/>
            <w:tcBorders>
              <w:top w:val="single" w:sz="8" w:color="0D248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Indenture, dated as of November 6, 2024, by and among Inseego Corp. and Wilmington Savings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top w:val="single" w:sz="8" w:color="0D248E"/>
              <w:bottom w:val="single" w:sz="8" w:color="0D248E"/>
            </w:tcBorders>
            <w:gridSpan w:val="4"/>
          </w:tcPr>
          <w:p>
            <w:pPr>
              <w:spacing w:after="0" w:line="158" w:lineRule="exact"/>
              <w:rPr>
                <w:sz w:val="20"/>
                <w:szCs w:val="20"/>
                <w:color w:val="auto"/>
              </w:rPr>
            </w:pPr>
            <w:r>
              <w:rPr>
                <w:rFonts w:ascii="Times New Roman" w:cs="Times New Roman" w:eastAsia="Times New Roman" w:hAnsi="Times New Roman"/>
                <w:sz w:val="17"/>
                <w:szCs w:val="17"/>
                <w:color w:val="0D248E"/>
                <w:w w:val="97"/>
              </w:rPr>
              <w:t>Society, FSB, as trustee.</w:t>
            </w:r>
          </w:p>
        </w:tc>
        <w:tc>
          <w:tcPr>
            <w:tcW w:w="5260" w:type="dxa"/>
            <w:vAlign w:val="bottom"/>
            <w:tcBorders>
              <w:top w:val="single" w:sz="8" w:color="0D248E"/>
            </w:tcBorders>
            <w:gridSpan w:val="25"/>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Supplemental Indenture, dated as of November 6, 2024, by and among Inseego Corp., as issuer, the</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D248E"/>
              <w:bottom w:val="single" w:sz="8" w:color="0D248E"/>
            </w:tcBorders>
            <w:gridSpan w:val="23"/>
          </w:tcPr>
          <w:p>
            <w:pPr>
              <w:spacing w:after="0" w:line="158" w:lineRule="exact"/>
              <w:rPr>
                <w:sz w:val="20"/>
                <w:szCs w:val="20"/>
                <w:color w:val="auto"/>
              </w:rPr>
            </w:pPr>
            <w:r>
              <w:rPr>
                <w:rFonts w:ascii="Times New Roman" w:cs="Times New Roman" w:eastAsia="Times New Roman" w:hAnsi="Times New Roman"/>
                <w:sz w:val="17"/>
                <w:szCs w:val="17"/>
                <w:color w:val="0D248E"/>
                <w:w w:val="98"/>
              </w:rPr>
              <w:t>guarantors from time to time party thereto and Wilmington Savings Fund Society, FSB, as trustee.</w:t>
            </w:r>
          </w:p>
        </w:tc>
        <w:tc>
          <w:tcPr>
            <w:tcW w:w="80" w:type="dxa"/>
            <w:vAlign w:val="bottom"/>
            <w:tcBorders>
              <w:top w:val="single" w:sz="8" w:color="0D248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4.8(b)</w:t>
            </w: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 xml:space="preserve">Form of 9.0% Senior Secured Notes due 2029 </w:t>
            </w:r>
            <w:r>
              <w:rPr>
                <w:rFonts w:ascii="Times New Roman" w:cs="Times New Roman" w:eastAsia="Times New Roman" w:hAnsi="Times New Roman"/>
                <w:sz w:val="17"/>
                <w:szCs w:val="17"/>
                <w:color w:val="000000"/>
              </w:rPr>
              <w:t>(included as Exhibit A to Exhibit 4.8).</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2080" w:type="dxa"/>
            <w:vAlign w:val="bottom"/>
            <w:gridSpan w:val="6"/>
            <w:shd w:val="clear" w:color="auto" w:fill="0D248E"/>
          </w:tcPr>
          <w:p>
            <w:pPr>
              <w:spacing w:after="0" w:line="20" w:lineRule="exact"/>
              <w:rPr>
                <w:sz w:val="1"/>
                <w:szCs w:val="1"/>
                <w:color w:val="auto"/>
              </w:rPr>
            </w:pPr>
          </w:p>
        </w:tc>
        <w:tc>
          <w:tcPr>
            <w:tcW w:w="420" w:type="dxa"/>
            <w:vAlign w:val="bottom"/>
            <w:shd w:val="clear" w:color="auto" w:fill="0D248E"/>
          </w:tcPr>
          <w:p>
            <w:pPr>
              <w:spacing w:after="0" w:line="20" w:lineRule="exact"/>
              <w:rPr>
                <w:sz w:val="1"/>
                <w:szCs w:val="1"/>
                <w:color w:val="auto"/>
              </w:rPr>
            </w:pPr>
          </w:p>
        </w:tc>
        <w:tc>
          <w:tcPr>
            <w:tcW w:w="200" w:type="dxa"/>
            <w:vAlign w:val="bottom"/>
            <w:shd w:val="clear" w:color="auto" w:fill="0D24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tcBorders>
              <w:bottom w:val="single" w:sz="8" w:color="0D248E"/>
            </w:tcBorders>
            <w:gridSpan w:val="20"/>
          </w:tcPr>
          <w:p>
            <w:pPr>
              <w:spacing w:after="0"/>
              <w:rPr>
                <w:sz w:val="20"/>
                <w:szCs w:val="20"/>
                <w:color w:val="auto"/>
              </w:rPr>
            </w:pPr>
            <w:r>
              <w:rPr>
                <w:rFonts w:ascii="Times New Roman" w:cs="Times New Roman" w:eastAsia="Times New Roman" w:hAnsi="Times New Roman"/>
                <w:sz w:val="17"/>
                <w:szCs w:val="17"/>
                <w:color w:val="0D248E"/>
                <w:w w:val="99"/>
              </w:rPr>
              <w:t>Inseego Corp. 2018 Omnibus Incentive Compensation Plan, as amended on July 30, 2024.</w:t>
            </w:r>
          </w:p>
        </w:tc>
        <w:tc>
          <w:tcPr>
            <w:tcW w:w="880" w:type="dxa"/>
            <w:vAlign w:val="bottom"/>
            <w:gridSpan w:val="10"/>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11/13/2024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Amended and Restated Inseego Corp. 2000 Employee Stock Purchase Plan, as amended on July 30,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11/13/2024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D248E"/>
              <w:bottom w:val="single" w:sz="8" w:color="0D248E"/>
            </w:tcBorders>
          </w:tcPr>
          <w:p>
            <w:pPr>
              <w:spacing w:after="0" w:line="158" w:lineRule="exact"/>
              <w:rPr>
                <w:sz w:val="20"/>
                <w:szCs w:val="20"/>
                <w:color w:val="auto"/>
              </w:rPr>
            </w:pPr>
            <w:r>
              <w:rPr>
                <w:rFonts w:ascii="Times New Roman" w:cs="Times New Roman" w:eastAsia="Times New Roman" w:hAnsi="Times New Roman"/>
                <w:sz w:val="17"/>
                <w:szCs w:val="17"/>
                <w:color w:val="0D248E"/>
                <w:w w:val="94"/>
              </w:rPr>
              <w:t>2024 .</w:t>
            </w:r>
          </w:p>
        </w:tc>
        <w:tc>
          <w:tcPr>
            <w:tcW w:w="680" w:type="dxa"/>
            <w:vAlign w:val="bottom"/>
            <w:tcBorders>
              <w:top w:val="single" w:sz="8" w:color="0D248E"/>
            </w:tcBorders>
          </w:tcPr>
          <w:p>
            <w:pPr>
              <w:spacing w:after="0"/>
              <w:rPr>
                <w:sz w:val="13"/>
                <w:szCs w:val="13"/>
                <w:color w:val="auto"/>
              </w:rPr>
            </w:pPr>
          </w:p>
        </w:tc>
        <w:tc>
          <w:tcPr>
            <w:tcW w:w="460" w:type="dxa"/>
            <w:vAlign w:val="bottom"/>
            <w:tcBorders>
              <w:top w:val="single" w:sz="8" w:color="0D248E"/>
            </w:tcBorders>
          </w:tcPr>
          <w:p>
            <w:pPr>
              <w:spacing w:after="0"/>
              <w:rPr>
                <w:sz w:val="13"/>
                <w:szCs w:val="13"/>
                <w:color w:val="auto"/>
              </w:rPr>
            </w:pPr>
          </w:p>
        </w:tc>
        <w:tc>
          <w:tcPr>
            <w:tcW w:w="80" w:type="dxa"/>
            <w:vAlign w:val="bottom"/>
            <w:tcBorders>
              <w:top w:val="single" w:sz="8" w:color="0D248E"/>
            </w:tcBorders>
          </w:tcPr>
          <w:p>
            <w:pPr>
              <w:spacing w:after="0"/>
              <w:rPr>
                <w:sz w:val="13"/>
                <w:szCs w:val="13"/>
                <w:color w:val="auto"/>
              </w:rPr>
            </w:pPr>
          </w:p>
        </w:tc>
        <w:tc>
          <w:tcPr>
            <w:tcW w:w="520" w:type="dxa"/>
            <w:vAlign w:val="bottom"/>
            <w:tcBorders>
              <w:top w:val="single" w:sz="8" w:color="0D248E"/>
            </w:tcBorders>
          </w:tcPr>
          <w:p>
            <w:pPr>
              <w:spacing w:after="0"/>
              <w:rPr>
                <w:sz w:val="13"/>
                <w:szCs w:val="13"/>
                <w:color w:val="auto"/>
              </w:rPr>
            </w:pPr>
          </w:p>
        </w:tc>
        <w:tc>
          <w:tcPr>
            <w:tcW w:w="20" w:type="dxa"/>
            <w:vAlign w:val="bottom"/>
            <w:tcBorders>
              <w:top w:val="single" w:sz="8" w:color="0D248E"/>
            </w:tcBorders>
          </w:tcPr>
          <w:p>
            <w:pPr>
              <w:spacing w:after="0"/>
              <w:rPr>
                <w:sz w:val="13"/>
                <w:szCs w:val="13"/>
                <w:color w:val="auto"/>
              </w:rPr>
            </w:pPr>
          </w:p>
        </w:tc>
        <w:tc>
          <w:tcPr>
            <w:tcW w:w="320" w:type="dxa"/>
            <w:vAlign w:val="bottom"/>
            <w:tcBorders>
              <w:top w:val="single" w:sz="8" w:color="0D248E"/>
            </w:tcBorders>
          </w:tcPr>
          <w:p>
            <w:pPr>
              <w:spacing w:after="0"/>
              <w:rPr>
                <w:sz w:val="13"/>
                <w:szCs w:val="13"/>
                <w:color w:val="auto"/>
              </w:rPr>
            </w:pPr>
          </w:p>
        </w:tc>
        <w:tc>
          <w:tcPr>
            <w:tcW w:w="420" w:type="dxa"/>
            <w:vAlign w:val="bottom"/>
            <w:tcBorders>
              <w:top w:val="single" w:sz="8" w:color="0D248E"/>
            </w:tcBorders>
          </w:tcPr>
          <w:p>
            <w:pPr>
              <w:spacing w:after="0"/>
              <w:rPr>
                <w:sz w:val="13"/>
                <w:szCs w:val="13"/>
                <w:color w:val="auto"/>
              </w:rPr>
            </w:pPr>
          </w:p>
        </w:tc>
        <w:tc>
          <w:tcPr>
            <w:tcW w:w="200" w:type="dxa"/>
            <w:vAlign w:val="bottom"/>
            <w:tcBorders>
              <w:top w:val="single" w:sz="8" w:color="0D248E"/>
            </w:tcBorders>
          </w:tcPr>
          <w:p>
            <w:pPr>
              <w:spacing w:after="0"/>
              <w:rPr>
                <w:sz w:val="13"/>
                <w:szCs w:val="13"/>
                <w:color w:val="auto"/>
              </w:rPr>
            </w:pPr>
          </w:p>
        </w:tc>
        <w:tc>
          <w:tcPr>
            <w:tcW w:w="40" w:type="dxa"/>
            <w:vAlign w:val="bottom"/>
            <w:tcBorders>
              <w:top w:val="single" w:sz="8" w:color="0D248E"/>
            </w:tcBorders>
          </w:tcPr>
          <w:p>
            <w:pPr>
              <w:spacing w:after="0"/>
              <w:rPr>
                <w:sz w:val="13"/>
                <w:szCs w:val="13"/>
                <w:color w:val="auto"/>
              </w:rPr>
            </w:pPr>
          </w:p>
        </w:tc>
        <w:tc>
          <w:tcPr>
            <w:tcW w:w="160" w:type="dxa"/>
            <w:vAlign w:val="bottom"/>
            <w:tcBorders>
              <w:top w:val="single" w:sz="8" w:color="0D248E"/>
            </w:tcBorders>
          </w:tcPr>
          <w:p>
            <w:pPr>
              <w:spacing w:after="0"/>
              <w:rPr>
                <w:sz w:val="13"/>
                <w:szCs w:val="13"/>
                <w:color w:val="auto"/>
              </w:rPr>
            </w:pPr>
          </w:p>
        </w:tc>
        <w:tc>
          <w:tcPr>
            <w:tcW w:w="100" w:type="dxa"/>
            <w:vAlign w:val="bottom"/>
            <w:tcBorders>
              <w:top w:val="single" w:sz="8" w:color="0D248E"/>
            </w:tcBorders>
          </w:tcPr>
          <w:p>
            <w:pPr>
              <w:spacing w:after="0"/>
              <w:rPr>
                <w:sz w:val="13"/>
                <w:szCs w:val="13"/>
                <w:color w:val="auto"/>
              </w:rPr>
            </w:pPr>
          </w:p>
        </w:tc>
        <w:tc>
          <w:tcPr>
            <w:tcW w:w="20" w:type="dxa"/>
            <w:vAlign w:val="bottom"/>
            <w:tcBorders>
              <w:top w:val="single" w:sz="8" w:color="0D248E"/>
            </w:tcBorders>
          </w:tcPr>
          <w:p>
            <w:pPr>
              <w:spacing w:after="0"/>
              <w:rPr>
                <w:sz w:val="13"/>
                <w:szCs w:val="13"/>
                <w:color w:val="auto"/>
              </w:rPr>
            </w:pPr>
          </w:p>
        </w:tc>
        <w:tc>
          <w:tcPr>
            <w:tcW w:w="60" w:type="dxa"/>
            <w:vAlign w:val="bottom"/>
            <w:tcBorders>
              <w:top w:val="single" w:sz="8" w:color="0D248E"/>
            </w:tcBorders>
          </w:tcPr>
          <w:p>
            <w:pPr>
              <w:spacing w:after="0"/>
              <w:rPr>
                <w:sz w:val="13"/>
                <w:szCs w:val="13"/>
                <w:color w:val="auto"/>
              </w:rPr>
            </w:pPr>
          </w:p>
        </w:tc>
        <w:tc>
          <w:tcPr>
            <w:tcW w:w="180" w:type="dxa"/>
            <w:vAlign w:val="bottom"/>
            <w:tcBorders>
              <w:top w:val="single" w:sz="8" w:color="0D248E"/>
            </w:tcBorders>
          </w:tcPr>
          <w:p>
            <w:pPr>
              <w:spacing w:after="0"/>
              <w:rPr>
                <w:sz w:val="13"/>
                <w:szCs w:val="13"/>
                <w:color w:val="auto"/>
              </w:rPr>
            </w:pPr>
          </w:p>
        </w:tc>
        <w:tc>
          <w:tcPr>
            <w:tcW w:w="500" w:type="dxa"/>
            <w:vAlign w:val="bottom"/>
            <w:tcBorders>
              <w:top w:val="single" w:sz="8" w:color="0D248E"/>
            </w:tcBorders>
          </w:tcPr>
          <w:p>
            <w:pPr>
              <w:spacing w:after="0"/>
              <w:rPr>
                <w:sz w:val="13"/>
                <w:szCs w:val="13"/>
                <w:color w:val="auto"/>
              </w:rPr>
            </w:pPr>
          </w:p>
        </w:tc>
        <w:tc>
          <w:tcPr>
            <w:tcW w:w="1340" w:type="dxa"/>
            <w:vAlign w:val="bottom"/>
            <w:tcBorders>
              <w:top w:val="single" w:sz="8" w:color="0D248E"/>
            </w:tcBorders>
          </w:tcPr>
          <w:p>
            <w:pPr>
              <w:spacing w:after="0"/>
              <w:rPr>
                <w:sz w:val="13"/>
                <w:szCs w:val="13"/>
                <w:color w:val="auto"/>
              </w:rPr>
            </w:pPr>
          </w:p>
        </w:tc>
        <w:tc>
          <w:tcPr>
            <w:tcW w:w="120" w:type="dxa"/>
            <w:vAlign w:val="bottom"/>
            <w:tcBorders>
              <w:top w:val="single" w:sz="8" w:color="0D248E"/>
            </w:tcBorders>
          </w:tcPr>
          <w:p>
            <w:pPr>
              <w:spacing w:after="0"/>
              <w:rPr>
                <w:sz w:val="13"/>
                <w:szCs w:val="13"/>
                <w:color w:val="auto"/>
              </w:rPr>
            </w:pPr>
          </w:p>
        </w:tc>
        <w:tc>
          <w:tcPr>
            <w:tcW w:w="340" w:type="dxa"/>
            <w:vAlign w:val="bottom"/>
            <w:tcBorders>
              <w:top w:val="single" w:sz="8" w:color="0D248E"/>
            </w:tcBorders>
          </w:tcPr>
          <w:p>
            <w:pPr>
              <w:spacing w:after="0"/>
              <w:rPr>
                <w:sz w:val="13"/>
                <w:szCs w:val="13"/>
                <w:color w:val="auto"/>
              </w:rPr>
            </w:pPr>
          </w:p>
        </w:tc>
        <w:tc>
          <w:tcPr>
            <w:tcW w:w="140" w:type="dxa"/>
            <w:vAlign w:val="bottom"/>
            <w:tcBorders>
              <w:top w:val="single" w:sz="8" w:color="0D248E"/>
            </w:tcBorders>
          </w:tcPr>
          <w:p>
            <w:pPr>
              <w:spacing w:after="0"/>
              <w:rPr>
                <w:sz w:val="13"/>
                <w:szCs w:val="13"/>
                <w:color w:val="auto"/>
              </w:rPr>
            </w:pPr>
          </w:p>
        </w:tc>
        <w:tc>
          <w:tcPr>
            <w:tcW w:w="180" w:type="dxa"/>
            <w:vAlign w:val="bottom"/>
            <w:tcBorders>
              <w:top w:val="single" w:sz="8" w:color="0D248E"/>
            </w:tcBorders>
          </w:tcPr>
          <w:p>
            <w:pPr>
              <w:spacing w:after="0"/>
              <w:rPr>
                <w:sz w:val="13"/>
                <w:szCs w:val="13"/>
                <w:color w:val="auto"/>
              </w:rPr>
            </w:pPr>
          </w:p>
        </w:tc>
        <w:tc>
          <w:tcPr>
            <w:tcW w:w="320" w:type="dxa"/>
            <w:vAlign w:val="bottom"/>
            <w:tcBorders>
              <w:top w:val="single" w:sz="8" w:color="0D248E"/>
            </w:tcBorders>
          </w:tcPr>
          <w:p>
            <w:pPr>
              <w:spacing w:after="0"/>
              <w:rPr>
                <w:sz w:val="13"/>
                <w:szCs w:val="13"/>
                <w:color w:val="auto"/>
              </w:rPr>
            </w:pPr>
          </w:p>
        </w:tc>
        <w:tc>
          <w:tcPr>
            <w:tcW w:w="20" w:type="dxa"/>
            <w:vAlign w:val="bottom"/>
            <w:tcBorders>
              <w:top w:val="single" w:sz="8" w:color="0D248E"/>
            </w:tcBorders>
          </w:tcPr>
          <w:p>
            <w:pPr>
              <w:spacing w:after="0"/>
              <w:rPr>
                <w:sz w:val="13"/>
                <w:szCs w:val="13"/>
                <w:color w:val="auto"/>
              </w:rPr>
            </w:pPr>
          </w:p>
        </w:tc>
        <w:tc>
          <w:tcPr>
            <w:tcW w:w="80" w:type="dxa"/>
            <w:vAlign w:val="bottom"/>
            <w:tcBorders>
              <w:top w:val="single" w:sz="8" w:color="0D248E"/>
            </w:tcBorders>
          </w:tcPr>
          <w:p>
            <w:pPr>
              <w:spacing w:after="0"/>
              <w:rPr>
                <w:sz w:val="13"/>
                <w:szCs w:val="13"/>
                <w:color w:val="auto"/>
              </w:rPr>
            </w:pPr>
          </w:p>
        </w:tc>
        <w:tc>
          <w:tcPr>
            <w:tcW w:w="20" w:type="dxa"/>
            <w:vAlign w:val="bottom"/>
            <w:tcBorders>
              <w:top w:val="single" w:sz="8" w:color="0D248E"/>
            </w:tcBorders>
          </w:tcPr>
          <w:p>
            <w:pPr>
              <w:spacing w:after="0"/>
              <w:rPr>
                <w:sz w:val="13"/>
                <w:szCs w:val="13"/>
                <w:color w:val="auto"/>
              </w:rPr>
            </w:pPr>
          </w:p>
        </w:tc>
        <w:tc>
          <w:tcPr>
            <w:tcW w:w="20" w:type="dxa"/>
            <w:vAlign w:val="bottom"/>
            <w:tcBorders>
              <w:top w:val="single" w:sz="8" w:color="0D248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Form of Indemnification Agreement.</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8/21/2017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7"/>
            <w:shd w:val="clear" w:color="auto" w:fill="0D248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0D248E"/>
            </w:tcBorders>
            <w:gridSpan w:val="12"/>
          </w:tcPr>
          <w:p>
            <w:pPr>
              <w:spacing w:after="0"/>
              <w:rPr>
                <w:sz w:val="20"/>
                <w:szCs w:val="20"/>
                <w:color w:val="auto"/>
              </w:rPr>
            </w:pPr>
            <w:r>
              <w:rPr>
                <w:rFonts w:ascii="Times New Roman" w:cs="Times New Roman" w:eastAsia="Times New Roman" w:hAnsi="Times New Roman"/>
                <w:sz w:val="17"/>
                <w:szCs w:val="17"/>
                <w:color w:val="0D248E"/>
                <w:w w:val="98"/>
              </w:rPr>
              <w:t>Inseego Corp. Executive Officer Clawback Policy.</w:t>
            </w:r>
          </w:p>
        </w:tc>
        <w:tc>
          <w:tcPr>
            <w:tcW w:w="3580" w:type="dxa"/>
            <w:vAlign w:val="bottom"/>
            <w:gridSpan w:val="18"/>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Offer Letter dated September 12, 2023 between Inseego Corp. and Steven Gatoff.</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11/3/2023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Borders>
              <w:top w:val="single" w:sz="8" w:color="0D248E"/>
              <w:bottom w:val="single" w:sz="8" w:color="0D248E"/>
            </w:tcBorders>
            <w:gridSpan w:val="8"/>
          </w:tcPr>
          <w:p>
            <w:pPr>
              <w:spacing w:after="0"/>
              <w:rPr>
                <w:sz w:val="20"/>
                <w:szCs w:val="20"/>
                <w:color w:val="auto"/>
              </w:rPr>
            </w:pPr>
            <w:r>
              <w:rPr>
                <w:rFonts w:ascii="Times New Roman" w:cs="Times New Roman" w:eastAsia="Times New Roman" w:hAnsi="Times New Roman"/>
                <w:sz w:val="17"/>
                <w:szCs w:val="17"/>
                <w:color w:val="0D248E"/>
                <w:w w:val="98"/>
              </w:rPr>
              <w:t>Form of Common Stock Purchase Warrant.</w:t>
            </w:r>
          </w:p>
        </w:tc>
        <w:tc>
          <w:tcPr>
            <w:tcW w:w="2600" w:type="dxa"/>
            <w:vAlign w:val="bottom"/>
            <w:tcBorders>
              <w:top w:val="single" w:sz="8" w:color="0D248E"/>
            </w:tcBorders>
            <w:gridSpan w:val="9"/>
          </w:tcPr>
          <w:p>
            <w:pPr>
              <w:spacing w:after="0"/>
              <w:rPr>
                <w:sz w:val="19"/>
                <w:szCs w:val="19"/>
                <w:color w:val="auto"/>
              </w:rPr>
            </w:pPr>
          </w:p>
        </w:tc>
        <w:tc>
          <w:tcPr>
            <w:tcW w:w="1480" w:type="dxa"/>
            <w:vAlign w:val="bottom"/>
            <w:gridSpan w:val="13"/>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7/1/2024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D248E"/>
            </w:tcBorders>
            <w:gridSpan w:val="15"/>
          </w:tcPr>
          <w:p>
            <w:pPr>
              <w:spacing w:after="0"/>
              <w:rPr>
                <w:sz w:val="20"/>
                <w:szCs w:val="20"/>
                <w:color w:val="auto"/>
              </w:rPr>
            </w:pPr>
            <w:r>
              <w:rPr>
                <w:rFonts w:ascii="Times New Roman" w:cs="Times New Roman" w:eastAsia="Times New Roman" w:hAnsi="Times New Roman"/>
                <w:sz w:val="17"/>
                <w:szCs w:val="17"/>
                <w:color w:val="0D248E"/>
                <w:w w:val="98"/>
              </w:rPr>
              <w:t>Share Purchase Agreement dated September 16, 2024.</w:t>
            </w:r>
          </w:p>
        </w:tc>
        <w:tc>
          <w:tcPr>
            <w:tcW w:w="3320" w:type="dxa"/>
            <w:vAlign w:val="bottom"/>
            <w:gridSpan w:val="15"/>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9/16/2024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0" w:type="dxa"/>
            <w:vAlign w:val="bottom"/>
            <w:gridSpan w:val="30"/>
          </w:tcPr>
          <w:p>
            <w:pPr>
              <w:spacing w:after="0"/>
              <w:rPr>
                <w:sz w:val="20"/>
                <w:szCs w:val="20"/>
                <w:color w:val="auto"/>
              </w:rPr>
            </w:pPr>
            <w:r>
              <w:rPr>
                <w:rFonts w:ascii="Times New Roman" w:cs="Times New Roman" w:eastAsia="Times New Roman" w:hAnsi="Times New Roman"/>
                <w:sz w:val="17"/>
                <w:szCs w:val="17"/>
                <w:color w:val="0D248E"/>
              </w:rPr>
              <w:t>License Agreement dated September 16, 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9/16/2024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top w:val="single" w:sz="8" w:color="0D248E"/>
            </w:tcBorders>
            <w:gridSpan w:val="10"/>
          </w:tcPr>
          <w:p>
            <w:pPr>
              <w:spacing w:after="0"/>
              <w:rPr>
                <w:sz w:val="24"/>
                <w:szCs w:val="24"/>
                <w:color w:val="auto"/>
              </w:rPr>
            </w:pPr>
          </w:p>
        </w:tc>
        <w:tc>
          <w:tcPr>
            <w:tcW w:w="2360" w:type="dxa"/>
            <w:vAlign w:val="bottom"/>
            <w:gridSpan w:val="7"/>
          </w:tcPr>
          <w:p>
            <w:pPr>
              <w:jc w:val="right"/>
              <w:ind w:right="1340"/>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898381"/>
            </w:tcBorders>
          </w:tcPr>
          <w:p>
            <w:pPr>
              <w:spacing w:after="0"/>
              <w:rPr>
                <w:sz w:val="24"/>
                <w:szCs w:val="24"/>
                <w:color w:val="auto"/>
              </w:rPr>
            </w:pPr>
          </w:p>
        </w:tc>
        <w:tc>
          <w:tcPr>
            <w:tcW w:w="1040" w:type="dxa"/>
            <w:vAlign w:val="bottom"/>
            <w:tcBorders>
              <w:bottom w:val="single" w:sz="8" w:color="898381"/>
            </w:tcBorders>
          </w:tcPr>
          <w:p>
            <w:pPr>
              <w:spacing w:after="0"/>
              <w:rPr>
                <w:sz w:val="24"/>
                <w:szCs w:val="24"/>
                <w:color w:val="auto"/>
              </w:rPr>
            </w:pPr>
          </w:p>
        </w:tc>
        <w:tc>
          <w:tcPr>
            <w:tcW w:w="10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420" w:type="dxa"/>
            <w:vAlign w:val="bottom"/>
            <w:tcBorders>
              <w:bottom w:val="single" w:sz="8" w:color="898381"/>
            </w:tcBorders>
          </w:tcPr>
          <w:p>
            <w:pPr>
              <w:spacing w:after="0"/>
              <w:rPr>
                <w:sz w:val="24"/>
                <w:szCs w:val="24"/>
                <w:color w:val="auto"/>
              </w:rPr>
            </w:pPr>
          </w:p>
        </w:tc>
        <w:tc>
          <w:tcPr>
            <w:tcW w:w="680" w:type="dxa"/>
            <w:vAlign w:val="bottom"/>
            <w:tcBorders>
              <w:bottom w:val="single" w:sz="8" w:color="898381"/>
            </w:tcBorders>
          </w:tcPr>
          <w:p>
            <w:pPr>
              <w:spacing w:after="0"/>
              <w:rPr>
                <w:sz w:val="24"/>
                <w:szCs w:val="24"/>
                <w:color w:val="auto"/>
              </w:rPr>
            </w:pPr>
          </w:p>
        </w:tc>
        <w:tc>
          <w:tcPr>
            <w:tcW w:w="460" w:type="dxa"/>
            <w:vAlign w:val="bottom"/>
            <w:tcBorders>
              <w:bottom w:val="single" w:sz="8" w:color="898381"/>
            </w:tcBorders>
          </w:tcPr>
          <w:p>
            <w:pPr>
              <w:spacing w:after="0"/>
              <w:rPr>
                <w:sz w:val="24"/>
                <w:szCs w:val="24"/>
                <w:color w:val="auto"/>
              </w:rPr>
            </w:pPr>
          </w:p>
        </w:tc>
        <w:tc>
          <w:tcPr>
            <w:tcW w:w="80" w:type="dxa"/>
            <w:vAlign w:val="bottom"/>
            <w:tcBorders>
              <w:bottom w:val="single" w:sz="8" w:color="898381"/>
            </w:tcBorders>
          </w:tcPr>
          <w:p>
            <w:pPr>
              <w:spacing w:after="0"/>
              <w:rPr>
                <w:sz w:val="24"/>
                <w:szCs w:val="24"/>
                <w:color w:val="auto"/>
              </w:rPr>
            </w:pPr>
          </w:p>
        </w:tc>
        <w:tc>
          <w:tcPr>
            <w:tcW w:w="52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320" w:type="dxa"/>
            <w:vAlign w:val="bottom"/>
            <w:tcBorders>
              <w:bottom w:val="single" w:sz="8" w:color="898381"/>
            </w:tcBorders>
          </w:tcPr>
          <w:p>
            <w:pPr>
              <w:spacing w:after="0"/>
              <w:rPr>
                <w:sz w:val="24"/>
                <w:szCs w:val="24"/>
                <w:color w:val="auto"/>
              </w:rPr>
            </w:pPr>
          </w:p>
        </w:tc>
        <w:tc>
          <w:tcPr>
            <w:tcW w:w="420" w:type="dxa"/>
            <w:vAlign w:val="bottom"/>
            <w:tcBorders>
              <w:bottom w:val="single" w:sz="8" w:color="898381"/>
            </w:tcBorders>
          </w:tcPr>
          <w:p>
            <w:pPr>
              <w:spacing w:after="0"/>
              <w:rPr>
                <w:sz w:val="24"/>
                <w:szCs w:val="24"/>
                <w:color w:val="auto"/>
              </w:rPr>
            </w:pPr>
          </w:p>
        </w:tc>
        <w:tc>
          <w:tcPr>
            <w:tcW w:w="200" w:type="dxa"/>
            <w:vAlign w:val="bottom"/>
            <w:tcBorders>
              <w:bottom w:val="single" w:sz="8" w:color="898381"/>
            </w:tcBorders>
          </w:tcPr>
          <w:p>
            <w:pPr>
              <w:spacing w:after="0"/>
              <w:rPr>
                <w:sz w:val="24"/>
                <w:szCs w:val="24"/>
                <w:color w:val="auto"/>
              </w:rPr>
            </w:pPr>
          </w:p>
        </w:tc>
        <w:tc>
          <w:tcPr>
            <w:tcW w:w="40" w:type="dxa"/>
            <w:vAlign w:val="bottom"/>
            <w:tcBorders>
              <w:bottom w:val="single" w:sz="8" w:color="898381"/>
            </w:tcBorders>
          </w:tcPr>
          <w:p>
            <w:pPr>
              <w:spacing w:after="0"/>
              <w:rPr>
                <w:sz w:val="24"/>
                <w:szCs w:val="24"/>
                <w:color w:val="auto"/>
              </w:rPr>
            </w:pPr>
          </w:p>
        </w:tc>
        <w:tc>
          <w:tcPr>
            <w:tcW w:w="160" w:type="dxa"/>
            <w:vAlign w:val="bottom"/>
            <w:tcBorders>
              <w:bottom w:val="single" w:sz="8" w:color="898381"/>
            </w:tcBorders>
          </w:tcPr>
          <w:p>
            <w:pPr>
              <w:spacing w:after="0"/>
              <w:rPr>
                <w:sz w:val="24"/>
                <w:szCs w:val="24"/>
                <w:color w:val="auto"/>
              </w:rPr>
            </w:pPr>
          </w:p>
        </w:tc>
        <w:tc>
          <w:tcPr>
            <w:tcW w:w="10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60" w:type="dxa"/>
            <w:vAlign w:val="bottom"/>
            <w:tcBorders>
              <w:bottom w:val="single" w:sz="8" w:color="898381"/>
            </w:tcBorders>
          </w:tcPr>
          <w:p>
            <w:pPr>
              <w:spacing w:after="0"/>
              <w:rPr>
                <w:sz w:val="24"/>
                <w:szCs w:val="24"/>
                <w:color w:val="auto"/>
              </w:rPr>
            </w:pPr>
          </w:p>
        </w:tc>
        <w:tc>
          <w:tcPr>
            <w:tcW w:w="180" w:type="dxa"/>
            <w:vAlign w:val="bottom"/>
            <w:tcBorders>
              <w:bottom w:val="single" w:sz="8" w:color="898381"/>
            </w:tcBorders>
          </w:tcPr>
          <w:p>
            <w:pPr>
              <w:spacing w:after="0"/>
              <w:rPr>
                <w:sz w:val="24"/>
                <w:szCs w:val="24"/>
                <w:color w:val="auto"/>
              </w:rPr>
            </w:pPr>
          </w:p>
        </w:tc>
        <w:tc>
          <w:tcPr>
            <w:tcW w:w="500" w:type="dxa"/>
            <w:vAlign w:val="bottom"/>
            <w:tcBorders>
              <w:bottom w:val="single" w:sz="8" w:color="898381"/>
            </w:tcBorders>
          </w:tcPr>
          <w:p>
            <w:pPr>
              <w:spacing w:after="0"/>
              <w:rPr>
                <w:sz w:val="24"/>
                <w:szCs w:val="24"/>
                <w:color w:val="auto"/>
              </w:rPr>
            </w:pPr>
          </w:p>
        </w:tc>
        <w:tc>
          <w:tcPr>
            <w:tcW w:w="1340" w:type="dxa"/>
            <w:vAlign w:val="bottom"/>
            <w:tcBorders>
              <w:bottom w:val="single" w:sz="8" w:color="898381"/>
            </w:tcBorders>
          </w:tcPr>
          <w:p>
            <w:pPr>
              <w:spacing w:after="0"/>
              <w:rPr>
                <w:sz w:val="24"/>
                <w:szCs w:val="24"/>
                <w:color w:val="auto"/>
              </w:rPr>
            </w:pPr>
          </w:p>
        </w:tc>
        <w:tc>
          <w:tcPr>
            <w:tcW w:w="120" w:type="dxa"/>
            <w:vAlign w:val="bottom"/>
            <w:tcBorders>
              <w:bottom w:val="single" w:sz="8" w:color="898381"/>
            </w:tcBorders>
          </w:tcPr>
          <w:p>
            <w:pPr>
              <w:spacing w:after="0"/>
              <w:rPr>
                <w:sz w:val="24"/>
                <w:szCs w:val="24"/>
                <w:color w:val="auto"/>
              </w:rPr>
            </w:pPr>
          </w:p>
        </w:tc>
        <w:tc>
          <w:tcPr>
            <w:tcW w:w="340" w:type="dxa"/>
            <w:vAlign w:val="bottom"/>
            <w:tcBorders>
              <w:bottom w:val="single" w:sz="8" w:color="898381"/>
            </w:tcBorders>
          </w:tcPr>
          <w:p>
            <w:pPr>
              <w:spacing w:after="0"/>
              <w:rPr>
                <w:sz w:val="24"/>
                <w:szCs w:val="24"/>
                <w:color w:val="auto"/>
              </w:rPr>
            </w:pPr>
          </w:p>
        </w:tc>
        <w:tc>
          <w:tcPr>
            <w:tcW w:w="140" w:type="dxa"/>
            <w:vAlign w:val="bottom"/>
            <w:tcBorders>
              <w:bottom w:val="single" w:sz="8" w:color="898381"/>
            </w:tcBorders>
          </w:tcPr>
          <w:p>
            <w:pPr>
              <w:spacing w:after="0"/>
              <w:rPr>
                <w:sz w:val="24"/>
                <w:szCs w:val="24"/>
                <w:color w:val="auto"/>
              </w:rPr>
            </w:pPr>
          </w:p>
        </w:tc>
        <w:tc>
          <w:tcPr>
            <w:tcW w:w="180" w:type="dxa"/>
            <w:vAlign w:val="bottom"/>
            <w:tcBorders>
              <w:bottom w:val="single" w:sz="8" w:color="898381"/>
            </w:tcBorders>
          </w:tcPr>
          <w:p>
            <w:pPr>
              <w:spacing w:after="0"/>
              <w:rPr>
                <w:sz w:val="24"/>
                <w:szCs w:val="24"/>
                <w:color w:val="auto"/>
              </w:rPr>
            </w:pPr>
          </w:p>
        </w:tc>
        <w:tc>
          <w:tcPr>
            <w:tcW w:w="32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8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8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40" w:type="dxa"/>
            <w:vAlign w:val="bottom"/>
            <w:tcBorders>
              <w:bottom w:val="single" w:sz="8" w:color="898381"/>
            </w:tcBorders>
          </w:tcPr>
          <w:p>
            <w:pPr>
              <w:spacing w:after="0"/>
              <w:rPr>
                <w:sz w:val="24"/>
                <w:szCs w:val="24"/>
                <w:color w:val="auto"/>
              </w:rPr>
            </w:pPr>
          </w:p>
        </w:tc>
        <w:tc>
          <w:tcPr>
            <w:tcW w:w="100" w:type="dxa"/>
            <w:vAlign w:val="bottom"/>
            <w:tcBorders>
              <w:bottom w:val="single" w:sz="8" w:color="898381"/>
            </w:tcBorders>
          </w:tcPr>
          <w:p>
            <w:pPr>
              <w:spacing w:after="0"/>
              <w:rPr>
                <w:sz w:val="24"/>
                <w:szCs w:val="24"/>
                <w:color w:val="auto"/>
              </w:rPr>
            </w:pPr>
          </w:p>
        </w:tc>
        <w:tc>
          <w:tcPr>
            <w:tcW w:w="580" w:type="dxa"/>
            <w:vAlign w:val="bottom"/>
            <w:tcBorders>
              <w:bottom w:val="single" w:sz="8" w:color="898381"/>
            </w:tcBorders>
          </w:tcPr>
          <w:p>
            <w:pPr>
              <w:spacing w:after="0"/>
              <w:rPr>
                <w:sz w:val="24"/>
                <w:szCs w:val="24"/>
                <w:color w:val="auto"/>
              </w:rPr>
            </w:pPr>
          </w:p>
        </w:tc>
        <w:tc>
          <w:tcPr>
            <w:tcW w:w="740" w:type="dxa"/>
            <w:vAlign w:val="bottom"/>
            <w:tcBorders>
              <w:bottom w:val="single" w:sz="8" w:color="898381"/>
            </w:tcBorders>
          </w:tcPr>
          <w:p>
            <w:pPr>
              <w:spacing w:after="0"/>
              <w:rPr>
                <w:sz w:val="24"/>
                <w:szCs w:val="24"/>
                <w:color w:val="auto"/>
              </w:rPr>
            </w:pPr>
          </w:p>
        </w:tc>
        <w:tc>
          <w:tcPr>
            <w:tcW w:w="1040" w:type="dxa"/>
            <w:vAlign w:val="bottom"/>
            <w:tcBorders>
              <w:bottom w:val="single" w:sz="8" w:color="898381"/>
            </w:tcBorders>
          </w:tcPr>
          <w:p>
            <w:pPr>
              <w:spacing w:after="0"/>
              <w:rPr>
                <w:sz w:val="24"/>
                <w:szCs w:val="24"/>
                <w:color w:val="auto"/>
              </w:rPr>
            </w:pPr>
          </w:p>
        </w:tc>
        <w:tc>
          <w:tcPr>
            <w:tcW w:w="20" w:type="dxa"/>
            <w:vAlign w:val="bottom"/>
            <w:tcBorders>
              <w:bottom w:val="single" w:sz="8" w:color="89838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-27940</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2240" w:h="15840" w:orient="portrait"/>
          <w:cols w:equalWidth="0" w:num="1">
            <w:col w:w="10560"/>
          </w:cols>
          <w:pgMar w:left="840" w:top="835" w:right="840"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04"/>
        </w:trPr>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Incorporated by Reference to:</w:t>
            </w:r>
          </w:p>
        </w:tc>
        <w:tc>
          <w:tcPr>
            <w:tcW w:w="0" w:type="dxa"/>
            <w:vAlign w:val="bottom"/>
          </w:tcPr>
          <w:p>
            <w:pPr>
              <w:spacing w:after="0"/>
              <w:rPr>
                <w:sz w:val="1"/>
                <w:szCs w:val="1"/>
                <w:color w:val="auto"/>
              </w:rPr>
            </w:pPr>
          </w:p>
        </w:tc>
      </w:tr>
      <w:tr>
        <w:trPr>
          <w:trHeight w:val="173"/>
        </w:trPr>
        <w:tc>
          <w:tcPr>
            <w:tcW w:w="10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60" w:type="dxa"/>
            <w:vAlign w:val="bottom"/>
            <w:gridSpan w:val="18"/>
          </w:tcPr>
          <w:p>
            <w:pPr>
              <w:spacing w:after="0" w:line="173" w:lineRule="exact"/>
              <w:rPr>
                <w:sz w:val="20"/>
                <w:szCs w:val="20"/>
                <w:color w:val="auto"/>
              </w:rPr>
            </w:pPr>
            <w:r>
              <w:rPr>
                <w:rFonts w:ascii="Times New Roman" w:cs="Times New Roman" w:eastAsia="Times New Roman" w:hAnsi="Times New Roman"/>
                <w:sz w:val="17"/>
                <w:szCs w:val="17"/>
                <w:color w:val="0D248E"/>
              </w:rPr>
              <w:t>Transitional Services Agreement dated September 16, 2024.</w:t>
            </w:r>
          </w:p>
        </w:tc>
        <w:tc>
          <w:tcPr>
            <w:tcW w:w="540" w:type="dxa"/>
            <w:vAlign w:val="bottom"/>
          </w:tcPr>
          <w:p>
            <w:pPr>
              <w:ind w:left="100"/>
              <w:spacing w:after="0" w:line="173" w:lineRule="exact"/>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line="173" w:lineRule="exact"/>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9/16/2024</w:t>
            </w:r>
          </w:p>
        </w:tc>
        <w:tc>
          <w:tcPr>
            <w:tcW w:w="0" w:type="dxa"/>
            <w:vAlign w:val="bottom"/>
          </w:tcPr>
          <w:p>
            <w:pPr>
              <w:spacing w:after="0"/>
              <w:rPr>
                <w:sz w:val="1"/>
                <w:szCs w:val="1"/>
                <w:color w:val="auto"/>
              </w:rPr>
            </w:pPr>
          </w:p>
        </w:tc>
      </w:tr>
      <w:tr>
        <w:trPr>
          <w:trHeight w:val="221"/>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Borders>
              <w:top w:val="single" w:sz="8" w:color="0D248E"/>
            </w:tcBorders>
            <w:gridSpan w:val="10"/>
          </w:tcPr>
          <w:p>
            <w:pPr>
              <w:spacing w:after="0"/>
              <w:rPr>
                <w:sz w:val="20"/>
                <w:szCs w:val="20"/>
                <w:color w:val="auto"/>
              </w:rPr>
            </w:pPr>
            <w:r>
              <w:rPr>
                <w:rFonts w:ascii="Times New Roman" w:cs="Times New Roman" w:eastAsia="Times New Roman" w:hAnsi="Times New Roman"/>
                <w:sz w:val="17"/>
                <w:szCs w:val="17"/>
                <w:color w:val="0D248E"/>
              </w:rPr>
              <w:t>Form of Exchange Agreement dated November 6, 2024</w:t>
            </w:r>
          </w:p>
        </w:tc>
        <w:tc>
          <w:tcPr>
            <w:tcW w:w="3000" w:type="dxa"/>
            <w:vAlign w:val="bottom"/>
            <w:gridSpan w:val="8"/>
          </w:tcPr>
          <w:p>
            <w:pPr>
              <w:spacing w:after="0"/>
              <w:rPr>
                <w:sz w:val="19"/>
                <w:szCs w:val="19"/>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660" w:type="dxa"/>
            <w:vAlign w:val="bottom"/>
            <w:shd w:val="clear" w:color="auto" w:fill="0D248E"/>
          </w:tcPr>
          <w:p>
            <w:pPr>
              <w:spacing w:after="0" w:line="20" w:lineRule="exact"/>
              <w:rPr>
                <w:sz w:val="1"/>
                <w:szCs w:val="1"/>
                <w:color w:val="auto"/>
              </w:rPr>
            </w:pPr>
          </w:p>
        </w:tc>
        <w:tc>
          <w:tcPr>
            <w:tcW w:w="500" w:type="dxa"/>
            <w:vAlign w:val="bottom"/>
            <w:shd w:val="clear" w:color="auto" w:fill="0D248E"/>
          </w:tcPr>
          <w:p>
            <w:pPr>
              <w:spacing w:after="0" w:line="20" w:lineRule="exact"/>
              <w:rPr>
                <w:sz w:val="1"/>
                <w:szCs w:val="1"/>
                <w:color w:val="auto"/>
              </w:rPr>
            </w:pPr>
          </w:p>
        </w:tc>
        <w:tc>
          <w:tcPr>
            <w:tcW w:w="880" w:type="dxa"/>
            <w:vAlign w:val="bottom"/>
            <w:shd w:val="clear" w:color="auto" w:fill="0D248E"/>
          </w:tcPr>
          <w:p>
            <w:pPr>
              <w:spacing w:after="0" w:line="20" w:lineRule="exact"/>
              <w:rPr>
                <w:sz w:val="1"/>
                <w:szCs w:val="1"/>
                <w:color w:val="auto"/>
              </w:rPr>
            </w:pPr>
          </w:p>
        </w:tc>
        <w:tc>
          <w:tcPr>
            <w:tcW w:w="36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0" w:type="dxa"/>
            <w:vAlign w:val="bottom"/>
            <w:shd w:val="clear" w:color="auto" w:fill="0D24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tcBorders>
              <w:bottom w:val="single" w:sz="8" w:color="0D248E"/>
            </w:tcBorders>
            <w:gridSpan w:val="9"/>
          </w:tcPr>
          <w:p>
            <w:pPr>
              <w:spacing w:after="0"/>
              <w:rPr>
                <w:sz w:val="20"/>
                <w:szCs w:val="20"/>
                <w:color w:val="auto"/>
              </w:rPr>
            </w:pPr>
            <w:r>
              <w:rPr>
                <w:rFonts w:ascii="Times New Roman" w:cs="Times New Roman" w:eastAsia="Times New Roman" w:hAnsi="Times New Roman"/>
                <w:sz w:val="17"/>
                <w:szCs w:val="17"/>
                <w:color w:val="0D248E"/>
                <w:w w:val="98"/>
              </w:rPr>
              <w:t>Security and Pledge Agreement dated November 6, 2024</w:t>
            </w:r>
          </w:p>
        </w:tc>
        <w:tc>
          <w:tcPr>
            <w:tcW w:w="3200" w:type="dxa"/>
            <w:vAlign w:val="bottom"/>
            <w:gridSpan w:val="9"/>
          </w:tcPr>
          <w:p>
            <w:pPr>
              <w:spacing w:after="0"/>
              <w:rPr>
                <w:sz w:val="19"/>
                <w:szCs w:val="19"/>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11/12/2024</w:t>
            </w: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D248E"/>
            </w:tcBorders>
            <w:gridSpan w:val="4"/>
          </w:tcPr>
          <w:p>
            <w:pPr>
              <w:spacing w:after="0"/>
              <w:rPr>
                <w:sz w:val="20"/>
                <w:szCs w:val="20"/>
                <w:color w:val="auto"/>
              </w:rPr>
            </w:pPr>
            <w:r>
              <w:rPr>
                <w:rFonts w:ascii="Times New Roman" w:cs="Times New Roman" w:eastAsia="Times New Roman" w:hAnsi="Times New Roman"/>
                <w:sz w:val="17"/>
                <w:szCs w:val="17"/>
                <w:color w:val="0D248E"/>
                <w:w w:val="98"/>
              </w:rPr>
              <w:t>Form of Common Stock Purchase Warrant</w:t>
            </w:r>
          </w:p>
        </w:tc>
        <w:tc>
          <w:tcPr>
            <w:tcW w:w="4180" w:type="dxa"/>
            <w:vAlign w:val="bottom"/>
            <w:gridSpan w:val="14"/>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11/12/2024</w:t>
            </w: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D248E"/>
            </w:tcBorders>
            <w:gridSpan w:val="8"/>
          </w:tcPr>
          <w:p>
            <w:pPr>
              <w:spacing w:after="0"/>
              <w:rPr>
                <w:sz w:val="20"/>
                <w:szCs w:val="20"/>
                <w:color w:val="auto"/>
              </w:rPr>
            </w:pPr>
            <w:r>
              <w:rPr>
                <w:rFonts w:ascii="Times New Roman" w:cs="Times New Roman" w:eastAsia="Times New Roman" w:hAnsi="Times New Roman"/>
                <w:sz w:val="17"/>
                <w:szCs w:val="17"/>
                <w:color w:val="0D248E"/>
                <w:w w:val="98"/>
              </w:rPr>
              <w:t>Registration Rights Agreement dated November 6, 2024</w:t>
            </w:r>
          </w:p>
        </w:tc>
        <w:tc>
          <w:tcPr>
            <w:tcW w:w="3240" w:type="dxa"/>
            <w:vAlign w:val="bottom"/>
            <w:gridSpan w:val="10"/>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11/12/2024</w:t>
            </w: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bottom w:val="single" w:sz="8" w:color="0D248E"/>
            </w:tcBorders>
            <w:gridSpan w:val="13"/>
          </w:tcPr>
          <w:p>
            <w:pPr>
              <w:spacing w:after="0"/>
              <w:rPr>
                <w:sz w:val="20"/>
                <w:szCs w:val="20"/>
                <w:color w:val="auto"/>
              </w:rPr>
            </w:pPr>
            <w:r>
              <w:rPr>
                <w:rFonts w:ascii="Times New Roman" w:cs="Times New Roman" w:eastAsia="Times New Roman" w:hAnsi="Times New Roman"/>
                <w:sz w:val="17"/>
                <w:szCs w:val="17"/>
                <w:color w:val="0D248E"/>
                <w:w w:val="99"/>
              </w:rPr>
              <w:t>Offer Letter dated December 6, 2024, between Inseego Corp. and Juho Sarvikas</w:t>
            </w:r>
          </w:p>
        </w:tc>
        <w:tc>
          <w:tcPr>
            <w:tcW w:w="1640" w:type="dxa"/>
            <w:vAlign w:val="bottom"/>
            <w:gridSpan w:val="5"/>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1/6/2025</w:t>
            </w: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D248E"/>
            </w:tcBorders>
            <w:gridSpan w:val="6"/>
          </w:tcPr>
          <w:p>
            <w:pPr>
              <w:spacing w:after="0"/>
              <w:rPr>
                <w:sz w:val="20"/>
                <w:szCs w:val="20"/>
                <w:color w:val="auto"/>
              </w:rPr>
            </w:pPr>
            <w:r>
              <w:rPr>
                <w:rFonts w:ascii="Times New Roman" w:cs="Times New Roman" w:eastAsia="Times New Roman" w:hAnsi="Times New Roman"/>
                <w:sz w:val="17"/>
                <w:szCs w:val="17"/>
                <w:color w:val="0D248E"/>
                <w:w w:val="98"/>
              </w:rPr>
              <w:t>Credit and Security Agreement, dated August 5, 2025</w:t>
            </w:r>
          </w:p>
        </w:tc>
        <w:tc>
          <w:tcPr>
            <w:tcW w:w="3420" w:type="dxa"/>
            <w:vAlign w:val="bottom"/>
            <w:gridSpan w:val="12"/>
          </w:tcPr>
          <w:p>
            <w:pPr>
              <w:spacing w:after="0"/>
              <w:rPr>
                <w:sz w:val="17"/>
                <w:szCs w:val="17"/>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8-K</w:t>
            </w: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8/7/2025</w:t>
            </w: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Insider Trading Policy</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660" w:type="dxa"/>
            <w:vAlign w:val="bottom"/>
            <w:shd w:val="clear" w:color="auto" w:fill="0D248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D248E"/>
            </w:tcBorders>
            <w:gridSpan w:val="3"/>
          </w:tcPr>
          <w:p>
            <w:pPr>
              <w:spacing w:after="0"/>
              <w:rPr>
                <w:sz w:val="20"/>
                <w:szCs w:val="20"/>
                <w:color w:val="auto"/>
              </w:rPr>
            </w:pPr>
            <w:r>
              <w:rPr>
                <w:rFonts w:ascii="Times New Roman" w:cs="Times New Roman" w:eastAsia="Times New Roman" w:hAnsi="Times New Roman"/>
                <w:sz w:val="17"/>
                <w:szCs w:val="17"/>
                <w:color w:val="0D248E"/>
                <w:w w:val="98"/>
              </w:rPr>
              <w:t>Subsidiaries of Inseego Corp.</w:t>
            </w:r>
          </w:p>
        </w:tc>
        <w:tc>
          <w:tcPr>
            <w:tcW w:w="506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D248E"/>
            </w:tcBorders>
            <w:gridSpan w:val="12"/>
          </w:tcPr>
          <w:p>
            <w:pPr>
              <w:spacing w:after="0"/>
              <w:rPr>
                <w:sz w:val="20"/>
                <w:szCs w:val="20"/>
                <w:color w:val="auto"/>
              </w:rPr>
            </w:pPr>
            <w:r>
              <w:rPr>
                <w:rFonts w:ascii="Times New Roman" w:cs="Times New Roman" w:eastAsia="Times New Roman" w:hAnsi="Times New Roman"/>
                <w:sz w:val="17"/>
                <w:szCs w:val="17"/>
                <w:color w:val="0D248E"/>
                <w:w w:val="98"/>
              </w:rPr>
              <w:t>Consent of Independent Registered Public Accounting Firm (CBIZ CPAs P.C.).</w:t>
            </w:r>
          </w:p>
        </w:tc>
        <w:tc>
          <w:tcPr>
            <w:tcW w:w="168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Consent of Independent Registered Public Accounting Firm (Marcum LLP).</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2400" w:type="dxa"/>
            <w:vAlign w:val="bottom"/>
            <w:gridSpan w:val="4"/>
            <w:shd w:val="clear" w:color="auto" w:fill="0D248E"/>
          </w:tcPr>
          <w:p>
            <w:pPr>
              <w:spacing w:after="0" w:line="20" w:lineRule="exact"/>
              <w:rPr>
                <w:sz w:val="1"/>
                <w:szCs w:val="1"/>
                <w:color w:val="auto"/>
              </w:rPr>
            </w:pPr>
          </w:p>
        </w:tc>
        <w:tc>
          <w:tcPr>
            <w:tcW w:w="1920" w:type="dxa"/>
            <w:vAlign w:val="bottom"/>
            <w:gridSpan w:val="6"/>
            <w:shd w:val="clear" w:color="auto" w:fill="0D248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Certification of our Principal Executive Officer adopted pursuant to Section 302 of the Sarbanes-Oxley</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0" w:type="dxa"/>
            <w:vAlign w:val="bottom"/>
            <w:tcBorders>
              <w:top w:val="single" w:sz="8" w:color="0D248E"/>
            </w:tcBorders>
            <w:gridSpan w:val="17"/>
          </w:tcPr>
          <w:p>
            <w:pPr>
              <w:spacing w:after="0" w:line="171" w:lineRule="exact"/>
              <w:rPr>
                <w:sz w:val="20"/>
                <w:szCs w:val="20"/>
                <w:color w:val="auto"/>
              </w:rPr>
            </w:pPr>
            <w:r>
              <w:rPr>
                <w:rFonts w:ascii="Times New Roman" w:cs="Times New Roman" w:eastAsia="Times New Roman" w:hAnsi="Times New Roman"/>
                <w:sz w:val="17"/>
                <w:szCs w:val="17"/>
                <w:color w:val="0D248E"/>
              </w:rPr>
              <w:t>Act of 2002.</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Certification of our Principal Financial Officer adopted pursuant to Section 302 of the Sarbanes-Oxley</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top w:val="single" w:sz="8" w:color="0D248E"/>
            </w:tcBorders>
            <w:gridSpan w:val="15"/>
          </w:tcPr>
          <w:p>
            <w:pPr>
              <w:spacing w:after="0" w:line="171" w:lineRule="exact"/>
              <w:rPr>
                <w:sz w:val="20"/>
                <w:szCs w:val="20"/>
                <w:color w:val="auto"/>
              </w:rPr>
            </w:pPr>
            <w:r>
              <w:rPr>
                <w:rFonts w:ascii="Times New Roman" w:cs="Times New Roman" w:eastAsia="Times New Roman" w:hAnsi="Times New Roman"/>
                <w:sz w:val="17"/>
                <w:szCs w:val="17"/>
                <w:color w:val="0D248E"/>
              </w:rPr>
              <w:t>Act of 2002.</w:t>
            </w: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D248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Certification of Principal Executive Officer pursuant to 18 U.S.C. Section 1350, as adopted pursuant to</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80" w:type="dxa"/>
            <w:vAlign w:val="bottom"/>
            <w:tcBorders>
              <w:top w:val="single" w:sz="8" w:color="0D248E"/>
            </w:tcBorders>
            <w:gridSpan w:val="16"/>
          </w:tcPr>
          <w:p>
            <w:pPr>
              <w:spacing w:after="0" w:line="171" w:lineRule="exact"/>
              <w:rPr>
                <w:sz w:val="20"/>
                <w:szCs w:val="20"/>
                <w:color w:val="auto"/>
              </w:rPr>
            </w:pPr>
            <w:r>
              <w:rPr>
                <w:rFonts w:ascii="Times New Roman" w:cs="Times New Roman" w:eastAsia="Times New Roman" w:hAnsi="Times New Roman"/>
                <w:sz w:val="17"/>
                <w:szCs w:val="17"/>
                <w:color w:val="0D248E"/>
              </w:rPr>
              <w:t>Section 906 of the Sarbanes-Oxley Act of 2002.</w:t>
            </w:r>
          </w:p>
        </w:tc>
        <w:tc>
          <w:tcPr>
            <w:tcW w:w="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5"/>
            <w:shd w:val="clear" w:color="auto" w:fill="0D248E"/>
          </w:tcPr>
          <w:p>
            <w:pPr>
              <w:spacing w:after="0" w:line="20" w:lineRule="exact"/>
              <w:rPr>
                <w:sz w:val="1"/>
                <w:szCs w:val="1"/>
                <w:color w:val="auto"/>
              </w:rPr>
            </w:pPr>
          </w:p>
        </w:tc>
        <w:tc>
          <w:tcPr>
            <w:tcW w:w="368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D248E"/>
              </w:rPr>
              <w:t>Certification of Principal Financial Officer pursuant to 18 U.S.C. Section 1350, as adopted pursuant to</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20" w:type="dxa"/>
            <w:vAlign w:val="bottom"/>
            <w:tcBorders>
              <w:top w:val="single" w:sz="8" w:color="0D248E"/>
            </w:tcBorders>
            <w:gridSpan w:val="14"/>
          </w:tcPr>
          <w:p>
            <w:pPr>
              <w:spacing w:after="0" w:line="171" w:lineRule="exact"/>
              <w:rPr>
                <w:sz w:val="20"/>
                <w:szCs w:val="20"/>
                <w:color w:val="auto"/>
              </w:rPr>
            </w:pPr>
            <w:r>
              <w:rPr>
                <w:rFonts w:ascii="Times New Roman" w:cs="Times New Roman" w:eastAsia="Times New Roman" w:hAnsi="Times New Roman"/>
                <w:sz w:val="17"/>
                <w:szCs w:val="17"/>
                <w:color w:val="0D248E"/>
              </w:rPr>
              <w:t>Section 906 of the Sarbanes-Oxley Act of 2002.</w:t>
            </w:r>
          </w:p>
        </w:tc>
        <w:tc>
          <w:tcPr>
            <w:tcW w:w="140" w:type="dxa"/>
            <w:vAlign w:val="bottom"/>
            <w:gridSpan w:val="4"/>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5"/>
            <w:shd w:val="clear" w:color="auto" w:fill="0D248E"/>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8"/>
                <w:szCs w:val="18"/>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because its XBRL tags are embedded within the Inline XBRL document.</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101.SCH</w:t>
            </w:r>
          </w:p>
        </w:tc>
        <w:tc>
          <w:tcPr>
            <w:tcW w:w="2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101.CAL</w:t>
            </w:r>
          </w:p>
        </w:tc>
        <w:tc>
          <w:tcPr>
            <w:tcW w:w="20" w:type="dxa"/>
            <w:vAlign w:val="bottom"/>
          </w:tcPr>
          <w:p>
            <w:pPr>
              <w:spacing w:after="0"/>
              <w:rPr>
                <w:sz w:val="20"/>
                <w:szCs w:val="20"/>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0"/>
                <w:szCs w:val="20"/>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101.LAB</w:t>
            </w:r>
          </w:p>
        </w:tc>
        <w:tc>
          <w:tcPr>
            <w:tcW w:w="20" w:type="dxa"/>
            <w:vAlign w:val="bottom"/>
          </w:tcPr>
          <w:p>
            <w:pPr>
              <w:spacing w:after="0"/>
              <w:rPr>
                <w:sz w:val="20"/>
                <w:szCs w:val="20"/>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0"/>
                <w:szCs w:val="20"/>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80" w:hanging="691"/>
        <w:spacing w:after="0"/>
        <w:tabs>
          <w:tab w:leader="none" w:pos="1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compensatory plan or arrangement</w:t>
      </w:r>
    </w:p>
    <w:p>
      <w:pPr>
        <w:spacing w:after="0" w:line="43" w:lineRule="exact"/>
        <w:rPr>
          <w:sz w:val="20"/>
          <w:szCs w:val="20"/>
          <w:color w:val="auto"/>
        </w:rPr>
      </w:pPr>
    </w:p>
    <w:p>
      <w:pPr>
        <w:ind w:left="1180" w:hanging="733"/>
        <w:spacing w:after="0"/>
        <w:tabs>
          <w:tab w:leader="none" w:pos="1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4"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Item 15(a)(3) above.</w:t>
      </w:r>
    </w:p>
    <w:p>
      <w:pPr>
        <w:spacing w:after="0" w:line="185" w:lineRule="exact"/>
        <w:rPr>
          <w:rFonts w:ascii="Times New Roman" w:cs="Times New Roman" w:eastAsia="Times New Roman" w:hAnsi="Times New Roman"/>
          <w:sz w:val="17"/>
          <w:szCs w:val="17"/>
          <w:color w:val="auto"/>
        </w:rPr>
      </w:pPr>
    </w:p>
    <w:p>
      <w:pPr>
        <w:ind w:left="840" w:hanging="239"/>
        <w:spacing w:after="0"/>
        <w:tabs>
          <w:tab w:leader="none" w:pos="8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Item 15(a)(2) above.</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212090</wp:posOffset>
            </wp:positionV>
            <wp:extent cx="67348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1029" w:right="86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Date: February 19, 2026</w:t>
      </w:r>
      <w:r>
        <w:rPr>
          <w:sz w:val="20"/>
          <w:szCs w:val="20"/>
          <w:color w:val="auto"/>
        </w:rPr>
        <w:tab/>
      </w:r>
      <w:r>
        <w:rPr>
          <w:rFonts w:ascii="Times New Roman" w:cs="Times New Roman" w:eastAsia="Times New Roman" w:hAnsi="Times New Roman"/>
          <w:sz w:val="16"/>
          <w:szCs w:val="16"/>
          <w:color w:val="auto"/>
        </w:rPr>
        <w:t>INSEEGO CORP.</w:t>
      </w:r>
    </w:p>
    <w:p>
      <w:pPr>
        <w:spacing w:after="0" w:line="71" w:lineRule="exact"/>
        <w:rPr>
          <w:sz w:val="20"/>
          <w:szCs w:val="20"/>
          <w:color w:val="auto"/>
        </w:rPr>
      </w:pPr>
    </w:p>
    <w:p>
      <w:pPr>
        <w:ind w:left="6160"/>
        <w:spacing w:after="0"/>
        <w:tabs>
          <w:tab w:leader="none" w:pos="7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15240</wp:posOffset>
            </wp:positionV>
            <wp:extent cx="2346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Juho Sarvikas</w:t>
      </w:r>
    </w:p>
    <w:p>
      <w:pPr>
        <w:spacing w:after="0" w:line="2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ind w:left="76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4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5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5000" w:type="dxa"/>
            <w:vAlign w:val="bottom"/>
            <w:gridSpan w:val="3"/>
          </w:tcPr>
          <w:p>
            <w:pPr>
              <w:ind w:left="3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8"/>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Juho Sarvikas</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Juho Sarvikas</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Steven Gatoff</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Steven Gatoff</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8"/>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J. Paul McClaskey</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 Paul McClaskey</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81"/>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James B. Avery</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James B. Avery</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69"/>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Stephen J. Bye</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Stephen J. Bye</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81"/>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Syed Nabeel Anwar Bukhari</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Syed Nabeel Anwar Bukhari</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69"/>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Christopher Harland</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Christopher Harland</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69"/>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Brian Miller</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Brian Miller</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81"/>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George Mulhern</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George Mulhern</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81"/>
        </w:trPr>
        <w:tc>
          <w:tcPr>
            <w:tcW w:w="2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Jeffrey Tuder</w:t>
            </w:r>
          </w:p>
        </w:tc>
        <w:tc>
          <w:tcPr>
            <w:tcW w:w="500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Director</w:t>
            </w:r>
          </w:p>
        </w:tc>
        <w:tc>
          <w:tcPr>
            <w:tcW w:w="2960" w:type="dxa"/>
            <w:vAlign w:val="bottom"/>
            <w:gridSpan w:val="3"/>
          </w:tcPr>
          <w:p>
            <w:pPr>
              <w:jc w:val="center"/>
              <w:ind w:left="737"/>
              <w:spacing w:after="0"/>
              <w:rPr>
                <w:sz w:val="20"/>
                <w:szCs w:val="20"/>
                <w:color w:val="auto"/>
              </w:rPr>
            </w:pPr>
            <w:r>
              <w:rPr>
                <w:rFonts w:ascii="Times New Roman" w:cs="Times New Roman" w:eastAsia="Times New Roman" w:hAnsi="Times New Roman"/>
                <w:sz w:val="17"/>
                <w:szCs w:val="17"/>
                <w:color w:val="auto"/>
              </w:rPr>
              <w:t>February 19, 2026</w:t>
            </w:r>
          </w:p>
        </w:tc>
      </w:tr>
      <w:tr>
        <w:trPr>
          <w:trHeight w:val="172"/>
        </w:trPr>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Jeffrey Tuder</w:t>
            </w: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95"/>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ind w:left="2600"/>
              <w:spacing w:after="0"/>
              <w:rPr>
                <w:sz w:val="20"/>
                <w:szCs w:val="20"/>
                <w:color w:val="auto"/>
              </w:rPr>
            </w:pPr>
            <w:r>
              <w:rPr>
                <w:rFonts w:ascii="Times New Roman" w:cs="Times New Roman" w:eastAsia="Times New Roman" w:hAnsi="Times New Roman"/>
                <w:sz w:val="17"/>
                <w:szCs w:val="17"/>
                <w:color w:val="auto"/>
              </w:rPr>
              <w:t>45</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6"/>
        </w:trPr>
        <w:tc>
          <w:tcPr>
            <w:tcW w:w="1020" w:type="dxa"/>
            <w:vAlign w:val="bottom"/>
            <w:tcBorders>
              <w:bottom w:val="single" w:sz="8" w:color="898381"/>
            </w:tcBorders>
          </w:tcPr>
          <w:p>
            <w:pPr>
              <w:spacing w:after="0"/>
              <w:rPr>
                <w:sz w:val="24"/>
                <w:szCs w:val="24"/>
                <w:color w:val="auto"/>
              </w:rPr>
            </w:pPr>
          </w:p>
        </w:tc>
        <w:tc>
          <w:tcPr>
            <w:tcW w:w="560" w:type="dxa"/>
            <w:vAlign w:val="bottom"/>
            <w:tcBorders>
              <w:bottom w:val="single" w:sz="8" w:color="898381"/>
            </w:tcBorders>
          </w:tcPr>
          <w:p>
            <w:pPr>
              <w:spacing w:after="0"/>
              <w:rPr>
                <w:sz w:val="24"/>
                <w:szCs w:val="24"/>
                <w:color w:val="auto"/>
              </w:rPr>
            </w:pPr>
          </w:p>
        </w:tc>
        <w:tc>
          <w:tcPr>
            <w:tcW w:w="1020" w:type="dxa"/>
            <w:vAlign w:val="bottom"/>
            <w:tcBorders>
              <w:bottom w:val="single" w:sz="8" w:color="898381"/>
            </w:tcBorders>
          </w:tcPr>
          <w:p>
            <w:pPr>
              <w:spacing w:after="0"/>
              <w:rPr>
                <w:sz w:val="24"/>
                <w:szCs w:val="24"/>
                <w:color w:val="auto"/>
              </w:rPr>
            </w:pPr>
          </w:p>
        </w:tc>
        <w:tc>
          <w:tcPr>
            <w:tcW w:w="3000" w:type="dxa"/>
            <w:vAlign w:val="bottom"/>
            <w:tcBorders>
              <w:bottom w:val="single" w:sz="8" w:color="898381"/>
            </w:tcBorders>
          </w:tcPr>
          <w:p>
            <w:pPr>
              <w:spacing w:after="0"/>
              <w:rPr>
                <w:sz w:val="24"/>
                <w:szCs w:val="24"/>
                <w:color w:val="auto"/>
              </w:rPr>
            </w:pPr>
          </w:p>
        </w:tc>
        <w:tc>
          <w:tcPr>
            <w:tcW w:w="260" w:type="dxa"/>
            <w:vAlign w:val="bottom"/>
            <w:tcBorders>
              <w:bottom w:val="single" w:sz="8" w:color="898381"/>
            </w:tcBorders>
          </w:tcPr>
          <w:p>
            <w:pPr>
              <w:spacing w:after="0"/>
              <w:rPr>
                <w:sz w:val="24"/>
                <w:szCs w:val="24"/>
                <w:color w:val="auto"/>
              </w:rPr>
            </w:pPr>
          </w:p>
        </w:tc>
        <w:tc>
          <w:tcPr>
            <w:tcW w:w="1740" w:type="dxa"/>
            <w:vAlign w:val="bottom"/>
            <w:tcBorders>
              <w:bottom w:val="single" w:sz="8" w:color="898381"/>
            </w:tcBorders>
          </w:tcPr>
          <w:p>
            <w:pPr>
              <w:spacing w:after="0"/>
              <w:rPr>
                <w:sz w:val="24"/>
                <w:szCs w:val="24"/>
                <w:color w:val="auto"/>
              </w:rPr>
            </w:pPr>
          </w:p>
        </w:tc>
        <w:tc>
          <w:tcPr>
            <w:tcW w:w="1760" w:type="dxa"/>
            <w:vAlign w:val="bottom"/>
            <w:tcBorders>
              <w:bottom w:val="single" w:sz="8" w:color="898381"/>
            </w:tcBorders>
          </w:tcPr>
          <w:p>
            <w:pPr>
              <w:spacing w:after="0"/>
              <w:rPr>
                <w:sz w:val="24"/>
                <w:szCs w:val="24"/>
                <w:color w:val="auto"/>
              </w:rPr>
            </w:pPr>
          </w:p>
        </w:tc>
        <w:tc>
          <w:tcPr>
            <w:tcW w:w="260" w:type="dxa"/>
            <w:vAlign w:val="bottom"/>
            <w:tcBorders>
              <w:bottom w:val="single" w:sz="8" w:color="898381"/>
            </w:tcBorders>
          </w:tcPr>
          <w:p>
            <w:pPr>
              <w:spacing w:after="0"/>
              <w:rPr>
                <w:sz w:val="24"/>
                <w:szCs w:val="24"/>
                <w:color w:val="auto"/>
              </w:rPr>
            </w:pPr>
          </w:p>
        </w:tc>
        <w:tc>
          <w:tcPr>
            <w:tcW w:w="940" w:type="dxa"/>
            <w:vAlign w:val="bottom"/>
            <w:tcBorders>
              <w:bottom w:val="single" w:sz="8" w:color="89838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-27940</wp:posOffset>
            </wp:positionV>
            <wp:extent cx="3365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-27940</wp:posOffset>
            </wp:positionV>
            <wp:extent cx="3365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2240" w:h="15840" w:orient="portrait"/>
          <w:cols w:equalWidth="0" w:num="1">
            <w:col w:w="10560"/>
          </w:cols>
          <w:pgMar w:left="840" w:top="835" w:right="8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60" w:type="dxa"/>
            <w:vAlign w:val="bottom"/>
            <w:gridSpan w:val="5"/>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w w:val="98"/>
              </w:rPr>
              <w:t>INDEX TO CONSOLIDATED FINANCIAL STATEMENTS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D1EDF5"/>
          </w:tcPr>
          <w:p>
            <w:pPr>
              <w:spacing w:after="0"/>
              <w:rPr>
                <w:sz w:val="15"/>
                <w:szCs w:val="15"/>
                <w:color w:val="auto"/>
              </w:rPr>
            </w:pPr>
          </w:p>
        </w:tc>
        <w:tc>
          <w:tcPr>
            <w:tcW w:w="8620" w:type="dxa"/>
            <w:vAlign w:val="bottom"/>
            <w:gridSpan w:val="8"/>
            <w:shd w:val="clear" w:color="auto" w:fill="D1EDF5"/>
          </w:tcPr>
          <w:p>
            <w:pPr>
              <w:spacing w:after="0" w:line="178" w:lineRule="exact"/>
              <w:rPr>
                <w:sz w:val="20"/>
                <w:szCs w:val="20"/>
                <w:color w:val="auto"/>
              </w:rPr>
            </w:pPr>
            <w:r>
              <w:rPr>
                <w:rFonts w:ascii="Times New Roman" w:cs="Times New Roman" w:eastAsia="Times New Roman" w:hAnsi="Times New Roman"/>
                <w:sz w:val="17"/>
                <w:szCs w:val="17"/>
                <w:color w:val="0D248E"/>
              </w:rPr>
              <w:t>Report of Independent Registered Public Accounting Firm (PCAOB ID #</w:t>
            </w:r>
            <w:r>
              <w:rPr>
                <w:rFonts w:ascii="Times New Roman" w:cs="Times New Roman" w:eastAsia="Times New Roman" w:hAnsi="Times New Roman"/>
                <w:sz w:val="17"/>
                <w:szCs w:val="17"/>
                <w:color w:val="000000"/>
              </w:rPr>
              <w:t>199</w:t>
            </w:r>
            <w:r>
              <w:rPr>
                <w:rFonts w:ascii="Times New Roman" w:cs="Times New Roman" w:eastAsia="Times New Roman" w:hAnsi="Times New Roman"/>
                <w:sz w:val="17"/>
                <w:szCs w:val="17"/>
                <w:u w:val="single" w:color="auto"/>
                <w:color w:val="0D248E"/>
              </w:rPr>
              <w:t>)</w:t>
            </w:r>
          </w:p>
        </w:tc>
        <w:tc>
          <w:tcPr>
            <w:tcW w:w="1900" w:type="dxa"/>
            <w:vAlign w:val="bottom"/>
            <w:gridSpan w:val="3"/>
            <w:shd w:val="clear" w:color="auto" w:fill="D1EDF5"/>
          </w:tcPr>
          <w:p>
            <w:pPr>
              <w:ind w:left="1180"/>
              <w:spacing w:after="0" w:line="178" w:lineRule="exact"/>
              <w:rPr>
                <w:sz w:val="20"/>
                <w:szCs w:val="20"/>
                <w:color w:val="auto"/>
              </w:rPr>
            </w:pPr>
            <w:r>
              <w:rPr>
                <w:rFonts w:ascii="Times New Roman" w:cs="Times New Roman" w:eastAsia="Times New Roman" w:hAnsi="Times New Roman"/>
                <w:sz w:val="17"/>
                <w:szCs w:val="17"/>
                <w:color w:val="0D208C"/>
              </w:rPr>
              <w:t>F-2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D1EDF5"/>
          </w:tcPr>
          <w:p>
            <w:pPr>
              <w:spacing w:after="0"/>
              <w:rPr>
                <w:sz w:val="3"/>
                <w:szCs w:val="3"/>
                <w:color w:val="auto"/>
              </w:rPr>
            </w:pPr>
          </w:p>
        </w:tc>
        <w:tc>
          <w:tcPr>
            <w:tcW w:w="1960" w:type="dxa"/>
            <w:vAlign w:val="bottom"/>
            <w:shd w:val="clear" w:color="auto" w:fill="0D248E"/>
          </w:tcPr>
          <w:p>
            <w:pPr>
              <w:spacing w:after="0"/>
              <w:rPr>
                <w:sz w:val="3"/>
                <w:szCs w:val="3"/>
                <w:color w:val="auto"/>
              </w:rPr>
            </w:pPr>
          </w:p>
        </w:tc>
        <w:tc>
          <w:tcPr>
            <w:tcW w:w="740" w:type="dxa"/>
            <w:vAlign w:val="bottom"/>
            <w:shd w:val="clear" w:color="auto" w:fill="0D248E"/>
          </w:tcPr>
          <w:p>
            <w:pPr>
              <w:spacing w:after="0"/>
              <w:rPr>
                <w:sz w:val="3"/>
                <w:szCs w:val="3"/>
                <w:color w:val="auto"/>
              </w:rPr>
            </w:pPr>
          </w:p>
        </w:tc>
        <w:tc>
          <w:tcPr>
            <w:tcW w:w="260" w:type="dxa"/>
            <w:vAlign w:val="bottom"/>
            <w:shd w:val="clear" w:color="auto" w:fill="0D248E"/>
          </w:tcPr>
          <w:p>
            <w:pPr>
              <w:spacing w:after="0"/>
              <w:rPr>
                <w:sz w:val="3"/>
                <w:szCs w:val="3"/>
                <w:color w:val="auto"/>
              </w:rPr>
            </w:pPr>
          </w:p>
        </w:tc>
        <w:tc>
          <w:tcPr>
            <w:tcW w:w="400" w:type="dxa"/>
            <w:vAlign w:val="bottom"/>
            <w:shd w:val="clear" w:color="auto" w:fill="0D248E"/>
          </w:tcPr>
          <w:p>
            <w:pPr>
              <w:spacing w:after="0"/>
              <w:rPr>
                <w:sz w:val="3"/>
                <w:szCs w:val="3"/>
                <w:color w:val="auto"/>
              </w:rPr>
            </w:pPr>
          </w:p>
        </w:tc>
        <w:tc>
          <w:tcPr>
            <w:tcW w:w="1220" w:type="dxa"/>
            <w:vAlign w:val="bottom"/>
            <w:shd w:val="clear" w:color="auto" w:fill="0D248E"/>
          </w:tcPr>
          <w:p>
            <w:pPr>
              <w:spacing w:after="0"/>
              <w:rPr>
                <w:sz w:val="3"/>
                <w:szCs w:val="3"/>
                <w:color w:val="auto"/>
              </w:rPr>
            </w:pPr>
          </w:p>
        </w:tc>
        <w:tc>
          <w:tcPr>
            <w:tcW w:w="400" w:type="dxa"/>
            <w:vAlign w:val="bottom"/>
            <w:shd w:val="clear" w:color="auto" w:fill="0D248E"/>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3380" w:type="dxa"/>
            <w:vAlign w:val="bottom"/>
            <w:shd w:val="clear" w:color="auto" w:fill="D1EDF5"/>
          </w:tcPr>
          <w:p>
            <w:pPr>
              <w:spacing w:after="0"/>
              <w:rPr>
                <w:sz w:val="3"/>
                <w:szCs w:val="3"/>
                <w:color w:val="auto"/>
              </w:rPr>
            </w:pPr>
          </w:p>
        </w:tc>
        <w:tc>
          <w:tcPr>
            <w:tcW w:w="1180" w:type="dxa"/>
            <w:vAlign w:val="bottom"/>
            <w:shd w:val="clear" w:color="auto" w:fill="D1EDF5"/>
          </w:tcPr>
          <w:p>
            <w:pPr>
              <w:spacing w:after="0"/>
              <w:rPr>
                <w:sz w:val="3"/>
                <w:szCs w:val="3"/>
                <w:color w:val="auto"/>
              </w:rPr>
            </w:pPr>
          </w:p>
        </w:tc>
        <w:tc>
          <w:tcPr>
            <w:tcW w:w="220" w:type="dxa"/>
            <w:vAlign w:val="bottom"/>
            <w:shd w:val="clear" w:color="auto" w:fill="0D208C"/>
          </w:tcPr>
          <w:p>
            <w:pPr>
              <w:spacing w:after="0"/>
              <w:rPr>
                <w:sz w:val="3"/>
                <w:szCs w:val="3"/>
                <w:color w:val="auto"/>
              </w:rPr>
            </w:pPr>
          </w:p>
        </w:tc>
        <w:tc>
          <w:tcPr>
            <w:tcW w:w="500" w:type="dxa"/>
            <w:vAlign w:val="bottom"/>
            <w:shd w:val="clear" w:color="auto" w:fill="D1EDF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62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0D248E"/>
              </w:rPr>
              <w:t>Report of Independent Registered Public Accounting Firm (PCAOB ID #</w:t>
            </w:r>
            <w:r>
              <w:rPr>
                <w:rFonts w:ascii="Times New Roman" w:cs="Times New Roman" w:eastAsia="Times New Roman" w:hAnsi="Times New Roman"/>
                <w:sz w:val="17"/>
                <w:szCs w:val="17"/>
                <w:color w:val="000000"/>
              </w:rPr>
              <w:t>688</w:t>
            </w:r>
            <w:r>
              <w:rPr>
                <w:rFonts w:ascii="Times New Roman" w:cs="Times New Roman" w:eastAsia="Times New Roman" w:hAnsi="Times New Roman"/>
                <w:sz w:val="17"/>
                <w:szCs w:val="17"/>
                <w:u w:val="single" w:color="auto"/>
                <w:color w:val="0D248E"/>
              </w:rPr>
              <w:t>)</w:t>
            </w:r>
          </w:p>
        </w:tc>
        <w:tc>
          <w:tcPr>
            <w:tcW w:w="1900" w:type="dxa"/>
            <w:vAlign w:val="bottom"/>
            <w:gridSpan w:val="3"/>
          </w:tcPr>
          <w:p>
            <w:pPr>
              <w:ind w:left="1180"/>
              <w:spacing w:after="0" w:line="178" w:lineRule="exact"/>
              <w:rPr>
                <w:sz w:val="20"/>
                <w:szCs w:val="20"/>
                <w:color w:val="auto"/>
              </w:rPr>
            </w:pPr>
            <w:r>
              <w:rPr>
                <w:rFonts w:ascii="Times New Roman" w:cs="Times New Roman" w:eastAsia="Times New Roman" w:hAnsi="Times New Roman"/>
                <w:sz w:val="17"/>
                <w:szCs w:val="17"/>
                <w:color w:val="0D208C"/>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D248E"/>
          </w:tcPr>
          <w:p>
            <w:pPr>
              <w:spacing w:after="0" w:line="20" w:lineRule="exact"/>
              <w:rPr>
                <w:sz w:val="1"/>
                <w:szCs w:val="1"/>
                <w:color w:val="auto"/>
              </w:rPr>
            </w:pPr>
          </w:p>
        </w:tc>
        <w:tc>
          <w:tcPr>
            <w:tcW w:w="740" w:type="dxa"/>
            <w:vAlign w:val="bottom"/>
            <w:shd w:val="clear" w:color="auto" w:fill="0D248E"/>
          </w:tcPr>
          <w:p>
            <w:pPr>
              <w:spacing w:after="0" w:line="20" w:lineRule="exact"/>
              <w:rPr>
                <w:sz w:val="1"/>
                <w:szCs w:val="1"/>
                <w:color w:val="auto"/>
              </w:rPr>
            </w:pPr>
          </w:p>
        </w:tc>
        <w:tc>
          <w:tcPr>
            <w:tcW w:w="26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2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D208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D1EDF5"/>
          </w:tcPr>
          <w:p>
            <w:pPr>
              <w:spacing w:after="0"/>
              <w:rPr>
                <w:sz w:val="17"/>
                <w:szCs w:val="17"/>
                <w:color w:val="auto"/>
              </w:rPr>
            </w:pPr>
          </w:p>
        </w:tc>
        <w:tc>
          <w:tcPr>
            <w:tcW w:w="4980" w:type="dxa"/>
            <w:vAlign w:val="bottom"/>
            <w:gridSpan w:val="6"/>
            <w:shd w:val="clear" w:color="auto" w:fill="D1EDF5"/>
          </w:tcPr>
          <w:p>
            <w:pPr>
              <w:spacing w:after="0"/>
              <w:rPr>
                <w:sz w:val="20"/>
                <w:szCs w:val="20"/>
                <w:color w:val="auto"/>
              </w:rPr>
            </w:pPr>
            <w:r>
              <w:rPr>
                <w:rFonts w:ascii="Times New Roman" w:cs="Times New Roman" w:eastAsia="Times New Roman" w:hAnsi="Times New Roman"/>
                <w:sz w:val="17"/>
                <w:szCs w:val="17"/>
                <w:color w:val="0D248E"/>
              </w:rPr>
              <w:t>Consolidated Balance Sheets</w:t>
            </w:r>
          </w:p>
        </w:tc>
        <w:tc>
          <w:tcPr>
            <w:tcW w:w="260" w:type="dxa"/>
            <w:vAlign w:val="bottom"/>
            <w:shd w:val="clear" w:color="auto" w:fill="D1EDF5"/>
          </w:tcPr>
          <w:p>
            <w:pPr>
              <w:spacing w:after="0"/>
              <w:rPr>
                <w:sz w:val="17"/>
                <w:szCs w:val="17"/>
                <w:color w:val="auto"/>
              </w:rPr>
            </w:pPr>
          </w:p>
        </w:tc>
        <w:tc>
          <w:tcPr>
            <w:tcW w:w="3380" w:type="dxa"/>
            <w:vAlign w:val="bottom"/>
            <w:shd w:val="clear" w:color="auto" w:fill="D1EDF5"/>
          </w:tcPr>
          <w:p>
            <w:pPr>
              <w:spacing w:after="0"/>
              <w:rPr>
                <w:sz w:val="17"/>
                <w:szCs w:val="17"/>
                <w:color w:val="auto"/>
              </w:rPr>
            </w:pPr>
          </w:p>
        </w:tc>
        <w:tc>
          <w:tcPr>
            <w:tcW w:w="1900" w:type="dxa"/>
            <w:vAlign w:val="bottom"/>
            <w:gridSpan w:val="3"/>
            <w:shd w:val="clear" w:color="auto" w:fill="D1EDF5"/>
          </w:tcPr>
          <w:p>
            <w:pPr>
              <w:ind w:left="1180"/>
              <w:spacing w:after="0"/>
              <w:rPr>
                <w:sz w:val="20"/>
                <w:szCs w:val="20"/>
                <w:color w:val="auto"/>
              </w:rPr>
            </w:pPr>
            <w:r>
              <w:rPr>
                <w:rFonts w:ascii="Times New Roman" w:cs="Times New Roman" w:eastAsia="Times New Roman" w:hAnsi="Times New Roman"/>
                <w:sz w:val="17"/>
                <w:szCs w:val="17"/>
                <w:color w:val="0D208C"/>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D1EDF5"/>
          </w:tcPr>
          <w:p>
            <w:pPr>
              <w:spacing w:after="0"/>
              <w:rPr>
                <w:sz w:val="3"/>
                <w:szCs w:val="3"/>
                <w:color w:val="auto"/>
              </w:rPr>
            </w:pPr>
          </w:p>
        </w:tc>
        <w:tc>
          <w:tcPr>
            <w:tcW w:w="1960" w:type="dxa"/>
            <w:vAlign w:val="bottom"/>
            <w:shd w:val="clear" w:color="auto" w:fill="0D248E"/>
          </w:tcPr>
          <w:p>
            <w:pPr>
              <w:spacing w:after="0"/>
              <w:rPr>
                <w:sz w:val="3"/>
                <w:szCs w:val="3"/>
                <w:color w:val="auto"/>
              </w:rPr>
            </w:pPr>
          </w:p>
        </w:tc>
        <w:tc>
          <w:tcPr>
            <w:tcW w:w="740" w:type="dxa"/>
            <w:vAlign w:val="bottom"/>
            <w:shd w:val="clear" w:color="auto" w:fill="D1EDF5"/>
          </w:tcPr>
          <w:p>
            <w:pPr>
              <w:spacing w:after="0"/>
              <w:rPr>
                <w:sz w:val="3"/>
                <w:szCs w:val="3"/>
                <w:color w:val="auto"/>
              </w:rPr>
            </w:pPr>
          </w:p>
        </w:tc>
        <w:tc>
          <w:tcPr>
            <w:tcW w:w="260" w:type="dxa"/>
            <w:vAlign w:val="bottom"/>
            <w:shd w:val="clear" w:color="auto" w:fill="D1EDF5"/>
          </w:tcPr>
          <w:p>
            <w:pPr>
              <w:spacing w:after="0"/>
              <w:rPr>
                <w:sz w:val="3"/>
                <w:szCs w:val="3"/>
                <w:color w:val="auto"/>
              </w:rPr>
            </w:pPr>
          </w:p>
        </w:tc>
        <w:tc>
          <w:tcPr>
            <w:tcW w:w="400" w:type="dxa"/>
            <w:vAlign w:val="bottom"/>
            <w:shd w:val="clear" w:color="auto" w:fill="D1EDF5"/>
          </w:tcPr>
          <w:p>
            <w:pPr>
              <w:spacing w:after="0"/>
              <w:rPr>
                <w:sz w:val="3"/>
                <w:szCs w:val="3"/>
                <w:color w:val="auto"/>
              </w:rPr>
            </w:pPr>
          </w:p>
        </w:tc>
        <w:tc>
          <w:tcPr>
            <w:tcW w:w="1220" w:type="dxa"/>
            <w:vAlign w:val="bottom"/>
            <w:shd w:val="clear" w:color="auto" w:fill="D1EDF5"/>
          </w:tcPr>
          <w:p>
            <w:pPr>
              <w:spacing w:after="0"/>
              <w:rPr>
                <w:sz w:val="3"/>
                <w:szCs w:val="3"/>
                <w:color w:val="auto"/>
              </w:rPr>
            </w:pPr>
          </w:p>
        </w:tc>
        <w:tc>
          <w:tcPr>
            <w:tcW w:w="400" w:type="dxa"/>
            <w:vAlign w:val="bottom"/>
            <w:shd w:val="clear" w:color="auto" w:fill="D1EDF5"/>
          </w:tcPr>
          <w:p>
            <w:pPr>
              <w:spacing w:after="0"/>
              <w:rPr>
                <w:sz w:val="3"/>
                <w:szCs w:val="3"/>
                <w:color w:val="auto"/>
              </w:rPr>
            </w:pPr>
          </w:p>
        </w:tc>
        <w:tc>
          <w:tcPr>
            <w:tcW w:w="260" w:type="dxa"/>
            <w:vAlign w:val="bottom"/>
            <w:shd w:val="clear" w:color="auto" w:fill="D1EDF5"/>
          </w:tcPr>
          <w:p>
            <w:pPr>
              <w:spacing w:after="0"/>
              <w:rPr>
                <w:sz w:val="3"/>
                <w:szCs w:val="3"/>
                <w:color w:val="auto"/>
              </w:rPr>
            </w:pPr>
          </w:p>
        </w:tc>
        <w:tc>
          <w:tcPr>
            <w:tcW w:w="3380" w:type="dxa"/>
            <w:vAlign w:val="bottom"/>
            <w:shd w:val="clear" w:color="auto" w:fill="D1EDF5"/>
          </w:tcPr>
          <w:p>
            <w:pPr>
              <w:spacing w:after="0"/>
              <w:rPr>
                <w:sz w:val="3"/>
                <w:szCs w:val="3"/>
                <w:color w:val="auto"/>
              </w:rPr>
            </w:pPr>
          </w:p>
        </w:tc>
        <w:tc>
          <w:tcPr>
            <w:tcW w:w="1180" w:type="dxa"/>
            <w:vAlign w:val="bottom"/>
            <w:shd w:val="clear" w:color="auto" w:fill="D1EDF5"/>
          </w:tcPr>
          <w:p>
            <w:pPr>
              <w:spacing w:after="0"/>
              <w:rPr>
                <w:sz w:val="3"/>
                <w:szCs w:val="3"/>
                <w:color w:val="auto"/>
              </w:rPr>
            </w:pPr>
          </w:p>
        </w:tc>
        <w:tc>
          <w:tcPr>
            <w:tcW w:w="220" w:type="dxa"/>
            <w:vAlign w:val="bottom"/>
            <w:shd w:val="clear" w:color="auto" w:fill="0D208C"/>
          </w:tcPr>
          <w:p>
            <w:pPr>
              <w:spacing w:after="0"/>
              <w:rPr>
                <w:sz w:val="3"/>
                <w:szCs w:val="3"/>
                <w:color w:val="auto"/>
              </w:rPr>
            </w:pPr>
          </w:p>
        </w:tc>
        <w:tc>
          <w:tcPr>
            <w:tcW w:w="500" w:type="dxa"/>
            <w:vAlign w:val="bottom"/>
            <w:shd w:val="clear" w:color="auto" w:fill="D1EDF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62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0D248E"/>
              </w:rPr>
              <w:t>Consolidated Statements of Operations and Comprehensive Income</w:t>
            </w:r>
          </w:p>
        </w:tc>
        <w:tc>
          <w:tcPr>
            <w:tcW w:w="1900" w:type="dxa"/>
            <w:vAlign w:val="bottom"/>
            <w:gridSpan w:val="3"/>
          </w:tcPr>
          <w:p>
            <w:pPr>
              <w:ind w:left="1180"/>
              <w:spacing w:after="0" w:line="178" w:lineRule="exact"/>
              <w:rPr>
                <w:sz w:val="20"/>
                <w:szCs w:val="20"/>
                <w:color w:val="auto"/>
              </w:rPr>
            </w:pPr>
            <w:r>
              <w:rPr>
                <w:rFonts w:ascii="Times New Roman" w:cs="Times New Roman" w:eastAsia="Times New Roman" w:hAnsi="Times New Roman"/>
                <w:sz w:val="17"/>
                <w:szCs w:val="17"/>
                <w:color w:val="0D208C"/>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D248E"/>
          </w:tcPr>
          <w:p>
            <w:pPr>
              <w:spacing w:after="0" w:line="20" w:lineRule="exact"/>
              <w:rPr>
                <w:sz w:val="1"/>
                <w:szCs w:val="1"/>
                <w:color w:val="auto"/>
              </w:rPr>
            </w:pPr>
          </w:p>
        </w:tc>
        <w:tc>
          <w:tcPr>
            <w:tcW w:w="740" w:type="dxa"/>
            <w:vAlign w:val="bottom"/>
            <w:shd w:val="clear" w:color="auto" w:fill="0D248E"/>
          </w:tcPr>
          <w:p>
            <w:pPr>
              <w:spacing w:after="0" w:line="20" w:lineRule="exact"/>
              <w:rPr>
                <w:sz w:val="1"/>
                <w:szCs w:val="1"/>
                <w:color w:val="auto"/>
              </w:rPr>
            </w:pPr>
          </w:p>
        </w:tc>
        <w:tc>
          <w:tcPr>
            <w:tcW w:w="260" w:type="dxa"/>
            <w:vAlign w:val="bottom"/>
            <w:shd w:val="clear" w:color="auto" w:fill="0D248E"/>
          </w:tcPr>
          <w:p>
            <w:pPr>
              <w:spacing w:after="0" w:line="20" w:lineRule="exact"/>
              <w:rPr>
                <w:sz w:val="1"/>
                <w:szCs w:val="1"/>
                <w:color w:val="auto"/>
              </w:rPr>
            </w:pPr>
          </w:p>
        </w:tc>
        <w:tc>
          <w:tcPr>
            <w:tcW w:w="400" w:type="dxa"/>
            <w:vAlign w:val="bottom"/>
            <w:shd w:val="clear" w:color="auto" w:fill="0D248E"/>
          </w:tcPr>
          <w:p>
            <w:pPr>
              <w:spacing w:after="0" w:line="20" w:lineRule="exact"/>
              <w:rPr>
                <w:sz w:val="1"/>
                <w:szCs w:val="1"/>
                <w:color w:val="auto"/>
              </w:rPr>
            </w:pPr>
          </w:p>
        </w:tc>
        <w:tc>
          <w:tcPr>
            <w:tcW w:w="1220" w:type="dxa"/>
            <w:vAlign w:val="bottom"/>
            <w:shd w:val="clear" w:color="auto" w:fill="0D248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D208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D1EDF5"/>
          </w:tcPr>
          <w:p>
            <w:pPr>
              <w:spacing w:after="0"/>
              <w:rPr>
                <w:sz w:val="17"/>
                <w:szCs w:val="17"/>
                <w:color w:val="auto"/>
              </w:rPr>
            </w:pPr>
          </w:p>
        </w:tc>
        <w:tc>
          <w:tcPr>
            <w:tcW w:w="3360" w:type="dxa"/>
            <w:vAlign w:val="bottom"/>
            <w:gridSpan w:val="4"/>
            <w:shd w:val="clear" w:color="auto" w:fill="D1EDF5"/>
          </w:tcPr>
          <w:p>
            <w:pPr>
              <w:spacing w:after="0"/>
              <w:rPr>
                <w:sz w:val="20"/>
                <w:szCs w:val="20"/>
                <w:color w:val="auto"/>
              </w:rPr>
            </w:pPr>
            <w:r>
              <w:rPr>
                <w:rFonts w:ascii="Times New Roman" w:cs="Times New Roman" w:eastAsia="Times New Roman" w:hAnsi="Times New Roman"/>
                <w:sz w:val="17"/>
                <w:szCs w:val="17"/>
                <w:color w:val="0D248E"/>
                <w:w w:val="99"/>
              </w:rPr>
              <w:t>Consolidated Statements of Stockholders’ Deficit</w:t>
            </w:r>
          </w:p>
        </w:tc>
        <w:tc>
          <w:tcPr>
            <w:tcW w:w="1220" w:type="dxa"/>
            <w:vAlign w:val="bottom"/>
            <w:shd w:val="clear" w:color="auto" w:fill="D1EDF5"/>
          </w:tcPr>
          <w:p>
            <w:pPr>
              <w:spacing w:after="0"/>
              <w:rPr>
                <w:sz w:val="17"/>
                <w:szCs w:val="17"/>
                <w:color w:val="auto"/>
              </w:rPr>
            </w:pPr>
          </w:p>
        </w:tc>
        <w:tc>
          <w:tcPr>
            <w:tcW w:w="4040" w:type="dxa"/>
            <w:vAlign w:val="bottom"/>
            <w:gridSpan w:val="3"/>
            <w:shd w:val="clear" w:color="auto" w:fill="D1EDF5"/>
          </w:tcPr>
          <w:p>
            <w:pPr>
              <w:spacing w:after="0"/>
              <w:rPr>
                <w:sz w:val="17"/>
                <w:szCs w:val="17"/>
                <w:color w:val="auto"/>
              </w:rPr>
            </w:pPr>
          </w:p>
        </w:tc>
        <w:tc>
          <w:tcPr>
            <w:tcW w:w="1900" w:type="dxa"/>
            <w:vAlign w:val="bottom"/>
            <w:gridSpan w:val="3"/>
            <w:shd w:val="clear" w:color="auto" w:fill="D1EDF5"/>
          </w:tcPr>
          <w:p>
            <w:pPr>
              <w:ind w:left="1180"/>
              <w:spacing w:after="0"/>
              <w:rPr>
                <w:sz w:val="20"/>
                <w:szCs w:val="20"/>
                <w:color w:val="auto"/>
              </w:rPr>
            </w:pPr>
            <w:r>
              <w:rPr>
                <w:rFonts w:ascii="Times New Roman" w:cs="Times New Roman" w:eastAsia="Times New Roman" w:hAnsi="Times New Roman"/>
                <w:sz w:val="17"/>
                <w:szCs w:val="17"/>
                <w:color w:val="0D208C"/>
              </w:rPr>
              <w:t>F-6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D1EDF5"/>
          </w:tcPr>
          <w:p>
            <w:pPr>
              <w:spacing w:after="0"/>
              <w:rPr>
                <w:sz w:val="3"/>
                <w:szCs w:val="3"/>
                <w:color w:val="auto"/>
              </w:rPr>
            </w:pPr>
          </w:p>
        </w:tc>
        <w:tc>
          <w:tcPr>
            <w:tcW w:w="1960" w:type="dxa"/>
            <w:vAlign w:val="bottom"/>
            <w:shd w:val="clear" w:color="auto" w:fill="0D248E"/>
          </w:tcPr>
          <w:p>
            <w:pPr>
              <w:spacing w:after="0"/>
              <w:rPr>
                <w:sz w:val="3"/>
                <w:szCs w:val="3"/>
                <w:color w:val="auto"/>
              </w:rPr>
            </w:pPr>
          </w:p>
        </w:tc>
        <w:tc>
          <w:tcPr>
            <w:tcW w:w="740" w:type="dxa"/>
            <w:vAlign w:val="bottom"/>
            <w:shd w:val="clear" w:color="auto" w:fill="0D248E"/>
          </w:tcPr>
          <w:p>
            <w:pPr>
              <w:spacing w:after="0"/>
              <w:rPr>
                <w:sz w:val="3"/>
                <w:szCs w:val="3"/>
                <w:color w:val="auto"/>
              </w:rPr>
            </w:pPr>
          </w:p>
        </w:tc>
        <w:tc>
          <w:tcPr>
            <w:tcW w:w="260" w:type="dxa"/>
            <w:vAlign w:val="bottom"/>
            <w:shd w:val="clear" w:color="auto" w:fill="0D248E"/>
          </w:tcPr>
          <w:p>
            <w:pPr>
              <w:spacing w:after="0"/>
              <w:rPr>
                <w:sz w:val="3"/>
                <w:szCs w:val="3"/>
                <w:color w:val="auto"/>
              </w:rPr>
            </w:pPr>
          </w:p>
        </w:tc>
        <w:tc>
          <w:tcPr>
            <w:tcW w:w="400" w:type="dxa"/>
            <w:vAlign w:val="bottom"/>
            <w:shd w:val="clear" w:color="auto" w:fill="0D248E"/>
          </w:tcPr>
          <w:p>
            <w:pPr>
              <w:spacing w:after="0"/>
              <w:rPr>
                <w:sz w:val="3"/>
                <w:szCs w:val="3"/>
                <w:color w:val="auto"/>
              </w:rPr>
            </w:pPr>
          </w:p>
        </w:tc>
        <w:tc>
          <w:tcPr>
            <w:tcW w:w="1220" w:type="dxa"/>
            <w:vAlign w:val="bottom"/>
            <w:shd w:val="clear" w:color="auto" w:fill="D1EDF5"/>
          </w:tcPr>
          <w:p>
            <w:pPr>
              <w:spacing w:after="0"/>
              <w:rPr>
                <w:sz w:val="3"/>
                <w:szCs w:val="3"/>
                <w:color w:val="auto"/>
              </w:rPr>
            </w:pPr>
          </w:p>
        </w:tc>
        <w:tc>
          <w:tcPr>
            <w:tcW w:w="400" w:type="dxa"/>
            <w:vAlign w:val="bottom"/>
            <w:shd w:val="clear" w:color="auto" w:fill="D1EDF5"/>
          </w:tcPr>
          <w:p>
            <w:pPr>
              <w:spacing w:after="0"/>
              <w:rPr>
                <w:sz w:val="3"/>
                <w:szCs w:val="3"/>
                <w:color w:val="auto"/>
              </w:rPr>
            </w:pPr>
          </w:p>
        </w:tc>
        <w:tc>
          <w:tcPr>
            <w:tcW w:w="260" w:type="dxa"/>
            <w:vAlign w:val="bottom"/>
            <w:shd w:val="clear" w:color="auto" w:fill="D1EDF5"/>
          </w:tcPr>
          <w:p>
            <w:pPr>
              <w:spacing w:after="0"/>
              <w:rPr>
                <w:sz w:val="3"/>
                <w:szCs w:val="3"/>
                <w:color w:val="auto"/>
              </w:rPr>
            </w:pPr>
          </w:p>
        </w:tc>
        <w:tc>
          <w:tcPr>
            <w:tcW w:w="3380" w:type="dxa"/>
            <w:vAlign w:val="bottom"/>
            <w:shd w:val="clear" w:color="auto" w:fill="D1EDF5"/>
          </w:tcPr>
          <w:p>
            <w:pPr>
              <w:spacing w:after="0"/>
              <w:rPr>
                <w:sz w:val="3"/>
                <w:szCs w:val="3"/>
                <w:color w:val="auto"/>
              </w:rPr>
            </w:pPr>
          </w:p>
        </w:tc>
        <w:tc>
          <w:tcPr>
            <w:tcW w:w="1180" w:type="dxa"/>
            <w:vAlign w:val="bottom"/>
            <w:shd w:val="clear" w:color="auto" w:fill="D1EDF5"/>
          </w:tcPr>
          <w:p>
            <w:pPr>
              <w:spacing w:after="0"/>
              <w:rPr>
                <w:sz w:val="3"/>
                <w:szCs w:val="3"/>
                <w:color w:val="auto"/>
              </w:rPr>
            </w:pPr>
          </w:p>
        </w:tc>
        <w:tc>
          <w:tcPr>
            <w:tcW w:w="220" w:type="dxa"/>
            <w:vAlign w:val="bottom"/>
            <w:shd w:val="clear" w:color="auto" w:fill="0D208C"/>
          </w:tcPr>
          <w:p>
            <w:pPr>
              <w:spacing w:after="0"/>
              <w:rPr>
                <w:sz w:val="3"/>
                <w:szCs w:val="3"/>
                <w:color w:val="auto"/>
              </w:rPr>
            </w:pPr>
          </w:p>
        </w:tc>
        <w:tc>
          <w:tcPr>
            <w:tcW w:w="500" w:type="dxa"/>
            <w:vAlign w:val="bottom"/>
            <w:shd w:val="clear" w:color="auto" w:fill="D1EDF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700" w:type="dxa"/>
            <w:vAlign w:val="bottom"/>
            <w:gridSpan w:val="2"/>
          </w:tcPr>
          <w:p>
            <w:pPr>
              <w:spacing w:after="0" w:line="178" w:lineRule="exact"/>
              <w:rPr>
                <w:sz w:val="20"/>
                <w:szCs w:val="20"/>
                <w:color w:val="auto"/>
              </w:rPr>
            </w:pPr>
            <w:r>
              <w:rPr>
                <w:rFonts w:ascii="Times New Roman" w:cs="Times New Roman" w:eastAsia="Times New Roman" w:hAnsi="Times New Roman"/>
                <w:sz w:val="17"/>
                <w:szCs w:val="17"/>
                <w:color w:val="0D248E"/>
                <w:w w:val="98"/>
              </w:rPr>
              <w:t>Consolidated Statements of Cash Flows</w:t>
            </w:r>
          </w:p>
        </w:tc>
        <w:tc>
          <w:tcPr>
            <w:tcW w:w="660" w:type="dxa"/>
            <w:vAlign w:val="bottom"/>
            <w:gridSpan w:val="2"/>
          </w:tcPr>
          <w:p>
            <w:pPr>
              <w:spacing w:after="0"/>
              <w:rPr>
                <w:sz w:val="15"/>
                <w:szCs w:val="15"/>
                <w:color w:val="auto"/>
              </w:rPr>
            </w:pPr>
          </w:p>
        </w:tc>
        <w:tc>
          <w:tcPr>
            <w:tcW w:w="5260" w:type="dxa"/>
            <w:vAlign w:val="bottom"/>
            <w:gridSpan w:val="4"/>
          </w:tcPr>
          <w:p>
            <w:pPr>
              <w:spacing w:after="0"/>
              <w:rPr>
                <w:sz w:val="15"/>
                <w:szCs w:val="15"/>
                <w:color w:val="auto"/>
              </w:rPr>
            </w:pPr>
          </w:p>
        </w:tc>
        <w:tc>
          <w:tcPr>
            <w:tcW w:w="1900" w:type="dxa"/>
            <w:vAlign w:val="bottom"/>
            <w:gridSpan w:val="3"/>
          </w:tcPr>
          <w:p>
            <w:pPr>
              <w:ind w:left="1180"/>
              <w:spacing w:after="0" w:line="178" w:lineRule="exact"/>
              <w:rPr>
                <w:sz w:val="20"/>
                <w:szCs w:val="20"/>
                <w:color w:val="auto"/>
              </w:rPr>
            </w:pPr>
            <w:r>
              <w:rPr>
                <w:rFonts w:ascii="Times New Roman" w:cs="Times New Roman" w:eastAsia="Times New Roman" w:hAnsi="Times New Roman"/>
                <w:sz w:val="17"/>
                <w:szCs w:val="17"/>
                <w:color w:val="0D208C"/>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D248E"/>
          </w:tcPr>
          <w:p>
            <w:pPr>
              <w:spacing w:after="0" w:line="20" w:lineRule="exact"/>
              <w:rPr>
                <w:sz w:val="1"/>
                <w:szCs w:val="1"/>
                <w:color w:val="auto"/>
              </w:rPr>
            </w:pPr>
          </w:p>
        </w:tc>
        <w:tc>
          <w:tcPr>
            <w:tcW w:w="740" w:type="dxa"/>
            <w:vAlign w:val="bottom"/>
            <w:shd w:val="clear" w:color="auto" w:fill="0D248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D208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shd w:val="clear" w:color="auto" w:fill="D1EDF5"/>
          </w:tcPr>
          <w:p>
            <w:pPr>
              <w:spacing w:after="0"/>
              <w:rPr>
                <w:sz w:val="18"/>
                <w:szCs w:val="18"/>
                <w:color w:val="auto"/>
              </w:rPr>
            </w:pPr>
          </w:p>
        </w:tc>
        <w:tc>
          <w:tcPr>
            <w:tcW w:w="8620" w:type="dxa"/>
            <w:vAlign w:val="bottom"/>
            <w:gridSpan w:val="8"/>
            <w:shd w:val="clear" w:color="auto" w:fill="D1EDF5"/>
          </w:tcPr>
          <w:p>
            <w:pPr>
              <w:spacing w:after="0"/>
              <w:rPr>
                <w:sz w:val="20"/>
                <w:szCs w:val="20"/>
                <w:color w:val="auto"/>
              </w:rPr>
            </w:pPr>
            <w:r>
              <w:rPr>
                <w:rFonts w:ascii="Times New Roman" w:cs="Times New Roman" w:eastAsia="Times New Roman" w:hAnsi="Times New Roman"/>
                <w:sz w:val="17"/>
                <w:szCs w:val="17"/>
                <w:color w:val="0D248E"/>
              </w:rPr>
              <w:t>Notes to Consolidated Financial Statements</w:t>
            </w:r>
          </w:p>
        </w:tc>
        <w:tc>
          <w:tcPr>
            <w:tcW w:w="1900" w:type="dxa"/>
            <w:vAlign w:val="bottom"/>
            <w:gridSpan w:val="3"/>
            <w:shd w:val="clear" w:color="auto" w:fill="D1EDF5"/>
          </w:tcPr>
          <w:p>
            <w:pPr>
              <w:ind w:left="1180"/>
              <w:spacing w:after="0"/>
              <w:rPr>
                <w:sz w:val="20"/>
                <w:szCs w:val="20"/>
                <w:color w:val="auto"/>
              </w:rPr>
            </w:pPr>
            <w:r>
              <w:rPr>
                <w:rFonts w:ascii="Times New Roman" w:cs="Times New Roman" w:eastAsia="Times New Roman" w:hAnsi="Times New Roman"/>
                <w:sz w:val="17"/>
                <w:szCs w:val="17"/>
                <w:color w:val="0D208C"/>
              </w:rPr>
              <w:t>F-9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D1EDF5"/>
            </w:tcBorders>
          </w:tcPr>
          <w:p>
            <w:pPr>
              <w:spacing w:after="0"/>
              <w:rPr>
                <w:sz w:val="24"/>
                <w:szCs w:val="24"/>
                <w:color w:val="auto"/>
              </w:rPr>
            </w:pPr>
          </w:p>
        </w:tc>
        <w:tc>
          <w:tcPr>
            <w:tcW w:w="1960" w:type="dxa"/>
            <w:vAlign w:val="bottom"/>
            <w:tcBorders>
              <w:top w:val="single" w:sz="8" w:color="0D248E"/>
            </w:tcBorders>
          </w:tcPr>
          <w:p>
            <w:pPr>
              <w:spacing w:after="0"/>
              <w:rPr>
                <w:sz w:val="24"/>
                <w:szCs w:val="24"/>
                <w:color w:val="auto"/>
              </w:rPr>
            </w:pPr>
          </w:p>
        </w:tc>
        <w:tc>
          <w:tcPr>
            <w:tcW w:w="740" w:type="dxa"/>
            <w:vAlign w:val="bottom"/>
            <w:tcBorders>
              <w:top w:val="single" w:sz="8" w:color="0D248E"/>
            </w:tcBorders>
          </w:tcPr>
          <w:p>
            <w:pPr>
              <w:spacing w:after="0"/>
              <w:rPr>
                <w:sz w:val="24"/>
                <w:szCs w:val="24"/>
                <w:color w:val="auto"/>
              </w:rPr>
            </w:pPr>
          </w:p>
        </w:tc>
        <w:tc>
          <w:tcPr>
            <w:tcW w:w="260" w:type="dxa"/>
            <w:vAlign w:val="bottom"/>
            <w:tcBorders>
              <w:top w:val="single" w:sz="8" w:color="0D248E"/>
            </w:tcBorders>
          </w:tcPr>
          <w:p>
            <w:pPr>
              <w:spacing w:after="0"/>
              <w:rPr>
                <w:sz w:val="24"/>
                <w:szCs w:val="24"/>
                <w:color w:val="auto"/>
              </w:rPr>
            </w:pPr>
          </w:p>
        </w:tc>
        <w:tc>
          <w:tcPr>
            <w:tcW w:w="400" w:type="dxa"/>
            <w:vAlign w:val="bottom"/>
            <w:tcBorders>
              <w:top w:val="single" w:sz="8" w:color="D1EDF5"/>
            </w:tcBorders>
          </w:tcPr>
          <w:p>
            <w:pPr>
              <w:spacing w:after="0"/>
              <w:rPr>
                <w:sz w:val="24"/>
                <w:szCs w:val="24"/>
                <w:color w:val="auto"/>
              </w:rPr>
            </w:pPr>
          </w:p>
        </w:tc>
        <w:tc>
          <w:tcPr>
            <w:tcW w:w="1220" w:type="dxa"/>
            <w:vAlign w:val="bottom"/>
            <w:tcBorders>
              <w:top w:val="single" w:sz="8" w:color="D1EDF5"/>
            </w:tcBorders>
          </w:tcPr>
          <w:p>
            <w:pPr>
              <w:spacing w:after="0"/>
              <w:rPr>
                <w:sz w:val="24"/>
                <w:szCs w:val="24"/>
                <w:color w:val="auto"/>
              </w:rPr>
            </w:pPr>
          </w:p>
        </w:tc>
        <w:tc>
          <w:tcPr>
            <w:tcW w:w="400" w:type="dxa"/>
            <w:vAlign w:val="bottom"/>
            <w:tcBorders>
              <w:top w:val="single" w:sz="8" w:color="D1EDF5"/>
            </w:tcBorders>
          </w:tcPr>
          <w:p>
            <w:pPr>
              <w:spacing w:after="0"/>
              <w:rPr>
                <w:sz w:val="24"/>
                <w:szCs w:val="24"/>
                <w:color w:val="auto"/>
              </w:rPr>
            </w:pPr>
          </w:p>
        </w:tc>
        <w:tc>
          <w:tcPr>
            <w:tcW w:w="3640" w:type="dxa"/>
            <w:vAlign w:val="bottom"/>
            <w:tcBorders>
              <w:top w:val="single" w:sz="8" w:color="D1EDF5"/>
            </w:tcBorders>
            <w:gridSpan w:val="2"/>
          </w:tcPr>
          <w:p>
            <w:pPr>
              <w:jc w:val="center"/>
              <w:ind w:right="3080"/>
              <w:spacing w:after="0"/>
              <w:rPr>
                <w:sz w:val="20"/>
                <w:szCs w:val="20"/>
                <w:color w:val="auto"/>
              </w:rPr>
            </w:pPr>
            <w:r>
              <w:rPr>
                <w:rFonts w:ascii="Times New Roman" w:cs="Times New Roman" w:eastAsia="Times New Roman" w:hAnsi="Times New Roman"/>
                <w:sz w:val="17"/>
                <w:szCs w:val="17"/>
                <w:color w:val="auto"/>
              </w:rPr>
              <w:t>F-1</w:t>
            </w:r>
          </w:p>
        </w:tc>
        <w:tc>
          <w:tcPr>
            <w:tcW w:w="1180" w:type="dxa"/>
            <w:vAlign w:val="bottom"/>
            <w:tcBorders>
              <w:top w:val="single" w:sz="8" w:color="D1EDF5"/>
            </w:tcBorders>
          </w:tcPr>
          <w:p>
            <w:pPr>
              <w:spacing w:after="0"/>
              <w:rPr>
                <w:sz w:val="24"/>
                <w:szCs w:val="24"/>
                <w:color w:val="auto"/>
              </w:rPr>
            </w:pPr>
          </w:p>
        </w:tc>
        <w:tc>
          <w:tcPr>
            <w:tcW w:w="220" w:type="dxa"/>
            <w:vAlign w:val="bottom"/>
            <w:tcBorders>
              <w:top w:val="single" w:sz="8" w:color="0D208C"/>
            </w:tcBorders>
          </w:tcPr>
          <w:p>
            <w:pPr>
              <w:spacing w:after="0"/>
              <w:rPr>
                <w:sz w:val="24"/>
                <w:szCs w:val="24"/>
                <w:color w:val="auto"/>
              </w:rPr>
            </w:pPr>
          </w:p>
        </w:tc>
        <w:tc>
          <w:tcPr>
            <w:tcW w:w="500" w:type="dxa"/>
            <w:vAlign w:val="bottom"/>
            <w:tcBorders>
              <w:top w:val="single" w:sz="8" w:color="D1EDF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898381"/>
            </w:tcBorders>
          </w:tcPr>
          <w:p>
            <w:pPr>
              <w:spacing w:after="0"/>
              <w:rPr>
                <w:sz w:val="9"/>
                <w:szCs w:val="9"/>
                <w:color w:val="auto"/>
              </w:rPr>
            </w:pPr>
          </w:p>
        </w:tc>
        <w:tc>
          <w:tcPr>
            <w:tcW w:w="1960" w:type="dxa"/>
            <w:vAlign w:val="bottom"/>
            <w:tcBorders>
              <w:bottom w:val="single" w:sz="8" w:color="898381"/>
            </w:tcBorders>
          </w:tcPr>
          <w:p>
            <w:pPr>
              <w:spacing w:after="0"/>
              <w:rPr>
                <w:sz w:val="9"/>
                <w:szCs w:val="9"/>
                <w:color w:val="auto"/>
              </w:rPr>
            </w:pPr>
          </w:p>
        </w:tc>
        <w:tc>
          <w:tcPr>
            <w:tcW w:w="740" w:type="dxa"/>
            <w:vAlign w:val="bottom"/>
            <w:tcBorders>
              <w:bottom w:val="single" w:sz="8" w:color="898381"/>
            </w:tcBorders>
          </w:tcPr>
          <w:p>
            <w:pPr>
              <w:spacing w:after="0"/>
              <w:rPr>
                <w:sz w:val="9"/>
                <w:szCs w:val="9"/>
                <w:color w:val="auto"/>
              </w:rPr>
            </w:pPr>
          </w:p>
        </w:tc>
        <w:tc>
          <w:tcPr>
            <w:tcW w:w="260" w:type="dxa"/>
            <w:vAlign w:val="bottom"/>
            <w:tcBorders>
              <w:bottom w:val="single" w:sz="8" w:color="898381"/>
            </w:tcBorders>
          </w:tcPr>
          <w:p>
            <w:pPr>
              <w:spacing w:after="0"/>
              <w:rPr>
                <w:sz w:val="9"/>
                <w:szCs w:val="9"/>
                <w:color w:val="auto"/>
              </w:rPr>
            </w:pPr>
          </w:p>
        </w:tc>
        <w:tc>
          <w:tcPr>
            <w:tcW w:w="400" w:type="dxa"/>
            <w:vAlign w:val="bottom"/>
            <w:tcBorders>
              <w:bottom w:val="single" w:sz="8" w:color="898381"/>
            </w:tcBorders>
          </w:tcPr>
          <w:p>
            <w:pPr>
              <w:spacing w:after="0"/>
              <w:rPr>
                <w:sz w:val="9"/>
                <w:szCs w:val="9"/>
                <w:color w:val="auto"/>
              </w:rPr>
            </w:pPr>
          </w:p>
        </w:tc>
        <w:tc>
          <w:tcPr>
            <w:tcW w:w="1220" w:type="dxa"/>
            <w:vAlign w:val="bottom"/>
            <w:tcBorders>
              <w:bottom w:val="single" w:sz="8" w:color="898381"/>
            </w:tcBorders>
          </w:tcPr>
          <w:p>
            <w:pPr>
              <w:spacing w:after="0"/>
              <w:rPr>
                <w:sz w:val="9"/>
                <w:szCs w:val="9"/>
                <w:color w:val="auto"/>
              </w:rPr>
            </w:pPr>
          </w:p>
        </w:tc>
        <w:tc>
          <w:tcPr>
            <w:tcW w:w="400" w:type="dxa"/>
            <w:vAlign w:val="bottom"/>
            <w:tcBorders>
              <w:bottom w:val="single" w:sz="8" w:color="898381"/>
            </w:tcBorders>
          </w:tcPr>
          <w:p>
            <w:pPr>
              <w:spacing w:after="0"/>
              <w:rPr>
                <w:sz w:val="9"/>
                <w:szCs w:val="9"/>
                <w:color w:val="auto"/>
              </w:rPr>
            </w:pPr>
          </w:p>
        </w:tc>
        <w:tc>
          <w:tcPr>
            <w:tcW w:w="260" w:type="dxa"/>
            <w:vAlign w:val="bottom"/>
            <w:tcBorders>
              <w:bottom w:val="single" w:sz="8" w:color="898381"/>
            </w:tcBorders>
          </w:tcPr>
          <w:p>
            <w:pPr>
              <w:spacing w:after="0"/>
              <w:rPr>
                <w:sz w:val="9"/>
                <w:szCs w:val="9"/>
                <w:color w:val="auto"/>
              </w:rPr>
            </w:pPr>
          </w:p>
        </w:tc>
        <w:tc>
          <w:tcPr>
            <w:tcW w:w="3380" w:type="dxa"/>
            <w:vAlign w:val="bottom"/>
            <w:tcBorders>
              <w:bottom w:val="single" w:sz="8" w:color="898381"/>
            </w:tcBorders>
          </w:tcPr>
          <w:p>
            <w:pPr>
              <w:spacing w:after="0"/>
              <w:rPr>
                <w:sz w:val="9"/>
                <w:szCs w:val="9"/>
                <w:color w:val="auto"/>
              </w:rPr>
            </w:pPr>
          </w:p>
        </w:tc>
        <w:tc>
          <w:tcPr>
            <w:tcW w:w="1180" w:type="dxa"/>
            <w:vAlign w:val="bottom"/>
            <w:tcBorders>
              <w:bottom w:val="single" w:sz="8" w:color="898381"/>
            </w:tcBorders>
          </w:tcPr>
          <w:p>
            <w:pPr>
              <w:spacing w:after="0"/>
              <w:rPr>
                <w:sz w:val="9"/>
                <w:szCs w:val="9"/>
                <w:color w:val="auto"/>
              </w:rPr>
            </w:pPr>
          </w:p>
        </w:tc>
        <w:tc>
          <w:tcPr>
            <w:tcW w:w="220" w:type="dxa"/>
            <w:vAlign w:val="bottom"/>
            <w:tcBorders>
              <w:bottom w:val="single" w:sz="8" w:color="898381"/>
            </w:tcBorders>
          </w:tcPr>
          <w:p>
            <w:pPr>
              <w:spacing w:after="0"/>
              <w:rPr>
                <w:sz w:val="9"/>
                <w:szCs w:val="9"/>
                <w:color w:val="auto"/>
              </w:rPr>
            </w:pPr>
          </w:p>
        </w:tc>
        <w:tc>
          <w:tcPr>
            <w:tcW w:w="500" w:type="dxa"/>
            <w:vAlign w:val="bottom"/>
            <w:tcBorders>
              <w:bottom w:val="single" w:sz="8" w:color="898381"/>
            </w:tcBorders>
          </w:tcPr>
          <w:p>
            <w:pPr>
              <w:spacing w:after="0"/>
              <w:rPr>
                <w:sz w:val="9"/>
                <w:szCs w:val="9"/>
                <w:color w:val="auto"/>
              </w:rPr>
            </w:pPr>
          </w:p>
        </w:tc>
        <w:tc>
          <w:tcPr>
            <w:tcW w:w="20" w:type="dxa"/>
            <w:vAlign w:val="bottom"/>
            <w:tcBorders>
              <w:bottom w:val="single" w:sz="8" w:color="89838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6683375</wp:posOffset>
            </wp:positionH>
            <wp:positionV relativeFrom="paragraph">
              <wp:posOffset>-27940</wp:posOffset>
            </wp:positionV>
            <wp:extent cx="3365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-27940</wp:posOffset>
            </wp:positionV>
            <wp:extent cx="3365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2240" w:h="15840" w:orient="portrait"/>
          <w:cols w:equalWidth="0" w:num="1">
            <w:col w:w="10560"/>
          </w:cols>
          <w:pgMar w:left="840" w:top="834" w:right="840" w:bottom="1440" w:gutter="0" w:footer="0" w:header="0"/>
        </w:sectPr>
      </w:pPr>
    </w:p>
    <w:bookmarkStart w:id="46" w:name="page47"/>
    <w:bookmarkEnd w:id="46"/>
    <w:p>
      <w:pPr>
        <w:ind w:left="208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 Inseego Corp.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1"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 of Inseego Corp. (the “Company”) as of December 31, 2025, the related consolidated statements of operations and comprehensive income, stockholders’ deficit and cash flows for the year ended December 31, 2025, and the related notes (collectively referred to as the “financial statements”).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1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the criteria established in Internal Control - Integrated Framework issued by the Committee of Sponsoring Organizations of the Treadway Commission (COSO) in 2013 and our report dated February 19, 2026, expressed an unqualified opinion on the effectiveness of the Company’s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 </w:t>
      </w:r>
      <w:r>
        <w:rPr>
          <w:rFonts w:ascii="Times New Roman" w:cs="Times New Roman" w:eastAsia="Times New Roman" w:hAnsi="Times New Roman"/>
          <w:sz w:val="17"/>
          <w:szCs w:val="17"/>
          <w:color w:val="auto"/>
        </w:rPr>
        <w:t>CBIZ CPAs P.C.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CBIZ CPAs P.C.</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We have served as the Company’s auditor since 2018 (such date takes into account the acquisition of the attest business of Marcum LLP by CBIZ CPAs P.C. effective November 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3" w:right="840" w:bottom="1440" w:gutter="0" w:footer="0" w:header="0"/>
        </w:sectPr>
      </w:pPr>
    </w:p>
    <w:bookmarkStart w:id="47" w:name="page48"/>
    <w:bookmarkEnd w:id="47"/>
    <w:p>
      <w:pPr>
        <w:ind w:left="208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 Inseego Corp.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Inseego Corp. (the “Company”) as of December 31, 2024, the related consolidated statements of operations and comprehensive income, stockholders’ deficit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rPr>
          <w:sz w:val="20"/>
          <w:szCs w:val="20"/>
          <w:color w:val="auto"/>
        </w:rPr>
      </w:pPr>
      <w:r>
        <w:rPr>
          <w:rFonts w:ascii="Times New Roman" w:cs="Times New Roman" w:eastAsia="Times New Roman" w:hAnsi="Times New Roman"/>
          <w:sz w:val="17"/>
          <w:szCs w:val="17"/>
          <w:color w:val="auto"/>
        </w:rPr>
        <w:t>PCAOB.</w:t>
      </w:r>
    </w:p>
    <w:p>
      <w:pPr>
        <w:spacing w:after="0" w:line="1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2018 through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983" w:right="840"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 except par value,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0" w:type="dxa"/>
            <w:vAlign w:val="bottom"/>
          </w:tcPr>
          <w:p>
            <w:pPr>
              <w:spacing w:after="0"/>
              <w:rPr>
                <w:sz w:val="1"/>
                <w:szCs w:val="1"/>
                <w:color w:val="auto"/>
              </w:rPr>
            </w:pPr>
          </w:p>
        </w:tc>
      </w:tr>
      <w:tr>
        <w:trPr>
          <w:trHeight w:val="183"/>
        </w:trPr>
        <w:tc>
          <w:tcPr>
            <w:tcW w:w="8200" w:type="dxa"/>
            <w:vAlign w:val="bottom"/>
          </w:tcPr>
          <w:p>
            <w:pPr>
              <w:ind w:left="38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24,886</w:t>
            </w:r>
          </w:p>
        </w:tc>
        <w:tc>
          <w:tcPr>
            <w:tcW w:w="100" w:type="dxa"/>
            <w:vAlign w:val="bottom"/>
          </w:tcPr>
          <w:p>
            <w:pPr>
              <w:spacing w:after="0"/>
              <w:rPr>
                <w:sz w:val="17"/>
                <w:szCs w:val="17"/>
                <w:color w:val="auto"/>
              </w:rPr>
            </w:pP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39,596</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Accounts receivable, net of allowance for expected credit losses of $159 and $123, respectively</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25,086</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13,803</w:t>
            </w: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13,575</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Prepaid expenses and other</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6,389</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5,926</w:t>
            </w:r>
          </w:p>
        </w:tc>
        <w:tc>
          <w:tcPr>
            <w:tcW w:w="0" w:type="dxa"/>
            <w:vAlign w:val="bottom"/>
          </w:tcPr>
          <w:p>
            <w:pPr>
              <w:spacing w:after="0"/>
              <w:rPr>
                <w:sz w:val="1"/>
                <w:szCs w:val="1"/>
                <w:color w:val="auto"/>
              </w:rPr>
            </w:pPr>
          </w:p>
        </w:tc>
      </w:tr>
      <w:tr>
        <w:trPr>
          <w:trHeight w:val="193"/>
        </w:trPr>
        <w:tc>
          <w:tcPr>
            <w:tcW w:w="82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72,900</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Property, plant and equipment, net of accumulated depreciation of $26,063 and $28,897, respectively</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0" w:type="dxa"/>
            <w:vAlign w:val="bottom"/>
          </w:tcPr>
          <w:p>
            <w:pPr>
              <w:spacing w:after="0"/>
              <w:rPr>
                <w:sz w:val="1"/>
                <w:szCs w:val="1"/>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 of accumulated amortization of $32,336 and $33,558, respectively</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18,747</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3,949</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3,949</w:t>
            </w:r>
          </w:p>
        </w:tc>
        <w:tc>
          <w:tcPr>
            <w:tcW w:w="0" w:type="dxa"/>
            <w:vAlign w:val="bottom"/>
          </w:tcPr>
          <w:p>
            <w:pPr>
              <w:spacing w:after="0"/>
              <w:rPr>
                <w:sz w:val="1"/>
                <w:szCs w:val="1"/>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2,855</w:t>
            </w:r>
          </w:p>
        </w:tc>
        <w:tc>
          <w:tcPr>
            <w:tcW w:w="0" w:type="dxa"/>
            <w:vAlign w:val="bottom"/>
          </w:tcPr>
          <w:p>
            <w:pPr>
              <w:spacing w:after="0"/>
              <w:rPr>
                <w:sz w:val="1"/>
                <w:szCs w:val="1"/>
                <w:color w:val="auto"/>
              </w:rPr>
            </w:pP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0" w:type="dxa"/>
            <w:vAlign w:val="bottom"/>
          </w:tcPr>
          <w:p>
            <w:pPr>
              <w:spacing w:after="0"/>
              <w:rPr>
                <w:sz w:val="1"/>
                <w:szCs w:val="1"/>
                <w:color w:val="auto"/>
              </w:rPr>
            </w:pPr>
          </w:p>
        </w:tc>
      </w:tr>
      <w:tr>
        <w:trPr>
          <w:trHeight w:val="198"/>
        </w:trPr>
        <w:tc>
          <w:tcPr>
            <w:tcW w:w="82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93,807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99,999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D1ED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shd w:val="clear" w:color="auto" w:fill="D1EDF5"/>
          </w:tcPr>
          <w:p>
            <w:pPr>
              <w:ind w:left="24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DEFICIT</w:t>
            </w:r>
          </w:p>
        </w:tc>
        <w:tc>
          <w:tcPr>
            <w:tcW w:w="240" w:type="dxa"/>
            <w:vAlign w:val="bottom"/>
            <w:shd w:val="clear" w:color="auto" w:fill="D1EDF5"/>
          </w:tcPr>
          <w:p>
            <w:pPr>
              <w:spacing w:after="0"/>
              <w:rPr>
                <w:sz w:val="14"/>
                <w:szCs w:val="14"/>
                <w:color w:val="auto"/>
              </w:rPr>
            </w:pPr>
          </w:p>
        </w:tc>
        <w:tc>
          <w:tcPr>
            <w:tcW w:w="880" w:type="dxa"/>
            <w:vAlign w:val="bottom"/>
            <w:shd w:val="clear" w:color="auto" w:fill="D1EDF5"/>
          </w:tcPr>
          <w:p>
            <w:pPr>
              <w:spacing w:after="0"/>
              <w:rPr>
                <w:sz w:val="14"/>
                <w:szCs w:val="14"/>
                <w:color w:val="auto"/>
              </w:rPr>
            </w:pPr>
          </w:p>
        </w:tc>
        <w:tc>
          <w:tcPr>
            <w:tcW w:w="100" w:type="dxa"/>
            <w:vAlign w:val="bottom"/>
            <w:shd w:val="clear" w:color="auto" w:fill="D1EDF5"/>
          </w:tcPr>
          <w:p>
            <w:pPr>
              <w:spacing w:after="0"/>
              <w:rPr>
                <w:sz w:val="14"/>
                <w:szCs w:val="14"/>
                <w:color w:val="auto"/>
              </w:rPr>
            </w:pPr>
          </w:p>
        </w:tc>
        <w:tc>
          <w:tcPr>
            <w:tcW w:w="400" w:type="dxa"/>
            <w:vAlign w:val="bottom"/>
            <w:shd w:val="clear" w:color="auto" w:fill="D1EDF5"/>
          </w:tcPr>
          <w:p>
            <w:pPr>
              <w:spacing w:after="0"/>
              <w:rPr>
                <w:sz w:val="14"/>
                <w:szCs w:val="14"/>
                <w:color w:val="auto"/>
              </w:rPr>
            </w:pPr>
          </w:p>
        </w:tc>
        <w:tc>
          <w:tcPr>
            <w:tcW w:w="740" w:type="dxa"/>
            <w:vAlign w:val="bottom"/>
            <w:shd w:val="clear" w:color="auto" w:fill="D1EDF5"/>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23,583</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18,433</w:t>
            </w: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30,133</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2025 Convertible Notes, net</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14,905</w:t>
            </w:r>
          </w:p>
        </w:tc>
        <w:tc>
          <w:tcPr>
            <w:tcW w:w="0" w:type="dxa"/>
            <w:vAlign w:val="bottom"/>
          </w:tcPr>
          <w:p>
            <w:pPr>
              <w:spacing w:after="0"/>
              <w:rPr>
                <w:sz w:val="1"/>
                <w:szCs w:val="1"/>
                <w:color w:val="auto"/>
              </w:rPr>
            </w:pPr>
          </w:p>
        </w:tc>
      </w:tr>
      <w:tr>
        <w:trPr>
          <w:trHeight w:val="193"/>
        </w:trPr>
        <w:tc>
          <w:tcPr>
            <w:tcW w:w="82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48,439</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63,471</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Long-term liabilities: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2029 Senior Secured Notes,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41,830</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4,705</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4,755</w:t>
            </w:r>
          </w:p>
        </w:tc>
        <w:tc>
          <w:tcPr>
            <w:tcW w:w="0" w:type="dxa"/>
            <w:vAlign w:val="bottom"/>
          </w:tcPr>
          <w:p>
            <w:pPr>
              <w:spacing w:after="0"/>
              <w:rPr>
                <w:sz w:val="1"/>
                <w:szCs w:val="1"/>
                <w:color w:val="auto"/>
              </w:rPr>
            </w:pPr>
          </w:p>
        </w:tc>
      </w:tr>
      <w:tr>
        <w:trPr>
          <w:trHeight w:val="193"/>
        </w:trPr>
        <w:tc>
          <w:tcPr>
            <w:tcW w:w="82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Total liabilities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112,857</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Commitments and Contingencies (Note 11.)</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deficit: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Preferred stock, par value $0.001; 2,000,000 shares authorized:</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00" w:type="dxa"/>
            <w:vAlign w:val="bottom"/>
          </w:tcPr>
          <w:p>
            <w:pPr>
              <w:ind w:left="520"/>
              <w:spacing w:after="0" w:line="153" w:lineRule="exact"/>
              <w:rPr>
                <w:sz w:val="20"/>
                <w:szCs w:val="20"/>
                <w:color w:val="auto"/>
              </w:rPr>
            </w:pPr>
            <w:r>
              <w:rPr>
                <w:rFonts w:ascii="Times New Roman" w:cs="Times New Roman" w:eastAsia="Times New Roman" w:hAnsi="Times New Roman"/>
                <w:sz w:val="15"/>
                <w:szCs w:val="15"/>
                <w:color w:val="auto"/>
              </w:rPr>
              <w:t>Series E Preferred stock, par value $0.001; 39,500 shares designated, 25,000 shares issued and outstanding as of</w:t>
            </w:r>
          </w:p>
        </w:tc>
        <w:tc>
          <w:tcPr>
            <w:tcW w:w="24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820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December 31, 2025 and December 31, 2024, aggregate liquidation preference of $41,966 as of December 31, 2025</w:t>
            </w:r>
          </w:p>
        </w:tc>
        <w:tc>
          <w:tcPr>
            <w:tcW w:w="2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0" w:type="dxa"/>
            <w:vAlign w:val="bottom"/>
            <w:shd w:val="clear" w:color="auto" w:fill="D1EDF5"/>
          </w:tcPr>
          <w:p>
            <w:pPr>
              <w:ind w:left="200"/>
              <w:spacing w:after="0" w:line="156" w:lineRule="exact"/>
              <w:rPr>
                <w:sz w:val="20"/>
                <w:szCs w:val="20"/>
                <w:color w:val="auto"/>
              </w:rPr>
            </w:pPr>
            <w:r>
              <w:rPr>
                <w:rFonts w:ascii="Times New Roman" w:cs="Times New Roman" w:eastAsia="Times New Roman" w:hAnsi="Times New Roman"/>
                <w:sz w:val="15"/>
                <w:szCs w:val="15"/>
                <w:color w:val="auto"/>
              </w:rPr>
              <w:t>Common stock, par value $0.001; 150,000,000 shares authorized, 15,388,978 and 14,990,712 shares issued and outstanding as of</w:t>
            </w:r>
          </w:p>
        </w:tc>
        <w:tc>
          <w:tcPr>
            <w:tcW w:w="240" w:type="dxa"/>
            <w:vAlign w:val="bottom"/>
            <w:shd w:val="clear" w:color="auto" w:fill="D1EDF5"/>
          </w:tcPr>
          <w:p>
            <w:pPr>
              <w:spacing w:after="0"/>
              <w:rPr>
                <w:sz w:val="13"/>
                <w:szCs w:val="13"/>
                <w:color w:val="auto"/>
              </w:rPr>
            </w:pPr>
          </w:p>
        </w:tc>
        <w:tc>
          <w:tcPr>
            <w:tcW w:w="88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D1EDF5"/>
          </w:tcPr>
          <w:p>
            <w:pPr>
              <w:spacing w:after="0"/>
              <w:rPr>
                <w:sz w:val="13"/>
                <w:szCs w:val="13"/>
                <w:color w:val="auto"/>
              </w:rPr>
            </w:pPr>
          </w:p>
        </w:tc>
        <w:tc>
          <w:tcPr>
            <w:tcW w:w="400" w:type="dxa"/>
            <w:vAlign w:val="bottom"/>
            <w:shd w:val="clear" w:color="auto" w:fill="D1EDF5"/>
          </w:tcPr>
          <w:p>
            <w:pPr>
              <w:spacing w:after="0"/>
              <w:rPr>
                <w:sz w:val="13"/>
                <w:szCs w:val="13"/>
                <w:color w:val="auto"/>
              </w:rPr>
            </w:pPr>
          </w:p>
        </w:tc>
        <w:tc>
          <w:tcPr>
            <w:tcW w:w="74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3"/>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December 31, 2025 and December 31, 2024, respectively</w:t>
            </w:r>
          </w:p>
        </w:tc>
        <w:tc>
          <w:tcPr>
            <w:tcW w:w="240" w:type="dxa"/>
            <w:vAlign w:val="bottom"/>
            <w:shd w:val="clear" w:color="auto" w:fill="D1EDF5"/>
          </w:tcPr>
          <w:p>
            <w:pPr>
              <w:spacing w:after="0"/>
              <w:rPr>
                <w:sz w:val="17"/>
                <w:szCs w:val="17"/>
                <w:color w:val="auto"/>
              </w:rPr>
            </w:pPr>
          </w:p>
        </w:tc>
        <w:tc>
          <w:tcPr>
            <w:tcW w:w="880" w:type="dxa"/>
            <w:vAlign w:val="bottom"/>
            <w:vMerge w:val="continue"/>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vMerge w:val="continue"/>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200"/>
              <w:spacing w:after="0" w:line="204" w:lineRule="exact"/>
              <w:rPr>
                <w:sz w:val="20"/>
                <w:szCs w:val="20"/>
                <w:color w:val="auto"/>
              </w:rPr>
            </w:pPr>
            <w:r>
              <w:rPr>
                <w:rFonts w:ascii="Times New Roman" w:cs="Times New Roman" w:eastAsia="Times New Roman" w:hAnsi="Times New Roman"/>
                <w:sz w:val="15"/>
                <w:szCs w:val="15"/>
                <w:color w:val="auto"/>
              </w:rPr>
              <w:t xml:space="preserve">Additional paid-in capital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9"/>
                <w:szCs w:val="19"/>
                <w:color w:val="auto"/>
                <w:vertAlign w:val="superscript"/>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903,899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892,534</w:t>
            </w:r>
          </w:p>
        </w:tc>
        <w:tc>
          <w:tcPr>
            <w:tcW w:w="0" w:type="dxa"/>
            <w:vAlign w:val="bottom"/>
          </w:tcPr>
          <w:p>
            <w:pPr>
              <w:spacing w:after="0"/>
              <w:rPr>
                <w:sz w:val="1"/>
                <w:szCs w:val="1"/>
                <w:color w:val="auto"/>
              </w:rPr>
            </w:pPr>
          </w:p>
        </w:tc>
      </w:tr>
      <w:tr>
        <w:trPr>
          <w:trHeight w:val="203"/>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201"/>
        </w:trPr>
        <w:tc>
          <w:tcPr>
            <w:tcW w:w="820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Accumulated deficit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(908,361)</w:t>
            </w:r>
          </w:p>
        </w:tc>
        <w:tc>
          <w:tcPr>
            <w:tcW w:w="100" w:type="dxa"/>
            <w:vAlign w:val="bottom"/>
            <w:tcBorders>
              <w:bottom w:val="single" w:sz="8" w:color="D1ED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(905,625)</w:t>
            </w:r>
          </w:p>
        </w:tc>
        <w:tc>
          <w:tcPr>
            <w:tcW w:w="0" w:type="dxa"/>
            <w:vAlign w:val="bottom"/>
          </w:tcPr>
          <w:p>
            <w:pPr>
              <w:spacing w:after="0"/>
              <w:rPr>
                <w:sz w:val="1"/>
                <w:szCs w:val="1"/>
                <w:color w:val="auto"/>
              </w:rPr>
            </w:pPr>
          </w:p>
        </w:tc>
      </w:tr>
      <w:tr>
        <w:trPr>
          <w:trHeight w:val="197"/>
        </w:trPr>
        <w:tc>
          <w:tcPr>
            <w:tcW w:w="8200" w:type="dxa"/>
            <w:vAlign w:val="bottom"/>
            <w:shd w:val="clear" w:color="auto" w:fill="D1EDF5"/>
          </w:tcPr>
          <w:p>
            <w:pPr>
              <w:ind w:left="620"/>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(12,858)</w:t>
            </w:r>
          </w:p>
        </w:tc>
        <w:tc>
          <w:tcPr>
            <w:tcW w:w="0" w:type="dxa"/>
            <w:vAlign w:val="bottom"/>
          </w:tcPr>
          <w:p>
            <w:pPr>
              <w:spacing w:after="0"/>
              <w:rPr>
                <w:sz w:val="1"/>
                <w:szCs w:val="1"/>
                <w:color w:val="auto"/>
              </w:rPr>
            </w:pPr>
          </w:p>
        </w:tc>
      </w:tr>
      <w:tr>
        <w:trPr>
          <w:trHeight w:val="197"/>
        </w:trPr>
        <w:tc>
          <w:tcPr>
            <w:tcW w:w="82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Total liabilities and stockholders’ deficit</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93,807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99,999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835" w:right="8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6"/>
        </w:trPr>
        <w:tc>
          <w:tcPr>
            <w:tcW w:w="8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4"/>
        </w:trPr>
        <w:tc>
          <w:tcPr>
            <w:tcW w:w="81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Mobile solutions</w:t>
            </w:r>
          </w:p>
        </w:tc>
        <w:tc>
          <w:tcPr>
            <w:tcW w:w="240" w:type="dxa"/>
            <w:vAlign w:val="bottom"/>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67,928</w:t>
            </w: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98,930</w:t>
            </w:r>
          </w:p>
        </w:tc>
      </w:tr>
      <w:tr>
        <w:trPr>
          <w:trHeight w:val="183"/>
        </w:trPr>
        <w:tc>
          <w:tcPr>
            <w:tcW w:w="81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4"/>
                <w:szCs w:val="14"/>
                <w:color w:val="auto"/>
              </w:rPr>
              <w:t>Fixed wireless access solutions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49,751</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47,649</w:t>
            </w:r>
          </w:p>
        </w:tc>
      </w:tr>
      <w:tr>
        <w:trPr>
          <w:trHeight w:val="191"/>
        </w:trPr>
        <w:tc>
          <w:tcPr>
            <w:tcW w:w="8180" w:type="dxa"/>
            <w:vAlign w:val="bottom"/>
            <w:shd w:val="clear" w:color="auto" w:fill="D1EDF5"/>
          </w:tcPr>
          <w:p>
            <w:pPr>
              <w:ind w:left="300"/>
              <w:spacing w:after="0"/>
              <w:rPr>
                <w:sz w:val="20"/>
                <w:szCs w:val="20"/>
                <w:color w:val="auto"/>
              </w:rPr>
            </w:pPr>
            <w:r>
              <w:rPr>
                <w:rFonts w:ascii="Times New Roman" w:cs="Times New Roman" w:eastAsia="Times New Roman" w:hAnsi="Times New Roman"/>
                <w:sz w:val="14"/>
                <w:szCs w:val="14"/>
                <w:color w:val="auto"/>
              </w:rPr>
              <w:t>Product revenues</w:t>
            </w:r>
          </w:p>
        </w:tc>
        <w:tc>
          <w:tcPr>
            <w:tcW w:w="240" w:type="dxa"/>
            <w:vAlign w:val="bottom"/>
            <w:shd w:val="clear" w:color="auto" w:fill="D1EDF5"/>
          </w:tcPr>
          <w:p>
            <w:pPr>
              <w:spacing w:after="0"/>
              <w:rPr>
                <w:sz w:val="16"/>
                <w:szCs w:val="16"/>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117,679</w:t>
            </w: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146,579</w:t>
            </w:r>
          </w:p>
        </w:tc>
      </w:tr>
      <w:tr>
        <w:trPr>
          <w:trHeight w:val="183"/>
        </w:trPr>
        <w:tc>
          <w:tcPr>
            <w:tcW w:w="8180" w:type="dxa"/>
            <w:vAlign w:val="bottom"/>
            <w:tcBorders>
              <w:bottom w:val="single" w:sz="8" w:color="D1EDF5"/>
            </w:tcBorders>
          </w:tcPr>
          <w:p>
            <w:pPr>
              <w:ind w:left="300"/>
              <w:spacing w:after="0"/>
              <w:rPr>
                <w:sz w:val="20"/>
                <w:szCs w:val="20"/>
                <w:color w:val="auto"/>
              </w:rPr>
            </w:pPr>
            <w:r>
              <w:rPr>
                <w:rFonts w:ascii="Times New Roman" w:cs="Times New Roman" w:eastAsia="Times New Roman" w:hAnsi="Times New Roman"/>
                <w:sz w:val="14"/>
                <w:szCs w:val="14"/>
                <w:color w:val="auto"/>
              </w:rPr>
              <w:t>Software services and other</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48,509</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44,665</w:t>
            </w:r>
          </w:p>
        </w:tc>
      </w:tr>
      <w:tr>
        <w:trPr>
          <w:trHeight w:val="191"/>
        </w:trPr>
        <w:tc>
          <w:tcPr>
            <w:tcW w:w="8180" w:type="dxa"/>
            <w:vAlign w:val="bottom"/>
            <w:shd w:val="clear" w:color="auto" w:fill="D1EDF5"/>
          </w:tcPr>
          <w:p>
            <w:pPr>
              <w:ind w:left="40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D1EDF5"/>
          </w:tcPr>
          <w:p>
            <w:pPr>
              <w:spacing w:after="0"/>
              <w:rPr>
                <w:sz w:val="16"/>
                <w:szCs w:val="16"/>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166,188</w:t>
            </w: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191,244</w:t>
            </w:r>
          </w:p>
        </w:tc>
      </w:tr>
      <w:tr>
        <w:trPr>
          <w:trHeight w:val="183"/>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Product</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89,523</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115,390</w:t>
            </w:r>
          </w:p>
        </w:tc>
      </w:tr>
      <w:tr>
        <w:trPr>
          <w:trHeight w:val="183"/>
        </w:trPr>
        <w:tc>
          <w:tcPr>
            <w:tcW w:w="81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4"/>
                <w:szCs w:val="14"/>
                <w:color w:val="auto"/>
              </w:rPr>
              <w:t>Software services and other</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w:t>
            </w:r>
          </w:p>
        </w:tc>
      </w:tr>
      <w:tr>
        <w:trPr>
          <w:trHeight w:val="190"/>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Total cost of revenues</w:t>
            </w:r>
          </w:p>
        </w:tc>
        <w:tc>
          <w:tcPr>
            <w:tcW w:w="24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95,192</w:t>
            </w:r>
          </w:p>
        </w:tc>
        <w:tc>
          <w:tcPr>
            <w:tcW w:w="100" w:type="dxa"/>
            <w:vAlign w:val="bottom"/>
            <w:shd w:val="clear" w:color="auto" w:fill="D1EDF5"/>
          </w:tcPr>
          <w:p>
            <w:pPr>
              <w:spacing w:after="0"/>
              <w:rPr>
                <w:sz w:val="16"/>
                <w:szCs w:val="16"/>
                <w:color w:val="auto"/>
              </w:rPr>
            </w:pPr>
          </w:p>
        </w:tc>
        <w:tc>
          <w:tcPr>
            <w:tcW w:w="26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122,447</w:t>
            </w:r>
          </w:p>
        </w:tc>
      </w:tr>
      <w:tr>
        <w:trPr>
          <w:trHeight w:val="175"/>
        </w:trPr>
        <w:tc>
          <w:tcPr>
            <w:tcW w:w="8180" w:type="dxa"/>
            <w:vAlign w:val="bottom"/>
          </w:tcPr>
          <w:p>
            <w:pPr>
              <w:ind w:left="620"/>
              <w:spacing w:after="0" w:line="159" w:lineRule="exact"/>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68,797</w:t>
            </w:r>
          </w:p>
        </w:tc>
      </w:tr>
      <w:tr>
        <w:trPr>
          <w:trHeight w:val="19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20,596</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15,951</w:t>
            </w: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8,336</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12,368</w:t>
            </w:r>
          </w:p>
        </w:tc>
      </w:tr>
      <w:tr>
        <w:trPr>
          <w:trHeight w:val="183"/>
        </w:trPr>
        <w:tc>
          <w:tcPr>
            <w:tcW w:w="81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91"/>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66,680</w:t>
            </w:r>
          </w:p>
        </w:tc>
        <w:tc>
          <w:tcPr>
            <w:tcW w:w="100" w:type="dxa"/>
            <w:vAlign w:val="bottom"/>
            <w:shd w:val="clear" w:color="auto" w:fill="D1EDF5"/>
          </w:tcPr>
          <w:p>
            <w:pPr>
              <w:spacing w:after="0"/>
              <w:rPr>
                <w:sz w:val="16"/>
                <w:szCs w:val="16"/>
                <w:color w:val="auto"/>
              </w:rPr>
            </w:pPr>
          </w:p>
        </w:tc>
        <w:tc>
          <w:tcPr>
            <w:tcW w:w="26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67,082</w:t>
            </w:r>
          </w:p>
        </w:tc>
      </w:tr>
      <w:tr>
        <w:trPr>
          <w:trHeight w:val="175"/>
        </w:trPr>
        <w:tc>
          <w:tcPr>
            <w:tcW w:w="8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r>
      <w:tr>
        <w:trPr>
          <w:trHeight w:val="19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debt restructurings, net</w:t>
            </w: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Loss on extinguishment of revolving credit facility</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w:t>
            </w:r>
          </w:p>
        </w:tc>
      </w:tr>
      <w:tr>
        <w:trPr>
          <w:trHeight w:val="210"/>
        </w:trPr>
        <w:tc>
          <w:tcPr>
            <w:tcW w:w="8180" w:type="dxa"/>
            <w:vAlign w:val="bottom"/>
            <w:tcBorders>
              <w:bottom w:val="single" w:sz="8" w:color="D1EDF5"/>
            </w:tcBorders>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63"/>
        </w:trPr>
        <w:tc>
          <w:tcPr>
            <w:tcW w:w="8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(13,680)</w:t>
            </w:r>
          </w:p>
        </w:tc>
      </w:tr>
      <w:tr>
        <w:trPr>
          <w:trHeight w:val="19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Income tax provision</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75"/>
        </w:trPr>
        <w:tc>
          <w:tcPr>
            <w:tcW w:w="8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Income (loss) from continuing operations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(14,369)</w:t>
            </w:r>
          </w:p>
        </w:tc>
      </w:tr>
      <w:tr>
        <w:trPr>
          <w:trHeight w:val="198"/>
        </w:trPr>
        <w:tc>
          <w:tcPr>
            <w:tcW w:w="8180" w:type="dxa"/>
            <w:vAlign w:val="bottom"/>
            <w:shd w:val="clear" w:color="auto" w:fill="D1EDF5"/>
          </w:tcPr>
          <w:p>
            <w:pPr>
              <w:ind w:left="120"/>
              <w:spacing w:after="0"/>
              <w:rPr>
                <w:sz w:val="20"/>
                <w:szCs w:val="20"/>
                <w:color w:val="auto"/>
              </w:rPr>
            </w:pPr>
            <w:r>
              <w:rPr>
                <w:rFonts w:ascii="Times New Roman" w:cs="Times New Roman" w:eastAsia="Times New Roman" w:hAnsi="Times New Roman"/>
                <w:sz w:val="14"/>
                <w:szCs w:val="14"/>
                <w:color w:val="auto"/>
              </w:rPr>
              <w:t>Income (Loss) from discontinued operations (net of income tax provision of $400 and $1,956, respectively)</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18,941</w:t>
            </w:r>
          </w:p>
        </w:tc>
      </w:tr>
      <w:tr>
        <w:trPr>
          <w:trHeight w:val="175"/>
        </w:trPr>
        <w:tc>
          <w:tcPr>
            <w:tcW w:w="8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r>
      <w:tr>
        <w:trPr>
          <w:trHeight w:val="194"/>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24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shd w:val="clear" w:color="auto" w:fill="D1EDF5"/>
          </w:tcPr>
          <w:p>
            <w:pPr>
              <w:spacing w:after="0"/>
              <w:rPr>
                <w:sz w:val="16"/>
                <w:szCs w:val="16"/>
                <w:color w:val="auto"/>
              </w:rPr>
            </w:pPr>
          </w:p>
        </w:tc>
        <w:tc>
          <w:tcPr>
            <w:tcW w:w="260" w:type="dxa"/>
            <w:vAlign w:val="bottom"/>
            <w:tcBorders>
              <w:bottom w:val="single" w:sz="8" w:color="auto"/>
            </w:tcBorders>
            <w:shd w:val="clear" w:color="auto" w:fill="D1EDF5"/>
          </w:tcPr>
          <w:p>
            <w:pPr>
              <w:spacing w:after="0"/>
              <w:rPr>
                <w:sz w:val="16"/>
                <w:szCs w:val="16"/>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(3,269)</w:t>
            </w:r>
          </w:p>
        </w:tc>
      </w:tr>
      <w:tr>
        <w:trPr>
          <w:trHeight w:val="187"/>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20"/>
        </w:trPr>
        <w:tc>
          <w:tcPr>
            <w:tcW w:w="8180" w:type="dxa"/>
            <w:vAlign w:val="bottom"/>
            <w:tcBorders>
              <w:bottom w:val="single" w:sz="8" w:color="D1ED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8180" w:type="dxa"/>
            <w:vAlign w:val="bottom"/>
            <w:shd w:val="clear" w:color="auto" w:fill="D1EDF5"/>
          </w:tcPr>
          <w:p>
            <w:pPr>
              <w:spacing w:after="0" w:line="155" w:lineRule="exact"/>
              <w:rPr>
                <w:sz w:val="20"/>
                <w:szCs w:val="20"/>
                <w:color w:val="auto"/>
              </w:rPr>
            </w:pPr>
            <w:r>
              <w:rPr>
                <w:rFonts w:ascii="Times New Roman" w:cs="Times New Roman" w:eastAsia="Times New Roman" w:hAnsi="Times New Roman"/>
                <w:sz w:val="14"/>
                <w:szCs w:val="14"/>
                <w:color w:val="auto"/>
              </w:rPr>
              <w:t>Per share data:</w:t>
            </w:r>
          </w:p>
        </w:tc>
        <w:tc>
          <w:tcPr>
            <w:tcW w:w="240" w:type="dxa"/>
            <w:vAlign w:val="bottom"/>
            <w:shd w:val="clear" w:color="auto" w:fill="D1EDF5"/>
          </w:tcPr>
          <w:p>
            <w:pPr>
              <w:spacing w:after="0"/>
              <w:rPr>
                <w:sz w:val="13"/>
                <w:szCs w:val="13"/>
                <w:color w:val="auto"/>
              </w:rPr>
            </w:pPr>
          </w:p>
        </w:tc>
        <w:tc>
          <w:tcPr>
            <w:tcW w:w="880" w:type="dxa"/>
            <w:vAlign w:val="bottom"/>
            <w:shd w:val="clear" w:color="auto" w:fill="D1EDF5"/>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880" w:type="dxa"/>
            <w:vAlign w:val="bottom"/>
            <w:shd w:val="clear" w:color="auto" w:fill="D1EDF5"/>
          </w:tcPr>
          <w:p>
            <w:pPr>
              <w:spacing w:after="0"/>
              <w:rPr>
                <w:sz w:val="13"/>
                <w:szCs w:val="13"/>
                <w:color w:val="auto"/>
              </w:rPr>
            </w:pPr>
          </w:p>
        </w:tc>
      </w:tr>
      <w:tr>
        <w:trPr>
          <w:trHeight w:val="183"/>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per share: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18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98"/>
        </w:trPr>
        <w:tc>
          <w:tcPr>
            <w:tcW w:w="81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58"/>
        </w:trPr>
        <w:tc>
          <w:tcPr>
            <w:tcW w:w="818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 xml:space="preserve">Basic earnings (loss) per share </w:t>
            </w:r>
            <w:r>
              <w:rPr>
                <w:rFonts w:ascii="Times New Roman" w:cs="Times New Roman" w:eastAsia="Times New Roman" w:hAnsi="Times New Roman"/>
                <w:sz w:val="8"/>
                <w:szCs w:val="8"/>
                <w:color w:val="auto"/>
              </w:rPr>
              <w:t>(*)</w:t>
            </w:r>
          </w:p>
        </w:tc>
        <w:tc>
          <w:tcPr>
            <w:tcW w:w="240" w:type="dxa"/>
            <w:vAlign w:val="bottom"/>
            <w:tcBorders>
              <w:bottom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2"/>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0.10</w:t>
            </w:r>
          </w:p>
        </w:tc>
      </w:tr>
      <w:tr>
        <w:trPr>
          <w:trHeight w:val="20"/>
        </w:trPr>
        <w:tc>
          <w:tcPr>
            <w:tcW w:w="8180" w:type="dxa"/>
            <w:vAlign w:val="bottom"/>
            <w:tcBorders>
              <w:bottom w:val="single" w:sz="8" w:color="D1ED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8180" w:type="dxa"/>
            <w:vAlign w:val="bottom"/>
            <w:shd w:val="clear" w:color="auto" w:fill="D1EDF5"/>
          </w:tcPr>
          <w:p>
            <w:pPr>
              <w:spacing w:after="0" w:line="155" w:lineRule="exact"/>
              <w:rPr>
                <w:sz w:val="20"/>
                <w:szCs w:val="20"/>
                <w:color w:val="auto"/>
              </w:rPr>
            </w:pPr>
            <w:r>
              <w:rPr>
                <w:rFonts w:ascii="Times New Roman" w:cs="Times New Roman" w:eastAsia="Times New Roman" w:hAnsi="Times New Roman"/>
                <w:sz w:val="14"/>
                <w:szCs w:val="14"/>
                <w:color w:val="auto"/>
              </w:rPr>
              <w:t>Weighted-average shares used in computation of net earnings (loss) per share:</w:t>
            </w:r>
          </w:p>
        </w:tc>
        <w:tc>
          <w:tcPr>
            <w:tcW w:w="240" w:type="dxa"/>
            <w:vAlign w:val="bottom"/>
            <w:shd w:val="clear" w:color="auto" w:fill="D1EDF5"/>
          </w:tcPr>
          <w:p>
            <w:pPr>
              <w:spacing w:after="0"/>
              <w:rPr>
                <w:sz w:val="13"/>
                <w:szCs w:val="13"/>
                <w:color w:val="auto"/>
              </w:rPr>
            </w:pPr>
          </w:p>
        </w:tc>
        <w:tc>
          <w:tcPr>
            <w:tcW w:w="880" w:type="dxa"/>
            <w:vAlign w:val="bottom"/>
            <w:shd w:val="clear" w:color="auto" w:fill="D1EDF5"/>
          </w:tcPr>
          <w:p>
            <w:pPr>
              <w:spacing w:after="0"/>
              <w:rPr>
                <w:sz w:val="13"/>
                <w:szCs w:val="13"/>
                <w:color w:val="auto"/>
              </w:rPr>
            </w:pPr>
          </w:p>
        </w:tc>
        <w:tc>
          <w:tcPr>
            <w:tcW w:w="100" w:type="dxa"/>
            <w:vAlign w:val="bottom"/>
            <w:shd w:val="clear" w:color="auto" w:fill="D1EDF5"/>
          </w:tcPr>
          <w:p>
            <w:pPr>
              <w:spacing w:after="0"/>
              <w:rPr>
                <w:sz w:val="13"/>
                <w:szCs w:val="13"/>
                <w:color w:val="auto"/>
              </w:rPr>
            </w:pPr>
          </w:p>
        </w:tc>
        <w:tc>
          <w:tcPr>
            <w:tcW w:w="260" w:type="dxa"/>
            <w:vAlign w:val="bottom"/>
            <w:shd w:val="clear" w:color="auto" w:fill="D1EDF5"/>
          </w:tcPr>
          <w:p>
            <w:pPr>
              <w:spacing w:after="0"/>
              <w:rPr>
                <w:sz w:val="13"/>
                <w:szCs w:val="13"/>
                <w:color w:val="auto"/>
              </w:rPr>
            </w:pPr>
          </w:p>
        </w:tc>
        <w:tc>
          <w:tcPr>
            <w:tcW w:w="880" w:type="dxa"/>
            <w:vAlign w:val="bottom"/>
            <w:shd w:val="clear" w:color="auto" w:fill="D1EDF5"/>
          </w:tcPr>
          <w:p>
            <w:pPr>
              <w:spacing w:after="0"/>
              <w:rPr>
                <w:sz w:val="13"/>
                <w:szCs w:val="13"/>
                <w:color w:val="auto"/>
              </w:rPr>
            </w:pPr>
          </w:p>
        </w:tc>
      </w:tr>
      <w:tr>
        <w:trPr>
          <w:trHeight w:val="18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 (*)</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15,129,030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12,535,756</w:t>
            </w:r>
          </w:p>
        </w:tc>
      </w:tr>
      <w:tr>
        <w:trPr>
          <w:trHeight w:val="262"/>
        </w:trPr>
        <w:tc>
          <w:tcPr>
            <w:tcW w:w="8180" w:type="dxa"/>
            <w:vAlign w:val="bottom"/>
            <w:shd w:val="clear" w:color="auto" w:fill="D1EDF5"/>
          </w:tcPr>
          <w:p>
            <w:pPr>
              <w:spacing w:after="0"/>
              <w:rPr>
                <w:sz w:val="22"/>
                <w:szCs w:val="22"/>
                <w:color w:val="auto"/>
              </w:rPr>
            </w:pPr>
          </w:p>
        </w:tc>
        <w:tc>
          <w:tcPr>
            <w:tcW w:w="240" w:type="dxa"/>
            <w:vAlign w:val="bottom"/>
            <w:shd w:val="clear" w:color="auto" w:fill="D1EDF5"/>
          </w:tcPr>
          <w:p>
            <w:pPr>
              <w:spacing w:after="0"/>
              <w:rPr>
                <w:sz w:val="22"/>
                <w:szCs w:val="22"/>
                <w:color w:val="auto"/>
              </w:rPr>
            </w:pPr>
          </w:p>
        </w:tc>
        <w:tc>
          <w:tcPr>
            <w:tcW w:w="88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260" w:type="dxa"/>
            <w:vAlign w:val="bottom"/>
            <w:shd w:val="clear" w:color="auto" w:fill="D1EDF5"/>
          </w:tcPr>
          <w:p>
            <w:pPr>
              <w:spacing w:after="0"/>
              <w:rPr>
                <w:sz w:val="22"/>
                <w:szCs w:val="22"/>
                <w:color w:val="auto"/>
              </w:rPr>
            </w:pPr>
          </w:p>
        </w:tc>
        <w:tc>
          <w:tcPr>
            <w:tcW w:w="880" w:type="dxa"/>
            <w:vAlign w:val="bottom"/>
            <w:shd w:val="clear" w:color="auto" w:fill="D1EDF5"/>
          </w:tcPr>
          <w:p>
            <w:pPr>
              <w:spacing w:after="0"/>
              <w:rPr>
                <w:sz w:val="22"/>
                <w:szCs w:val="22"/>
                <w:color w:val="auto"/>
              </w:rPr>
            </w:pPr>
          </w:p>
        </w:tc>
      </w:tr>
      <w:tr>
        <w:trPr>
          <w:trHeight w:val="183"/>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8180" w:type="dxa"/>
            <w:vAlign w:val="bottom"/>
            <w:shd w:val="clear" w:color="auto" w:fill="D1EDF5"/>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40" w:type="dxa"/>
            <w:vAlign w:val="bottom"/>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183"/>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Release of cumulative foreign currency translation adjustments as a result of the sale of Telematics Business</w:t>
            </w: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w:t>
            </w:r>
          </w:p>
        </w:tc>
      </w:tr>
      <w:tr>
        <w:trPr>
          <w:trHeight w:val="216"/>
        </w:trPr>
        <w:tc>
          <w:tcPr>
            <w:tcW w:w="8180" w:type="dxa"/>
            <w:vAlign w:val="bottom"/>
            <w:tcBorders>
              <w:top w:val="single" w:sz="8" w:color="D1EDF5"/>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40" w:type="dxa"/>
            <w:vAlign w:val="bottom"/>
            <w:tcBorders>
              <w:top w:val="single" w:sz="8" w:color="auto"/>
              <w:bottom w:val="single" w:sz="8" w:color="auto"/>
            </w:tcBorders>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Borders>
              <w:top w:val="single" w:sz="8" w:color="D1EDF5"/>
              <w:bottom w:val="single" w:sz="8" w:color="D1EDF5"/>
            </w:tcBorders>
            <w:shd w:val="clear" w:color="auto" w:fill="D1EDF5"/>
          </w:tcPr>
          <w:p>
            <w:pPr>
              <w:spacing w:after="0"/>
              <w:rPr>
                <w:sz w:val="18"/>
                <w:szCs w:val="18"/>
                <w:color w:val="auto"/>
              </w:rPr>
            </w:pPr>
          </w:p>
        </w:tc>
        <w:tc>
          <w:tcPr>
            <w:tcW w:w="260" w:type="dxa"/>
            <w:vAlign w:val="bottom"/>
            <w:tcBorders>
              <w:top w:val="single" w:sz="8" w:color="auto"/>
              <w:bottom w:val="single" w:sz="8" w:color="auto"/>
            </w:tcBorders>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10,117</w:t>
            </w:r>
          </w:p>
        </w:tc>
      </w:tr>
      <w:tr>
        <w:trPr>
          <w:trHeight w:val="20"/>
        </w:trPr>
        <w:tc>
          <w:tcPr>
            <w:tcW w:w="8180" w:type="dxa"/>
            <w:vAlign w:val="bottom"/>
            <w:tcBorders>
              <w:top w:val="single" w:sz="8" w:color="D1EDF5"/>
            </w:tcBorders>
          </w:tcPr>
          <w:p>
            <w:pPr>
              <w:spacing w:after="0" w:line="20" w:lineRule="exact"/>
              <w:rPr>
                <w:sz w:val="1"/>
                <w:szCs w:val="1"/>
                <w:color w:val="auto"/>
              </w:rPr>
            </w:pPr>
          </w:p>
        </w:tc>
        <w:tc>
          <w:tcPr>
            <w:tcW w:w="240" w:type="dxa"/>
            <w:vAlign w:val="bottom"/>
            <w:tcBorders>
              <w:top w:val="single" w:sz="8" w:color="D1EDF5"/>
              <w:bottom w:val="single" w:sz="8" w:color="auto"/>
            </w:tcBorders>
          </w:tcPr>
          <w:p>
            <w:pPr>
              <w:spacing w:after="0" w:line="20" w:lineRule="exact"/>
              <w:rPr>
                <w:sz w:val="1"/>
                <w:szCs w:val="1"/>
                <w:color w:val="auto"/>
              </w:rPr>
            </w:pPr>
          </w:p>
        </w:tc>
        <w:tc>
          <w:tcPr>
            <w:tcW w:w="88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880" w:type="dxa"/>
            <w:vAlign w:val="bottom"/>
            <w:tcBorders>
              <w:top w:val="single" w:sz="8" w:color="D1EDF5"/>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 Rounding may affect summation.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834" w:right="86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860" w:type="dxa"/>
            <w:vAlign w:val="bottom"/>
            <w:vMerge w:val="restart"/>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5"/>
        </w:trPr>
        <w:tc>
          <w:tcPr>
            <w:tcW w:w="3120" w:type="dxa"/>
            <w:vAlign w:val="bottom"/>
          </w:tcPr>
          <w:p>
            <w:pPr>
              <w:spacing w:after="0"/>
              <w:rPr>
                <w:sz w:val="12"/>
                <w:szCs w:val="12"/>
                <w:color w:val="auto"/>
              </w:rPr>
            </w:pPr>
          </w:p>
        </w:tc>
        <w:tc>
          <w:tcPr>
            <w:tcW w:w="142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860" w:type="dxa"/>
            <w:vAlign w:val="bottom"/>
            <w:gridSpan w:val="5"/>
          </w:tcPr>
          <w:p>
            <w:pPr>
              <w:ind w:left="5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31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180"/>
              <w:spacing w:after="0" w:line="51" w:lineRule="exact"/>
              <w:rPr>
                <w:sz w:val="20"/>
                <w:szCs w:val="20"/>
                <w:color w:val="auto"/>
              </w:rPr>
            </w:pPr>
            <w:r>
              <w:rPr>
                <w:rFonts w:ascii="Times New Roman" w:cs="Times New Roman" w:eastAsia="Times New Roman" w:hAnsi="Times New Roman"/>
                <w:sz w:val="5"/>
                <w:szCs w:val="5"/>
                <w:b w:val="1"/>
                <w:bCs w:val="1"/>
                <w:color w:val="auto"/>
              </w:rPr>
              <w:t>Paid-in</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tcPr>
          <w:p>
            <w:pPr>
              <w:jc w:val="center"/>
              <w:ind w:right="220"/>
              <w:spacing w:after="0" w:line="51"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120" w:type="dxa"/>
            <w:vAlign w:val="bottom"/>
          </w:tcPr>
          <w:p>
            <w:pPr>
              <w:spacing w:after="0"/>
              <w:rPr>
                <w:sz w:val="4"/>
                <w:szCs w:val="4"/>
                <w:color w:val="auto"/>
              </w:rPr>
            </w:pPr>
          </w:p>
        </w:tc>
        <w:tc>
          <w:tcPr>
            <w:tcW w:w="860" w:type="dxa"/>
            <w:vAlign w:val="bottom"/>
          </w:tcPr>
          <w:p>
            <w:pPr>
              <w:jc w:val="center"/>
              <w:ind w:right="55"/>
              <w:spacing w:after="0" w:line="51"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w:t>
            </w:r>
          </w:p>
        </w:tc>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120" w:type="dxa"/>
            <w:vAlign w:val="bottom"/>
          </w:tcPr>
          <w:p>
            <w:pPr>
              <w:spacing w:after="0"/>
              <w:rPr>
                <w:sz w:val="15"/>
                <w:szCs w:val="15"/>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83"/>
        </w:trPr>
        <w:tc>
          <w:tcPr>
            <w:tcW w:w="3120" w:type="dxa"/>
            <w:vAlign w:val="bottom"/>
            <w:tcBorders>
              <w:top w:val="single" w:sz="8" w:color="D1EDF5"/>
            </w:tcBorders>
            <w:shd w:val="clear" w:color="auto" w:fill="D1EDF5"/>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December 31, 2023</w:t>
            </w:r>
          </w:p>
        </w:tc>
        <w:tc>
          <w:tcPr>
            <w:tcW w:w="6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DF5"/>
            </w:tcBorders>
            <w:shd w:val="clear" w:color="auto" w:fill="D1EDF5"/>
          </w:tcPr>
          <w:p>
            <w:pPr>
              <w:spacing w:after="0"/>
              <w:rPr>
                <w:sz w:val="15"/>
                <w:szCs w:val="15"/>
                <w:color w:val="auto"/>
              </w:rPr>
            </w:pPr>
          </w:p>
        </w:tc>
        <w:tc>
          <w:tcPr>
            <w:tcW w:w="9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80" w:type="dxa"/>
            <w:vAlign w:val="bottom"/>
            <w:tcBorders>
              <w:top w:val="single" w:sz="8" w:color="D1EDF5"/>
            </w:tcBorders>
            <w:shd w:val="clear" w:color="auto" w:fill="D1EDF5"/>
          </w:tcPr>
          <w:p>
            <w:pPr>
              <w:spacing w:after="0"/>
              <w:rPr>
                <w:sz w:val="15"/>
                <w:szCs w:val="15"/>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D1EDF5"/>
            </w:tcBorders>
            <w:shd w:val="clear" w:color="auto" w:fill="D1EDF5"/>
          </w:tcPr>
          <w:p>
            <w:pPr>
              <w:spacing w:after="0"/>
              <w:rPr>
                <w:sz w:val="15"/>
                <w:szCs w:val="15"/>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810,138</w:t>
            </w:r>
          </w:p>
        </w:tc>
        <w:tc>
          <w:tcPr>
            <w:tcW w:w="80" w:type="dxa"/>
            <w:vAlign w:val="bottom"/>
            <w:tcBorders>
              <w:top w:val="single" w:sz="8" w:color="D1EDF5"/>
            </w:tcBorders>
            <w:shd w:val="clear" w:color="auto" w:fill="D1EDF5"/>
          </w:tcPr>
          <w:p>
            <w:pPr>
              <w:spacing w:after="0"/>
              <w:rPr>
                <w:sz w:val="15"/>
                <w:szCs w:val="15"/>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(906,928)</w:t>
            </w:r>
          </w:p>
        </w:tc>
        <w:tc>
          <w:tcPr>
            <w:tcW w:w="80" w:type="dxa"/>
            <w:vAlign w:val="bottom"/>
            <w:tcBorders>
              <w:top w:val="single" w:sz="8" w:color="D1EDF5"/>
            </w:tcBorders>
            <w:shd w:val="clear" w:color="auto" w:fill="D1EDF5"/>
          </w:tcPr>
          <w:p>
            <w:pPr>
              <w:spacing w:after="0"/>
              <w:rPr>
                <w:sz w:val="15"/>
                <w:szCs w:val="15"/>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Borders>
              <w:top w:val="single" w:sz="8" w:color="D1EDF5"/>
            </w:tcBorders>
            <w:shd w:val="clear" w:color="auto" w:fill="D1EDF5"/>
          </w:tcPr>
          <w:p>
            <w:pPr>
              <w:spacing w:after="0"/>
              <w:rPr>
                <w:sz w:val="15"/>
                <w:szCs w:val="15"/>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(102,105)</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0" w:type="dxa"/>
            <w:vAlign w:val="bottom"/>
          </w:tcPr>
          <w:p>
            <w:pPr>
              <w:spacing w:after="0"/>
              <w:rPr>
                <w:sz w:val="1"/>
                <w:szCs w:val="1"/>
                <w:color w:val="auto"/>
              </w:rPr>
            </w:pPr>
          </w:p>
        </w:tc>
      </w:tr>
      <w:tr>
        <w:trPr>
          <w:trHeight w:val="198"/>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0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620" w:type="dxa"/>
            <w:vAlign w:val="bottom"/>
            <w:gridSpan w:val="2"/>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72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78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7"/>
                <w:szCs w:val="17"/>
                <w:color w:val="auto"/>
              </w:rPr>
            </w:pPr>
          </w:p>
        </w:tc>
        <w:tc>
          <w:tcPr>
            <w:tcW w:w="94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32"/>
        </w:trPr>
        <w:tc>
          <w:tcPr>
            <w:tcW w:w="312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Exercises of stock options, vesting of restricted stock</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units and stock issued under employee stock purchase</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net of taxes withheld</w:t>
            </w: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620" w:type="dxa"/>
            <w:vAlign w:val="bottom"/>
            <w:gridSpan w:val="2"/>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72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8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94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10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0" w:type="dxa"/>
            <w:vAlign w:val="bottom"/>
          </w:tcPr>
          <w:p>
            <w:pPr>
              <w:spacing w:after="0"/>
              <w:rPr>
                <w:sz w:val="1"/>
                <w:szCs w:val="1"/>
                <w:color w:val="auto"/>
              </w:rPr>
            </w:pPr>
          </w:p>
        </w:tc>
      </w:tr>
      <w:tr>
        <w:trPr>
          <w:trHeight w:val="132"/>
        </w:trPr>
        <w:tc>
          <w:tcPr>
            <w:tcW w:w="312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Issuance of common stock in connection with debt</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44,289</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120" w:type="dxa"/>
            <w:vAlign w:val="bottom"/>
            <w:shd w:val="clear" w:color="auto" w:fill="D1EDF5"/>
          </w:tcPr>
          <w:p>
            <w:pPr>
              <w:ind w:left="20"/>
              <w:spacing w:after="0" w:line="137" w:lineRule="exact"/>
              <w:rPr>
                <w:sz w:val="20"/>
                <w:szCs w:val="20"/>
                <w:color w:val="auto"/>
              </w:rPr>
            </w:pPr>
            <w:r>
              <w:rPr>
                <w:rFonts w:ascii="Times New Roman" w:cs="Times New Roman" w:eastAsia="Times New Roman" w:hAnsi="Times New Roman"/>
                <w:sz w:val="14"/>
                <w:szCs w:val="14"/>
                <w:color w:val="auto"/>
                <w:w w:val="99"/>
              </w:rPr>
              <w:t>Issuance of common stock warrants in connection with</w:t>
            </w:r>
          </w:p>
        </w:tc>
        <w:tc>
          <w:tcPr>
            <w:tcW w:w="700" w:type="dxa"/>
            <w:vAlign w:val="bottom"/>
            <w:gridSpan w:val="2"/>
            <w:vMerge w:val="restart"/>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1"/>
                <w:szCs w:val="11"/>
                <w:color w:val="auto"/>
              </w:rPr>
            </w:pPr>
          </w:p>
        </w:tc>
        <w:tc>
          <w:tcPr>
            <w:tcW w:w="620" w:type="dxa"/>
            <w:vAlign w:val="bottom"/>
            <w:gridSpan w:val="2"/>
            <w:vMerge w:val="restart"/>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1"/>
                <w:szCs w:val="11"/>
                <w:color w:val="auto"/>
              </w:rPr>
            </w:pPr>
          </w:p>
        </w:tc>
        <w:tc>
          <w:tcPr>
            <w:tcW w:w="720" w:type="dxa"/>
            <w:vAlign w:val="bottom"/>
            <w:gridSpan w:val="2"/>
            <w:vMerge w:val="restart"/>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1"/>
                <w:szCs w:val="11"/>
                <w:color w:val="auto"/>
              </w:rPr>
            </w:pPr>
          </w:p>
        </w:tc>
        <w:tc>
          <w:tcPr>
            <w:tcW w:w="70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80" w:type="dxa"/>
            <w:vAlign w:val="bottom"/>
            <w:shd w:val="clear" w:color="auto" w:fill="D1EDF5"/>
          </w:tcPr>
          <w:p>
            <w:pPr>
              <w:spacing w:after="0"/>
              <w:rPr>
                <w:sz w:val="11"/>
                <w:szCs w:val="11"/>
                <w:color w:val="auto"/>
              </w:rPr>
            </w:pPr>
          </w:p>
        </w:tc>
        <w:tc>
          <w:tcPr>
            <w:tcW w:w="120" w:type="dxa"/>
            <w:vAlign w:val="bottom"/>
            <w:shd w:val="clear" w:color="auto" w:fill="D1EDF5"/>
          </w:tcPr>
          <w:p>
            <w:pPr>
              <w:spacing w:after="0"/>
              <w:rPr>
                <w:sz w:val="11"/>
                <w:szCs w:val="11"/>
                <w:color w:val="auto"/>
              </w:rPr>
            </w:pPr>
          </w:p>
        </w:tc>
        <w:tc>
          <w:tcPr>
            <w:tcW w:w="940" w:type="dxa"/>
            <w:vAlign w:val="bottom"/>
            <w:gridSpan w:val="2"/>
            <w:vMerge w:val="restart"/>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1"/>
                <w:szCs w:val="11"/>
                <w:color w:val="auto"/>
              </w:rPr>
            </w:pPr>
          </w:p>
        </w:tc>
        <w:tc>
          <w:tcPr>
            <w:tcW w:w="1080" w:type="dxa"/>
            <w:vAlign w:val="bottom"/>
            <w:gridSpan w:val="2"/>
            <w:vMerge w:val="restart"/>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1"/>
                <w:szCs w:val="11"/>
                <w:color w:val="auto"/>
              </w:rPr>
            </w:pPr>
          </w:p>
        </w:tc>
        <w:tc>
          <w:tcPr>
            <w:tcW w:w="86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30,372</w:t>
            </w:r>
          </w:p>
        </w:tc>
        <w:tc>
          <w:tcPr>
            <w:tcW w:w="0" w:type="dxa"/>
            <w:vAlign w:val="bottom"/>
          </w:tcPr>
          <w:p>
            <w:pPr>
              <w:spacing w:after="0"/>
              <w:rPr>
                <w:sz w:val="1"/>
                <w:szCs w:val="1"/>
                <w:color w:val="auto"/>
              </w:rPr>
            </w:pPr>
          </w:p>
        </w:tc>
      </w:tr>
      <w:tr>
        <w:trPr>
          <w:trHeight w:val="185"/>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debt restructurings</w:t>
            </w:r>
          </w:p>
        </w:tc>
        <w:tc>
          <w:tcPr>
            <w:tcW w:w="700" w:type="dxa"/>
            <w:vAlign w:val="bottom"/>
            <w:gridSpan w:val="2"/>
            <w:vMerge w:val="continue"/>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20" w:type="dxa"/>
            <w:vAlign w:val="bottom"/>
            <w:gridSpan w:val="2"/>
            <w:vMerge w:val="continue"/>
            <w:shd w:val="clear" w:color="auto" w:fill="D1EDF5"/>
          </w:tcPr>
          <w:p>
            <w:pPr>
              <w:spacing w:after="0"/>
              <w:rPr>
                <w:sz w:val="16"/>
                <w:szCs w:val="16"/>
                <w:color w:val="auto"/>
              </w:rPr>
            </w:pPr>
          </w:p>
        </w:tc>
        <w:tc>
          <w:tcPr>
            <w:tcW w:w="1000" w:type="dxa"/>
            <w:vAlign w:val="bottom"/>
            <w:gridSpan w:val="2"/>
            <w:vMerge w:val="continue"/>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720" w:type="dxa"/>
            <w:vAlign w:val="bottom"/>
            <w:gridSpan w:val="2"/>
            <w:vMerge w:val="continue"/>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700" w:type="dxa"/>
            <w:vAlign w:val="bottom"/>
            <w:vMerge w:val="continue"/>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940" w:type="dxa"/>
            <w:vAlign w:val="bottom"/>
            <w:gridSpan w:val="2"/>
            <w:vMerge w:val="continue"/>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1080" w:type="dxa"/>
            <w:vAlign w:val="bottom"/>
            <w:gridSpan w:val="2"/>
            <w:vMerge w:val="continue"/>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860" w:type="dxa"/>
            <w:vAlign w:val="bottom"/>
            <w:vMerge w:val="continue"/>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2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color w:val="auto"/>
              </w:rPr>
              <w:t>Release of cumulative foreign currency translation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adjustments as a result of the sale of Telematics</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w:t>
            </w: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0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620" w:type="dxa"/>
            <w:vAlign w:val="bottom"/>
            <w:gridSpan w:val="2"/>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72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8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8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10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120" w:type="dxa"/>
            <w:vAlign w:val="bottom"/>
            <w:tcBorders>
              <w:bottom w:val="single" w:sz="8" w:color="D1EDF5"/>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 December 31, 2024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D1EDF5"/>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1EDF5"/>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80" w:type="dxa"/>
            <w:vAlign w:val="bottom"/>
            <w:tcBorders>
              <w:bottom w:val="single" w:sz="8" w:color="D1EDF5"/>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1EDF5"/>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892,534</w:t>
            </w:r>
          </w:p>
        </w:tc>
        <w:tc>
          <w:tcPr>
            <w:tcW w:w="80" w:type="dxa"/>
            <w:vAlign w:val="bottom"/>
            <w:tcBorders>
              <w:bottom w:val="single" w:sz="8" w:color="D1EDF5"/>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(905,625)</w:t>
            </w:r>
          </w:p>
        </w:tc>
        <w:tc>
          <w:tcPr>
            <w:tcW w:w="80" w:type="dxa"/>
            <w:vAlign w:val="bottom"/>
            <w:tcBorders>
              <w:bottom w:val="single" w:sz="8" w:color="D1EDF5"/>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D1EDF5"/>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(12,858)</w:t>
            </w:r>
          </w:p>
        </w:tc>
        <w:tc>
          <w:tcPr>
            <w:tcW w:w="0" w:type="dxa"/>
            <w:vAlign w:val="bottom"/>
          </w:tcPr>
          <w:p>
            <w:pPr>
              <w:spacing w:after="0"/>
              <w:rPr>
                <w:sz w:val="1"/>
                <w:szCs w:val="1"/>
                <w:color w:val="auto"/>
              </w:rPr>
            </w:pPr>
          </w:p>
        </w:tc>
      </w:tr>
      <w:tr>
        <w:trPr>
          <w:trHeight w:val="190"/>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520" w:type="dxa"/>
            <w:vAlign w:val="bottom"/>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6"/>
                <w:szCs w:val="16"/>
                <w:color w:val="auto"/>
              </w:rPr>
            </w:pPr>
          </w:p>
        </w:tc>
        <w:tc>
          <w:tcPr>
            <w:tcW w:w="9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6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0" w:type="dxa"/>
            <w:vAlign w:val="bottom"/>
          </w:tcPr>
          <w:p>
            <w:pPr>
              <w:spacing w:after="0"/>
              <w:rPr>
                <w:sz w:val="1"/>
                <w:szCs w:val="1"/>
                <w:color w:val="auto"/>
              </w:rPr>
            </w:pPr>
          </w:p>
        </w:tc>
      </w:tr>
      <w:tr>
        <w:trPr>
          <w:trHeight w:val="18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36"/>
        </w:trPr>
        <w:tc>
          <w:tcPr>
            <w:tcW w:w="3120" w:type="dxa"/>
            <w:vAlign w:val="bottom"/>
            <w:shd w:val="clear" w:color="auto" w:fill="D1EDF5"/>
          </w:tcPr>
          <w:p>
            <w:pPr>
              <w:ind w:left="20"/>
              <w:spacing w:after="0" w:line="136" w:lineRule="exact"/>
              <w:rPr>
                <w:sz w:val="20"/>
                <w:szCs w:val="20"/>
                <w:color w:val="auto"/>
              </w:rPr>
            </w:pPr>
            <w:r>
              <w:rPr>
                <w:rFonts w:ascii="Times New Roman" w:cs="Times New Roman" w:eastAsia="Times New Roman" w:hAnsi="Times New Roman"/>
                <w:sz w:val="14"/>
                <w:szCs w:val="14"/>
                <w:color w:val="auto"/>
              </w:rPr>
              <w:t>Exercises of stock options, vesting of restricted stock</w:t>
            </w:r>
          </w:p>
        </w:tc>
        <w:tc>
          <w:tcPr>
            <w:tcW w:w="600" w:type="dxa"/>
            <w:vAlign w:val="bottom"/>
            <w:shd w:val="clear" w:color="auto" w:fill="D1EDF5"/>
          </w:tcPr>
          <w:p>
            <w:pPr>
              <w:spacing w:after="0"/>
              <w:rPr>
                <w:sz w:val="11"/>
                <w:szCs w:val="11"/>
                <w:color w:val="auto"/>
              </w:rPr>
            </w:pPr>
          </w:p>
        </w:tc>
        <w:tc>
          <w:tcPr>
            <w:tcW w:w="100" w:type="dxa"/>
            <w:vAlign w:val="bottom"/>
            <w:shd w:val="clear" w:color="auto" w:fill="D1EDF5"/>
          </w:tcPr>
          <w:p>
            <w:pPr>
              <w:spacing w:after="0"/>
              <w:rPr>
                <w:sz w:val="11"/>
                <w:szCs w:val="11"/>
                <w:color w:val="auto"/>
              </w:rPr>
            </w:pPr>
          </w:p>
        </w:tc>
        <w:tc>
          <w:tcPr>
            <w:tcW w:w="100" w:type="dxa"/>
            <w:vAlign w:val="bottom"/>
            <w:shd w:val="clear" w:color="auto" w:fill="D1EDF5"/>
          </w:tcPr>
          <w:p>
            <w:pPr>
              <w:spacing w:after="0"/>
              <w:rPr>
                <w:sz w:val="11"/>
                <w:szCs w:val="11"/>
                <w:color w:val="auto"/>
              </w:rPr>
            </w:pPr>
          </w:p>
        </w:tc>
        <w:tc>
          <w:tcPr>
            <w:tcW w:w="520" w:type="dxa"/>
            <w:vAlign w:val="bottom"/>
            <w:shd w:val="clear" w:color="auto" w:fill="D1EDF5"/>
          </w:tcPr>
          <w:p>
            <w:pPr>
              <w:spacing w:after="0"/>
              <w:rPr>
                <w:sz w:val="11"/>
                <w:szCs w:val="11"/>
                <w:color w:val="auto"/>
              </w:rPr>
            </w:pPr>
          </w:p>
        </w:tc>
        <w:tc>
          <w:tcPr>
            <w:tcW w:w="100" w:type="dxa"/>
            <w:vAlign w:val="bottom"/>
            <w:shd w:val="clear" w:color="auto" w:fill="D1EDF5"/>
          </w:tcPr>
          <w:p>
            <w:pPr>
              <w:spacing w:after="0"/>
              <w:rPr>
                <w:sz w:val="11"/>
                <w:szCs w:val="11"/>
                <w:color w:val="auto"/>
              </w:rPr>
            </w:pPr>
          </w:p>
        </w:tc>
        <w:tc>
          <w:tcPr>
            <w:tcW w:w="92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140" w:type="dxa"/>
            <w:vAlign w:val="bottom"/>
            <w:shd w:val="clear" w:color="auto" w:fill="D1EDF5"/>
          </w:tcPr>
          <w:p>
            <w:pPr>
              <w:spacing w:after="0"/>
              <w:rPr>
                <w:sz w:val="11"/>
                <w:szCs w:val="11"/>
                <w:color w:val="auto"/>
              </w:rPr>
            </w:pPr>
          </w:p>
        </w:tc>
        <w:tc>
          <w:tcPr>
            <w:tcW w:w="64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100" w:type="dxa"/>
            <w:vAlign w:val="bottom"/>
            <w:shd w:val="clear" w:color="auto" w:fill="D1EDF5"/>
          </w:tcPr>
          <w:p>
            <w:pPr>
              <w:spacing w:after="0"/>
              <w:rPr>
                <w:sz w:val="11"/>
                <w:szCs w:val="11"/>
                <w:color w:val="auto"/>
              </w:rPr>
            </w:pPr>
          </w:p>
        </w:tc>
        <w:tc>
          <w:tcPr>
            <w:tcW w:w="70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120" w:type="dxa"/>
            <w:vAlign w:val="bottom"/>
            <w:shd w:val="clear" w:color="auto" w:fill="D1EDF5"/>
          </w:tcPr>
          <w:p>
            <w:pPr>
              <w:spacing w:after="0"/>
              <w:rPr>
                <w:sz w:val="11"/>
                <w:szCs w:val="11"/>
                <w:color w:val="auto"/>
              </w:rPr>
            </w:pPr>
          </w:p>
        </w:tc>
        <w:tc>
          <w:tcPr>
            <w:tcW w:w="860" w:type="dxa"/>
            <w:vAlign w:val="bottom"/>
            <w:shd w:val="clear" w:color="auto" w:fill="D1EDF5"/>
          </w:tcPr>
          <w:p>
            <w:pPr>
              <w:spacing w:after="0"/>
              <w:rPr>
                <w:sz w:val="11"/>
                <w:szCs w:val="11"/>
                <w:color w:val="auto"/>
              </w:rPr>
            </w:pPr>
          </w:p>
        </w:tc>
        <w:tc>
          <w:tcPr>
            <w:tcW w:w="80" w:type="dxa"/>
            <w:vAlign w:val="bottom"/>
            <w:shd w:val="clear" w:color="auto" w:fill="D1EDF5"/>
          </w:tcPr>
          <w:p>
            <w:pPr>
              <w:spacing w:after="0"/>
              <w:rPr>
                <w:sz w:val="11"/>
                <w:szCs w:val="11"/>
                <w:color w:val="auto"/>
              </w:rPr>
            </w:pPr>
          </w:p>
        </w:tc>
        <w:tc>
          <w:tcPr>
            <w:tcW w:w="140" w:type="dxa"/>
            <w:vAlign w:val="bottom"/>
            <w:shd w:val="clear" w:color="auto" w:fill="D1EDF5"/>
          </w:tcPr>
          <w:p>
            <w:pPr>
              <w:spacing w:after="0"/>
              <w:rPr>
                <w:sz w:val="11"/>
                <w:szCs w:val="11"/>
                <w:color w:val="auto"/>
              </w:rPr>
            </w:pPr>
          </w:p>
        </w:tc>
        <w:tc>
          <w:tcPr>
            <w:tcW w:w="980" w:type="dxa"/>
            <w:vAlign w:val="bottom"/>
            <w:shd w:val="clear" w:color="auto" w:fill="D1EDF5"/>
          </w:tcPr>
          <w:p>
            <w:pPr>
              <w:spacing w:after="0"/>
              <w:rPr>
                <w:sz w:val="11"/>
                <w:szCs w:val="11"/>
                <w:color w:val="auto"/>
              </w:rPr>
            </w:pPr>
          </w:p>
        </w:tc>
        <w:tc>
          <w:tcPr>
            <w:tcW w:w="100" w:type="dxa"/>
            <w:vAlign w:val="bottom"/>
            <w:shd w:val="clear" w:color="auto" w:fill="D1EDF5"/>
          </w:tcPr>
          <w:p>
            <w:pPr>
              <w:spacing w:after="0"/>
              <w:rPr>
                <w:sz w:val="11"/>
                <w:szCs w:val="11"/>
                <w:color w:val="auto"/>
              </w:rPr>
            </w:pPr>
          </w:p>
        </w:tc>
        <w:tc>
          <w:tcPr>
            <w:tcW w:w="120" w:type="dxa"/>
            <w:vAlign w:val="bottom"/>
            <w:shd w:val="clear" w:color="auto" w:fill="D1EDF5"/>
          </w:tcPr>
          <w:p>
            <w:pPr>
              <w:spacing w:after="0"/>
              <w:rPr>
                <w:sz w:val="11"/>
                <w:szCs w:val="11"/>
                <w:color w:val="auto"/>
              </w:rPr>
            </w:pPr>
          </w:p>
        </w:tc>
        <w:tc>
          <w:tcPr>
            <w:tcW w:w="860" w:type="dxa"/>
            <w:vAlign w:val="bottom"/>
            <w:shd w:val="clear" w:color="auto" w:fill="D1EDF5"/>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D1EDF5"/>
          </w:tcPr>
          <w:p>
            <w:pPr>
              <w:ind w:left="20"/>
              <w:spacing w:after="0" w:line="140" w:lineRule="exact"/>
              <w:rPr>
                <w:sz w:val="20"/>
                <w:szCs w:val="20"/>
                <w:color w:val="auto"/>
              </w:rPr>
            </w:pPr>
            <w:r>
              <w:rPr>
                <w:rFonts w:ascii="Times New Roman" w:cs="Times New Roman" w:eastAsia="Times New Roman" w:hAnsi="Times New Roman"/>
                <w:sz w:val="14"/>
                <w:szCs w:val="14"/>
                <w:color w:val="auto"/>
              </w:rPr>
              <w:t>units and stock issued under employee stock purchase</w:t>
            </w:r>
          </w:p>
        </w:tc>
        <w:tc>
          <w:tcPr>
            <w:tcW w:w="700" w:type="dxa"/>
            <w:vAlign w:val="bottom"/>
            <w:gridSpan w:val="2"/>
            <w:vMerge w:val="restart"/>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2"/>
                <w:szCs w:val="12"/>
                <w:color w:val="auto"/>
              </w:rPr>
            </w:pPr>
          </w:p>
        </w:tc>
        <w:tc>
          <w:tcPr>
            <w:tcW w:w="620" w:type="dxa"/>
            <w:vAlign w:val="bottom"/>
            <w:gridSpan w:val="2"/>
            <w:vMerge w:val="restart"/>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D1EDF5"/>
          </w:tcPr>
          <w:p>
            <w:pPr>
              <w:spacing w:after="0"/>
              <w:rPr>
                <w:sz w:val="12"/>
                <w:szCs w:val="12"/>
                <w:color w:val="auto"/>
              </w:rPr>
            </w:pPr>
          </w:p>
        </w:tc>
        <w:tc>
          <w:tcPr>
            <w:tcW w:w="140" w:type="dxa"/>
            <w:vAlign w:val="bottom"/>
            <w:shd w:val="clear" w:color="auto" w:fill="D1EDF5"/>
          </w:tcPr>
          <w:p>
            <w:pPr>
              <w:spacing w:after="0"/>
              <w:rPr>
                <w:sz w:val="12"/>
                <w:szCs w:val="12"/>
                <w:color w:val="auto"/>
              </w:rPr>
            </w:pPr>
          </w:p>
        </w:tc>
        <w:tc>
          <w:tcPr>
            <w:tcW w:w="720" w:type="dxa"/>
            <w:vAlign w:val="bottom"/>
            <w:gridSpan w:val="2"/>
            <w:vMerge w:val="restart"/>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2"/>
                <w:szCs w:val="12"/>
                <w:color w:val="auto"/>
              </w:rPr>
            </w:pPr>
          </w:p>
        </w:tc>
        <w:tc>
          <w:tcPr>
            <w:tcW w:w="70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shd w:val="clear" w:color="auto" w:fill="D1EDF5"/>
          </w:tcPr>
          <w:p>
            <w:pPr>
              <w:spacing w:after="0"/>
              <w:rPr>
                <w:sz w:val="12"/>
                <w:szCs w:val="12"/>
                <w:color w:val="auto"/>
              </w:rPr>
            </w:pPr>
          </w:p>
        </w:tc>
        <w:tc>
          <w:tcPr>
            <w:tcW w:w="120" w:type="dxa"/>
            <w:vAlign w:val="bottom"/>
            <w:shd w:val="clear" w:color="auto" w:fill="D1EDF5"/>
          </w:tcPr>
          <w:p>
            <w:pPr>
              <w:spacing w:after="0"/>
              <w:rPr>
                <w:sz w:val="12"/>
                <w:szCs w:val="12"/>
                <w:color w:val="auto"/>
              </w:rPr>
            </w:pPr>
          </w:p>
        </w:tc>
        <w:tc>
          <w:tcPr>
            <w:tcW w:w="940" w:type="dxa"/>
            <w:vAlign w:val="bottom"/>
            <w:gridSpan w:val="2"/>
            <w:vMerge w:val="restart"/>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2"/>
                <w:szCs w:val="12"/>
                <w:color w:val="auto"/>
              </w:rPr>
            </w:pPr>
          </w:p>
        </w:tc>
        <w:tc>
          <w:tcPr>
            <w:tcW w:w="1080" w:type="dxa"/>
            <w:vAlign w:val="bottom"/>
            <w:gridSpan w:val="2"/>
            <w:vMerge w:val="restart"/>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2"/>
                <w:szCs w:val="12"/>
                <w:color w:val="auto"/>
              </w:rPr>
            </w:pPr>
          </w:p>
        </w:tc>
        <w:tc>
          <w:tcPr>
            <w:tcW w:w="860" w:type="dxa"/>
            <w:vAlign w:val="bottom"/>
            <w:vMerge w:val="restart"/>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85"/>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plan, net of taxes withheld</w:t>
            </w:r>
          </w:p>
        </w:tc>
        <w:tc>
          <w:tcPr>
            <w:tcW w:w="700" w:type="dxa"/>
            <w:vAlign w:val="bottom"/>
            <w:gridSpan w:val="2"/>
            <w:vMerge w:val="continue"/>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620" w:type="dxa"/>
            <w:vAlign w:val="bottom"/>
            <w:gridSpan w:val="2"/>
            <w:vMerge w:val="continue"/>
            <w:shd w:val="clear" w:color="auto" w:fill="D1EDF5"/>
          </w:tcPr>
          <w:p>
            <w:pPr>
              <w:spacing w:after="0"/>
              <w:rPr>
                <w:sz w:val="16"/>
                <w:szCs w:val="16"/>
                <w:color w:val="auto"/>
              </w:rPr>
            </w:pPr>
          </w:p>
        </w:tc>
        <w:tc>
          <w:tcPr>
            <w:tcW w:w="920" w:type="dxa"/>
            <w:vAlign w:val="bottom"/>
            <w:vMerge w:val="continue"/>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720" w:type="dxa"/>
            <w:vAlign w:val="bottom"/>
            <w:gridSpan w:val="2"/>
            <w:vMerge w:val="continue"/>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700" w:type="dxa"/>
            <w:vAlign w:val="bottom"/>
            <w:vMerge w:val="continue"/>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940" w:type="dxa"/>
            <w:vAlign w:val="bottom"/>
            <w:gridSpan w:val="2"/>
            <w:vMerge w:val="continue"/>
            <w:shd w:val="clear" w:color="auto" w:fill="D1EDF5"/>
          </w:tcPr>
          <w:p>
            <w:pPr>
              <w:spacing w:after="0"/>
              <w:rPr>
                <w:sz w:val="16"/>
                <w:szCs w:val="16"/>
                <w:color w:val="auto"/>
              </w:rPr>
            </w:pPr>
          </w:p>
        </w:tc>
        <w:tc>
          <w:tcPr>
            <w:tcW w:w="140" w:type="dxa"/>
            <w:vAlign w:val="bottom"/>
            <w:shd w:val="clear" w:color="auto" w:fill="D1EDF5"/>
          </w:tcPr>
          <w:p>
            <w:pPr>
              <w:spacing w:after="0"/>
              <w:rPr>
                <w:sz w:val="16"/>
                <w:szCs w:val="16"/>
                <w:color w:val="auto"/>
              </w:rPr>
            </w:pPr>
          </w:p>
        </w:tc>
        <w:tc>
          <w:tcPr>
            <w:tcW w:w="1080" w:type="dxa"/>
            <w:vAlign w:val="bottom"/>
            <w:gridSpan w:val="2"/>
            <w:vMerge w:val="continue"/>
            <w:shd w:val="clear" w:color="auto" w:fill="D1EDF5"/>
          </w:tcPr>
          <w:p>
            <w:pPr>
              <w:spacing w:after="0"/>
              <w:rPr>
                <w:sz w:val="16"/>
                <w:szCs w:val="16"/>
                <w:color w:val="auto"/>
              </w:rPr>
            </w:pPr>
          </w:p>
        </w:tc>
        <w:tc>
          <w:tcPr>
            <w:tcW w:w="120" w:type="dxa"/>
            <w:vAlign w:val="bottom"/>
            <w:shd w:val="clear" w:color="auto" w:fill="D1EDF5"/>
          </w:tcPr>
          <w:p>
            <w:pPr>
              <w:spacing w:after="0"/>
              <w:rPr>
                <w:sz w:val="16"/>
                <w:szCs w:val="16"/>
                <w:color w:val="auto"/>
              </w:rPr>
            </w:pPr>
          </w:p>
        </w:tc>
        <w:tc>
          <w:tcPr>
            <w:tcW w:w="860" w:type="dxa"/>
            <w:vAlign w:val="bottom"/>
            <w:vMerge w:val="continue"/>
            <w:shd w:val="clear" w:color="auto" w:fill="D1EDF5"/>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0" w:type="dxa"/>
            <w:vAlign w:val="bottom"/>
          </w:tcPr>
          <w:p>
            <w:pPr>
              <w:spacing w:after="0"/>
              <w:rPr>
                <w:sz w:val="1"/>
                <w:szCs w:val="1"/>
                <w:color w:val="auto"/>
              </w:rPr>
            </w:pPr>
          </w:p>
        </w:tc>
      </w:tr>
      <w:tr>
        <w:trPr>
          <w:trHeight w:val="198"/>
        </w:trPr>
        <w:tc>
          <w:tcPr>
            <w:tcW w:w="31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Exercises of common stock warrants</w:t>
            </w:r>
          </w:p>
        </w:tc>
        <w:tc>
          <w:tcPr>
            <w:tcW w:w="70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620" w:type="dxa"/>
            <w:vAlign w:val="bottom"/>
            <w:gridSpan w:val="2"/>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72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1EDF5"/>
          </w:tcPr>
          <w:p>
            <w:pPr>
              <w:spacing w:after="0"/>
              <w:rPr>
                <w:sz w:val="17"/>
                <w:szCs w:val="17"/>
                <w:color w:val="auto"/>
              </w:rPr>
            </w:pPr>
          </w:p>
        </w:tc>
        <w:tc>
          <w:tcPr>
            <w:tcW w:w="7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D1EDF5"/>
          </w:tcPr>
          <w:p>
            <w:pPr>
              <w:spacing w:after="0"/>
              <w:rPr>
                <w:sz w:val="17"/>
                <w:szCs w:val="17"/>
                <w:color w:val="auto"/>
              </w:rPr>
            </w:pPr>
          </w:p>
        </w:tc>
        <w:tc>
          <w:tcPr>
            <w:tcW w:w="120" w:type="dxa"/>
            <w:vAlign w:val="bottom"/>
            <w:shd w:val="clear" w:color="auto" w:fill="D1EDF5"/>
          </w:tcPr>
          <w:p>
            <w:pPr>
              <w:spacing w:after="0"/>
              <w:rPr>
                <w:sz w:val="17"/>
                <w:szCs w:val="17"/>
                <w:color w:val="auto"/>
              </w:rPr>
            </w:pPr>
          </w:p>
        </w:tc>
        <w:tc>
          <w:tcPr>
            <w:tcW w:w="940" w:type="dxa"/>
            <w:vAlign w:val="bottom"/>
            <w:gridSpan w:val="2"/>
            <w:shd w:val="clear" w:color="auto" w:fill="D1EDF5"/>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1EDF5"/>
          </w:tcPr>
          <w:p>
            <w:pPr>
              <w:spacing w:after="0"/>
              <w:rPr>
                <w:sz w:val="17"/>
                <w:szCs w:val="17"/>
                <w:color w:val="auto"/>
              </w:rPr>
            </w:pPr>
          </w:p>
        </w:tc>
        <w:tc>
          <w:tcPr>
            <w:tcW w:w="10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8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120" w:type="dxa"/>
            <w:vAlign w:val="bottom"/>
            <w:tcBorders>
              <w:top w:val="single" w:sz="8" w:color="D1EDF5"/>
              <w:bottom w:val="single" w:sz="8" w:color="D1EDF5"/>
            </w:tcBorders>
            <w:shd w:val="clear" w:color="auto" w:fill="D1EDF5"/>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6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D1EDF5"/>
              <w:bottom w:val="single" w:sz="8" w:color="D1EDF5"/>
            </w:tcBorders>
            <w:shd w:val="clear" w:color="auto" w:fill="D1EDF5"/>
          </w:tcPr>
          <w:p>
            <w:pPr>
              <w:spacing w:after="0"/>
              <w:rPr>
                <w:sz w:val="18"/>
                <w:szCs w:val="18"/>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D1EDF5"/>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1EDF5"/>
              <w:bottom w:val="single" w:sz="8" w:color="D1EDF5"/>
            </w:tcBorders>
            <w:shd w:val="clear" w:color="auto" w:fill="D1EDF5"/>
          </w:tcPr>
          <w:p>
            <w:pPr>
              <w:spacing w:after="0"/>
              <w:rPr>
                <w:sz w:val="18"/>
                <w:szCs w:val="18"/>
                <w:color w:val="auto"/>
              </w:rPr>
            </w:pPr>
          </w:p>
        </w:tc>
        <w:tc>
          <w:tcPr>
            <w:tcW w:w="9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80" w:type="dxa"/>
            <w:vAlign w:val="bottom"/>
            <w:tcBorders>
              <w:top w:val="single" w:sz="8" w:color="D1EDF5"/>
              <w:bottom w:val="single" w:sz="8" w:color="D1EDF5"/>
            </w:tcBorders>
            <w:shd w:val="clear" w:color="auto" w:fill="D1EDF5"/>
          </w:tcPr>
          <w:p>
            <w:pPr>
              <w:spacing w:after="0"/>
              <w:rPr>
                <w:sz w:val="18"/>
                <w:szCs w:val="18"/>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D1EDF5"/>
              <w:bottom w:val="single" w:sz="8" w:color="D1EDF5"/>
            </w:tcBorders>
            <w:shd w:val="clear" w:color="auto" w:fill="D1EDF5"/>
          </w:tcPr>
          <w:p>
            <w:pPr>
              <w:spacing w:after="0"/>
              <w:rPr>
                <w:sz w:val="18"/>
                <w:szCs w:val="18"/>
                <w:color w:val="auto"/>
              </w:rPr>
            </w:pPr>
          </w:p>
        </w:tc>
        <w:tc>
          <w:tcPr>
            <w:tcW w:w="1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903,899</w:t>
            </w:r>
          </w:p>
        </w:tc>
        <w:tc>
          <w:tcPr>
            <w:tcW w:w="80" w:type="dxa"/>
            <w:vAlign w:val="bottom"/>
            <w:tcBorders>
              <w:top w:val="single" w:sz="8" w:color="D1EDF5"/>
              <w:bottom w:val="single" w:sz="8" w:color="D1EDF5"/>
            </w:tcBorders>
            <w:shd w:val="clear" w:color="auto" w:fill="D1EDF5"/>
          </w:tcPr>
          <w:p>
            <w:pPr>
              <w:spacing w:after="0"/>
              <w:rPr>
                <w:sz w:val="18"/>
                <w:szCs w:val="18"/>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(908,361)</w:t>
            </w:r>
          </w:p>
        </w:tc>
        <w:tc>
          <w:tcPr>
            <w:tcW w:w="80" w:type="dxa"/>
            <w:vAlign w:val="bottom"/>
            <w:tcBorders>
              <w:top w:val="single" w:sz="8" w:color="D1EDF5"/>
              <w:bottom w:val="single" w:sz="8" w:color="D1EDF5"/>
            </w:tcBorders>
            <w:shd w:val="clear" w:color="auto" w:fill="D1EDF5"/>
          </w:tcPr>
          <w:p>
            <w:pPr>
              <w:spacing w:after="0"/>
              <w:rPr>
                <w:sz w:val="18"/>
                <w:szCs w:val="18"/>
                <w:color w:val="auto"/>
              </w:rPr>
            </w:pPr>
          </w:p>
        </w:tc>
        <w:tc>
          <w:tcPr>
            <w:tcW w:w="14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D1EDF5"/>
              <w:bottom w:val="single" w:sz="8" w:color="D1EDF5"/>
            </w:tcBorders>
            <w:shd w:val="clear" w:color="auto" w:fill="D1EDF5"/>
          </w:tcPr>
          <w:p>
            <w:pPr>
              <w:spacing w:after="0"/>
              <w:rPr>
                <w:sz w:val="18"/>
                <w:szCs w:val="18"/>
                <w:color w:val="auto"/>
              </w:rPr>
            </w:pPr>
          </w:p>
        </w:tc>
        <w:tc>
          <w:tcPr>
            <w:tcW w:w="1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0"/>
        </w:trPr>
        <w:tc>
          <w:tcPr>
            <w:tcW w:w="3120" w:type="dxa"/>
            <w:vAlign w:val="bottom"/>
            <w:tcBorders>
              <w:top w:val="single" w:sz="8" w:color="D1EDF5"/>
            </w:tcBorders>
          </w:tcPr>
          <w:p>
            <w:pPr>
              <w:spacing w:after="0" w:line="20" w:lineRule="exact"/>
              <w:rPr>
                <w:sz w:val="1"/>
                <w:szCs w:val="1"/>
                <w:color w:val="auto"/>
              </w:rPr>
            </w:pPr>
          </w:p>
        </w:tc>
        <w:tc>
          <w:tcPr>
            <w:tcW w:w="6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bottom w:val="single" w:sz="8" w:color="auto"/>
            </w:tcBorders>
          </w:tcPr>
          <w:p>
            <w:pPr>
              <w:spacing w:after="0" w:line="20" w:lineRule="exact"/>
              <w:rPr>
                <w:sz w:val="1"/>
                <w:szCs w:val="1"/>
                <w:color w:val="auto"/>
              </w:rPr>
            </w:pPr>
          </w:p>
        </w:tc>
        <w:tc>
          <w:tcPr>
            <w:tcW w:w="5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9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bottom w:val="single" w:sz="8" w:color="auto"/>
            </w:tcBorders>
          </w:tcPr>
          <w:p>
            <w:pPr>
              <w:spacing w:after="0" w:line="20" w:lineRule="exact"/>
              <w:rPr>
                <w:sz w:val="1"/>
                <w:szCs w:val="1"/>
                <w:color w:val="auto"/>
              </w:rPr>
            </w:pPr>
          </w:p>
        </w:tc>
        <w:tc>
          <w:tcPr>
            <w:tcW w:w="64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bottom w:val="single" w:sz="8" w:color="auto"/>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bottom w:val="single" w:sz="8" w:color="auto"/>
            </w:tcBorders>
          </w:tcPr>
          <w:p>
            <w:pPr>
              <w:spacing w:after="0" w:line="20" w:lineRule="exact"/>
              <w:rPr>
                <w:sz w:val="1"/>
                <w:szCs w:val="1"/>
                <w:color w:val="auto"/>
              </w:rPr>
            </w:pPr>
          </w:p>
        </w:tc>
        <w:tc>
          <w:tcPr>
            <w:tcW w:w="86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bottom w:val="single" w:sz="8" w:color="auto"/>
            </w:tcBorders>
          </w:tcPr>
          <w:p>
            <w:pPr>
              <w:spacing w:after="0" w:line="20" w:lineRule="exact"/>
              <w:rPr>
                <w:sz w:val="1"/>
                <w:szCs w:val="1"/>
                <w:color w:val="auto"/>
              </w:rPr>
            </w:pPr>
          </w:p>
        </w:tc>
        <w:tc>
          <w:tcPr>
            <w:tcW w:w="98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20" w:type="dxa"/>
            <w:vAlign w:val="bottom"/>
            <w:tcBorders>
              <w:top w:val="single" w:sz="8" w:color="D1EDF5"/>
              <w:bottom w:val="single" w:sz="8" w:color="auto"/>
            </w:tcBorders>
          </w:tcPr>
          <w:p>
            <w:pPr>
              <w:spacing w:after="0" w:line="20" w:lineRule="exact"/>
              <w:rPr>
                <w:sz w:val="1"/>
                <w:szCs w:val="1"/>
                <w:color w:val="auto"/>
              </w:rPr>
            </w:pPr>
          </w:p>
        </w:tc>
        <w:tc>
          <w:tcPr>
            <w:tcW w:w="86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885" w:right="86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6"/>
        </w:trPr>
        <w:tc>
          <w:tcPr>
            <w:tcW w:w="8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4"/>
        </w:trPr>
        <w:tc>
          <w:tcPr>
            <w:tcW w:w="81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1"/>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4,572</w:t>
            </w: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(Income) loss from discontinued operations, net of tax</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(18,941)</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12,529</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Impairment of capitalized software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Gain on early lease termination</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Amortization (accretion) of debt discount/premium and debt issuance costs, net</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4,399</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Loss on extinguishment of revolving credit facility</w:t>
            </w: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Loss on debt restructuring, net</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1,035</w:t>
            </w: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Changes in assets and liabilities, net of effects of divestiture:</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183"/>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r>
      <w:tr>
        <w:trPr>
          <w:trHeight w:val="198"/>
        </w:trPr>
        <w:tc>
          <w:tcPr>
            <w:tcW w:w="8180" w:type="dxa"/>
            <w:vAlign w:val="bottom"/>
            <w:shd w:val="clear" w:color="auto" w:fill="D1EDF5"/>
          </w:tcPr>
          <w:p>
            <w:pPr>
              <w:ind w:left="6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7,448</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6,923</w:t>
            </w:r>
          </w:p>
        </w:tc>
      </w:tr>
      <w:tr>
        <w:trPr>
          <w:trHeight w:val="183"/>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8"/>
        </w:trPr>
        <w:tc>
          <w:tcPr>
            <w:tcW w:w="8180" w:type="dxa"/>
            <w:vAlign w:val="bottom"/>
            <w:shd w:val="clear" w:color="auto" w:fill="D1EDF5"/>
          </w:tcPr>
          <w:p>
            <w:pPr>
              <w:ind w:left="6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(6,947)</w:t>
            </w:r>
          </w:p>
        </w:tc>
      </w:tr>
      <w:tr>
        <w:trPr>
          <w:trHeight w:val="183"/>
        </w:trPr>
        <w:tc>
          <w:tcPr>
            <w:tcW w:w="8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Accrued expenses other liabilities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10,966</w:t>
            </w:r>
          </w:p>
        </w:tc>
      </w:tr>
      <w:tr>
        <w:trPr>
          <w:trHeight w:val="210"/>
        </w:trPr>
        <w:tc>
          <w:tcPr>
            <w:tcW w:w="8180" w:type="dxa"/>
            <w:vAlign w:val="bottom"/>
            <w:tcBorders>
              <w:bottom w:val="single" w:sz="8" w:color="D1EDF5"/>
            </w:tcBorders>
            <w:shd w:val="clear" w:color="auto" w:fill="D1EDF5"/>
          </w:tcPr>
          <w:p>
            <w:pPr>
              <w:ind w:left="6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(1,230)</w:t>
            </w:r>
          </w:p>
        </w:tc>
      </w:tr>
      <w:tr>
        <w:trPr>
          <w:trHeight w:val="163"/>
        </w:trPr>
        <w:tc>
          <w:tcPr>
            <w:tcW w:w="8180" w:type="dxa"/>
            <w:vAlign w:val="bottom"/>
          </w:tcPr>
          <w:p>
            <w:pPr>
              <w:ind w:left="820"/>
              <w:spacing w:after="0" w:line="155" w:lineRule="exact"/>
              <w:rPr>
                <w:sz w:val="20"/>
                <w:szCs w:val="20"/>
                <w:color w:val="auto"/>
              </w:rPr>
            </w:pPr>
            <w:r>
              <w:rPr>
                <w:rFonts w:ascii="Times New Roman" w:cs="Times New Roman" w:eastAsia="Times New Roman" w:hAnsi="Times New Roman"/>
                <w:sz w:val="14"/>
                <w:szCs w:val="14"/>
                <w:color w:val="auto"/>
              </w:rPr>
              <w:t>Operating cash flows from continuing operations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26,657</w:t>
            </w:r>
          </w:p>
        </w:tc>
      </w:tr>
      <w:tr>
        <w:trPr>
          <w:trHeight w:val="198"/>
        </w:trPr>
        <w:tc>
          <w:tcPr>
            <w:tcW w:w="8180" w:type="dxa"/>
            <w:vAlign w:val="bottom"/>
            <w:shd w:val="clear" w:color="auto" w:fill="D1EDF5"/>
          </w:tcPr>
          <w:p>
            <w:pPr>
              <w:ind w:left="820"/>
              <w:spacing w:after="0"/>
              <w:rPr>
                <w:sz w:val="20"/>
                <w:szCs w:val="20"/>
                <w:color w:val="auto"/>
              </w:rPr>
            </w:pPr>
            <w:r>
              <w:rPr>
                <w:rFonts w:ascii="Times New Roman" w:cs="Times New Roman" w:eastAsia="Times New Roman" w:hAnsi="Times New Roman"/>
                <w:sz w:val="14"/>
                <w:szCs w:val="14"/>
                <w:color w:val="auto"/>
              </w:rPr>
              <w:t>Operating cash flows from discontinued operations</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6,862</w:t>
            </w:r>
          </w:p>
        </w:tc>
      </w:tr>
      <w:tr>
        <w:trPr>
          <w:trHeight w:val="176"/>
        </w:trPr>
        <w:tc>
          <w:tcPr>
            <w:tcW w:w="8180" w:type="dxa"/>
            <w:vAlign w:val="bottom"/>
            <w:tcBorders>
              <w:bottom w:val="single" w:sz="8" w:color="D1EDF5"/>
            </w:tcBorders>
          </w:tcPr>
          <w:p>
            <w:pPr>
              <w:ind w:left="92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33,519</w:t>
            </w:r>
          </w:p>
        </w:tc>
      </w:tr>
      <w:tr>
        <w:trPr>
          <w:trHeight w:val="17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26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8180" w:type="dxa"/>
            <w:vAlign w:val="bottom"/>
            <w:tcBorders>
              <w:bottom w:val="single" w:sz="8" w:color="D1EDF5"/>
            </w:tcBorders>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Additions to capitalized software development costs and purchases of intangible assets</w:t>
            </w:r>
          </w:p>
        </w:tc>
        <w:tc>
          <w:tcPr>
            <w:tcW w:w="24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spacing w:after="0"/>
              <w:rPr>
                <w:sz w:val="18"/>
                <w:szCs w:val="18"/>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(4,961)</w:t>
            </w:r>
          </w:p>
        </w:tc>
      </w:tr>
      <w:tr>
        <w:trPr>
          <w:trHeight w:val="163"/>
        </w:trPr>
        <w:tc>
          <w:tcPr>
            <w:tcW w:w="8180" w:type="dxa"/>
            <w:vAlign w:val="bottom"/>
          </w:tcPr>
          <w:p>
            <w:pPr>
              <w:ind w:left="820"/>
              <w:spacing w:after="0" w:line="155" w:lineRule="exact"/>
              <w:rPr>
                <w:sz w:val="20"/>
                <w:szCs w:val="20"/>
                <w:color w:val="auto"/>
              </w:rPr>
            </w:pPr>
            <w:r>
              <w:rPr>
                <w:rFonts w:ascii="Times New Roman" w:cs="Times New Roman" w:eastAsia="Times New Roman" w:hAnsi="Times New Roman"/>
                <w:sz w:val="14"/>
                <w:szCs w:val="14"/>
                <w:color w:val="auto"/>
              </w:rPr>
              <w:t>Investing cash flows from continuing operations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r>
      <w:tr>
        <w:trPr>
          <w:trHeight w:val="198"/>
        </w:trPr>
        <w:tc>
          <w:tcPr>
            <w:tcW w:w="8180" w:type="dxa"/>
            <w:vAlign w:val="bottom"/>
            <w:shd w:val="clear" w:color="auto" w:fill="D1EDF5"/>
          </w:tcPr>
          <w:p>
            <w:pPr>
              <w:ind w:left="820"/>
              <w:spacing w:after="0"/>
              <w:rPr>
                <w:sz w:val="20"/>
                <w:szCs w:val="20"/>
                <w:color w:val="auto"/>
              </w:rPr>
            </w:pPr>
            <w:r>
              <w:rPr>
                <w:rFonts w:ascii="Times New Roman" w:cs="Times New Roman" w:eastAsia="Times New Roman" w:hAnsi="Times New Roman"/>
                <w:sz w:val="14"/>
                <w:szCs w:val="14"/>
                <w:color w:val="auto"/>
              </w:rPr>
              <w:t>Investing cash flows from discontinued operations</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48,092</w:t>
            </w:r>
          </w:p>
        </w:tc>
      </w:tr>
      <w:tr>
        <w:trPr>
          <w:trHeight w:val="176"/>
        </w:trPr>
        <w:tc>
          <w:tcPr>
            <w:tcW w:w="8180" w:type="dxa"/>
            <w:vAlign w:val="bottom"/>
            <w:tcBorders>
              <w:bottom w:val="single" w:sz="8" w:color="D1EDF5"/>
            </w:tcBorders>
          </w:tcPr>
          <w:p>
            <w:pPr>
              <w:ind w:left="92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43,031</w:t>
            </w:r>
          </w:p>
        </w:tc>
      </w:tr>
      <w:tr>
        <w:trPr>
          <w:trHeight w:val="17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26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exercise of warrants to purchase common stock</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Proceeds from stock option exercises and ESPP</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of 2025 Convertible Notes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(33,769)</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Proceeds from issuance of short-term loan and warrants, net of issuance costs</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19,350</w:t>
            </w: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on short-term loan</w:t>
            </w: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Net repayments on asset-backed revolving credit facility</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(4,882)</w:t>
            </w:r>
          </w:p>
        </w:tc>
      </w:tr>
      <w:tr>
        <w:trPr>
          <w:trHeight w:val="175"/>
        </w:trPr>
        <w:tc>
          <w:tcPr>
            <w:tcW w:w="8180" w:type="dxa"/>
            <w:vAlign w:val="bottom"/>
          </w:tcPr>
          <w:p>
            <w:pPr>
              <w:ind w:left="820"/>
              <w:spacing w:after="0" w:line="155" w:lineRule="exact"/>
              <w:rPr>
                <w:sz w:val="20"/>
                <w:szCs w:val="20"/>
                <w:color w:val="auto"/>
              </w:rPr>
            </w:pPr>
            <w:r>
              <w:rPr>
                <w:rFonts w:ascii="Times New Roman" w:cs="Times New Roman" w:eastAsia="Times New Roman" w:hAnsi="Times New Roman"/>
                <w:sz w:val="14"/>
                <w:szCs w:val="14"/>
                <w:color w:val="auto"/>
              </w:rPr>
              <w:t>Financing cash flows from continuing operations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(38,781)</w:t>
            </w:r>
          </w:p>
        </w:tc>
      </w:tr>
      <w:tr>
        <w:trPr>
          <w:trHeight w:val="198"/>
        </w:trPr>
        <w:tc>
          <w:tcPr>
            <w:tcW w:w="8180" w:type="dxa"/>
            <w:vAlign w:val="bottom"/>
            <w:shd w:val="clear" w:color="auto" w:fill="D1EDF5"/>
          </w:tcPr>
          <w:p>
            <w:pPr>
              <w:ind w:left="820"/>
              <w:spacing w:after="0"/>
              <w:rPr>
                <w:sz w:val="20"/>
                <w:szCs w:val="20"/>
                <w:color w:val="auto"/>
              </w:rPr>
            </w:pPr>
            <w:r>
              <w:rPr>
                <w:rFonts w:ascii="Times New Roman" w:cs="Times New Roman" w:eastAsia="Times New Roman" w:hAnsi="Times New Roman"/>
                <w:sz w:val="14"/>
                <w:szCs w:val="14"/>
                <w:color w:val="auto"/>
              </w:rPr>
              <w:t>Financing cash flows from discontinued operations</w:t>
            </w:r>
          </w:p>
        </w:tc>
        <w:tc>
          <w:tcPr>
            <w:tcW w:w="240" w:type="dxa"/>
            <w:vAlign w:val="bottom"/>
            <w:shd w:val="clear" w:color="auto" w:fill="D1EDF5"/>
          </w:tcPr>
          <w:p>
            <w:pPr>
              <w:spacing w:after="0"/>
              <w:rPr>
                <w:sz w:val="17"/>
                <w:szCs w:val="17"/>
                <w:color w:val="auto"/>
              </w:rPr>
            </w:pPr>
          </w:p>
        </w:tc>
        <w:tc>
          <w:tcPr>
            <w:tcW w:w="9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180" w:type="dxa"/>
            <w:vAlign w:val="bottom"/>
            <w:tcBorders>
              <w:bottom w:val="single" w:sz="8" w:color="D1EDF5"/>
            </w:tcBorders>
          </w:tcPr>
          <w:p>
            <w:pPr>
              <w:ind w:left="920"/>
              <w:spacing w:after="0" w:line="155"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100" w:type="dxa"/>
            <w:vAlign w:val="bottom"/>
            <w:tcBorders>
              <w:bottom w:val="single" w:sz="8" w:color="D1EDF5"/>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(38,781)</w:t>
            </w:r>
          </w:p>
        </w:tc>
      </w:tr>
      <w:tr>
        <w:trPr>
          <w:trHeight w:val="203"/>
        </w:trPr>
        <w:tc>
          <w:tcPr>
            <w:tcW w:w="81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D1EDF5"/>
            </w:tcBorders>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163"/>
        </w:trPr>
        <w:tc>
          <w:tcPr>
            <w:tcW w:w="8180" w:type="dxa"/>
            <w:vAlign w:val="bottom"/>
          </w:tcPr>
          <w:p>
            <w:pPr>
              <w:ind w:left="920"/>
              <w:spacing w:after="0" w:line="155"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37,187</w:t>
            </w:r>
          </w:p>
        </w:tc>
      </w:tr>
      <w:tr>
        <w:trPr>
          <w:trHeight w:val="198"/>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4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39,596</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2,409</w:t>
            </w:r>
          </w:p>
        </w:tc>
      </w:tr>
      <w:tr>
        <w:trPr>
          <w:trHeight w:val="176"/>
        </w:trPr>
        <w:tc>
          <w:tcPr>
            <w:tcW w:w="8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39,596</w:t>
            </w:r>
          </w:p>
        </w:tc>
      </w:tr>
      <w:tr>
        <w:trPr>
          <w:trHeight w:val="20"/>
        </w:trPr>
        <w:tc>
          <w:tcPr>
            <w:tcW w:w="8180" w:type="dxa"/>
            <w:vAlign w:val="bottom"/>
            <w:tcBorders>
              <w:bottom w:val="single" w:sz="8" w:color="D1ED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shd w:val="clear" w:color="auto" w:fill="D1EDF5"/>
          </w:tcPr>
          <w:p>
            <w:pPr>
              <w:spacing w:after="0"/>
              <w:rPr>
                <w:sz w:val="15"/>
                <w:szCs w:val="15"/>
                <w:color w:val="auto"/>
              </w:rPr>
            </w:pPr>
          </w:p>
        </w:tc>
        <w:tc>
          <w:tcPr>
            <w:tcW w:w="24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260" w:type="dxa"/>
            <w:vAlign w:val="bottom"/>
            <w:shd w:val="clear" w:color="auto" w:fill="D1EDF5"/>
          </w:tcPr>
          <w:p>
            <w:pPr>
              <w:spacing w:after="0"/>
              <w:rPr>
                <w:sz w:val="15"/>
                <w:szCs w:val="15"/>
                <w:color w:val="auto"/>
              </w:rPr>
            </w:pPr>
          </w:p>
        </w:tc>
        <w:tc>
          <w:tcPr>
            <w:tcW w:w="880" w:type="dxa"/>
            <w:vAlign w:val="bottom"/>
            <w:shd w:val="clear" w:color="auto" w:fill="D1EDF5"/>
          </w:tcPr>
          <w:p>
            <w:pPr>
              <w:spacing w:after="0"/>
              <w:rPr>
                <w:sz w:val="15"/>
                <w:szCs w:val="15"/>
                <w:color w:val="auto"/>
              </w:rPr>
            </w:pPr>
          </w:p>
        </w:tc>
      </w:tr>
      <w:tr>
        <w:trPr>
          <w:trHeight w:val="183"/>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24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18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6,245</w:t>
            </w:r>
          </w:p>
        </w:tc>
      </w:tr>
      <w:tr>
        <w:trPr>
          <w:trHeight w:val="198"/>
        </w:trPr>
        <w:tc>
          <w:tcPr>
            <w:tcW w:w="81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1"/>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4"/>
                <w:szCs w:val="14"/>
                <w:color w:val="auto"/>
              </w:rPr>
              <w:t>Supplemental disclosures of non-cash activities:</w:t>
            </w:r>
          </w:p>
        </w:tc>
        <w:tc>
          <w:tcPr>
            <w:tcW w:w="240" w:type="dxa"/>
            <w:vAlign w:val="bottom"/>
            <w:shd w:val="clear" w:color="auto" w:fill="D1EDF5"/>
          </w:tcPr>
          <w:p>
            <w:pPr>
              <w:spacing w:after="0"/>
              <w:rPr>
                <w:sz w:val="16"/>
                <w:szCs w:val="16"/>
                <w:color w:val="auto"/>
              </w:rPr>
            </w:pPr>
          </w:p>
        </w:tc>
        <w:tc>
          <w:tcPr>
            <w:tcW w:w="88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80" w:type="dxa"/>
            <w:vAlign w:val="bottom"/>
            <w:shd w:val="clear" w:color="auto" w:fill="D1EDF5"/>
          </w:tcPr>
          <w:p>
            <w:pPr>
              <w:spacing w:after="0"/>
              <w:rPr>
                <w:sz w:val="16"/>
                <w:szCs w:val="16"/>
                <w:color w:val="auto"/>
              </w:rPr>
            </w:pPr>
          </w:p>
        </w:tc>
      </w:tr>
      <w:tr>
        <w:trPr>
          <w:trHeight w:val="18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leases liabilities</w:t>
            </w: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Capital expenditures financed through accounts payable or accrued liabilities</w:t>
            </w:r>
          </w:p>
        </w:tc>
        <w:tc>
          <w:tcPr>
            <w:tcW w:w="240" w:type="dxa"/>
            <w:vAlign w:val="bottom"/>
            <w:shd w:val="clear" w:color="auto" w:fill="D1EDF5"/>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235</w:t>
            </w:r>
          </w:p>
        </w:tc>
      </w:tr>
    </w:tbl>
    <w:p>
      <w:pPr>
        <w:spacing w:after="0" w:line="200" w:lineRule="exact"/>
        <w:rPr>
          <w:sz w:val="20"/>
          <w:szCs w:val="20"/>
          <w:color w:val="auto"/>
        </w:rPr>
      </w:pPr>
    </w:p>
    <w:p>
      <w:pPr>
        <w:sectPr>
          <w:pgSz w:w="12240" w:h="15840" w:orient="portrait"/>
          <w:cols w:equalWidth="0" w:num="1">
            <w:col w:w="10540"/>
          </w:cols>
          <w:pgMar w:left="840" w:top="641" w:right="860"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641" w:right="86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75"/>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2029 Senior Secured Notes issued in exchange for 2025 Convertible Notes</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42,557</w:t>
            </w:r>
          </w:p>
        </w:tc>
      </w:tr>
      <w:tr>
        <w:trPr>
          <w:trHeight w:val="24"/>
        </w:trPr>
        <w:tc>
          <w:tcPr>
            <w:tcW w:w="6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66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Common stock issued in exchange for 2025 Convertible Notes</w:t>
            </w:r>
          </w:p>
        </w:tc>
        <w:tc>
          <w:tcPr>
            <w:tcW w:w="2020" w:type="dxa"/>
            <w:vAlign w:val="bottom"/>
            <w:shd w:val="clear" w:color="auto" w:fill="D1EDF5"/>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1EDF5"/>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44,930</w:t>
            </w:r>
          </w:p>
        </w:tc>
      </w:tr>
      <w:tr>
        <w:trPr>
          <w:trHeight w:val="183"/>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Warrants issued in exchange for 2025 Convertible Notes</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27,603</w:t>
            </w:r>
          </w:p>
        </w:tc>
      </w:tr>
      <w:tr>
        <w:trPr>
          <w:trHeight w:val="198"/>
        </w:trPr>
        <w:tc>
          <w:tcPr>
            <w:tcW w:w="66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4"/>
                <w:szCs w:val="14"/>
                <w:color w:val="auto"/>
              </w:rPr>
              <w:t>Purchase price receivable for Telematics divestiture within prepaid and other current assets</w:t>
            </w:r>
          </w:p>
        </w:tc>
        <w:tc>
          <w:tcPr>
            <w:tcW w:w="2020" w:type="dxa"/>
            <w:vAlign w:val="bottom"/>
            <w:shd w:val="clear" w:color="auto" w:fill="D1EDF5"/>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1EDF5"/>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190"/>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taxes related to Telematics divestiture</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733" w:right="86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Business and Significant Accounting Policies</w:t>
      </w:r>
    </w:p>
    <w:p>
      <w:pPr>
        <w:spacing w:after="0" w:line="151" w:lineRule="exact"/>
        <w:rPr>
          <w:sz w:val="20"/>
          <w:szCs w:val="20"/>
          <w:color w:val="auto"/>
        </w:rPr>
      </w:pPr>
    </w:p>
    <w:p>
      <w:pPr>
        <w:ind w:right="40" w:firstLine="381"/>
        <w:spacing w:after="0" w:line="256" w:lineRule="auto"/>
        <w:rPr>
          <w:sz w:val="20"/>
          <w:szCs w:val="20"/>
          <w:color w:val="auto"/>
        </w:rPr>
      </w:pPr>
      <w:r>
        <w:rPr>
          <w:rFonts w:ascii="Times New Roman" w:cs="Times New Roman" w:eastAsia="Times New Roman" w:hAnsi="Times New Roman"/>
          <w:sz w:val="17"/>
          <w:szCs w:val="17"/>
          <w:color w:val="auto"/>
        </w:rPr>
        <w:t>Inseego Corp. (the “Company”, “Inseego”, “We” or “Our”) is a leader in the design and development of fixed and mobile wireless products as well as cloud solutions for businesses, consumers, and governments around the globe. Our products and solutions are powered by our key wireless innovations in mobile and FWA technologies, including a suite of 5G products and purpose-built SaaS cloud platforms.</w:t>
      </w:r>
    </w:p>
    <w:p>
      <w:pPr>
        <w:spacing w:after="0" w:line="111" w:lineRule="exact"/>
        <w:rPr>
          <w:sz w:val="20"/>
          <w:szCs w:val="20"/>
          <w:color w:val="auto"/>
        </w:rPr>
      </w:pPr>
    </w:p>
    <w:p>
      <w:pPr>
        <w:ind w:right="120" w:firstLine="381"/>
        <w:spacing w:after="0" w:line="256" w:lineRule="auto"/>
        <w:rPr>
          <w:sz w:val="20"/>
          <w:szCs w:val="20"/>
          <w:color w:val="auto"/>
        </w:rPr>
      </w:pPr>
      <w:r>
        <w:rPr>
          <w:rFonts w:ascii="Times New Roman" w:cs="Times New Roman" w:eastAsia="Times New Roman" w:hAnsi="Times New Roman"/>
          <w:sz w:val="17"/>
          <w:szCs w:val="17"/>
          <w:color w:val="auto"/>
        </w:rPr>
        <w:t>Inseego is a Delaware corporation formed in 2016 and is the successor to Novatel Wireless, Inc., a Delaware corporation formed in 1996. The Company’s principal executive and corporate offices are located at 9710 Scranton Road, Suite 200, San Diego, CA 92121. Inseego’s common stock trades on the NASDAQ Global Select Market under the trading symbol “INSG.”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64" w:lineRule="exact"/>
        <w:rPr>
          <w:sz w:val="20"/>
          <w:szCs w:val="20"/>
          <w:color w:val="auto"/>
        </w:rPr>
      </w:pPr>
    </w:p>
    <w:p>
      <w:pPr>
        <w:ind w:right="320" w:firstLine="381"/>
        <w:spacing w:after="0" w:line="26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wholly-owned subsidiaries. All intercompany transactions and balances have been eliminated in consolidation.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64" w:lineRule="exact"/>
        <w:rPr>
          <w:sz w:val="20"/>
          <w:szCs w:val="20"/>
          <w:color w:val="auto"/>
        </w:rPr>
      </w:pPr>
    </w:p>
    <w:p>
      <w:pPr>
        <w:ind w:right="200" w:firstLine="381"/>
        <w:spacing w:after="0" w:line="248" w:lineRule="auto"/>
        <w:rPr>
          <w:sz w:val="20"/>
          <w:szCs w:val="20"/>
          <w:color w:val="auto"/>
        </w:rPr>
      </w:pPr>
      <w:r>
        <w:rPr>
          <w:rFonts w:ascii="Times New Roman" w:cs="Times New Roman" w:eastAsia="Times New Roman" w:hAnsi="Times New Roman"/>
          <w:sz w:val="17"/>
          <w:szCs w:val="17"/>
          <w:color w:val="auto"/>
        </w:rPr>
        <w:t>The consolidated financial statements of Inseego Corp.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51" w:lineRule="exact"/>
        <w:rPr>
          <w:sz w:val="20"/>
          <w:szCs w:val="20"/>
          <w:color w:val="auto"/>
        </w:rPr>
      </w:pPr>
    </w:p>
    <w:p>
      <w:pPr>
        <w:ind w:right="500" w:firstLine="381"/>
        <w:spacing w:after="0" w:line="262" w:lineRule="auto"/>
        <w:rPr>
          <w:sz w:val="20"/>
          <w:szCs w:val="20"/>
          <w:color w:val="auto"/>
        </w:rPr>
      </w:pPr>
      <w:r>
        <w:rPr>
          <w:rFonts w:ascii="Times New Roman" w:cs="Times New Roman" w:eastAsia="Times New Roman" w:hAnsi="Times New Roman"/>
          <w:sz w:val="17"/>
          <w:szCs w:val="17"/>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 of the Telematics Business</w:t>
      </w:r>
    </w:p>
    <w:p>
      <w:pPr>
        <w:spacing w:after="0" w:line="151" w:lineRule="exact"/>
        <w:rPr>
          <w:sz w:val="20"/>
          <w:szCs w:val="20"/>
          <w:color w:val="auto"/>
        </w:rPr>
      </w:pPr>
    </w:p>
    <w:p>
      <w:pPr>
        <w:ind w:right="60" w:firstLine="381"/>
        <w:spacing w:after="0" w:line="243" w:lineRule="auto"/>
        <w:rPr>
          <w:sz w:val="20"/>
          <w:szCs w:val="20"/>
          <w:color w:val="auto"/>
        </w:rPr>
      </w:pPr>
      <w:r>
        <w:rPr>
          <w:rFonts w:ascii="Times New Roman" w:cs="Times New Roman" w:eastAsia="Times New Roman" w:hAnsi="Times New Roman"/>
          <w:sz w:val="17"/>
          <w:szCs w:val="17"/>
          <w:color w:val="auto"/>
        </w:rPr>
        <w:t>On November 27, 2024, the Company completed the previously announced sale of its fleet management and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 $52.0 million in an all-cash transaction (the “Sale Transaction”). The Purchase Agreement provided for a working capital adjustment, which was determined in December 2024 and funded in January 2025, resulting in an increase to the initial purchase consideration of $0.7 million as a result of changes in closing working capital and net debt.</w:t>
      </w:r>
    </w:p>
    <w:p>
      <w:pPr>
        <w:spacing w:after="0" w:line="126" w:lineRule="exact"/>
        <w:rPr>
          <w:sz w:val="20"/>
          <w:szCs w:val="20"/>
          <w:color w:val="auto"/>
        </w:rPr>
      </w:pPr>
    </w:p>
    <w:p>
      <w:pPr>
        <w:ind w:right="160" w:firstLine="381"/>
        <w:spacing w:after="0" w:line="248" w:lineRule="auto"/>
        <w:rPr>
          <w:sz w:val="20"/>
          <w:szCs w:val="20"/>
          <w:color w:val="auto"/>
        </w:rPr>
      </w:pPr>
      <w:r>
        <w:rPr>
          <w:rFonts w:ascii="Times New Roman" w:cs="Times New Roman" w:eastAsia="Times New Roman" w:hAnsi="Times New Roman"/>
          <w:sz w:val="17"/>
          <w:szCs w:val="17"/>
          <w:color w:val="auto"/>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results of operations and cash flows associated with the Telematics Business have been classified as discontinued operations within the Consolidated Statements of Operations and Comprehensive Income and Consolidated Statements of Cash Flows.</w:t>
      </w:r>
    </w:p>
    <w:p>
      <w:pPr>
        <w:spacing w:after="0" w:line="116" w:lineRule="exact"/>
        <w:rPr>
          <w:sz w:val="20"/>
          <w:szCs w:val="20"/>
          <w:color w:val="auto"/>
        </w:rPr>
      </w:pPr>
    </w:p>
    <w:p>
      <w:pPr>
        <w:jc w:val="both"/>
        <w:ind w:firstLine="381"/>
        <w:spacing w:after="0" w:line="267" w:lineRule="auto"/>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i w:val="1"/>
          <w:iCs w:val="1"/>
          <w:color w:val="auto"/>
        </w:rPr>
        <w:t>Note 2 – Held for Sale and Discontinued Operations</w:t>
      </w:r>
      <w:r>
        <w:rPr>
          <w:rFonts w:ascii="Times New Roman" w:cs="Times New Roman" w:eastAsia="Times New Roman" w:hAnsi="Times New Roman"/>
          <w:sz w:val="17"/>
          <w:szCs w:val="17"/>
          <w:color w:val="auto"/>
        </w:rPr>
        <w:t xml:space="preserve"> for additional information regarding the Telematics Business. Unless otherwise noted, disclosures within these remaining Notes to Consolidated Financial Statements relate solely to the Company's continuing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Held for Sale and Discontinued Operations</w:t>
      </w:r>
    </w:p>
    <w:p>
      <w:pPr>
        <w:spacing w:after="0" w:line="151" w:lineRule="exact"/>
        <w:rPr>
          <w:sz w:val="20"/>
          <w:szCs w:val="20"/>
          <w:color w:val="auto"/>
        </w:rPr>
      </w:pPr>
    </w:p>
    <w:p>
      <w:pPr>
        <w:jc w:val="both"/>
        <w:ind w:firstLine="381"/>
        <w:spacing w:after="0" w:line="244" w:lineRule="auto"/>
        <w:rPr>
          <w:sz w:val="20"/>
          <w:szCs w:val="20"/>
          <w:color w:val="auto"/>
        </w:rPr>
      </w:pPr>
      <w:r>
        <w:rPr>
          <w:rFonts w:ascii="Times New Roman" w:cs="Times New Roman" w:eastAsia="Times New Roman" w:hAnsi="Times New Roman"/>
          <w:sz w:val="17"/>
          <w:szCs w:val="17"/>
          <w:color w:val="auto"/>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generally probable of being completed within one year. Management performs an assessment at least quarterly or when events or changes in business circumstances indicate that a change in classification may be necessary.</w:t>
      </w:r>
    </w:p>
    <w:p>
      <w:pPr>
        <w:spacing w:after="0" w:line="124" w:lineRule="exact"/>
        <w:rPr>
          <w:sz w:val="20"/>
          <w:szCs w:val="20"/>
          <w:color w:val="auto"/>
        </w:rPr>
      </w:pPr>
    </w:p>
    <w:p>
      <w:pPr>
        <w:jc w:val="both"/>
        <w:ind w:firstLine="381"/>
        <w:spacing w:after="0" w:line="278" w:lineRule="auto"/>
        <w:rPr>
          <w:sz w:val="20"/>
          <w:szCs w:val="20"/>
          <w:color w:val="auto"/>
        </w:rPr>
      </w:pPr>
      <w:r>
        <w:rPr>
          <w:rFonts w:ascii="Times New Roman" w:cs="Times New Roman" w:eastAsia="Times New Roman" w:hAnsi="Times New Roman"/>
          <w:sz w:val="17"/>
          <w:szCs w:val="17"/>
          <w:color w:val="auto"/>
        </w:rPr>
        <w:t>Assets and liabilities held for sale are presented separately within the Consolidated Balance Sheets with any adjustments necessary to measure the disposal group at the lower of its carrying value or fair value less costs to sell. Depreciation 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property, plant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No impairment upon classification as held for sale was recorded during the years ended December 31, 2025 or 2024.</w:t>
      </w:r>
    </w:p>
    <w:p>
      <w:pPr>
        <w:spacing w:after="0" w:line="111" w:lineRule="exact"/>
        <w:rPr>
          <w:sz w:val="20"/>
          <w:szCs w:val="20"/>
          <w:color w:val="auto"/>
        </w:rPr>
      </w:pPr>
    </w:p>
    <w:p>
      <w:pPr>
        <w:jc w:val="both"/>
        <w:ind w:firstLine="381"/>
        <w:spacing w:after="0" w:line="243" w:lineRule="auto"/>
        <w:rPr>
          <w:sz w:val="20"/>
          <w:szCs w:val="20"/>
          <w:color w:val="auto"/>
        </w:rPr>
      </w:pPr>
      <w:r>
        <w:rPr>
          <w:rFonts w:ascii="Times New Roman" w:cs="Times New Roman" w:eastAsia="Times New Roman" w:hAnsi="Times New Roman"/>
          <w:sz w:val="17"/>
          <w:szCs w:val="17"/>
          <w:color w:val="auto"/>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spacing w:after="0" w:line="126"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151" w:lineRule="exact"/>
        <w:rPr>
          <w:sz w:val="20"/>
          <w:szCs w:val="20"/>
          <w:color w:val="auto"/>
        </w:rPr>
      </w:pPr>
    </w:p>
    <w:p>
      <w:pPr>
        <w:ind w:right="40" w:firstLine="381"/>
        <w:spacing w:after="0" w:line="245" w:lineRule="auto"/>
        <w:rPr>
          <w:sz w:val="20"/>
          <w:szCs w:val="20"/>
          <w:color w:val="auto"/>
        </w:rPr>
      </w:pPr>
      <w:r>
        <w:rPr>
          <w:rFonts w:ascii="Times New Roman" w:cs="Times New Roman" w:eastAsia="Times New Roman" w:hAnsi="Times New Roman"/>
          <w:sz w:val="17"/>
          <w:szCs w:val="17"/>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spacing w:after="0" w:line="123" w:lineRule="exact"/>
        <w:rPr>
          <w:sz w:val="20"/>
          <w:szCs w:val="20"/>
          <w:color w:val="auto"/>
        </w:rPr>
      </w:pPr>
    </w:p>
    <w:p>
      <w:pPr>
        <w:ind w:right="180" w:firstLine="381"/>
        <w:spacing w:after="0" w:line="255" w:lineRule="auto"/>
        <w:rPr>
          <w:sz w:val="20"/>
          <w:szCs w:val="20"/>
          <w:color w:val="auto"/>
        </w:rPr>
      </w:pPr>
      <w:r>
        <w:rPr>
          <w:rFonts w:ascii="Times New Roman" w:cs="Times New Roman" w:eastAsia="Times New Roman" w:hAnsi="Times New Roman"/>
          <w:sz w:val="17"/>
          <w:szCs w:val="17"/>
          <w:color w:val="auto"/>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spacing w:after="0" w:line="113" w:lineRule="exact"/>
        <w:rPr>
          <w:sz w:val="20"/>
          <w:szCs w:val="20"/>
          <w:color w:val="auto"/>
        </w:rPr>
      </w:pPr>
    </w:p>
    <w:p>
      <w:pPr>
        <w:ind w:right="740" w:firstLine="381"/>
        <w:spacing w:after="0" w:line="428" w:lineRule="auto"/>
        <w:rPr>
          <w:sz w:val="20"/>
          <w:szCs w:val="20"/>
          <w:color w:val="auto"/>
        </w:rPr>
      </w:pPr>
      <w:r>
        <w:rPr>
          <w:rFonts w:ascii="Times New Roman" w:cs="Times New Roman" w:eastAsia="Times New Roman" w:hAnsi="Times New Roman"/>
          <w:sz w:val="17"/>
          <w:szCs w:val="17"/>
          <w:color w:val="auto"/>
        </w:rPr>
        <w:t xml:space="preserve">All common share and per-share amounts in this Form 10-K have been retroactively restated to reflect the effect of the Reverse Stock Split. </w:t>
      </w:r>
      <w:r>
        <w:rPr>
          <w:rFonts w:ascii="Times New Roman" w:cs="Times New Roman" w:eastAsia="Times New Roman" w:hAnsi="Times New Roman"/>
          <w:sz w:val="17"/>
          <w:szCs w:val="17"/>
          <w:b w:val="1"/>
          <w:bCs w:val="1"/>
          <w:i w:val="1"/>
          <w:iCs w:val="1"/>
          <w:color w:val="auto"/>
        </w:rPr>
        <w:t>Segment Information</w:t>
      </w:r>
    </w:p>
    <w:p>
      <w:pPr>
        <w:spacing w:after="0" w:line="1" w:lineRule="exact"/>
        <w:rPr>
          <w:sz w:val="20"/>
          <w:szCs w:val="20"/>
          <w:color w:val="auto"/>
        </w:rPr>
      </w:pPr>
    </w:p>
    <w:p>
      <w:pPr>
        <w:ind w:right="100" w:firstLine="381"/>
        <w:spacing w:after="0" w:line="244" w:lineRule="auto"/>
        <w:rPr>
          <w:sz w:val="20"/>
          <w:szCs w:val="20"/>
          <w:color w:val="auto"/>
        </w:rPr>
      </w:pPr>
      <w:r>
        <w:rPr>
          <w:rFonts w:ascii="Times New Roman" w:cs="Times New Roman" w:eastAsia="Times New Roman" w:hAnsi="Times New Roman"/>
          <w:sz w:val="17"/>
          <w:szCs w:val="17"/>
          <w:color w:val="auto"/>
        </w:rPr>
        <w:t>The Company has one reportable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 See Note 13 – Segment, Geographic, and Concentrations of Risk Information for more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1" w:lineRule="exact"/>
        <w:rPr>
          <w:sz w:val="20"/>
          <w:szCs w:val="20"/>
          <w:color w:val="auto"/>
        </w:rPr>
      </w:pPr>
    </w:p>
    <w:p>
      <w:pPr>
        <w:ind w:right="100" w:firstLine="381"/>
        <w:spacing w:after="0" w:line="24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51" w:lineRule="exact"/>
        <w:rPr>
          <w:sz w:val="20"/>
          <w:szCs w:val="20"/>
          <w:color w:val="auto"/>
        </w:rPr>
      </w:pPr>
    </w:p>
    <w:p>
      <w:pPr>
        <w:ind w:right="760" w:firstLine="381"/>
        <w:spacing w:after="0" w:line="262" w:lineRule="auto"/>
        <w:rPr>
          <w:sz w:val="20"/>
          <w:szCs w:val="20"/>
          <w:color w:val="auto"/>
        </w:rPr>
      </w:pPr>
      <w:r>
        <w:rPr>
          <w:rFonts w:ascii="Times New Roman" w:cs="Times New Roman" w:eastAsia="Times New Roman" w:hAnsi="Times New Roman"/>
          <w:sz w:val="17"/>
          <w:szCs w:val="17"/>
          <w:color w:val="auto"/>
        </w:rPr>
        <w:t>Cash and cash equivalents include highly liquid investments with original maturities of three months or less. The Company’s cash and cash equivalents are generally held with large financial institutions to reduce the amount of exposure 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7"/>
          <w:szCs w:val="17"/>
          <w:color w:val="auto"/>
        </w:rPr>
        <w:t>credit risk. Cash and cash equivalents are recorded at market value, which approximates cost. There are no restricted cash amounts as of December 31, 2025 or 2024. Gains and losses associated with the Company’s foreign currency denominated demand deposits are recorded as a component of other income, net, in the Consolidated Statements of Operations and Comprehensive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1" w:lineRule="exact"/>
        <w:rPr>
          <w:sz w:val="20"/>
          <w:szCs w:val="20"/>
          <w:color w:val="auto"/>
        </w:rPr>
      </w:pPr>
    </w:p>
    <w:p>
      <w:pPr>
        <w:ind w:right="500" w:firstLine="381"/>
        <w:spacing w:after="0" w:line="278" w:lineRule="auto"/>
        <w:rPr>
          <w:sz w:val="20"/>
          <w:szCs w:val="20"/>
          <w:color w:val="auto"/>
        </w:rPr>
      </w:pPr>
      <w:r>
        <w:rPr>
          <w:rFonts w:ascii="Times New Roman" w:cs="Times New Roman" w:eastAsia="Times New Roman" w:hAnsi="Times New Roman"/>
          <w:sz w:val="17"/>
          <w:szCs w:val="17"/>
          <w:color w:val="auto"/>
        </w:rPr>
        <w:t>The Company’s products and services primarily include mobile hotspots and fixed wireless routers, which are supported by software and cloud services designed to enable customers to easily analyze data insights and configure and manage their hardware.</w:t>
      </w:r>
    </w:p>
    <w:p>
      <w:pPr>
        <w:spacing w:after="0" w:line="93" w:lineRule="exact"/>
        <w:rPr>
          <w:sz w:val="20"/>
          <w:szCs w:val="20"/>
          <w:color w:val="auto"/>
        </w:rPr>
      </w:pPr>
    </w:p>
    <w:p>
      <w:pPr>
        <w:ind w:right="260" w:firstLine="381"/>
        <w:spacing w:after="0" w:line="256" w:lineRule="auto"/>
        <w:rPr>
          <w:sz w:val="20"/>
          <w:szCs w:val="20"/>
          <w:color w:val="auto"/>
        </w:rPr>
      </w:pPr>
      <w:r>
        <w:rPr>
          <w:rFonts w:ascii="Times New Roman" w:cs="Times New Roman" w:eastAsia="Times New Roman" w:hAnsi="Times New Roman"/>
          <w:sz w:val="17"/>
          <w:szCs w:val="17"/>
          <w:color w:val="auto"/>
        </w:rPr>
        <w:t>The Company classifies its revenues from the sale of its products and services into two categories, Product Revenue, which consists of our Mobile Solutions and Fixed Wireless Access Solutions, and Software Services and Other. A description of each of the Company’s revenue classifications is as follows:</w:t>
      </w:r>
    </w:p>
    <w:p>
      <w:pPr>
        <w:spacing w:after="0" w:line="98" w:lineRule="exact"/>
        <w:rPr>
          <w:sz w:val="20"/>
          <w:szCs w:val="20"/>
          <w:color w:val="auto"/>
        </w:rPr>
      </w:pPr>
    </w:p>
    <w:p>
      <w:pPr>
        <w:ind w:firstLine="381"/>
        <w:spacing w:after="0" w:line="249" w:lineRule="auto"/>
        <w:rPr>
          <w:sz w:val="20"/>
          <w:szCs w:val="20"/>
          <w:color w:val="auto"/>
        </w:rPr>
      </w:pPr>
      <w:r>
        <w:rPr>
          <w:rFonts w:ascii="Times New Roman" w:cs="Times New Roman" w:eastAsia="Times New Roman" w:hAnsi="Times New Roman"/>
          <w:sz w:val="17"/>
          <w:szCs w:val="17"/>
          <w:i w:val="1"/>
          <w:iCs w:val="1"/>
          <w:color w:val="auto"/>
        </w:rPr>
        <w:t>Mobile Solutions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mobile broadband devices, sold under the MiFi brand, provide secure high-speed access to corporate, public and personal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7"/>
          <w:szCs w:val="17"/>
          <w:i w:val="1"/>
          <w:iCs w:val="1"/>
          <w:color w:val="auto"/>
        </w:rPr>
        <w:t>Software Services and Other</w:t>
      </w:r>
      <w:r>
        <w:rPr>
          <w:rFonts w:ascii="Times New Roman" w:cs="Times New Roman" w:eastAsia="Times New Roman" w:hAnsi="Times New Roman"/>
          <w:sz w:val="17"/>
          <w:szCs w:val="17"/>
          <w:color w:val="auto"/>
        </w:rPr>
        <w:t xml:space="preserve"> below. Our Mobile Solutions customer base is primarily comprised of mobile operators. These mobile operators include T-Mobile, Verizon Wireless, and AT&amp;T in the United States, Rogers and Telus in Canada, and various companies in other vertical markets.</w:t>
      </w:r>
    </w:p>
    <w:p>
      <w:pPr>
        <w:spacing w:after="0" w:line="203" w:lineRule="exact"/>
        <w:rPr>
          <w:sz w:val="20"/>
          <w:szCs w:val="20"/>
          <w:color w:val="auto"/>
        </w:rPr>
      </w:pPr>
    </w:p>
    <w:p>
      <w:pPr>
        <w:ind w:right="40" w:firstLine="38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Fixed Wireless Access Solutions: </w:t>
      </w:r>
      <w:r>
        <w:rPr>
          <w:rFonts w:ascii="Times New Roman" w:cs="Times New Roman" w:eastAsia="Times New Roman" w:hAnsi="Times New Roman"/>
          <w:sz w:val="17"/>
          <w:szCs w:val="17"/>
          <w:color w:val="auto"/>
        </w:rPr>
        <w:t>Our fixed wireless access solutions are deployed by enterprise and SMB customers for their distributed sites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7"/>
          <w:szCs w:val="17"/>
          <w:i w:val="1"/>
          <w:iCs w:val="1"/>
          <w:color w:val="auto"/>
        </w:rPr>
        <w:t>Software Services and Other</w:t>
      </w:r>
      <w:r>
        <w:rPr>
          <w:rFonts w:ascii="Times New Roman" w:cs="Times New Roman" w:eastAsia="Times New Roman" w:hAnsi="Times New Roman"/>
          <w:sz w:val="17"/>
          <w:szCs w:val="17"/>
          <w:color w:val="auto"/>
        </w:rPr>
        <w:t xml:space="preserve"> below. These devices, sold under the Wavemaker brand, are sold by mobile operators such as T-Mobile, Verizon Wireless, and AT&amp;T along with distribution and channel partners.</w:t>
      </w:r>
    </w:p>
    <w:p>
      <w:pPr>
        <w:spacing w:after="0" w:line="192"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Software Services and Other: </w:t>
      </w:r>
      <w:r>
        <w:rPr>
          <w:rFonts w:ascii="Times New Roman" w:cs="Times New Roman" w:eastAsia="Times New Roman" w:hAnsi="Times New Roman"/>
          <w:sz w:val="17"/>
          <w:szCs w:val="17"/>
          <w:color w:val="auto"/>
        </w:rPr>
        <w:t>A substantial majority of our software services and other revenue comes from providing a SaaS CSP wireless subscriber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 Criteria</w:t>
      </w:r>
    </w:p>
    <w:p>
      <w:pPr>
        <w:spacing w:after="0" w:line="147" w:lineRule="exact"/>
        <w:rPr>
          <w:sz w:val="20"/>
          <w:szCs w:val="20"/>
          <w:color w:val="auto"/>
        </w:rPr>
      </w:pPr>
    </w:p>
    <w:p>
      <w:pPr>
        <w:ind w:right="200" w:firstLine="381"/>
        <w:spacing w:after="0" w:line="250" w:lineRule="auto"/>
        <w:rPr>
          <w:sz w:val="20"/>
          <w:szCs w:val="20"/>
          <w:color w:val="auto"/>
        </w:rPr>
      </w:pPr>
      <w:r>
        <w:rPr>
          <w:rFonts w:ascii="Times New Roman" w:cs="Times New Roman" w:eastAsia="Times New Roman" w:hAnsi="Times New Roman"/>
          <w:sz w:val="17"/>
          <w:szCs w:val="17"/>
          <w:color w:val="auto"/>
        </w:rPr>
        <w:t xml:space="preserve">The Company follows Accounting Standards Update (“ASU”)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xml:space="preserve"> (as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117" w:lineRule="exact"/>
        <w:rPr>
          <w:sz w:val="20"/>
          <w:szCs w:val="20"/>
          <w:color w:val="auto"/>
        </w:rPr>
      </w:pPr>
    </w:p>
    <w:p>
      <w:pPr>
        <w:ind w:right="80" w:firstLine="381"/>
        <w:spacing w:after="0" w:line="245" w:lineRule="auto"/>
        <w:rPr>
          <w:sz w:val="20"/>
          <w:szCs w:val="20"/>
          <w:color w:val="auto"/>
        </w:rPr>
      </w:pPr>
      <w:r>
        <w:rPr>
          <w:rFonts w:ascii="Times New Roman" w:cs="Times New Roman" w:eastAsia="Times New Roman" w:hAnsi="Times New Roman"/>
          <w:sz w:val="17"/>
          <w:szCs w:val="17"/>
          <w:color w:val="auto"/>
        </w:rPr>
        <w:t>The Company recognizes revenue upon transfer of control of products or services to customers in an amount that reflects the consideration the Company expects to receive in exchange for those products or services. The Company determines revenue recognition according to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performance obligations are satisfied. Substantially all of our product revenues are recognized at a point in time, while substantially all of our software services and other revenues are recognized over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Customer Contracts</w:t>
      </w:r>
    </w:p>
    <w:p>
      <w:pPr>
        <w:spacing w:after="0" w:line="164" w:lineRule="exact"/>
        <w:rPr>
          <w:sz w:val="20"/>
          <w:szCs w:val="20"/>
          <w:color w:val="auto"/>
        </w:rPr>
      </w:pPr>
    </w:p>
    <w:p>
      <w:pPr>
        <w:ind w:right="180" w:firstLine="381"/>
        <w:spacing w:after="0" w:line="244" w:lineRule="auto"/>
        <w:rPr>
          <w:sz w:val="20"/>
          <w:szCs w:val="20"/>
          <w:color w:val="auto"/>
        </w:rPr>
      </w:pPr>
      <w:r>
        <w:rPr>
          <w:rFonts w:ascii="Times New Roman" w:cs="Times New Roman" w:eastAsia="Times New Roman" w:hAnsi="Times New Roman"/>
          <w:sz w:val="17"/>
          <w:szCs w:val="17"/>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120" w:firstLine="381"/>
        <w:spacing w:after="0" w:line="262" w:lineRule="auto"/>
        <w:rPr>
          <w:sz w:val="20"/>
          <w:szCs w:val="20"/>
          <w:color w:val="auto"/>
        </w:rPr>
      </w:pPr>
      <w:r>
        <w:rPr>
          <w:rFonts w:ascii="Times New Roman" w:cs="Times New Roman" w:eastAsia="Times New Roman" w:hAnsi="Times New Roman"/>
          <w:sz w:val="17"/>
          <w:szCs w:val="17"/>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151" w:lineRule="exact"/>
        <w:rPr>
          <w:sz w:val="20"/>
          <w:szCs w:val="20"/>
          <w:color w:val="auto"/>
        </w:rPr>
      </w:pPr>
    </w:p>
    <w:p>
      <w:pPr>
        <w:ind w:right="60" w:firstLine="381"/>
        <w:spacing w:after="0" w:line="243" w:lineRule="auto"/>
        <w:rPr>
          <w:sz w:val="20"/>
          <w:szCs w:val="20"/>
          <w:color w:val="auto"/>
        </w:rPr>
      </w:pPr>
      <w:r>
        <w:rPr>
          <w:rFonts w:ascii="Times New Roman" w:cs="Times New Roman" w:eastAsia="Times New Roman" w:hAnsi="Times New Roman"/>
          <w:sz w:val="17"/>
          <w:szCs w:val="17"/>
          <w:color w:val="auto"/>
        </w:rPr>
        <w:t>The Company’s performance obligations are generally established when a customer submits a purchase order notification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the Company has an unconditional right to receive payment. The Company’s prices are fixed and have no history of being affected by contingent events that could impact the transaction price. The Company generally does not offer price concessions and does not accept payment that is less than the price stated upon acceptance of a customer purchase order.</w:t>
      </w:r>
    </w:p>
    <w:p>
      <w:pPr>
        <w:spacing w:after="0" w:line="126" w:lineRule="exact"/>
        <w:rPr>
          <w:sz w:val="20"/>
          <w:szCs w:val="20"/>
          <w:color w:val="auto"/>
        </w:rPr>
      </w:pPr>
    </w:p>
    <w:p>
      <w:pPr>
        <w:ind w:right="80" w:firstLine="381"/>
        <w:spacing w:after="0" w:line="278" w:lineRule="auto"/>
        <w:rPr>
          <w:sz w:val="20"/>
          <w:szCs w:val="20"/>
          <w:color w:val="auto"/>
        </w:rPr>
      </w:pPr>
      <w:r>
        <w:rPr>
          <w:rFonts w:ascii="Times New Roman" w:cs="Times New Roman" w:eastAsia="Times New Roman" w:hAnsi="Times New Roman"/>
          <w:sz w:val="17"/>
          <w:szCs w:val="17"/>
          <w:color w:val="auto"/>
        </w:rPr>
        <w:t>The Company enters into contracts that may include various combinations of products and services which are generally capable of being distinct and accounted for as separate performance obligations.</w:t>
      </w:r>
    </w:p>
    <w:p>
      <w:pPr>
        <w:spacing w:after="0" w:line="89" w:lineRule="exact"/>
        <w:rPr>
          <w:sz w:val="20"/>
          <w:szCs w:val="20"/>
          <w:color w:val="auto"/>
        </w:rPr>
      </w:pPr>
    </w:p>
    <w:p>
      <w:pPr>
        <w:ind w:right="60" w:firstLine="38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Hardware. </w:t>
      </w:r>
      <w:r>
        <w:rPr>
          <w:rFonts w:ascii="Times New Roman" w:cs="Times New Roman" w:eastAsia="Times New Roman" w:hAnsi="Times New Roman"/>
          <w:sz w:val="17"/>
          <w:szCs w:val="17"/>
          <w:color w:val="auto"/>
        </w:rPr>
        <w:t>Hardware revenue from the sale of the Company’s devices is recognized when the Company transfers control to the customer, typically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when the product is delivered, shipped or installed, at which time, title passes to the customer and there are no further performance obligations with regards to the hardware device. The Company also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28" w:lineRule="exact"/>
        <w:rPr>
          <w:sz w:val="20"/>
          <w:szCs w:val="20"/>
          <w:color w:val="auto"/>
        </w:rPr>
      </w:pPr>
    </w:p>
    <w:p>
      <w:pPr>
        <w:ind w:right="60"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Maintenance and support services revenue. </w:t>
      </w:r>
      <w:r>
        <w:rPr>
          <w:rFonts w:ascii="Times New Roman" w:cs="Times New Roman" w:eastAsia="Times New Roman" w:hAnsi="Times New Roman"/>
          <w:sz w:val="17"/>
          <w:szCs w:val="17"/>
          <w:color w:val="auto"/>
        </w:rPr>
        <w:t>Periodically, the Company sells separately-priced warranty contracts that extend beyond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warranty period. The separately priced service contracts range from 12 to 36 months. The Company typically receives payment at the inception of the contract and recognizes revenue as earned on a straight-line basis over the term of the contract. The Company’s estimated allowances for product warranties can vary from actual results and the Company may have to record additional charges to cost of revenue.</w:t>
      </w:r>
    </w:p>
    <w:p>
      <w:pPr>
        <w:spacing w:after="0" w:line="117" w:lineRule="exact"/>
        <w:rPr>
          <w:sz w:val="20"/>
          <w:szCs w:val="20"/>
          <w:color w:val="auto"/>
        </w:rPr>
      </w:pPr>
    </w:p>
    <w:p>
      <w:pPr>
        <w:ind w:right="220" w:firstLine="381"/>
        <w:spacing w:after="0" w:line="256" w:lineRule="auto"/>
        <w:rPr>
          <w:sz w:val="20"/>
          <w:szCs w:val="20"/>
          <w:color w:val="auto"/>
        </w:rPr>
      </w:pPr>
      <w:r>
        <w:rPr>
          <w:rFonts w:ascii="Times New Roman" w:cs="Times New Roman" w:eastAsia="Times New Roman" w:hAnsi="Times New Roman"/>
          <w:sz w:val="17"/>
          <w:szCs w:val="17"/>
          <w:color w:val="auto"/>
        </w:rPr>
        <w:t>Within cost of revenue, the Company records an estimate to reflect its standard warranty obligation to end users to provide for replacement of a defective product. The standard obligation period for most regions is 12 months. Factors that affect the warranty obligation include product failure rates, material usage, and service delivery costs incurred in correcting product failures.</w:t>
      </w:r>
    </w:p>
    <w:p>
      <w:pPr>
        <w:spacing w:after="0" w:line="107"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SaaS and other services. </w:t>
      </w:r>
      <w:r>
        <w:rPr>
          <w:rFonts w:ascii="Times New Roman" w:cs="Times New Roman" w:eastAsia="Times New Roman" w:hAnsi="Times New Roman"/>
          <w:sz w:val="17"/>
          <w:szCs w:val="17"/>
          <w:color w:val="auto"/>
        </w:rPr>
        <w:t>SaaS subscription revenue is recognized over time on a ratable basis over the contract term beginning on the date that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is made available to the customer. Subscription periods range from monthly to multi-year, with the majority of contracts being one to three years in length. 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call center support and remote system diagnostic and software upgrades as needed. These services are combined with the recurring monthly subscription service since they are highly interrelated and interdependent.</w:t>
      </w:r>
    </w:p>
    <w:p>
      <w:pPr>
        <w:spacing w:after="0" w:line="131" w:lineRule="exact"/>
        <w:rPr>
          <w:sz w:val="20"/>
          <w:szCs w:val="20"/>
          <w:color w:val="auto"/>
        </w:rPr>
      </w:pPr>
    </w:p>
    <w:p>
      <w:pPr>
        <w:ind w:right="120" w:firstLine="381"/>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Professional services revenue. </w:t>
      </w:r>
      <w:r>
        <w:rPr>
          <w:rFonts w:ascii="Times New Roman" w:cs="Times New Roman" w:eastAsia="Times New Roman" w:hAnsi="Times New Roman"/>
          <w:sz w:val="17"/>
          <w:szCs w:val="17"/>
          <w:color w:val="auto"/>
        </w:rPr>
        <w:t>From time to time, the Company enters into special engineering design service agreements.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129" w:lineRule="exact"/>
        <w:rPr>
          <w:sz w:val="20"/>
          <w:szCs w:val="20"/>
          <w:color w:val="auto"/>
        </w:rPr>
      </w:pPr>
    </w:p>
    <w:p>
      <w:pPr>
        <w:ind w:right="20" w:firstLine="381"/>
        <w:spacing w:after="0" w:line="198" w:lineRule="exact"/>
        <w:rPr>
          <w:sz w:val="20"/>
          <w:szCs w:val="20"/>
          <w:color w:val="auto"/>
        </w:rPr>
      </w:pPr>
      <w:r>
        <w:rPr>
          <w:rFonts w:ascii="Times New Roman" w:cs="Times New Roman" w:eastAsia="Times New Roman" w:hAnsi="Times New Roman"/>
          <w:sz w:val="17"/>
          <w:szCs w:val="17"/>
          <w:i w:val="1"/>
          <w:iCs w:val="1"/>
          <w:color w:val="auto"/>
        </w:rPr>
        <w:t xml:space="preserve">Multiple performance obligations. </w:t>
      </w:r>
      <w:r>
        <w:rPr>
          <w:rFonts w:ascii="Times New Roman" w:cs="Times New Roman" w:eastAsia="Times New Roman" w:hAnsi="Times New Roman"/>
          <w:sz w:val="17"/>
          <w:szCs w:val="17"/>
          <w:color w:val="auto"/>
        </w:rPr>
        <w:t>The Company’s contracts with customers may include commitments to transfer multiple products and services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When hardware, software and services are sold in various combinations, judgment is required to determine whether each performance obligation is considered distinct and accounted for separately, or not distinct and accounted for together with other performance obligations. When there are multiple performance obligations within a single contract, the Company allocates the total contract price to each distinct performance obligation based on their stand-alone selling prices (“SSPs”). Judgment is required to determine the SSP for each distinct performance obligation. The Company determines the SSPs of its products and software services offerings based primarily on observable selling prices when available, or otherwise using an adjusted market assessment or expected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plus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margin approach. These methods may incorporate significant inputs such as market pricing for similar mobile and FWA devices, subscription pricing benchmarks for cloud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management and SaaS services, and estimated cost structures plus targeted margins, all of which reflect estimates of prices at which the Company would sell each performance obligation separately.</w:t>
      </w:r>
    </w:p>
    <w:p>
      <w:pPr>
        <w:spacing w:after="0" w:line="119" w:lineRule="exact"/>
        <w:rPr>
          <w:sz w:val="20"/>
          <w:szCs w:val="20"/>
          <w:color w:val="auto"/>
        </w:rPr>
      </w:pPr>
    </w:p>
    <w:p>
      <w:pPr>
        <w:ind w:right="100" w:firstLine="381"/>
        <w:spacing w:after="0" w:line="248" w:lineRule="auto"/>
        <w:rPr>
          <w:sz w:val="20"/>
          <w:szCs w:val="20"/>
          <w:color w:val="auto"/>
        </w:rPr>
      </w:pPr>
      <w:r>
        <w:rPr>
          <w:rFonts w:ascii="Times New Roman" w:cs="Times New Roman" w:eastAsia="Times New Roman" w:hAnsi="Times New Roman"/>
          <w:sz w:val="17"/>
          <w:szCs w:val="17"/>
          <w:color w:val="auto"/>
        </w:rPr>
        <w:t>In instances where the software elements included within hardware for various products are considered to be functioning together with non-software elements to provide the tangible product’s essential functionality, for example, firmware, these arrangements are accounted for as a single distinct performance obligation.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w:t>
      </w:r>
    </w:p>
    <w:p>
      <w:pPr>
        <w:spacing w:after="0" w:line="151" w:lineRule="exact"/>
        <w:rPr>
          <w:sz w:val="20"/>
          <w:szCs w:val="20"/>
          <w:color w:val="auto"/>
        </w:rPr>
      </w:pPr>
    </w:p>
    <w:p>
      <w:pPr>
        <w:ind w:right="160" w:firstLine="381"/>
        <w:spacing w:after="0" w:line="245" w:lineRule="auto"/>
        <w:rPr>
          <w:sz w:val="20"/>
          <w:szCs w:val="20"/>
          <w:color w:val="auto"/>
        </w:rPr>
      </w:pPr>
      <w:r>
        <w:rPr>
          <w:rFonts w:ascii="Times New Roman" w:cs="Times New Roman" w:eastAsia="Times New Roman" w:hAnsi="Times New Roman"/>
          <w:sz w:val="17"/>
          <w:szCs w:val="17"/>
          <w:color w:val="auto"/>
        </w:rPr>
        <w:t>The Company capitalizes sales commissions earned by its sales force as contract acquisition costs if such costs are significant and both incremental and recoverable. Any capitalized sales commissions are either deferred and amortized over a period of benefit exceeding one year or are expensed as incurred if the period of benefit is one year or less. There were no contract assets related to customer acquisition costs as of December 31, 2025 or 2024 since the Company’s customer contracts are predominantly hardware sales that are immediately recognized as revenue upon either shipment or delivery, and therefore the related contract acquisition costs are also immediately recognized. Sales commissions are included in sales and marketing expense as incurred. Sales commissions associated with SaaS offerings are not material.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Liabilities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Timing of revenue recognition may differ from the timing of invoicing to customers. If customers are invoiced for subscription services in advance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service period, then deferred revenue is recorded. Contract liabilities are also recorded when the Company collects payments in advance of performing</w:t>
      </w:r>
    </w:p>
    <w:p>
      <w:pPr>
        <w:spacing w:after="0" w:line="233" w:lineRule="auto"/>
        <w:rPr>
          <w:sz w:val="20"/>
          <w:szCs w:val="20"/>
          <w:color w:val="auto"/>
        </w:rPr>
      </w:pPr>
      <w:r>
        <w:rPr>
          <w:rFonts w:ascii="Times New Roman" w:cs="Times New Roman" w:eastAsia="Times New Roman" w:hAnsi="Times New Roman"/>
          <w:sz w:val="17"/>
          <w:szCs w:val="17"/>
          <w:color w:val="auto"/>
        </w:rPr>
        <w:t>the services. As of December 31, 2025, December 31, 2024, and December 31, 2023 the Company had contract liabilities comprised of $6.2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 million and $2.7 million of short-term deferred revenue included within accrued expenses and other current liabilities and $4.6 million, $4.6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$1.7 million of long-term deferred revenue included within other long-term liabilities on the consolidated balance sheets, respectively.</w:t>
      </w:r>
    </w:p>
    <w:p>
      <w:pPr>
        <w:spacing w:after="0" w:line="132" w:lineRule="exact"/>
        <w:rPr>
          <w:sz w:val="20"/>
          <w:szCs w:val="20"/>
          <w:color w:val="auto"/>
        </w:rPr>
      </w:pPr>
    </w:p>
    <w:p>
      <w:pPr>
        <w:ind w:right="140" w:firstLine="381"/>
        <w:spacing w:after="0" w:line="248" w:lineRule="auto"/>
        <w:rPr>
          <w:sz w:val="20"/>
          <w:szCs w:val="20"/>
          <w:color w:val="auto"/>
        </w:rPr>
      </w:pPr>
      <w:r>
        <w:rPr>
          <w:rFonts w:ascii="Times New Roman" w:cs="Times New Roman" w:eastAsia="Times New Roman" w:hAnsi="Times New Roman"/>
          <w:sz w:val="17"/>
          <w:szCs w:val="17"/>
          <w:color w:val="auto"/>
        </w:rPr>
        <w:t>During the years ended December 31, 2025 and 2024, $7.0 million and $21.0 million, respectively, of revenue was deferred due to unsatisfied performance obligations for service contracts and undelivered product commitments, $10.1 million and $11.5 million, respectively, of revenue was recognized for the satisfaction of performance obligations, and $9.2 million and $2.7 million, respectively, of this recognized revenue was included in the contract liability balance at the beginning of the period,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64" w:lineRule="exact"/>
        <w:rPr>
          <w:sz w:val="20"/>
          <w:szCs w:val="20"/>
          <w:color w:val="auto"/>
        </w:rPr>
      </w:pPr>
    </w:p>
    <w:p>
      <w:pPr>
        <w:ind w:right="440" w:firstLine="381"/>
        <w:spacing w:after="0" w:line="262" w:lineRule="auto"/>
        <w:rPr>
          <w:sz w:val="20"/>
          <w:szCs w:val="20"/>
          <w:color w:val="auto"/>
        </w:rPr>
      </w:pPr>
      <w:r>
        <w:rPr>
          <w:rFonts w:ascii="Times New Roman" w:cs="Times New Roman" w:eastAsia="Times New Roman" w:hAnsi="Times New Roman"/>
          <w:sz w:val="17"/>
          <w:szCs w:val="17"/>
          <w:color w:val="auto"/>
        </w:rPr>
        <w:t>Cost of revenues includes the costs associated with the manufacturing of our portfolio of hardware devices, as well as direct personnel costs for employees and contractors, and other period adjustments related to costs of inventories sold or for sale or use in manufacturing.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Shipping and Handling Charges</w:t>
      </w:r>
    </w:p>
    <w:p>
      <w:pPr>
        <w:spacing w:after="0" w:line="164" w:lineRule="exact"/>
        <w:rPr>
          <w:sz w:val="20"/>
          <w:szCs w:val="20"/>
          <w:color w:val="auto"/>
        </w:rPr>
      </w:pPr>
    </w:p>
    <w:p>
      <w:pPr>
        <w:jc w:val="both"/>
        <w:ind w:right="140" w:firstLine="381"/>
        <w:spacing w:after="0" w:line="248" w:lineRule="auto"/>
        <w:rPr>
          <w:sz w:val="20"/>
          <w:szCs w:val="20"/>
          <w:color w:val="auto"/>
        </w:rPr>
      </w:pPr>
      <w:r>
        <w:rPr>
          <w:rFonts w:ascii="Times New Roman" w:cs="Times New Roman" w:eastAsia="Times New Roman" w:hAnsi="Times New Roman"/>
          <w:sz w:val="17"/>
          <w:szCs w:val="17"/>
          <w:color w:val="auto"/>
        </w:rPr>
        <w:t>Fees charged to customers for shipping and handling of products are included in product revenues, and costs for shipping and handling of products are included as a component of sales and marketing expense. Shipping and handling costs were approximately $0.4 million and $0.6 million for the years ended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568" w:right="88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Taxes Collected from Customers</w:t>
      </w:r>
    </w:p>
    <w:p>
      <w:pPr>
        <w:spacing w:after="0" w:line="151" w:lineRule="exact"/>
        <w:rPr>
          <w:sz w:val="20"/>
          <w:szCs w:val="20"/>
          <w:color w:val="auto"/>
        </w:rPr>
      </w:pPr>
    </w:p>
    <w:p>
      <w:pPr>
        <w:ind w:right="400" w:firstLine="381"/>
        <w:spacing w:after="0" w:line="278" w:lineRule="auto"/>
        <w:rPr>
          <w:sz w:val="20"/>
          <w:szCs w:val="20"/>
          <w:color w:val="auto"/>
        </w:rPr>
      </w:pPr>
      <w:r>
        <w:rPr>
          <w:rFonts w:ascii="Times New Roman" w:cs="Times New Roman" w:eastAsia="Times New Roman" w:hAnsi="Times New Roman"/>
          <w:sz w:val="17"/>
          <w:szCs w:val="17"/>
          <w:color w:val="auto"/>
        </w:rPr>
        <w:t>Taxes collected on the value of transaction revenue are excluded from product and services revenues and cost of sales and are accrued in current liabilities until remitted to governmental authorities.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and Allowance for Expected Credit Losses</w:t>
      </w:r>
    </w:p>
    <w:p>
      <w:pPr>
        <w:spacing w:after="0" w:line="151" w:lineRule="exact"/>
        <w:rPr>
          <w:sz w:val="20"/>
          <w:szCs w:val="20"/>
          <w:color w:val="auto"/>
        </w:rPr>
      </w:pPr>
    </w:p>
    <w:p>
      <w:pPr>
        <w:ind w:right="260" w:firstLine="381"/>
        <w:spacing w:after="0" w:line="255" w:lineRule="auto"/>
        <w:rPr>
          <w:sz w:val="20"/>
          <w:szCs w:val="20"/>
          <w:color w:val="auto"/>
        </w:rPr>
      </w:pPr>
      <w:r>
        <w:rPr>
          <w:rFonts w:ascii="Times New Roman" w:cs="Times New Roman" w:eastAsia="Times New Roman" w:hAnsi="Times New Roman"/>
          <w:sz w:val="17"/>
          <w:szCs w:val="17"/>
          <w:color w:val="auto"/>
        </w:rPr>
        <w:t>Accounts receivable are customer obligations generally due under normal trade terms for the industry. Credit terms are granted and periodically revised based on evaluations of the customer’s financial condition. The Company performs ongoing credit evaluations of its customers. The Company’s payment terms are generally net 30 or 60 days from invoice date.</w:t>
      </w:r>
    </w:p>
    <w:p>
      <w:pPr>
        <w:spacing w:after="0" w:line="113" w:lineRule="exact"/>
        <w:rPr>
          <w:sz w:val="20"/>
          <w:szCs w:val="20"/>
          <w:color w:val="auto"/>
        </w:rPr>
      </w:pPr>
    </w:p>
    <w:p>
      <w:pPr>
        <w:ind w:firstLine="381"/>
        <w:spacing w:after="0" w:line="269" w:lineRule="auto"/>
        <w:rPr>
          <w:sz w:val="20"/>
          <w:szCs w:val="20"/>
          <w:color w:val="auto"/>
        </w:rPr>
      </w:pPr>
      <w:r>
        <w:rPr>
          <w:rFonts w:ascii="Times New Roman" w:cs="Times New Roman" w:eastAsia="Times New Roman" w:hAnsi="Times New Roman"/>
          <w:sz w:val="16"/>
          <w:szCs w:val="16"/>
          <w:color w:val="auto"/>
        </w:rPr>
        <w:t>The Company recognizes an allowance for credit losses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 As needed, amounts are written-off when determined to be uncollectible.</w:t>
      </w:r>
    </w:p>
    <w:p>
      <w:pPr>
        <w:spacing w:after="0" w:line="115" w:lineRule="exact"/>
        <w:rPr>
          <w:sz w:val="20"/>
          <w:szCs w:val="20"/>
          <w:color w:val="auto"/>
        </w:rPr>
      </w:pPr>
    </w:p>
    <w:p>
      <w:pPr>
        <w:ind w:right="480" w:firstLine="381"/>
        <w:spacing w:after="0" w:line="262" w:lineRule="auto"/>
        <w:rPr>
          <w:sz w:val="20"/>
          <w:szCs w:val="20"/>
          <w:color w:val="auto"/>
        </w:rPr>
      </w:pPr>
      <w:r>
        <w:rPr>
          <w:rFonts w:ascii="Times New Roman" w:cs="Times New Roman" w:eastAsia="Times New Roman" w:hAnsi="Times New Roman"/>
          <w:sz w:val="17"/>
          <w:szCs w:val="17"/>
          <w:color w:val="auto"/>
        </w:rPr>
        <w:t>As of December 31, 2025, December 31, 2024, and December 31, 2023 the Company reported $25.1 million, $13.8 million, and $18.2 million, respectively, of accounts receivable, net of allowances of $0.2 million, $0.1 million, and $0.6 million,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 and Provision for Excess and Obsolete Inventory</w:t>
      </w:r>
    </w:p>
    <w:p>
      <w:pPr>
        <w:spacing w:after="0" w:line="164" w:lineRule="exact"/>
        <w:rPr>
          <w:sz w:val="20"/>
          <w:szCs w:val="20"/>
          <w:color w:val="auto"/>
        </w:rPr>
      </w:pPr>
    </w:p>
    <w:p>
      <w:pPr>
        <w:ind w:right="140" w:firstLine="381"/>
        <w:spacing w:after="0" w:line="242" w:lineRule="auto"/>
        <w:rPr>
          <w:sz w:val="20"/>
          <w:szCs w:val="20"/>
          <w:color w:val="auto"/>
        </w:rPr>
      </w:pPr>
      <w:r>
        <w:rPr>
          <w:rFonts w:ascii="Times New Roman" w:cs="Times New Roman" w:eastAsia="Times New Roman" w:hAnsi="Times New Roman"/>
          <w:sz w:val="17"/>
          <w:szCs w:val="17"/>
          <w:color w:val="auto"/>
        </w:rPr>
        <w:t>Inventories are stated at the lower of cost (first-in, first-out method) or net realizable value. Inbound shipping and handling costs are classified as a component of cost of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other than Goodwill</w:t>
      </w:r>
    </w:p>
    <w:p>
      <w:pPr>
        <w:spacing w:after="0" w:line="151"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Intangible assets include purchased finite-lived and indefinite-lived intangible assets resulting from previous acquisitions, along with the costs of non-exclusive and perpetual worldwide software technology licenses and capitalized software development costs for both internal and external use. Finite-lived intangible assets are amortized on a straight-line basis over the estimated useful lives of the assets, which range from two to ten years. Indefinite-lived intangible assets, including in-process capitalized software development costs, are not amortized; however, they are tested for impairment annually, and between annual tests, if certain events occur indicating that the carrying amounts may be impaired.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Development Costs for Software Intended to Be Sold</w:t>
      </w:r>
    </w:p>
    <w:p>
      <w:pPr>
        <w:spacing w:after="0" w:line="151"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Software development costs for software intended to be sold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Costs incurred to enhance existing software or after the software is available for general release to customers are expensed in the period they are incurred and included in research and development expense in the consolidated statements of operations. At each balance sheet date, the unamortized capitalized software development cost for external use is compared to its net realizable value by analyzing critical inputs such as expected future lifetime revenue. The amount by which unamortized software costs exceed the net realizable value, if any, is recognized as a charge to impairment expense in the period it is determined.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Development Costs for Software Intended for Internal Use</w:t>
      </w:r>
    </w:p>
    <w:p>
      <w:pPr>
        <w:spacing w:after="0" w:line="164" w:lineRule="exact"/>
        <w:rPr>
          <w:sz w:val="20"/>
          <w:szCs w:val="20"/>
          <w:color w:val="auto"/>
        </w:rPr>
      </w:pPr>
    </w:p>
    <w:p>
      <w:pPr>
        <w:ind w:right="100" w:firstLine="381"/>
        <w:spacing w:after="0" w:line="244" w:lineRule="auto"/>
        <w:rPr>
          <w:sz w:val="20"/>
          <w:szCs w:val="20"/>
          <w:color w:val="auto"/>
        </w:rPr>
      </w:pPr>
      <w:r>
        <w:rPr>
          <w:rFonts w:ascii="Times New Roman" w:cs="Times New Roman" w:eastAsia="Times New Roman" w:hAnsi="Times New Roman"/>
          <w:sz w:val="17"/>
          <w:szCs w:val="17"/>
          <w:color w:val="auto"/>
        </w:rPr>
        <w:t>Costs incurred in the preliminary stages of development are expensed as incurred and included in research and development or general and administrative expense in the consolidated statements of operations. Once an application has reached the development stage, internal and external costs, if direct and incremental, are capitalized.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recorded as intangible assets and are amortized on a straight-line basis to depreciation and amortization expense in the consolidated statement of operations over the estimated useful life of the software. The Company tests these assets for impairment whenever events or circumstances occur that could impact their recoverability.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of Indefinite-Lived Intangible Assets</w:t>
      </w:r>
    </w:p>
    <w:p>
      <w:pPr>
        <w:spacing w:after="0" w:line="151" w:lineRule="exact"/>
        <w:rPr>
          <w:sz w:val="20"/>
          <w:szCs w:val="20"/>
          <w:color w:val="auto"/>
        </w:rPr>
      </w:pPr>
    </w:p>
    <w:p>
      <w:pPr>
        <w:ind w:right="60" w:firstLine="381"/>
        <w:spacing w:after="0" w:line="242" w:lineRule="auto"/>
        <w:rPr>
          <w:sz w:val="20"/>
          <w:szCs w:val="20"/>
          <w:color w:val="auto"/>
        </w:rPr>
      </w:pPr>
      <w:r>
        <w:rPr>
          <w:rFonts w:ascii="Times New Roman" w:cs="Times New Roman" w:eastAsia="Times New Roman" w:hAnsi="Times New Roman"/>
          <w:sz w:val="17"/>
          <w:szCs w:val="17"/>
          <w:color w:val="auto"/>
        </w:rPr>
        <w:t>The Company performs an annual impairment review of indefinite-lived assets during the fourth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asset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asset is less than its carrying amount, then no further assessment is performed. If the Company determines that it is more likely than not that the fair value of the asset is less than its carrying amount, then the Company calculates the fair value of the asset and compares the fair value to the asset’s carrying value. An impairment charge is recognized if the asset’s estimated fair value is less than it’s carrying value. The Company did not record any impairment losses related to indefinite-lived intangible assets during the years ended December 31, 2025 and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51" w:lineRule="exact"/>
        <w:rPr>
          <w:sz w:val="20"/>
          <w:szCs w:val="20"/>
          <w:color w:val="auto"/>
        </w:rPr>
      </w:pPr>
    </w:p>
    <w:p>
      <w:pPr>
        <w:ind w:right="240" w:firstLine="381"/>
        <w:spacing w:after="0" w:line="262" w:lineRule="auto"/>
        <w:rPr>
          <w:sz w:val="20"/>
          <w:szCs w:val="20"/>
          <w:color w:val="auto"/>
        </w:rPr>
      </w:pPr>
      <w:r>
        <w:rPr>
          <w:rFonts w:ascii="Times New Roman" w:cs="Times New Roman" w:eastAsia="Times New Roman" w:hAnsi="Times New Roman"/>
          <w:sz w:val="17"/>
          <w:szCs w:val="17"/>
          <w:color w:val="auto"/>
        </w:rPr>
        <w:t>Goodwill represents the excess purchase price over estimated fair value of net assets of businesses acquired in a business combination. Goodwill is tested for impairment during the fourth quarter of each year, and more frequently if the Company believes indicators of impairment exist.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of Goodwill</w:t>
      </w:r>
    </w:p>
    <w:p>
      <w:pPr>
        <w:spacing w:after="0" w:line="151"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carrying amount. An impairment charge is recognized if the fair value of the business (reporting unit) is less than its carrying value.</w:t>
      </w:r>
    </w:p>
    <w:p>
      <w:pPr>
        <w:spacing w:after="0" w:line="138" w:lineRule="exact"/>
        <w:rPr>
          <w:sz w:val="20"/>
          <w:szCs w:val="20"/>
          <w:color w:val="auto"/>
        </w:rPr>
      </w:pPr>
    </w:p>
    <w:p>
      <w:pPr>
        <w:ind w:right="260" w:firstLine="381"/>
        <w:spacing w:after="0" w:line="248" w:lineRule="auto"/>
        <w:rPr>
          <w:sz w:val="20"/>
          <w:szCs w:val="20"/>
          <w:color w:val="auto"/>
        </w:rPr>
      </w:pPr>
      <w:r>
        <w:rPr>
          <w:rFonts w:ascii="Times New Roman" w:cs="Times New Roman" w:eastAsia="Times New Roman" w:hAnsi="Times New Roman"/>
          <w:sz w:val="17"/>
          <w:szCs w:val="17"/>
          <w:color w:val="auto"/>
        </w:rPr>
        <w:t>The Company has identified one reporting unit for the purpose of goodwill impairment testing and performed a qualitative test for goodwill impairment of the one reporting unit during the fourth fiscal quarter. Based upon the results of qualitative testing performed in the fourth quarter of both 2025 and 2024, the Company determined that it was more-likely-than not that the fair value of the reporting unit with goodwill were greater than their respective carrying values and no impairment loss related to goodwill was recorded during the years ended December 31, 2025 or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151" w:lineRule="exact"/>
        <w:rPr>
          <w:sz w:val="20"/>
          <w:szCs w:val="20"/>
          <w:color w:val="auto"/>
        </w:rPr>
      </w:pPr>
    </w:p>
    <w:p>
      <w:pPr>
        <w:ind w:right="60" w:firstLine="381"/>
        <w:spacing w:after="0" w:line="243" w:lineRule="auto"/>
        <w:rPr>
          <w:sz w:val="20"/>
          <w:szCs w:val="20"/>
          <w:color w:val="auto"/>
        </w:rPr>
      </w:pPr>
      <w:r>
        <w:rPr>
          <w:rFonts w:ascii="Times New Roman" w:cs="Times New Roman" w:eastAsia="Times New Roman" w:hAnsi="Times New Roman"/>
          <w:sz w:val="17"/>
          <w:szCs w:val="17"/>
          <w:color w:val="auto"/>
        </w:rPr>
        <w:t>The Company periodically evaluates the carrying value of the unamortized balances of its long-lived assets, including property, plant and equipment and rental assets, to determine whether impairment of these assets has occurred or whether a revision to the related amortization periods should be made. If the carrying value of the long-lived asset group exceeds the estimated future undiscounted cash flows, an impairment loss is recorded based on the amount by which the asset group’s carrying amount exceeds its fair value. Fair value is determined based on an evaluation of the assets’ associated discounted future cash flows or appraised value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For the years ended December 31, 2025 and 2024, the Company had no impairment loss related to long-lived assets, except for the impairment of the capitalized software development costs for internal and external use, described further in </w:t>
      </w:r>
      <w:r>
        <w:rPr>
          <w:rFonts w:ascii="Times New Roman" w:cs="Times New Roman" w:eastAsia="Times New Roman" w:hAnsi="Times New Roman"/>
          <w:sz w:val="17"/>
          <w:szCs w:val="17"/>
          <w:i w:val="1"/>
          <w:iCs w:val="1"/>
          <w:color w:val="auto"/>
        </w:rPr>
        <w:t>Note 4 – Goodwill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Plant and Equipment</w:t>
      </w:r>
    </w:p>
    <w:p>
      <w:pPr>
        <w:spacing w:after="0" w:line="164"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Property, plant and equipment are initially stated at cost and depreciated using the straight-line method. Land is not depreciated. Leasehold improvements are depreciated over the shorter of the related remaining lease period or useful life, not to exceed 5 years. Product tooling is depreciated over 13 months. Computer equipment, purchased software, vehicles, production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7"/>
          <w:szCs w:val="17"/>
          <w:color w:val="auto"/>
        </w:rPr>
        <w:t>equipment, and furniture and fixtures, are depreciated over useful lives ranging from 2 to 7 years. Amortization of equipment under finance leases is included in depreciation expense.</w:t>
      </w:r>
    </w:p>
    <w:p>
      <w:pPr>
        <w:spacing w:after="0" w:line="119"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Expenditures for repairs and maintenance are expensed as incurred. Expenditures for major renewals and betterment that extend the useful lives of existing property, plant and equipment are capitalized and depreciated. Upon retirement or disposition of property, plant and equipment, any resulting gain or loss is recognized in other income (expense), net, in the Consolidated Statements of Operations and Comprehensive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w:t>
      </w:r>
    </w:p>
    <w:p>
      <w:pPr>
        <w:spacing w:after="0" w:line="151" w:lineRule="exact"/>
        <w:rPr>
          <w:sz w:val="20"/>
          <w:szCs w:val="20"/>
          <w:color w:val="auto"/>
        </w:rPr>
      </w:pPr>
    </w:p>
    <w:p>
      <w:pPr>
        <w:jc w:val="both"/>
        <w:ind w:right="40" w:firstLine="381"/>
        <w:spacing w:after="0" w:line="255" w:lineRule="auto"/>
        <w:rPr>
          <w:sz w:val="20"/>
          <w:szCs w:val="20"/>
          <w:color w:val="auto"/>
        </w:rPr>
      </w:pPr>
      <w:r>
        <w:rPr>
          <w:rFonts w:ascii="Times New Roman" w:cs="Times New Roman" w:eastAsia="Times New Roman" w:hAnsi="Times New Roman"/>
          <w:sz w:val="17"/>
          <w:szCs w:val="17"/>
          <w:color w:val="auto"/>
        </w:rPr>
        <w:t>The Company accounts for debt in accordance with ASC 470, Debt and records specific incremental costs paid to third parties in connection with the issuance of long-term debt are deferred as a direct deduction from the carrying value of the associated debt liability on its consolidated balance sheet. The deferred financing costs are amortized as interest expense over the term of the related debt using the effective interest method.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Modifications and Extinguishments</w:t>
      </w:r>
    </w:p>
    <w:p>
      <w:pPr>
        <w:spacing w:after="0" w:line="151"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When the Company modifies or extinguishes debt, it first evaluates whether the modification qualifies as a troubled debt restructuring (TDR) under ASC Topic 470-60, which requires debt modifications to be evaluated to determine if (1) the borrower is experiencing financial difficulty, and (2) the lender grants the borrower a concession. If a TDR is determined not to have occurred, the Company evaluates the modification in accordance with ASC Topic 470-50-40, which requires modification to debt instruments to be evaluated to assess whether debt modification or debt extinguishment accounting is applicable. This evaluation includes analyzing whether there are significant and consequential changes to the economic substance of the note. If the change is deemed insignificant then the change is considered a debt modification, whereas if the change is substantial the change is reflected as a debt extinguishment.</w:t>
      </w:r>
    </w:p>
    <w:p>
      <w:pPr>
        <w:spacing w:after="0" w:line="138" w:lineRule="exact"/>
        <w:rPr>
          <w:sz w:val="20"/>
          <w:szCs w:val="20"/>
          <w:color w:val="auto"/>
        </w:rPr>
      </w:pPr>
    </w:p>
    <w:p>
      <w:pPr>
        <w:ind w:right="60" w:firstLine="381"/>
        <w:spacing w:after="0" w:line="244" w:lineRule="auto"/>
        <w:rPr>
          <w:sz w:val="20"/>
          <w:szCs w:val="20"/>
          <w:color w:val="auto"/>
        </w:rPr>
      </w:pPr>
      <w:r>
        <w:rPr>
          <w:rFonts w:ascii="Times New Roman" w:cs="Times New Roman" w:eastAsia="Times New Roman" w:hAnsi="Times New Roman"/>
          <w:sz w:val="17"/>
          <w:szCs w:val="17"/>
          <w:color w:val="auto"/>
        </w:rPr>
        <w:t>If debt extinguishment guidance applies, the previous debt principal amount is removed, the previously capitalized debt issuance costs are expensed, the value of instruments exchanged are recorded, including cash, new debt, warrants and common stock, and a gain or loss on extinguishment of debt is recorded. If debt modification guidance applies, no gain or loss is recorded and the effective interest rate of the debt is updated based on the carrying value of the debt and the revised future cash flows. Any previously capitalized debt issuance costs in a debt modification are amortized as interest expense over the term of the new debt instrument.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 Instruments</w:t>
      </w:r>
    </w:p>
    <w:p>
      <w:pPr>
        <w:spacing w:after="0" w:line="160" w:lineRule="exact"/>
        <w:rPr>
          <w:sz w:val="20"/>
          <w:szCs w:val="20"/>
          <w:color w:val="auto"/>
        </w:rPr>
      </w:pPr>
    </w:p>
    <w:p>
      <w:pPr>
        <w:ind w:firstLine="381"/>
        <w:spacing w:after="0" w:line="250" w:lineRule="auto"/>
        <w:rPr>
          <w:sz w:val="20"/>
          <w:szCs w:val="20"/>
          <w:color w:val="auto"/>
        </w:rPr>
      </w:pPr>
      <w:r>
        <w:rPr>
          <w:rFonts w:ascii="Times New Roman" w:cs="Times New Roman" w:eastAsia="Times New Roman" w:hAnsi="Times New Roman"/>
          <w:sz w:val="17"/>
          <w:szCs w:val="17"/>
          <w:color w:val="auto"/>
        </w:rPr>
        <w:t xml:space="preserve">The Company evaluates embedded features within convertible debt that will be settled in shares upon conversion under ASC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w:t>
      </w:r>
      <w:r>
        <w:rPr>
          <w:rFonts w:ascii="Times New Roman" w:cs="Times New Roman" w:eastAsia="Times New Roman" w:hAnsi="Times New Roman"/>
          <w:sz w:val="17"/>
          <w:szCs w:val="17"/>
          <w:color w:val="auto"/>
        </w:rPr>
        <w:t>(“ASC 815”) to determine whether the embedded feature(s) should be bifurcated from the host instrument and accounted for as a derivative at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with changes in fair value recorded in earnings.</w:t>
      </w:r>
    </w:p>
    <w:p>
      <w:pPr>
        <w:spacing w:after="0" w:line="130"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If an embedded derivative is bifurcated from share-settled convertible debt, then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aggregate on the Consolidated Balance Sheets. The derivative liability is remeasured at each reporting period with changes in fair value recorded in the Consolidated Statements of Operations and Comprehensive Income within other income (expense), net.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w:t>
      </w:r>
    </w:p>
    <w:p>
      <w:pPr>
        <w:spacing w:after="0" w:line="164" w:lineRule="exact"/>
        <w:rPr>
          <w:sz w:val="20"/>
          <w:szCs w:val="20"/>
          <w:color w:val="auto"/>
        </w:rPr>
      </w:pPr>
    </w:p>
    <w:p>
      <w:pPr>
        <w:ind w:right="140" w:firstLine="381"/>
        <w:spacing w:after="0" w:line="242" w:lineRule="auto"/>
        <w:rPr>
          <w:sz w:val="20"/>
          <w:szCs w:val="20"/>
          <w:color w:val="auto"/>
        </w:rPr>
      </w:pPr>
      <w:r>
        <w:rPr>
          <w:rFonts w:ascii="Times New Roman" w:cs="Times New Roman" w:eastAsia="Times New Roman" w:hAnsi="Times New Roman"/>
          <w:sz w:val="17"/>
          <w:szCs w:val="17"/>
          <w:color w:val="auto"/>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568" w:right="88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1" w:lineRule="exact"/>
        <w:rPr>
          <w:sz w:val="20"/>
          <w:szCs w:val="20"/>
          <w:color w:val="auto"/>
        </w:rPr>
      </w:pPr>
    </w:p>
    <w:p>
      <w:pPr>
        <w:ind w:right="220" w:firstLine="381"/>
        <w:spacing w:after="0" w:line="256" w:lineRule="auto"/>
        <w:rPr>
          <w:sz w:val="20"/>
          <w:szCs w:val="20"/>
          <w:color w:val="auto"/>
        </w:rPr>
      </w:pPr>
      <w:r>
        <w:rPr>
          <w:rFonts w:ascii="Times New Roman" w:cs="Times New Roman" w:eastAsia="Times New Roman" w:hAnsi="Times New Roman"/>
          <w:sz w:val="17"/>
          <w:szCs w:val="17"/>
          <w:color w:val="auto"/>
        </w:rPr>
        <w:t>Research and development expense consists primarily of personnel costs for our engineers engaged in the design and development of our products, software and technologies, project material costs and services. Such costs are charged to research and development expense as they are incurred, to the extent not capitalized as software development costs for external or internal use.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Accounting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 Arrangements</w:t>
      </w:r>
    </w:p>
    <w:p>
      <w:pPr>
        <w:spacing w:after="0" w:line="151"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The Company primarily leases office space, automobiles and equipment. Certain of the Company’s leases contain provisions that provide for one or more options to renew at the Company’s sole discretion. Certain real estate leases also include executory costs such as common area maintenance. The Company accounts for lease and non-lease components, including common area maintenance, as a single lease component as a practical expedient election. None of the Company’s operating lease agreements contain any material residual value guarantees or material restrictive covenants.</w:t>
      </w:r>
    </w:p>
    <w:p>
      <w:pPr>
        <w:spacing w:after="0" w:line="137"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 xml:space="preserve">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The lease term includes the base non-cancelable term, and any renewal options that are reasonably certain to be exercised at the commencement date. The Company uses its incremental borrowing rate based on the information available at commencement date in determining the present value of lease payments. ROU assets also include any lease prepayments made and exclude lease incentives. Rental expense related to operating leases is recognized on a straight-line basis over the lease term. The Company has elected the practical expedient to exclude any short-term lease, defined as a lease with an original term of 12 months or less, from the provisions of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ind w:right="580" w:firstLine="381"/>
        <w:spacing w:after="0" w:line="262" w:lineRule="auto"/>
        <w:rPr>
          <w:sz w:val="20"/>
          <w:szCs w:val="20"/>
          <w:color w:val="auto"/>
        </w:rPr>
      </w:pPr>
      <w:r>
        <w:rPr>
          <w:rFonts w:ascii="Times New Roman" w:cs="Times New Roman" w:eastAsia="Times New Roman" w:hAnsi="Times New Roman"/>
          <w:sz w:val="17"/>
          <w:szCs w:val="17"/>
          <w:color w:val="auto"/>
        </w:rPr>
        <w:t>Variable lease payments that do not depend on an index or rate are excluded from the measurement of ROU assets and lease liabilities and are recognized in the period in which the obligation for those payments is incurred.</w:t>
      </w:r>
    </w:p>
    <w:p>
      <w:pPr>
        <w:spacing w:after="0" w:line="119" w:lineRule="exact"/>
        <w:rPr>
          <w:sz w:val="20"/>
          <w:szCs w:val="20"/>
          <w:color w:val="auto"/>
        </w:rPr>
      </w:pPr>
    </w:p>
    <w:p>
      <w:pPr>
        <w:ind w:right="160" w:firstLine="381"/>
        <w:spacing w:after="0" w:line="262" w:lineRule="auto"/>
        <w:rPr>
          <w:sz w:val="20"/>
          <w:szCs w:val="20"/>
          <w:color w:val="auto"/>
        </w:rPr>
      </w:pPr>
      <w:r>
        <w:rPr>
          <w:rFonts w:ascii="Times New Roman" w:cs="Times New Roman" w:eastAsia="Times New Roman" w:hAnsi="Times New Roman"/>
          <w:sz w:val="17"/>
          <w:szCs w:val="17"/>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64"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Other income (expense), net, in the Consolidated Statements of Operations and Comprehensive Income.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151" w:lineRule="exact"/>
        <w:rPr>
          <w:sz w:val="20"/>
          <w:szCs w:val="20"/>
          <w:color w:val="auto"/>
        </w:rPr>
      </w:pPr>
    </w:p>
    <w:p>
      <w:pPr>
        <w:ind w:right="20" w:firstLine="381"/>
        <w:spacing w:after="0" w:line="256" w:lineRule="auto"/>
        <w:rPr>
          <w:sz w:val="20"/>
          <w:szCs w:val="20"/>
          <w:color w:val="auto"/>
        </w:rPr>
      </w:pPr>
      <w:r>
        <w:rPr>
          <w:rFonts w:ascii="Times New Roman" w:cs="Times New Roman" w:eastAsia="Times New Roman" w:hAnsi="Times New Roman"/>
          <w:sz w:val="17"/>
          <w:szCs w:val="17"/>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1" w:lineRule="exact"/>
        <w:rPr>
          <w:sz w:val="20"/>
          <w:szCs w:val="20"/>
          <w:color w:val="auto"/>
        </w:rPr>
      </w:pPr>
    </w:p>
    <w:p>
      <w:pPr>
        <w:ind w:right="360" w:firstLine="381"/>
        <w:spacing w:after="0" w:line="248" w:lineRule="auto"/>
        <w:rPr>
          <w:sz w:val="20"/>
          <w:szCs w:val="20"/>
          <w:color w:val="auto"/>
        </w:rPr>
      </w:pPr>
      <w:r>
        <w:rPr>
          <w:rFonts w:ascii="Times New Roman" w:cs="Times New Roman" w:eastAsia="Times New Roman" w:hAnsi="Times New Roman"/>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80" w:firstLine="381"/>
        <w:spacing w:after="0" w:line="243" w:lineRule="auto"/>
        <w:rPr>
          <w:sz w:val="20"/>
          <w:szCs w:val="20"/>
          <w:color w:val="auto"/>
        </w:rPr>
      </w:pPr>
      <w:r>
        <w:rPr>
          <w:rFonts w:ascii="Times New Roman" w:cs="Times New Roman" w:eastAsia="Times New Roman" w:hAnsi="Times New Roman"/>
          <w:sz w:val="17"/>
          <w:szCs w:val="17"/>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26"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 The Company’s policy is to include interest and penalties related to such positions as a component of income tax expense.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51"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The Company is, from time to time, party to various legal proceedings arising in the ordinary course of business. The Company records a loss when information indicates that a loss is both probable and reasonably estimable. Where a liability is probable and there is a range of estimated loss with no best estimate in the range, the Company records the minimum estimated liability related to the claim. As additional information becomes available, the Company revises its estimates, if necessary. The Company expenses litigation costs as incurred.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51" w:lineRule="exact"/>
        <w:rPr>
          <w:sz w:val="20"/>
          <w:szCs w:val="20"/>
          <w:color w:val="auto"/>
        </w:rPr>
      </w:pPr>
    </w:p>
    <w:p>
      <w:pPr>
        <w:ind w:right="80" w:firstLine="381"/>
        <w:spacing w:after="0" w:line="256" w:lineRule="auto"/>
        <w:rPr>
          <w:sz w:val="20"/>
          <w:szCs w:val="20"/>
          <w:color w:val="auto"/>
        </w:rPr>
      </w:pPr>
      <w:r>
        <w:rPr>
          <w:rFonts w:ascii="Times New Roman" w:cs="Times New Roman" w:eastAsia="Times New Roman" w:hAnsi="Times New Roman"/>
          <w:sz w:val="17"/>
          <w:szCs w:val="17"/>
          <w:color w:val="auto"/>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w:t>
      </w:r>
    </w:p>
    <w:p>
      <w:pPr>
        <w:spacing w:after="0" w:line="111" w:lineRule="exact"/>
        <w:rPr>
          <w:sz w:val="20"/>
          <w:szCs w:val="20"/>
          <w:color w:val="auto"/>
        </w:rPr>
      </w:pPr>
    </w:p>
    <w:p>
      <w:pPr>
        <w:ind w:right="100" w:firstLine="381"/>
        <w:spacing w:after="0" w:line="248" w:lineRule="auto"/>
        <w:rPr>
          <w:sz w:val="20"/>
          <w:szCs w:val="20"/>
          <w:color w:val="auto"/>
        </w:rPr>
      </w:pPr>
      <w:r>
        <w:rPr>
          <w:rFonts w:ascii="Times New Roman" w:cs="Times New Roman" w:eastAsia="Times New Roman" w:hAnsi="Times New Roman"/>
          <w:sz w:val="17"/>
          <w:szCs w:val="17"/>
          <w:color w:val="auto"/>
        </w:rPr>
        <w:t>The grant date fair value of time-based RSUs is the closing market price of the Company’s common stock on the grant date, reduced by the present value of expected dividends to be paid on the Company’s common stock prior to vesting, if any. For ESPP rights and stock options with only service conditions, the Company generally uses the Black-Scholes option pricing model to estimate their grant date fair value. For equity awards that include both service and market-based conditions, the Company estimates the awards’ grant date fair value using the Monte Carlo simulation technique.</w:t>
      </w:r>
    </w:p>
    <w:p>
      <w:pPr>
        <w:spacing w:after="0" w:line="119" w:lineRule="exact"/>
        <w:rPr>
          <w:sz w:val="20"/>
          <w:szCs w:val="20"/>
          <w:color w:val="auto"/>
        </w:rPr>
      </w:pPr>
    </w:p>
    <w:p>
      <w:pPr>
        <w:jc w:val="both"/>
        <w:ind w:right="40" w:firstLine="381"/>
        <w:spacing w:after="0" w:line="255" w:lineRule="auto"/>
        <w:rPr>
          <w:sz w:val="20"/>
          <w:szCs w:val="20"/>
          <w:color w:val="auto"/>
        </w:rPr>
      </w:pPr>
      <w:r>
        <w:rPr>
          <w:rFonts w:ascii="Times New Roman" w:cs="Times New Roman" w:eastAsia="Times New Roman" w:hAnsi="Times New Roman"/>
          <w:sz w:val="17"/>
          <w:szCs w:val="17"/>
          <w:color w:val="auto"/>
        </w:rPr>
        <w:t>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113" w:lineRule="exact"/>
        <w:rPr>
          <w:sz w:val="20"/>
          <w:szCs w:val="20"/>
          <w:color w:val="auto"/>
        </w:rPr>
      </w:pPr>
    </w:p>
    <w:p>
      <w:pPr>
        <w:jc w:val="both"/>
        <w:ind w:right="200" w:firstLine="381"/>
        <w:spacing w:after="0" w:line="278" w:lineRule="auto"/>
        <w:rPr>
          <w:sz w:val="20"/>
          <w:szCs w:val="20"/>
          <w:color w:val="auto"/>
        </w:rPr>
      </w:pPr>
      <w:r>
        <w:rPr>
          <w:rFonts w:ascii="Times New Roman" w:cs="Times New Roman" w:eastAsia="Times New Roman" w:hAnsi="Times New Roman"/>
          <w:sz w:val="17"/>
          <w:szCs w:val="17"/>
          <w:color w:val="auto"/>
        </w:rPr>
        <w:t>The Company recognizes share-based compensation expense over the requisite service period of each individual award, which generally equals the vesting period, using the straight-line method.</w:t>
      </w:r>
    </w:p>
    <w:p>
      <w:pPr>
        <w:spacing w:after="0" w:line="93" w:lineRule="exact"/>
        <w:rPr>
          <w:sz w:val="20"/>
          <w:szCs w:val="20"/>
          <w:color w:val="auto"/>
        </w:rPr>
      </w:pPr>
    </w:p>
    <w:p>
      <w:pPr>
        <w:jc w:val="both"/>
        <w:ind w:right="200" w:firstLine="381"/>
        <w:spacing w:after="0" w:line="248" w:lineRule="auto"/>
        <w:rPr>
          <w:sz w:val="20"/>
          <w:szCs w:val="20"/>
          <w:color w:val="auto"/>
        </w:rPr>
      </w:pPr>
      <w:r>
        <w:rPr>
          <w:rFonts w:ascii="Times New Roman" w:cs="Times New Roman" w:eastAsia="Times New Roman" w:hAnsi="Times New Roman"/>
          <w:sz w:val="17"/>
          <w:szCs w:val="17"/>
          <w:color w:val="auto"/>
        </w:rPr>
        <w:t>The Company evaluates the assumptions used to value stock awards on the grant date of such awards.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Savings Plan</w:t>
      </w:r>
    </w:p>
    <w:p>
      <w:pPr>
        <w:spacing w:after="0" w:line="151" w:lineRule="exact"/>
        <w:rPr>
          <w:sz w:val="20"/>
          <w:szCs w:val="20"/>
          <w:color w:val="auto"/>
        </w:rPr>
      </w:pPr>
    </w:p>
    <w:p>
      <w:pPr>
        <w:ind w:right="100" w:firstLine="381"/>
        <w:spacing w:after="0" w:line="248" w:lineRule="auto"/>
        <w:rPr>
          <w:sz w:val="20"/>
          <w:szCs w:val="20"/>
          <w:color w:val="auto"/>
        </w:rPr>
      </w:pPr>
      <w:r>
        <w:rPr>
          <w:rFonts w:ascii="Times New Roman" w:cs="Times New Roman" w:eastAsia="Times New Roman" w:hAnsi="Times New Roman"/>
          <w:sz w:val="17"/>
          <w:szCs w:val="17"/>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were $0.6 million and $0.6 million for the years ended December 31, 2025 and 2024, respectively. Employer matching contributions vest immediately.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 Attributable to Common Stockholders</w:t>
      </w:r>
    </w:p>
    <w:p>
      <w:pPr>
        <w:spacing w:after="0" w:line="151" w:lineRule="exact"/>
        <w:rPr>
          <w:sz w:val="20"/>
          <w:szCs w:val="20"/>
          <w:color w:val="auto"/>
        </w:rPr>
      </w:pPr>
    </w:p>
    <w:p>
      <w:pPr>
        <w:ind w:right="260" w:firstLine="381"/>
        <w:spacing w:after="0" w:line="248" w:lineRule="auto"/>
        <w:rPr>
          <w:sz w:val="20"/>
          <w:szCs w:val="20"/>
          <w:color w:val="auto"/>
        </w:rPr>
      </w:pPr>
      <w:r>
        <w:rPr>
          <w:rFonts w:ascii="Times New Roman" w:cs="Times New Roman" w:eastAsia="Times New Roman" w:hAnsi="Times New Roman"/>
          <w:sz w:val="17"/>
          <w:szCs w:val="17"/>
          <w:color w:val="auto"/>
        </w:rPr>
        <w:t>Net income (loss) attributable to common stockholders is computed by dividing the net loss attributable to common stockholders by the weighted-average number of shares that were outstanding during the period. Diluted net income (loss) attributable to common stockholders (“EPS”) reflects the potential dilution that could occur if securities or other contracts to acquire common stock were exercised or converted into common stock. Potentially dilutive securities are excluded from the diluted EPS computation in loss periods as their effect would be anti-dilutive.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w:t>
      </w:r>
    </w:p>
    <w:p>
      <w:pPr>
        <w:spacing w:after="0" w:line="13"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17"/>
          <w:szCs w:val="17"/>
          <w:color w:val="auto"/>
        </w:rPr>
        <w:t>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22"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and is defined as follows:</w:t>
      </w:r>
    </w:p>
    <w:p>
      <w:pPr>
        <w:spacing w:after="0" w:line="128" w:lineRule="exact"/>
        <w:rPr>
          <w:sz w:val="20"/>
          <w:szCs w:val="20"/>
          <w:color w:val="auto"/>
        </w:rPr>
      </w:pPr>
    </w:p>
    <w:p>
      <w:pPr>
        <w:jc w:val="both"/>
        <w:ind w:right="340" w:firstLine="381"/>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Pricing inputs are based on quoted market prices for identical assets or liabilities in active markets (e.g., NYSE or NASDAQ). Active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markets are those in which transactions for the asset or liability occur in sufficient frequency and volume to provide pricing information on an ongoing basis.</w:t>
      </w:r>
    </w:p>
    <w:p>
      <w:pPr>
        <w:spacing w:after="0" w:line="130" w:lineRule="exact"/>
        <w:rPr>
          <w:sz w:val="20"/>
          <w:szCs w:val="20"/>
          <w:color w:val="auto"/>
        </w:rPr>
      </w:pPr>
    </w:p>
    <w:p>
      <w:pPr>
        <w:ind w:right="360" w:firstLine="381"/>
        <w:spacing w:after="0" w:line="248" w:lineRule="auto"/>
        <w:rPr>
          <w:sz w:val="20"/>
          <w:szCs w:val="20"/>
          <w:color w:val="auto"/>
        </w:rPr>
      </w:pPr>
      <w:r>
        <w:rPr>
          <w:rFonts w:ascii="Times New Roman" w:cs="Times New Roman" w:eastAsia="Times New Roman" w:hAnsi="Times New Roman"/>
          <w:sz w:val="17"/>
          <w:szCs w:val="17"/>
          <w:color w:val="auto"/>
        </w:rPr>
        <w:t>Level 2: 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15" w:lineRule="exact"/>
        <w:rPr>
          <w:sz w:val="20"/>
          <w:szCs w:val="20"/>
          <w:color w:val="auto"/>
        </w:rPr>
      </w:pPr>
    </w:p>
    <w:p>
      <w:pPr>
        <w:ind w:right="760" w:firstLine="381"/>
        <w:spacing w:after="0" w:line="267"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Pricing inputs include significant inputs that are generally less observable from objective sources, including the Company’s 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w:t>
      </w:r>
    </w:p>
    <w:p>
      <w:pPr>
        <w:spacing w:after="0" w:line="115" w:lineRule="exact"/>
        <w:rPr>
          <w:sz w:val="20"/>
          <w:szCs w:val="20"/>
          <w:color w:val="auto"/>
        </w:rPr>
      </w:pPr>
    </w:p>
    <w:p>
      <w:pPr>
        <w:ind w:right="340" w:firstLine="381"/>
        <w:spacing w:after="0" w:line="262" w:lineRule="auto"/>
        <w:rPr>
          <w:sz w:val="20"/>
          <w:szCs w:val="20"/>
          <w:color w:val="auto"/>
        </w:rPr>
      </w:pPr>
      <w:r>
        <w:rPr>
          <w:rFonts w:ascii="Times New Roman" w:cs="Times New Roman" w:eastAsia="Times New Roman" w:hAnsi="Times New Roman"/>
          <w:sz w:val="17"/>
          <w:szCs w:val="17"/>
          <w:color w:val="auto"/>
        </w:rPr>
        <w:t>The Company reviews the fair value hierarchy classification on a quarterly basis. Changes in the observability of valuation inputs may result in a reclassification of levels for certain securities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51" w:lineRule="exact"/>
        <w:rPr>
          <w:sz w:val="20"/>
          <w:szCs w:val="20"/>
          <w:color w:val="auto"/>
        </w:rPr>
      </w:pPr>
    </w:p>
    <w:p>
      <w:pPr>
        <w:jc w:val="both"/>
        <w:ind w:right="120" w:firstLine="381"/>
        <w:spacing w:after="0" w:line="255" w:lineRule="auto"/>
        <w:rPr>
          <w:sz w:val="20"/>
          <w:szCs w:val="20"/>
          <w:color w:val="auto"/>
        </w:rPr>
      </w:pPr>
      <w:r>
        <w:rPr>
          <w:rFonts w:ascii="Times New Roman" w:cs="Times New Roman" w:eastAsia="Times New Roman" w:hAnsi="Times New Roman"/>
          <w:sz w:val="17"/>
          <w:szCs w:val="17"/>
          <w:color w:val="auto"/>
        </w:rPr>
        <w:t>Comprehensive loss consists of two components: net loss and other comprehensive loss. Other comprehensive loss refers to losses that are recorded as an element of stockholders’ deficit and are excluded from net loss. The Company’s other comprehensive loss is currently composed of foreign currency translation adjustments.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60" w:lineRule="exact"/>
        <w:rPr>
          <w:sz w:val="20"/>
          <w:szCs w:val="20"/>
          <w:color w:val="auto"/>
        </w:rPr>
      </w:pPr>
    </w:p>
    <w:p>
      <w:pPr>
        <w:ind w:right="40" w:firstLine="381"/>
        <w:spacing w:after="0" w:line="246"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 public entity should apply the amendments in ASU 2023-09 prospectively to all annual periods beginning after December 15, 2024. The Company adopted this ASU in the current year with additional disclosures detailed in the subsequent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60" w:lineRule="exact"/>
        <w:rPr>
          <w:sz w:val="20"/>
          <w:szCs w:val="20"/>
          <w:color w:val="auto"/>
        </w:rPr>
      </w:pPr>
    </w:p>
    <w:p>
      <w:pPr>
        <w:ind w:firstLine="381"/>
        <w:spacing w:after="0" w:line="246"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w:t>
      </w:r>
      <w:r>
        <w:rPr>
          <w:rFonts w:ascii="Times New Roman" w:cs="Times New Roman" w:eastAsia="Times New Roman" w:hAnsi="Times New Roman"/>
          <w:sz w:val="17"/>
          <w:szCs w:val="17"/>
          <w:color w:val="auto"/>
        </w:rPr>
        <w:t>. This ASU requires disclosure on an annual and interim basis, in the notes to the financial statements, of disaggregated information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categories underlying certain income statement expense line items. The guidance is effective for annual periods beginning after December 15, 2026, and interim periods with annual reporting periods beginning after December 15, 2027, on a retrospective basis. The Company is currently evaluating the impact of this standard on our consolidated financial statements and related disclosures.</w:t>
      </w:r>
    </w:p>
    <w:p>
      <w:pPr>
        <w:spacing w:after="0" w:line="1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Debt—Debt with Conversion and Other Options (Subtopic 470-20)</w:t>
      </w:r>
      <w:r>
        <w:rPr>
          <w:rFonts w:ascii="Times New Roman" w:cs="Times New Roman" w:eastAsia="Times New Roman" w:hAnsi="Times New Roman"/>
          <w:sz w:val="17"/>
          <w:szCs w:val="17"/>
          <w:color w:val="auto"/>
        </w:rPr>
        <w:t>. This ASU clarifies the</w:t>
      </w:r>
    </w:p>
    <w:p>
      <w:pPr>
        <w:spacing w:after="0" w:line="2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7"/>
          <w:szCs w:val="17"/>
          <w:color w:val="auto"/>
        </w:rPr>
        <w:t>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impact of this standard on our consolidated financial statements and related disclosures.</w:t>
      </w:r>
    </w:p>
    <w:p>
      <w:pPr>
        <w:spacing w:after="0" w:line="119" w:lineRule="exact"/>
        <w:rPr>
          <w:sz w:val="20"/>
          <w:szCs w:val="20"/>
          <w:color w:val="auto"/>
        </w:rPr>
      </w:pPr>
    </w:p>
    <w:p>
      <w:pPr>
        <w:ind w:right="40" w:firstLine="381"/>
        <w:spacing w:after="0" w:line="243" w:lineRule="auto"/>
        <w:rPr>
          <w:sz w:val="20"/>
          <w:szCs w:val="20"/>
          <w:color w:val="auto"/>
        </w:rPr>
      </w:pPr>
      <w:r>
        <w:rPr>
          <w:rFonts w:ascii="Times New Roman" w:cs="Times New Roman" w:eastAsia="Times New Roman" w:hAnsi="Times New Roman"/>
          <w:sz w:val="17"/>
          <w:szCs w:val="17"/>
          <w:color w:val="auto"/>
        </w:rPr>
        <w:t xml:space="preserve">In July 2025, the Financial Accounting Standards Board (“FASB”) issued Accounting Standard Update (“ASU”) 2025-05, </w:t>
      </w:r>
      <w:r>
        <w:rPr>
          <w:rFonts w:ascii="Times New Roman" w:cs="Times New Roman" w:eastAsia="Times New Roman" w:hAnsi="Times New Roman"/>
          <w:sz w:val="17"/>
          <w:szCs w:val="17"/>
          <w:i w:val="1"/>
          <w:iCs w:val="1"/>
          <w:color w:val="auto"/>
        </w:rPr>
        <w:t>Financial Instruments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 (Topic 326): Measurement of Credit Losses for Accounts Receivable and Contract Assets</w:t>
      </w:r>
      <w:r>
        <w:rPr>
          <w:rFonts w:ascii="Times New Roman" w:cs="Times New Roman" w:eastAsia="Times New Roman" w:hAnsi="Times New Roman"/>
          <w:sz w:val="17"/>
          <w:szCs w:val="17"/>
          <w:color w:val="auto"/>
        </w:rPr>
        <w:t>. ASU 2025-05 provides a practical expedient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related to the estimation of expected credit losses for current accounts receivable and current contract assets that arise from transactions accounted for under Accounting Standards Codification </w:t>
      </w:r>
      <w:r>
        <w:rPr>
          <w:rFonts w:ascii="Times New Roman" w:cs="Times New Roman" w:eastAsia="Times New Roman" w:hAnsi="Times New Roman"/>
          <w:sz w:val="17"/>
          <w:szCs w:val="17"/>
          <w:i w:val="1"/>
          <w:iCs w:val="1"/>
          <w:color w:val="auto"/>
        </w:rPr>
        <w:t>Topic 606: Revenue from Contracts with Customers</w:t>
      </w:r>
      <w:r>
        <w:rPr>
          <w:rFonts w:ascii="Times New Roman" w:cs="Times New Roman" w:eastAsia="Times New Roman" w:hAnsi="Times New Roman"/>
          <w:sz w:val="17"/>
          <w:szCs w:val="17"/>
          <w:color w:val="auto"/>
        </w:rPr>
        <w:t>. The practical expedient permits an entity to assume that current conditions as of the balance sheet date do not change for the remaining life of the current accounts receivable and current contract assets. This ASU is effective for fiscal years beginning after December 15, 2025 on a prospective basis, and for interim periods within fiscal years beginning after December 15, 2025, with early adoption permitted. The Company is currently evaluating the impact of the adoption of this pronouncement on its consolidated financial statements.</w:t>
      </w:r>
    </w:p>
    <w:p>
      <w:pPr>
        <w:spacing w:after="0" w:line="131" w:lineRule="exact"/>
        <w:rPr>
          <w:sz w:val="20"/>
          <w:szCs w:val="20"/>
          <w:color w:val="auto"/>
        </w:rPr>
      </w:pPr>
    </w:p>
    <w:p>
      <w:pPr>
        <w:ind w:right="120" w:firstLine="381"/>
        <w:spacing w:after="0" w:line="243"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the Accounting for Internal-Use Software. </w:t>
      </w:r>
      <w:r>
        <w:rPr>
          <w:rFonts w:ascii="Times New Roman" w:cs="Times New Roman" w:eastAsia="Times New Roman" w:hAnsi="Times New Roman"/>
          <w:sz w:val="17"/>
          <w:szCs w:val="17"/>
          <w:color w:val="auto"/>
        </w:rPr>
        <w:t>ASU 2025-06 updates the recognition and capitalization framework to reflect current software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February 28, 2029. Early adoption is permitted as of the beginning of an annual reporting period. The Company is currently evaluating the impact of adopting this ASU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65" w:name="page66"/>
    <w:bookmarkEnd w:id="65"/>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Note 2. Held for Sale and Discontinued Operations</w:t>
      </w:r>
    </w:p>
    <w:p>
      <w:pPr>
        <w:spacing w:after="0" w:line="147" w:lineRule="exact"/>
        <w:rPr>
          <w:sz w:val="20"/>
          <w:szCs w:val="20"/>
          <w:color w:val="auto"/>
        </w:rPr>
      </w:pPr>
    </w:p>
    <w:p>
      <w:pPr>
        <w:jc w:val="both"/>
        <w:ind w:left="8" w:firstLine="381"/>
        <w:spacing w:after="0" w:line="250" w:lineRule="auto"/>
        <w:rPr>
          <w:sz w:val="20"/>
          <w:szCs w:val="20"/>
          <w:color w:val="auto"/>
        </w:rPr>
      </w:pPr>
      <w:r>
        <w:rPr>
          <w:rFonts w:ascii="Times New Roman" w:cs="Times New Roman" w:eastAsia="Times New Roman" w:hAnsi="Times New Roman"/>
          <w:sz w:val="17"/>
          <w:szCs w:val="17"/>
          <w:color w:val="auto"/>
        </w:rPr>
        <w:t xml:space="preserve">As noted in </w:t>
      </w:r>
      <w:r>
        <w:rPr>
          <w:rFonts w:ascii="Times New Roman" w:cs="Times New Roman" w:eastAsia="Times New Roman" w:hAnsi="Times New Roman"/>
          <w:sz w:val="17"/>
          <w:szCs w:val="17"/>
          <w:i w:val="1"/>
          <w:iCs w:val="1"/>
          <w:color w:val="auto"/>
        </w:rPr>
        <w:t>Note 1 – Nature of Business and Significant Accounting Policies</w:t>
      </w:r>
      <w:r>
        <w:rPr>
          <w:rFonts w:ascii="Times New Roman" w:cs="Times New Roman" w:eastAsia="Times New Roman" w:hAnsi="Times New Roman"/>
          <w:sz w:val="17"/>
          <w:szCs w:val="17"/>
          <w:color w:val="auto"/>
        </w:rPr>
        <w:t>, on September 16, 2024, the Company entered into the Purchase Agreement to sell its Telematics Business. On November 27, 2024, the Company completed the sale of its Telematics Business for an adjusted purchase price of $52.7 million and recognized a pre-tax gain on the sale of $18.5 million that was recognized in Income from discontinued operations, net of tax within the Consolidated Statements of Operations and Comprehensive Income.</w:t>
      </w:r>
    </w:p>
    <w:p>
      <w:pPr>
        <w:spacing w:after="0" w:line="117" w:lineRule="exact"/>
        <w:rPr>
          <w:sz w:val="20"/>
          <w:szCs w:val="20"/>
          <w:color w:val="auto"/>
        </w:rPr>
      </w:pPr>
    </w:p>
    <w:p>
      <w:pPr>
        <w:ind w:left="8" w:right="160" w:firstLine="381"/>
        <w:spacing w:after="0"/>
        <w:rPr>
          <w:sz w:val="20"/>
          <w:szCs w:val="20"/>
          <w:color w:val="auto"/>
        </w:rPr>
      </w:pPr>
      <w:r>
        <w:rPr>
          <w:rFonts w:ascii="Times New Roman" w:cs="Times New Roman" w:eastAsia="Times New Roman" w:hAnsi="Times New Roman"/>
          <w:sz w:val="17"/>
          <w:szCs w:val="17"/>
          <w:color w:val="auto"/>
        </w:rPr>
        <w:t>The operating results of the discontinued operations only reflect revenues and expenses that are directly attributable to the Telematics Business. The following table summarizes Income from discontinued operations, net of tax included in the Consolidated Statements of Operations and Comprehensive Income for the years ended December 31, 2025 and 2024 (in thousands):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360" w:type="dxa"/>
            <w:vAlign w:val="bottom"/>
            <w:gridSpan w:val="5"/>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Software services and other revenues</w:t>
            </w:r>
          </w:p>
        </w:tc>
        <w:tc>
          <w:tcPr>
            <w:tcW w:w="740" w:type="dxa"/>
            <w:vAlign w:val="bottom"/>
            <w:shd w:val="clear" w:color="auto" w:fill="D1EDF5"/>
          </w:tcPr>
          <w:p>
            <w:pPr>
              <w:jc w:val="right"/>
              <w:ind w:right="588"/>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27,967</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Software services and other cost of revenues</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12,242</w:t>
            </w:r>
          </w:p>
        </w:tc>
      </w:tr>
      <w:tr>
        <w:trPr>
          <w:trHeight w:val="198"/>
        </w:trPr>
        <w:tc>
          <w:tcPr>
            <w:tcW w:w="820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Gross profit from discontinued operations</w:t>
            </w:r>
          </w:p>
        </w:tc>
        <w:tc>
          <w:tcPr>
            <w:tcW w:w="740" w:type="dxa"/>
            <w:vAlign w:val="bottom"/>
            <w:shd w:val="clear" w:color="auto" w:fill="D1EDF5"/>
          </w:tcPr>
          <w:p>
            <w:pPr>
              <w:spacing w:after="0"/>
              <w:rPr>
                <w:sz w:val="17"/>
                <w:szCs w:val="17"/>
                <w:color w:val="auto"/>
              </w:rPr>
            </w:pP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15,725</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Operating costs and expenses: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740" w:type="dxa"/>
            <w:vAlign w:val="bottom"/>
            <w:shd w:val="clear" w:color="auto" w:fill="D1EDF5"/>
          </w:tcPr>
          <w:p>
            <w:pPr>
              <w:spacing w:after="0"/>
              <w:rPr>
                <w:sz w:val="17"/>
                <w:szCs w:val="17"/>
                <w:color w:val="auto"/>
              </w:rPr>
            </w:pP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1,152</w:t>
            </w:r>
          </w:p>
        </w:tc>
      </w:tr>
      <w:tr>
        <w:trPr>
          <w:trHeight w:val="202"/>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Sales and marketing</w:t>
            </w:r>
          </w:p>
        </w:tc>
        <w:tc>
          <w:tcPr>
            <w:tcW w:w="74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4,672</w:t>
            </w:r>
          </w:p>
        </w:tc>
      </w:tr>
      <w:tr>
        <w:trPr>
          <w:trHeight w:val="204"/>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740" w:type="dxa"/>
            <w:vAlign w:val="bottom"/>
            <w:shd w:val="clear" w:color="auto" w:fill="D1EDF5"/>
          </w:tcPr>
          <w:p>
            <w:pPr>
              <w:spacing w:after="0"/>
              <w:rPr>
                <w:sz w:val="17"/>
                <w:szCs w:val="17"/>
                <w:color w:val="auto"/>
              </w:rPr>
            </w:pP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6,120</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4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740" w:type="dxa"/>
            <w:vAlign w:val="bottom"/>
            <w:tcBorders>
              <w:bottom w:val="single" w:sz="8" w:color="auto"/>
            </w:tcBorders>
            <w:shd w:val="clear" w:color="auto" w:fill="D1EDF5"/>
          </w:tcPr>
          <w:p>
            <w:pPr>
              <w:spacing w:after="0"/>
              <w:rPr>
                <w:sz w:val="17"/>
                <w:szCs w:val="17"/>
                <w:color w:val="auto"/>
              </w:rPr>
            </w:pPr>
          </w:p>
        </w:tc>
        <w:tc>
          <w:tcPr>
            <w:tcW w:w="3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200" w:type="dxa"/>
            <w:vAlign w:val="bottom"/>
            <w:tcBorders>
              <w:bottom w:val="single" w:sz="8" w:color="D1EDF5"/>
            </w:tcBorders>
          </w:tcPr>
          <w:p>
            <w:pPr>
              <w:ind w:left="320"/>
              <w:spacing w:after="0"/>
              <w:rPr>
                <w:sz w:val="20"/>
                <w:szCs w:val="20"/>
                <w:color w:val="auto"/>
              </w:rPr>
            </w:pPr>
            <w:r>
              <w:rPr>
                <w:rFonts w:ascii="Times New Roman" w:cs="Times New Roman" w:eastAsia="Times New Roman" w:hAnsi="Times New Roman"/>
                <w:sz w:val="15"/>
                <w:szCs w:val="15"/>
                <w:color w:val="auto"/>
              </w:rPr>
              <w:t>Total operating costs and expenses</w:t>
            </w: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D1EDF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13,237</w:t>
            </w:r>
          </w:p>
        </w:tc>
      </w:tr>
      <w:tr>
        <w:trPr>
          <w:trHeight w:val="198"/>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Operating income from discontinued operations</w:t>
            </w:r>
          </w:p>
        </w:tc>
        <w:tc>
          <w:tcPr>
            <w:tcW w:w="740" w:type="dxa"/>
            <w:vAlign w:val="bottom"/>
            <w:shd w:val="clear" w:color="auto" w:fill="D1EDF5"/>
          </w:tcPr>
          <w:p>
            <w:pPr>
              <w:spacing w:after="0"/>
              <w:rPr>
                <w:sz w:val="17"/>
                <w:szCs w:val="17"/>
                <w:color w:val="auto"/>
              </w:rPr>
            </w:pP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2,488</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Interest income, net</w:t>
            </w:r>
          </w:p>
        </w:tc>
        <w:tc>
          <w:tcPr>
            <w:tcW w:w="740" w:type="dxa"/>
            <w:vAlign w:val="bottom"/>
            <w:shd w:val="clear" w:color="auto" w:fill="D1EDF5"/>
          </w:tcPr>
          <w:p>
            <w:pPr>
              <w:spacing w:after="0"/>
              <w:rPr>
                <w:sz w:val="17"/>
                <w:szCs w:val="17"/>
                <w:color w:val="auto"/>
              </w:rPr>
            </w:pPr>
          </w:p>
        </w:tc>
        <w:tc>
          <w:tcPr>
            <w:tcW w:w="48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74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206"/>
        </w:trPr>
        <w:tc>
          <w:tcPr>
            <w:tcW w:w="8200" w:type="dxa"/>
            <w:vAlign w:val="bottom"/>
            <w:shd w:val="clear" w:color="auto" w:fill="D1EDF5"/>
          </w:tcPr>
          <w:p>
            <w:pPr>
              <w:ind w:left="220"/>
              <w:spacing w:after="0" w:line="205" w:lineRule="exact"/>
              <w:rPr>
                <w:sz w:val="20"/>
                <w:szCs w:val="20"/>
                <w:color w:val="auto"/>
              </w:rPr>
            </w:pPr>
            <w:r>
              <w:rPr>
                <w:rFonts w:ascii="Times New Roman" w:cs="Times New Roman" w:eastAsia="Times New Roman" w:hAnsi="Times New Roman"/>
                <w:sz w:val="15"/>
                <w:szCs w:val="15"/>
                <w:color w:val="auto"/>
              </w:rPr>
              <w:t>Gain on sale of discontinued operation</w:t>
            </w:r>
            <w:r>
              <w:rPr>
                <w:rFonts w:ascii="Times New Roman" w:cs="Times New Roman" w:eastAsia="Times New Roman" w:hAnsi="Times New Roman"/>
                <w:sz w:val="19"/>
                <w:szCs w:val="19"/>
                <w:color w:val="auto"/>
                <w:vertAlign w:val="superscript"/>
              </w:rPr>
              <w:t>(a)</w:t>
            </w:r>
          </w:p>
        </w:tc>
        <w:tc>
          <w:tcPr>
            <w:tcW w:w="740" w:type="dxa"/>
            <w:vAlign w:val="bottom"/>
            <w:tcBorders>
              <w:bottom w:val="single" w:sz="8" w:color="auto"/>
            </w:tcBorders>
            <w:shd w:val="clear" w:color="auto" w:fill="D1EDF5"/>
          </w:tcPr>
          <w:p>
            <w:pPr>
              <w:spacing w:after="0"/>
              <w:rPr>
                <w:sz w:val="17"/>
                <w:szCs w:val="17"/>
                <w:color w:val="auto"/>
              </w:rPr>
            </w:pPr>
          </w:p>
        </w:tc>
        <w:tc>
          <w:tcPr>
            <w:tcW w:w="3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18,456</w:t>
            </w:r>
          </w:p>
        </w:tc>
      </w:tr>
      <w:tr>
        <w:trPr>
          <w:trHeight w:val="193"/>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Income from discontinued operations before income taxes</w:t>
            </w:r>
          </w:p>
        </w:tc>
        <w:tc>
          <w:tcPr>
            <w:tcW w:w="7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20,897</w:t>
            </w:r>
          </w:p>
        </w:tc>
      </w:tr>
      <w:tr>
        <w:trPr>
          <w:trHeight w:val="223"/>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740" w:type="dxa"/>
            <w:vAlign w:val="bottom"/>
            <w:tcBorders>
              <w:bottom w:val="single" w:sz="8" w:color="auto"/>
            </w:tcBorders>
            <w:shd w:val="clear" w:color="auto" w:fill="D1EDF5"/>
          </w:tcPr>
          <w:p>
            <w:pPr>
              <w:spacing w:after="0"/>
              <w:rPr>
                <w:sz w:val="19"/>
                <w:szCs w:val="19"/>
                <w:color w:val="auto"/>
              </w:rPr>
            </w:pPr>
          </w:p>
        </w:tc>
        <w:tc>
          <w:tcPr>
            <w:tcW w:w="3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Borders>
              <w:bottom w:val="single" w:sz="8" w:color="D1EDF5"/>
            </w:tcBorders>
            <w:shd w:val="clear" w:color="auto" w:fill="D1EDF5"/>
          </w:tcPr>
          <w:p>
            <w:pPr>
              <w:spacing w:after="0"/>
              <w:rPr>
                <w:sz w:val="19"/>
                <w:szCs w:val="19"/>
                <w:color w:val="auto"/>
              </w:rPr>
            </w:pPr>
          </w:p>
        </w:tc>
        <w:tc>
          <w:tcPr>
            <w:tcW w:w="260" w:type="dxa"/>
            <w:vAlign w:val="bottom"/>
            <w:tcBorders>
              <w:bottom w:val="single" w:sz="8" w:color="auto"/>
            </w:tcBorders>
            <w:shd w:val="clear" w:color="auto" w:fill="D1EDF5"/>
          </w:tcPr>
          <w:p>
            <w:pPr>
              <w:spacing w:after="0"/>
              <w:rPr>
                <w:sz w:val="19"/>
                <w:szCs w:val="19"/>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1,956</w:t>
            </w:r>
          </w:p>
        </w:tc>
      </w:tr>
      <w:tr>
        <w:trPr>
          <w:trHeight w:val="174"/>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Income from discontinued operations, net of tax</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5"/>
                <w:szCs w:val="15"/>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18,941</w:t>
            </w:r>
          </w:p>
        </w:tc>
      </w:tr>
    </w:tbl>
    <w:p>
      <w:pPr>
        <w:spacing w:after="0" w:line="73" w:lineRule="exact"/>
        <w:rPr>
          <w:sz w:val="20"/>
          <w:szCs w:val="20"/>
          <w:color w:val="auto"/>
        </w:rPr>
      </w:pPr>
    </w:p>
    <w:p>
      <w:pPr>
        <w:ind w:left="8" w:right="460" w:hanging="8"/>
        <w:spacing w:after="0" w:line="247" w:lineRule="auto"/>
        <w:tabs>
          <w:tab w:leader="none" w:pos="1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sale realized in fiscal 2024 includes the release of Accumulated other comprehensive income of $6.1 million associated with the realization of cumulative translation gains attributed to the Telematics Business</w:t>
      </w:r>
    </w:p>
    <w:p>
      <w:pPr>
        <w:spacing w:after="0" w:line="130" w:lineRule="exact"/>
        <w:rPr>
          <w:sz w:val="20"/>
          <w:szCs w:val="20"/>
          <w:color w:val="auto"/>
        </w:rPr>
      </w:pPr>
    </w:p>
    <w:p>
      <w:pPr>
        <w:ind w:left="8" w:right="120" w:firstLine="381"/>
        <w:spacing w:after="0"/>
        <w:rPr>
          <w:sz w:val="20"/>
          <w:szCs w:val="20"/>
          <w:color w:val="auto"/>
        </w:rPr>
      </w:pPr>
      <w:r>
        <w:rPr>
          <w:rFonts w:ascii="Times New Roman" w:cs="Times New Roman" w:eastAsia="Times New Roman" w:hAnsi="Times New Roman"/>
          <w:sz w:val="17"/>
          <w:szCs w:val="17"/>
          <w:color w:val="auto"/>
        </w:rPr>
        <w:t>Income taxes related to discontinued operations in the year ended December 31, 2025 relate to the deregistration process for the Company’s remaining subsidiaries in South Africa, which do not have operations. As the sale of the Telematics Business was completed on November 27, 2024, there were no assets or liabilities held for sale as of either December 31, 2025 or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7348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8"/>
          </w:cols>
          <w:pgMar w:left="832" w:top="568" w:right="8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Financial Statement Details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7"/>
        </w:trPr>
        <w:tc>
          <w:tcPr>
            <w:tcW w:w="8180" w:type="dxa"/>
            <w:vAlign w:val="bottom"/>
            <w:tcBorders>
              <w:bottom w:val="single" w:sz="8" w:color="D1EDF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700" w:type="dxa"/>
            <w:vAlign w:val="bottom"/>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7,726</w:t>
            </w:r>
          </w:p>
        </w:tc>
        <w:tc>
          <w:tcPr>
            <w:tcW w:w="100" w:type="dxa"/>
            <w:vAlign w:val="bottom"/>
            <w:shd w:val="clear" w:color="auto" w:fill="D1EDF5"/>
          </w:tcPr>
          <w:p>
            <w:pPr>
              <w:spacing w:after="0"/>
              <w:rPr>
                <w:sz w:val="17"/>
                <w:szCs w:val="17"/>
                <w:color w:val="auto"/>
              </w:rPr>
            </w:pPr>
          </w:p>
        </w:tc>
        <w:tc>
          <w:tcPr>
            <w:tcW w:w="380" w:type="dxa"/>
            <w:vAlign w:val="bottom"/>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13,531</w:t>
            </w:r>
          </w:p>
        </w:tc>
      </w:tr>
      <w:tr>
        <w:trPr>
          <w:trHeight w:val="201"/>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Raw materials and components</w:t>
            </w:r>
          </w:p>
        </w:tc>
        <w:tc>
          <w:tcPr>
            <w:tcW w:w="7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44</w:t>
            </w:r>
          </w:p>
        </w:tc>
      </w:tr>
      <w:tr>
        <w:trPr>
          <w:trHeight w:val="223"/>
        </w:trPr>
        <w:tc>
          <w:tcPr>
            <w:tcW w:w="8180" w:type="dxa"/>
            <w:vAlign w:val="bottom"/>
            <w:tcBorders>
              <w:top w:val="single" w:sz="8" w:color="D1EDF5"/>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inventories</w:t>
            </w:r>
          </w:p>
        </w:tc>
        <w:tc>
          <w:tcPr>
            <w:tcW w:w="700" w:type="dxa"/>
            <w:vAlign w:val="bottom"/>
            <w:tcBorders>
              <w:top w:val="single" w:sz="8" w:color="auto"/>
              <w:bottom w:val="single" w:sz="8" w:color="auto"/>
            </w:tcBorders>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7,726</w:t>
            </w:r>
          </w:p>
        </w:tc>
        <w:tc>
          <w:tcPr>
            <w:tcW w:w="100" w:type="dxa"/>
            <w:vAlign w:val="bottom"/>
            <w:tcBorders>
              <w:top w:val="single" w:sz="8" w:color="D1EDF5"/>
              <w:bottom w:val="single" w:sz="8" w:color="D1EDF5"/>
            </w:tcBorders>
            <w:shd w:val="clear" w:color="auto" w:fill="D1EDF5"/>
          </w:tcPr>
          <w:p>
            <w:pPr>
              <w:spacing w:after="0"/>
              <w:rPr>
                <w:sz w:val="18"/>
                <w:szCs w:val="18"/>
                <w:color w:val="auto"/>
              </w:rPr>
            </w:pPr>
          </w:p>
        </w:tc>
        <w:tc>
          <w:tcPr>
            <w:tcW w:w="380" w:type="dxa"/>
            <w:vAlign w:val="bottom"/>
            <w:tcBorders>
              <w:top w:val="single" w:sz="8" w:color="auto"/>
              <w:bottom w:val="single" w:sz="8" w:color="auto"/>
            </w:tcBorders>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13,575</w:t>
            </w:r>
          </w:p>
        </w:tc>
      </w:tr>
      <w:tr>
        <w:trPr>
          <w:trHeight w:val="20"/>
        </w:trPr>
        <w:tc>
          <w:tcPr>
            <w:tcW w:w="818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4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760" w:type="dxa"/>
            <w:vAlign w:val="bottom"/>
            <w:tcBorders>
              <w:top w:val="single" w:sz="8" w:color="D1EDF5"/>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Prepaid expenses and other</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Prepaid expenses and other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7"/>
        </w:trPr>
        <w:tc>
          <w:tcPr>
            <w:tcW w:w="8180" w:type="dxa"/>
            <w:vAlign w:val="bottom"/>
            <w:tcBorders>
              <w:bottom w:val="single" w:sz="8" w:color="D1EDF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Rebate receivables</w:t>
            </w:r>
          </w:p>
        </w:tc>
        <w:tc>
          <w:tcPr>
            <w:tcW w:w="700" w:type="dxa"/>
            <w:vAlign w:val="bottom"/>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100" w:type="dxa"/>
            <w:vAlign w:val="bottom"/>
            <w:shd w:val="clear" w:color="auto" w:fill="D1EDF5"/>
          </w:tcPr>
          <w:p>
            <w:pPr>
              <w:spacing w:after="0"/>
              <w:rPr>
                <w:sz w:val="17"/>
                <w:szCs w:val="17"/>
                <w:color w:val="auto"/>
              </w:rPr>
            </w:pPr>
          </w:p>
        </w:tc>
        <w:tc>
          <w:tcPr>
            <w:tcW w:w="380" w:type="dxa"/>
            <w:vAlign w:val="bottom"/>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3,495</w:t>
            </w:r>
          </w:p>
        </w:tc>
      </w:tr>
      <w:tr>
        <w:trPr>
          <w:trHeight w:val="201"/>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Receivables from contract manufacturers</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w:t>
            </w:r>
          </w:p>
        </w:tc>
      </w:tr>
      <w:tr>
        <w:trPr>
          <w:trHeight w:val="203"/>
        </w:trPr>
        <w:tc>
          <w:tcPr>
            <w:tcW w:w="81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Other</w:t>
            </w:r>
          </w:p>
        </w:tc>
        <w:tc>
          <w:tcPr>
            <w:tcW w:w="700" w:type="dxa"/>
            <w:vAlign w:val="bottom"/>
            <w:tcBorders>
              <w:bottom w:val="single" w:sz="8" w:color="auto"/>
            </w:tcBorders>
            <w:shd w:val="clear" w:color="auto" w:fill="D1EDF5"/>
          </w:tcPr>
          <w:p>
            <w:pPr>
              <w:spacing w:after="0"/>
              <w:rPr>
                <w:sz w:val="17"/>
                <w:szCs w:val="17"/>
                <w:color w:val="auto"/>
              </w:rPr>
            </w:pP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2,287</w:t>
            </w:r>
          </w:p>
        </w:tc>
        <w:tc>
          <w:tcPr>
            <w:tcW w:w="100" w:type="dxa"/>
            <w:vAlign w:val="bottom"/>
            <w:tcBorders>
              <w:bottom w:val="single" w:sz="8" w:color="D1EDF5"/>
            </w:tcBorders>
            <w:shd w:val="clear" w:color="auto" w:fill="D1EDF5"/>
          </w:tcPr>
          <w:p>
            <w:pPr>
              <w:spacing w:after="0"/>
              <w:rPr>
                <w:sz w:val="17"/>
                <w:szCs w:val="17"/>
                <w:color w:val="auto"/>
              </w:rPr>
            </w:pPr>
          </w:p>
        </w:tc>
        <w:tc>
          <w:tcPr>
            <w:tcW w:w="380" w:type="dxa"/>
            <w:vAlign w:val="bottom"/>
            <w:tcBorders>
              <w:bottom w:val="single" w:sz="8" w:color="auto"/>
            </w:tcBorders>
            <w:shd w:val="clear" w:color="auto" w:fill="D1EDF5"/>
          </w:tcPr>
          <w:p>
            <w:pPr>
              <w:spacing w:after="0"/>
              <w:rPr>
                <w:sz w:val="17"/>
                <w:szCs w:val="17"/>
                <w:color w:val="auto"/>
              </w:rPr>
            </w:pPr>
          </w:p>
        </w:tc>
        <w:tc>
          <w:tcPr>
            <w:tcW w:w="760" w:type="dxa"/>
            <w:vAlign w:val="bottom"/>
            <w:tcBorders>
              <w:bottom w:val="single" w:sz="8" w:color="auto"/>
            </w:tcBorders>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2,418</w:t>
            </w:r>
          </w:p>
        </w:tc>
      </w:tr>
      <w:tr>
        <w:trPr>
          <w:trHeight w:val="198"/>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Total prepaid expenses and other</w:t>
            </w:r>
          </w:p>
        </w:tc>
        <w:tc>
          <w:tcPr>
            <w:tcW w:w="7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5,926</w:t>
            </w:r>
          </w:p>
        </w:tc>
      </w:tr>
      <w:tr>
        <w:trPr>
          <w:trHeight w:val="20"/>
        </w:trPr>
        <w:tc>
          <w:tcPr>
            <w:tcW w:w="8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plant and equipment</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7"/>
        </w:trPr>
        <w:tc>
          <w:tcPr>
            <w:tcW w:w="818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Test equipment</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16,213</w:t>
            </w:r>
          </w:p>
        </w:tc>
        <w:tc>
          <w:tcPr>
            <w:tcW w:w="100" w:type="dxa"/>
            <w:vAlign w:val="bottom"/>
            <w:shd w:val="clear" w:color="auto" w:fill="D1EDF5"/>
          </w:tcPr>
          <w:p>
            <w:pPr>
              <w:spacing w:after="0"/>
              <w:rPr>
                <w:sz w:val="17"/>
                <w:szCs w:val="17"/>
                <w:color w:val="auto"/>
              </w:rPr>
            </w:pPr>
          </w:p>
        </w:tc>
        <w:tc>
          <w:tcPr>
            <w:tcW w:w="380" w:type="dxa"/>
            <w:vAlign w:val="bottom"/>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19,600</w:t>
            </w:r>
          </w:p>
        </w:tc>
      </w:tr>
      <w:tr>
        <w:trPr>
          <w:trHeight w:val="201"/>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 and purchased software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3,711</w:t>
            </w:r>
          </w:p>
        </w:tc>
      </w:tr>
      <w:tr>
        <w:trPr>
          <w:trHeight w:val="206"/>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Product tooling</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5,197</w:t>
            </w:r>
          </w:p>
        </w:tc>
        <w:tc>
          <w:tcPr>
            <w:tcW w:w="100" w:type="dxa"/>
            <w:vAlign w:val="bottom"/>
            <w:shd w:val="clear" w:color="auto" w:fill="D1EDF5"/>
          </w:tcPr>
          <w:p>
            <w:pPr>
              <w:spacing w:after="0"/>
              <w:rPr>
                <w:sz w:val="17"/>
                <w:szCs w:val="17"/>
                <w:color w:val="auto"/>
              </w:rPr>
            </w:pPr>
          </w:p>
        </w:tc>
        <w:tc>
          <w:tcPr>
            <w:tcW w:w="380" w:type="dxa"/>
            <w:vAlign w:val="bottom"/>
            <w:shd w:val="clear" w:color="auto" w:fill="D1EDF5"/>
          </w:tcPr>
          <w:p>
            <w:pPr>
              <w:spacing w:after="0"/>
              <w:rPr>
                <w:sz w:val="17"/>
                <w:szCs w:val="17"/>
                <w:color w:val="auto"/>
              </w:rPr>
            </w:pPr>
          </w:p>
        </w:tc>
        <w:tc>
          <w:tcPr>
            <w:tcW w:w="76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5,182</w:t>
            </w:r>
          </w:p>
        </w:tc>
      </w:tr>
      <w:tr>
        <w:trPr>
          <w:trHeight w:val="201"/>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739</w:t>
            </w:r>
          </w:p>
        </w:tc>
      </w:tr>
      <w:tr>
        <w:trPr>
          <w:trHeight w:val="206"/>
        </w:trPr>
        <w:tc>
          <w:tcPr>
            <w:tcW w:w="8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100" w:type="dxa"/>
            <w:vAlign w:val="bottom"/>
            <w:shd w:val="clear" w:color="auto" w:fill="D1EDF5"/>
          </w:tcPr>
          <w:p>
            <w:pPr>
              <w:spacing w:after="0"/>
              <w:rPr>
                <w:sz w:val="17"/>
                <w:szCs w:val="17"/>
                <w:color w:val="auto"/>
              </w:rPr>
            </w:pPr>
          </w:p>
        </w:tc>
        <w:tc>
          <w:tcPr>
            <w:tcW w:w="380" w:type="dxa"/>
            <w:vAlign w:val="bottom"/>
            <w:tcBorders>
              <w:bottom w:val="single" w:sz="8" w:color="auto"/>
            </w:tcBorders>
            <w:shd w:val="clear" w:color="auto" w:fill="D1EDF5"/>
          </w:tcPr>
          <w:p>
            <w:pPr>
              <w:spacing w:after="0"/>
              <w:rPr>
                <w:sz w:val="17"/>
                <w:szCs w:val="17"/>
                <w:color w:val="auto"/>
              </w:rPr>
            </w:pPr>
          </w:p>
        </w:tc>
        <w:tc>
          <w:tcPr>
            <w:tcW w:w="760" w:type="dxa"/>
            <w:vAlign w:val="bottom"/>
            <w:tcBorders>
              <w:bottom w:val="single" w:sz="8" w:color="auto"/>
            </w:tcBorders>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767</w:t>
            </w:r>
          </w:p>
        </w:tc>
      </w:tr>
      <w:tr>
        <w:trPr>
          <w:trHeight w:val="193"/>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Total property, plant and equipment, gross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29,999</w:t>
            </w:r>
          </w:p>
        </w:tc>
      </w:tr>
      <w:tr>
        <w:trPr>
          <w:trHeight w:val="203"/>
        </w:trPr>
        <w:tc>
          <w:tcPr>
            <w:tcW w:w="8180" w:type="dxa"/>
            <w:vAlign w:val="bottom"/>
            <w:shd w:val="clear" w:color="auto" w:fill="D1EDF5"/>
          </w:tcPr>
          <w:p>
            <w:pPr>
              <w:ind w:left="240"/>
              <w:spacing w:after="0"/>
              <w:rPr>
                <w:sz w:val="20"/>
                <w:szCs w:val="20"/>
                <w:color w:val="auto"/>
              </w:rPr>
            </w:pPr>
            <w:r>
              <w:rPr>
                <w:rFonts w:ascii="Times New Roman" w:cs="Times New Roman" w:eastAsia="Times New Roman" w:hAnsi="Times New Roman"/>
                <w:sz w:val="15"/>
                <w:szCs w:val="15"/>
                <w:color w:val="auto"/>
              </w:rPr>
              <w:t>Less—accumulated depreciation and amortization</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(26,063)</w:t>
            </w:r>
          </w:p>
        </w:tc>
        <w:tc>
          <w:tcPr>
            <w:tcW w:w="100" w:type="dxa"/>
            <w:vAlign w:val="bottom"/>
            <w:shd w:val="clear" w:color="auto" w:fill="D1EDF5"/>
          </w:tcPr>
          <w:p>
            <w:pPr>
              <w:spacing w:after="0"/>
              <w:rPr>
                <w:sz w:val="17"/>
                <w:szCs w:val="17"/>
                <w:color w:val="auto"/>
              </w:rPr>
            </w:pPr>
          </w:p>
        </w:tc>
        <w:tc>
          <w:tcPr>
            <w:tcW w:w="380" w:type="dxa"/>
            <w:vAlign w:val="bottom"/>
            <w:tcBorders>
              <w:bottom w:val="single" w:sz="8" w:color="auto"/>
            </w:tcBorders>
            <w:shd w:val="clear" w:color="auto" w:fill="D1EDF5"/>
          </w:tcPr>
          <w:p>
            <w:pPr>
              <w:spacing w:after="0"/>
              <w:rPr>
                <w:sz w:val="17"/>
                <w:szCs w:val="17"/>
                <w:color w:val="auto"/>
              </w:rPr>
            </w:pPr>
          </w:p>
        </w:tc>
        <w:tc>
          <w:tcPr>
            <w:tcW w:w="7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(28,897)</w:t>
            </w:r>
          </w:p>
        </w:tc>
      </w:tr>
      <w:tr>
        <w:trPr>
          <w:trHeight w:val="198"/>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Total property, plant and equipment, net</w:t>
            </w: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1,102</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Depreciation and amortization expense related to property, plant and equipment was $0.7 million and $1.4 million for the years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and 2024,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Accrued expenses and other current liabilities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6,168</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9,245</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Payroll and related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7,997</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Accrued contract manufacturing liabilities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5,874</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4,772</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Royalties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884</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954</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3,252</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4,893</w:t>
            </w:r>
          </w:p>
        </w:tc>
      </w:tr>
      <w:tr>
        <w:trPr>
          <w:trHeight w:val="193"/>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24,856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30,133</w:t>
            </w: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long-term liabilities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D1EDF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Long-term deferred revenue</w:t>
            </w:r>
          </w:p>
        </w:tc>
        <w:tc>
          <w:tcPr>
            <w:tcW w:w="720" w:type="dxa"/>
            <w:vAlign w:val="bottom"/>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4,558</w:t>
            </w:r>
          </w:p>
        </w:tc>
        <w:tc>
          <w:tcPr>
            <w:tcW w:w="80" w:type="dxa"/>
            <w:vAlign w:val="bottom"/>
            <w:shd w:val="clear" w:color="auto" w:fill="D1EDF5"/>
          </w:tcPr>
          <w:p>
            <w:pPr>
              <w:spacing w:after="0"/>
              <w:rPr>
                <w:sz w:val="17"/>
                <w:szCs w:val="17"/>
                <w:color w:val="auto"/>
              </w:rPr>
            </w:pPr>
          </w:p>
        </w:tc>
        <w:tc>
          <w:tcPr>
            <w:tcW w:w="400" w:type="dxa"/>
            <w:vAlign w:val="bottom"/>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4,608</w:t>
            </w:r>
          </w:p>
        </w:tc>
      </w:tr>
      <w:tr>
        <w:trPr>
          <w:trHeight w:val="201"/>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tcBorders>
              <w:bottom w:val="single" w:sz="8" w:color="D1ED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w:t>
            </w:r>
          </w:p>
        </w:tc>
      </w:tr>
      <w:tr>
        <w:trPr>
          <w:trHeight w:val="223"/>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other long-term liabilities</w:t>
            </w:r>
          </w:p>
        </w:tc>
        <w:tc>
          <w:tcPr>
            <w:tcW w:w="720" w:type="dxa"/>
            <w:vAlign w:val="bottom"/>
            <w:tcBorders>
              <w:bottom w:val="single" w:sz="8" w:color="auto"/>
            </w:tcBorders>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4,705</w:t>
            </w:r>
          </w:p>
        </w:tc>
        <w:tc>
          <w:tcPr>
            <w:tcW w:w="80" w:type="dxa"/>
            <w:vAlign w:val="bottom"/>
            <w:tcBorders>
              <w:bottom w:val="single" w:sz="8" w:color="D1EDF5"/>
            </w:tcBorders>
            <w:shd w:val="clear" w:color="auto" w:fill="D1EDF5"/>
          </w:tcPr>
          <w:p>
            <w:pPr>
              <w:spacing w:after="0"/>
              <w:rPr>
                <w:sz w:val="18"/>
                <w:szCs w:val="18"/>
                <w:color w:val="auto"/>
              </w:rPr>
            </w:pPr>
          </w:p>
        </w:tc>
        <w:tc>
          <w:tcPr>
            <w:tcW w:w="400" w:type="dxa"/>
            <w:vAlign w:val="bottom"/>
            <w:tcBorders>
              <w:bottom w:val="single" w:sz="8" w:color="auto"/>
            </w:tcBorders>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4,755</w:t>
            </w:r>
          </w:p>
        </w:tc>
      </w:tr>
      <w:tr>
        <w:trPr>
          <w:trHeight w:val="20"/>
        </w:trPr>
        <w:tc>
          <w:tcPr>
            <w:tcW w:w="8200" w:type="dxa"/>
            <w:vAlign w:val="bottom"/>
            <w:tcBorders>
              <w:top w:val="single" w:sz="8" w:color="D1EDF5"/>
            </w:tcBorders>
          </w:tcPr>
          <w:p>
            <w:pPr>
              <w:spacing w:after="0" w:line="20" w:lineRule="exact"/>
              <w:rPr>
                <w:sz w:val="1"/>
                <w:szCs w:val="1"/>
                <w:color w:val="auto"/>
              </w:rPr>
            </w:pPr>
          </w:p>
        </w:tc>
        <w:tc>
          <w:tcPr>
            <w:tcW w:w="720" w:type="dxa"/>
            <w:vAlign w:val="bottom"/>
            <w:tcBorders>
              <w:top w:val="single" w:sz="8" w:color="D1EDF5"/>
              <w:bottom w:val="single" w:sz="8" w:color="auto"/>
            </w:tcBorders>
          </w:tcPr>
          <w:p>
            <w:pPr>
              <w:spacing w:after="0" w:line="20" w:lineRule="exact"/>
              <w:rPr>
                <w:sz w:val="1"/>
                <w:szCs w:val="1"/>
                <w:color w:val="auto"/>
              </w:rPr>
            </w:pPr>
          </w:p>
        </w:tc>
        <w:tc>
          <w:tcPr>
            <w:tcW w:w="420" w:type="dxa"/>
            <w:vAlign w:val="bottom"/>
            <w:tcBorders>
              <w:top w:val="single" w:sz="8" w:color="D1EDF5"/>
              <w:bottom w:val="single" w:sz="8" w:color="auto"/>
            </w:tcBorders>
          </w:tcPr>
          <w:p>
            <w:pPr>
              <w:spacing w:after="0" w:line="20" w:lineRule="exact"/>
              <w:rPr>
                <w:sz w:val="1"/>
                <w:szCs w:val="1"/>
                <w:color w:val="auto"/>
              </w:rPr>
            </w:pPr>
          </w:p>
        </w:tc>
        <w:tc>
          <w:tcPr>
            <w:tcW w:w="80" w:type="dxa"/>
            <w:vAlign w:val="bottom"/>
            <w:tcBorders>
              <w:top w:val="single" w:sz="8" w:color="D1EDF5"/>
            </w:tcBorders>
          </w:tcPr>
          <w:p>
            <w:pPr>
              <w:spacing w:after="0" w:line="20" w:lineRule="exact"/>
              <w:rPr>
                <w:sz w:val="1"/>
                <w:szCs w:val="1"/>
                <w:color w:val="auto"/>
              </w:rPr>
            </w:pPr>
          </w:p>
        </w:tc>
        <w:tc>
          <w:tcPr>
            <w:tcW w:w="400" w:type="dxa"/>
            <w:vAlign w:val="bottom"/>
            <w:tcBorders>
              <w:top w:val="single" w:sz="8" w:color="D1EDF5"/>
              <w:bottom w:val="single" w:sz="8" w:color="auto"/>
            </w:tcBorders>
          </w:tcPr>
          <w:p>
            <w:pPr>
              <w:spacing w:after="0" w:line="20" w:lineRule="exact"/>
              <w:rPr>
                <w:sz w:val="1"/>
                <w:szCs w:val="1"/>
                <w:color w:val="auto"/>
              </w:rPr>
            </w:pPr>
          </w:p>
        </w:tc>
        <w:tc>
          <w:tcPr>
            <w:tcW w:w="740" w:type="dxa"/>
            <w:vAlign w:val="bottom"/>
            <w:tcBorders>
              <w:top w:val="single" w:sz="8" w:color="D1EDF5"/>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firstLine="381"/>
        <w:spacing w:after="0" w:line="248" w:lineRule="auto"/>
        <w:rPr>
          <w:sz w:val="20"/>
          <w:szCs w:val="20"/>
          <w:color w:val="auto"/>
        </w:rPr>
      </w:pPr>
      <w:r>
        <w:rPr>
          <w:rFonts w:ascii="Times New Roman" w:cs="Times New Roman" w:eastAsia="Times New Roman" w:hAnsi="Times New Roman"/>
          <w:sz w:val="17"/>
          <w:szCs w:val="17"/>
          <w:color w:val="auto"/>
        </w:rPr>
        <w:t>As of December 31, 2025, of the $4.6 million long-term deferred revenue balance, $4.0 million relates to performance obligations expected to be satisfied between one and two years, and $0.6 million relates to performance obligations expected to be satisfied between two and three years from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Goodwill and Other Intangible Assets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had a goodwill balance of $3.9 million at both December 31, 2025 and 2024.</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intangible assets are comprised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0"/>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140" w:type="dxa"/>
            <w:vAlign w:val="bottom"/>
          </w:tcPr>
          <w:p>
            <w:pPr>
              <w:spacing w:after="0"/>
              <w:rPr>
                <w:sz w:val="10"/>
                <w:szCs w:val="10"/>
                <w:color w:val="auto"/>
              </w:rPr>
            </w:pPr>
          </w:p>
        </w:tc>
        <w:tc>
          <w:tcPr>
            <w:tcW w:w="108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2"/>
                <w:szCs w:val="12"/>
                <w:b w:val="1"/>
                <w:bCs w:val="1"/>
                <w:color w:val="auto"/>
              </w:rPr>
              <w:t>Net Carrying</w:t>
            </w:r>
          </w:p>
        </w:tc>
      </w:tr>
      <w:tr>
        <w:trPr>
          <w:trHeight w:val="183"/>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06"/>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Developed technologies</w:t>
            </w:r>
          </w:p>
        </w:tc>
        <w:tc>
          <w:tcPr>
            <w:tcW w:w="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3,182</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(3,182)</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6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Customer relationships</w:t>
            </w:r>
          </w:p>
        </w:tc>
        <w:tc>
          <w:tcPr>
            <w:tcW w:w="100" w:type="dxa"/>
            <w:vAlign w:val="bottom"/>
            <w:shd w:val="clear" w:color="auto" w:fill="D1EDF5"/>
          </w:tcPr>
          <w:p>
            <w:pPr>
              <w:spacing w:after="0"/>
              <w:rPr>
                <w:sz w:val="17"/>
                <w:szCs w:val="17"/>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8,500</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(8,500)</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10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6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18,377</w:t>
            </w:r>
          </w:p>
        </w:tc>
      </w:tr>
      <w:tr>
        <w:trPr>
          <w:trHeight w:val="204"/>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D1EDF5"/>
          </w:tcPr>
          <w:p>
            <w:pPr>
              <w:spacing w:after="0"/>
              <w:rPr>
                <w:sz w:val="17"/>
                <w:szCs w:val="17"/>
                <w:color w:val="auto"/>
              </w:rPr>
            </w:pPr>
          </w:p>
        </w:tc>
        <w:tc>
          <w:tcPr>
            <w:tcW w:w="10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100" w:type="dxa"/>
            <w:vAlign w:val="bottom"/>
            <w:shd w:val="clear" w:color="auto" w:fill="D1EDF5"/>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9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(3,356)</w:t>
            </w:r>
          </w:p>
        </w:tc>
        <w:tc>
          <w:tcPr>
            <w:tcW w:w="100" w:type="dxa"/>
            <w:vAlign w:val="bottom"/>
            <w:shd w:val="clear" w:color="auto" w:fill="D1EDF5"/>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378</w:t>
            </w:r>
          </w:p>
        </w:tc>
      </w:tr>
      <w:tr>
        <w:trPr>
          <w:trHeight w:val="197"/>
        </w:trPr>
        <w:tc>
          <w:tcPr>
            <w:tcW w:w="696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Total finite-lived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51,091</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18,755</w:t>
            </w:r>
          </w:p>
        </w:tc>
      </w:tr>
      <w:tr>
        <w:trPr>
          <w:trHeight w:val="20"/>
        </w:trPr>
        <w:tc>
          <w:tcPr>
            <w:tcW w:w="6960" w:type="dxa"/>
            <w:vAlign w:val="bottom"/>
            <w:tcBorders>
              <w:bottom w:val="single" w:sz="8" w:color="D1EDF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6960" w:type="dxa"/>
            <w:vAlign w:val="bottom"/>
            <w:shd w:val="clear" w:color="auto" w:fill="D1EDF5"/>
          </w:tcPr>
          <w:p>
            <w:pPr>
              <w:spacing w:after="0" w:line="169" w:lineRule="exact"/>
              <w:rPr>
                <w:sz w:val="20"/>
                <w:szCs w:val="20"/>
                <w:color w:val="auto"/>
              </w:rPr>
            </w:pPr>
            <w:r>
              <w:rPr>
                <w:rFonts w:ascii="Times New Roman" w:cs="Times New Roman" w:eastAsia="Times New Roman" w:hAnsi="Times New Roman"/>
                <w:sz w:val="15"/>
                <w:szCs w:val="15"/>
                <w:color w:val="auto"/>
              </w:rPr>
              <w:t>Indefinite-lived intangible assets:</w:t>
            </w:r>
          </w:p>
        </w:tc>
        <w:tc>
          <w:tcPr>
            <w:tcW w:w="100" w:type="dxa"/>
            <w:vAlign w:val="bottom"/>
            <w:shd w:val="clear" w:color="auto" w:fill="D1EDF5"/>
          </w:tcPr>
          <w:p>
            <w:pPr>
              <w:spacing w:after="0"/>
              <w:rPr>
                <w:sz w:val="14"/>
                <w:szCs w:val="14"/>
                <w:color w:val="auto"/>
              </w:rPr>
            </w:pPr>
          </w:p>
        </w:tc>
        <w:tc>
          <w:tcPr>
            <w:tcW w:w="1040" w:type="dxa"/>
            <w:vAlign w:val="bottom"/>
            <w:shd w:val="clear" w:color="auto" w:fill="D1EDF5"/>
          </w:tcPr>
          <w:p>
            <w:pPr>
              <w:spacing w:after="0"/>
              <w:rPr>
                <w:sz w:val="14"/>
                <w:szCs w:val="14"/>
                <w:color w:val="auto"/>
              </w:rPr>
            </w:pPr>
          </w:p>
        </w:tc>
        <w:tc>
          <w:tcPr>
            <w:tcW w:w="100" w:type="dxa"/>
            <w:vAlign w:val="bottom"/>
            <w:shd w:val="clear" w:color="auto" w:fill="D1EDF5"/>
          </w:tcPr>
          <w:p>
            <w:pPr>
              <w:spacing w:after="0"/>
              <w:rPr>
                <w:sz w:val="14"/>
                <w:szCs w:val="14"/>
                <w:color w:val="auto"/>
              </w:rPr>
            </w:pPr>
          </w:p>
        </w:tc>
        <w:tc>
          <w:tcPr>
            <w:tcW w:w="140" w:type="dxa"/>
            <w:vAlign w:val="bottom"/>
            <w:shd w:val="clear" w:color="auto" w:fill="D1EDF5"/>
          </w:tcPr>
          <w:p>
            <w:pPr>
              <w:spacing w:after="0"/>
              <w:rPr>
                <w:sz w:val="14"/>
                <w:szCs w:val="14"/>
                <w:color w:val="auto"/>
              </w:rPr>
            </w:pPr>
          </w:p>
        </w:tc>
        <w:tc>
          <w:tcPr>
            <w:tcW w:w="980" w:type="dxa"/>
            <w:vAlign w:val="bottom"/>
            <w:shd w:val="clear" w:color="auto" w:fill="D1EDF5"/>
          </w:tcPr>
          <w:p>
            <w:pPr>
              <w:spacing w:after="0"/>
              <w:rPr>
                <w:sz w:val="14"/>
                <w:szCs w:val="14"/>
                <w:color w:val="auto"/>
              </w:rPr>
            </w:pPr>
          </w:p>
        </w:tc>
        <w:tc>
          <w:tcPr>
            <w:tcW w:w="100" w:type="dxa"/>
            <w:vAlign w:val="bottom"/>
            <w:shd w:val="clear" w:color="auto" w:fill="D1EDF5"/>
          </w:tcPr>
          <w:p>
            <w:pPr>
              <w:spacing w:after="0"/>
              <w:rPr>
                <w:sz w:val="14"/>
                <w:szCs w:val="14"/>
                <w:color w:val="auto"/>
              </w:rPr>
            </w:pPr>
          </w:p>
        </w:tc>
        <w:tc>
          <w:tcPr>
            <w:tcW w:w="140" w:type="dxa"/>
            <w:vAlign w:val="bottom"/>
            <w:shd w:val="clear" w:color="auto" w:fill="D1EDF5"/>
          </w:tcPr>
          <w:p>
            <w:pPr>
              <w:spacing w:after="0"/>
              <w:rPr>
                <w:sz w:val="14"/>
                <w:szCs w:val="14"/>
                <w:color w:val="auto"/>
              </w:rPr>
            </w:pPr>
          </w:p>
        </w:tc>
        <w:tc>
          <w:tcPr>
            <w:tcW w:w="1000" w:type="dxa"/>
            <w:vAlign w:val="bottom"/>
            <w:shd w:val="clear" w:color="auto" w:fill="D1EDF5"/>
          </w:tcPr>
          <w:p>
            <w:pPr>
              <w:spacing w:after="0"/>
              <w:rPr>
                <w:sz w:val="14"/>
                <w:szCs w:val="14"/>
                <w:color w:val="auto"/>
              </w:rPr>
            </w:pPr>
          </w:p>
        </w:tc>
      </w:tr>
      <w:tr>
        <w:trPr>
          <w:trHeight w:val="201"/>
        </w:trPr>
        <w:tc>
          <w:tcPr>
            <w:tcW w:w="69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In-process capitalized software development costs</w:t>
            </w:r>
          </w:p>
        </w:tc>
        <w:tc>
          <w:tcPr>
            <w:tcW w:w="100" w:type="dxa"/>
            <w:vAlign w:val="bottom"/>
            <w:tcBorders>
              <w:bottom w:val="single" w:sz="8" w:color="D1EDF5"/>
            </w:tcBorders>
          </w:tcPr>
          <w:p>
            <w:pPr>
              <w:spacing w:after="0"/>
              <w:rPr>
                <w:sz w:val="17"/>
                <w:szCs w:val="17"/>
                <w:color w:val="auto"/>
              </w:rPr>
            </w:pPr>
          </w:p>
        </w:tc>
        <w:tc>
          <w:tcPr>
            <w:tcW w:w="104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140" w:type="dxa"/>
            <w:vAlign w:val="bottom"/>
            <w:tcBorders>
              <w:bottom w:val="single" w:sz="8" w:color="D1EDF5"/>
            </w:tcBorders>
          </w:tcPr>
          <w:p>
            <w:pPr>
              <w:spacing w:after="0"/>
              <w:rPr>
                <w:sz w:val="17"/>
                <w:szCs w:val="17"/>
                <w:color w:val="auto"/>
              </w:rPr>
            </w:pPr>
          </w:p>
        </w:tc>
        <w:tc>
          <w:tcPr>
            <w:tcW w:w="98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1,921</w:t>
            </w:r>
          </w:p>
        </w:tc>
      </w:tr>
      <w:tr>
        <w:trPr>
          <w:trHeight w:val="221"/>
        </w:trPr>
        <w:tc>
          <w:tcPr>
            <w:tcW w:w="696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intangible assets</w:t>
            </w:r>
          </w:p>
        </w:tc>
        <w:tc>
          <w:tcPr>
            <w:tcW w:w="100" w:type="dxa"/>
            <w:vAlign w:val="bottom"/>
            <w:tcBorders>
              <w:bottom w:val="single" w:sz="8" w:color="D1EDF5"/>
            </w:tcBorders>
            <w:shd w:val="clear" w:color="auto" w:fill="D1EDF5"/>
          </w:tcPr>
          <w:p>
            <w:pPr>
              <w:spacing w:after="0"/>
              <w:rPr>
                <w:sz w:val="18"/>
                <w:szCs w:val="18"/>
                <w:color w:val="auto"/>
              </w:rPr>
            </w:pPr>
          </w:p>
        </w:tc>
        <w:tc>
          <w:tcPr>
            <w:tcW w:w="1040" w:type="dxa"/>
            <w:vAlign w:val="bottom"/>
            <w:tcBorders>
              <w:bottom w:val="single" w:sz="8" w:color="D1EDF5"/>
            </w:tcBorders>
            <w:shd w:val="clear" w:color="auto" w:fill="D1EDF5"/>
          </w:tcPr>
          <w:p>
            <w:pPr>
              <w:spacing w:after="0"/>
              <w:rPr>
                <w:sz w:val="18"/>
                <w:szCs w:val="18"/>
                <w:color w:val="auto"/>
              </w:rPr>
            </w:pPr>
          </w:p>
        </w:tc>
        <w:tc>
          <w:tcPr>
            <w:tcW w:w="100" w:type="dxa"/>
            <w:vAlign w:val="bottom"/>
            <w:tcBorders>
              <w:bottom w:val="single" w:sz="8" w:color="D1EDF5"/>
            </w:tcBorders>
            <w:shd w:val="clear" w:color="auto" w:fill="D1EDF5"/>
          </w:tcPr>
          <w:p>
            <w:pPr>
              <w:spacing w:after="0"/>
              <w:rPr>
                <w:sz w:val="18"/>
                <w:szCs w:val="18"/>
                <w:color w:val="auto"/>
              </w:rPr>
            </w:pPr>
          </w:p>
        </w:tc>
        <w:tc>
          <w:tcPr>
            <w:tcW w:w="140" w:type="dxa"/>
            <w:vAlign w:val="bottom"/>
            <w:tcBorders>
              <w:bottom w:val="single" w:sz="8" w:color="D1EDF5"/>
            </w:tcBorders>
            <w:shd w:val="clear" w:color="auto" w:fill="D1EDF5"/>
          </w:tcPr>
          <w:p>
            <w:pPr>
              <w:spacing w:after="0"/>
              <w:rPr>
                <w:sz w:val="18"/>
                <w:szCs w:val="18"/>
                <w:color w:val="auto"/>
              </w:rPr>
            </w:pPr>
          </w:p>
        </w:tc>
        <w:tc>
          <w:tcPr>
            <w:tcW w:w="980" w:type="dxa"/>
            <w:vAlign w:val="bottom"/>
            <w:tcBorders>
              <w:bottom w:val="single" w:sz="8" w:color="D1EDF5"/>
            </w:tcBorders>
            <w:shd w:val="clear" w:color="auto" w:fill="D1EDF5"/>
          </w:tcPr>
          <w:p>
            <w:pPr>
              <w:spacing w:after="0"/>
              <w:rPr>
                <w:sz w:val="18"/>
                <w:szCs w:val="18"/>
                <w:color w:val="auto"/>
              </w:rPr>
            </w:pPr>
          </w:p>
        </w:tc>
        <w:tc>
          <w:tcPr>
            <w:tcW w:w="100" w:type="dxa"/>
            <w:vAlign w:val="bottom"/>
            <w:tcBorders>
              <w:bottom w:val="single" w:sz="8" w:color="D1EDF5"/>
            </w:tcBorders>
            <w:shd w:val="clear" w:color="auto" w:fill="D1EDF5"/>
          </w:tcPr>
          <w:p>
            <w:pPr>
              <w:spacing w:after="0"/>
              <w:rPr>
                <w:sz w:val="18"/>
                <w:szCs w:val="18"/>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20,676</w:t>
            </w:r>
          </w:p>
        </w:tc>
      </w:tr>
      <w:tr>
        <w:trPr>
          <w:trHeight w:val="20"/>
        </w:trPr>
        <w:tc>
          <w:tcPr>
            <w:tcW w:w="696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04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tcBorders>
          </w:tcPr>
          <w:p>
            <w:pPr>
              <w:spacing w:after="0" w:line="20" w:lineRule="exact"/>
              <w:rPr>
                <w:sz w:val="1"/>
                <w:szCs w:val="1"/>
                <w:color w:val="auto"/>
              </w:rPr>
            </w:pPr>
          </w:p>
        </w:tc>
        <w:tc>
          <w:tcPr>
            <w:tcW w:w="98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bottom w:val="single" w:sz="8" w:color="auto"/>
            </w:tcBorders>
          </w:tcPr>
          <w:p>
            <w:pPr>
              <w:spacing w:after="0" w:line="20" w:lineRule="exact"/>
              <w:rPr>
                <w:sz w:val="1"/>
                <w:szCs w:val="1"/>
                <w:color w:val="auto"/>
              </w:rPr>
            </w:pPr>
          </w:p>
        </w:tc>
        <w:tc>
          <w:tcPr>
            <w:tcW w:w="1000" w:type="dxa"/>
            <w:vAlign w:val="bottom"/>
            <w:tcBorders>
              <w:top w:val="single" w:sz="8" w:color="D1EDF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60"/>
          </w:cols>
          <w:pgMar w:left="840" w:top="568" w:right="8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74295</wp:posOffset>
            </wp:positionV>
            <wp:extent cx="67348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December 31, 2024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1"/>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right"/>
              <w:ind w:right="106"/>
              <w:spacing w:after="0" w:line="121" w:lineRule="exact"/>
              <w:rPr>
                <w:sz w:val="20"/>
                <w:szCs w:val="20"/>
                <w:color w:val="auto"/>
              </w:rPr>
            </w:pPr>
            <w:r>
              <w:rPr>
                <w:rFonts w:ascii="Times New Roman" w:cs="Times New Roman" w:eastAsia="Times New Roman" w:hAnsi="Times New Roman"/>
                <w:sz w:val="12"/>
                <w:szCs w:val="12"/>
                <w:b w:val="1"/>
                <w:bCs w:val="1"/>
                <w:color w:val="auto"/>
              </w:rPr>
              <w:t>Net Carrying</w:t>
            </w:r>
          </w:p>
        </w:tc>
      </w:tr>
      <w:tr>
        <w:trPr>
          <w:trHeight w:val="182"/>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140" w:type="dxa"/>
            <w:vAlign w:val="bottom"/>
          </w:tcPr>
          <w:p>
            <w:pPr>
              <w:spacing w:after="0"/>
              <w:rPr>
                <w:sz w:val="15"/>
                <w:szCs w:val="15"/>
                <w:color w:val="auto"/>
              </w:rPr>
            </w:pPr>
          </w:p>
        </w:tc>
        <w:tc>
          <w:tcPr>
            <w:tcW w:w="100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06"/>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00" w:type="dxa"/>
            <w:vAlign w:val="bottom"/>
            <w:shd w:val="clear" w:color="auto" w:fill="D1EDF5"/>
          </w:tcPr>
          <w:p>
            <w:pPr>
              <w:spacing w:after="0"/>
              <w:rPr>
                <w:sz w:val="17"/>
                <w:szCs w:val="17"/>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(4,588)</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10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1"/>
        </w:trPr>
        <w:tc>
          <w:tcPr>
            <w:tcW w:w="69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Customer relationships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w:t>
            </w:r>
          </w:p>
        </w:tc>
      </w:tr>
      <w:tr>
        <w:trPr>
          <w:trHeight w:val="206"/>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100" w:type="dxa"/>
            <w:vAlign w:val="bottom"/>
            <w:shd w:val="clear" w:color="auto" w:fill="D1EDF5"/>
          </w:tcPr>
          <w:p>
            <w:pPr>
              <w:spacing w:after="0"/>
              <w:rPr>
                <w:sz w:val="17"/>
                <w:szCs w:val="17"/>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31,620</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9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(14,424)</w:t>
            </w: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10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17,196</w:t>
            </w:r>
          </w:p>
        </w:tc>
      </w:tr>
      <w:tr>
        <w:trPr>
          <w:trHeight w:val="201"/>
        </w:trPr>
        <w:tc>
          <w:tcPr>
            <w:tcW w:w="69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100" w:type="dxa"/>
            <w:vAlign w:val="bottom"/>
            <w:tcBorders>
              <w:bottom w:val="single" w:sz="8" w:color="D1EDF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(3,067)</w:t>
            </w:r>
          </w:p>
        </w:tc>
        <w:tc>
          <w:tcPr>
            <w:tcW w:w="100" w:type="dxa"/>
            <w:vAlign w:val="bottom"/>
            <w:tcBorders>
              <w:bottom w:val="single" w:sz="8" w:color="D1EDF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w:t>
            </w:r>
          </w:p>
        </w:tc>
      </w:tr>
      <w:tr>
        <w:trPr>
          <w:trHeight w:val="283"/>
        </w:trPr>
        <w:tc>
          <w:tcPr>
            <w:tcW w:w="6960" w:type="dxa"/>
            <w:vAlign w:val="bottom"/>
            <w:tcBorders>
              <w:bottom w:val="single" w:sz="8" w:color="D1EDF5"/>
            </w:tcBorders>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Total finite-lived intangible assets</w:t>
            </w:r>
          </w:p>
        </w:tc>
        <w:tc>
          <w:tcPr>
            <w:tcW w:w="1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51,736</w:t>
            </w:r>
          </w:p>
        </w:tc>
        <w:tc>
          <w:tcPr>
            <w:tcW w:w="1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(33,558)</w:t>
            </w:r>
          </w:p>
        </w:tc>
        <w:tc>
          <w:tcPr>
            <w:tcW w:w="100" w:type="dxa"/>
            <w:vAlign w:val="bottom"/>
            <w:tcBorders>
              <w:bottom w:val="single" w:sz="8" w:color="D1EDF5"/>
            </w:tcBorders>
            <w:shd w:val="clear" w:color="auto" w:fill="D1EDF5"/>
          </w:tcPr>
          <w:p>
            <w:pPr>
              <w:spacing w:after="0"/>
              <w:rPr>
                <w:sz w:val="24"/>
                <w:szCs w:val="24"/>
                <w:color w:val="auto"/>
              </w:rPr>
            </w:pPr>
          </w:p>
        </w:tc>
        <w:tc>
          <w:tcPr>
            <w:tcW w:w="140" w:type="dxa"/>
            <w:vAlign w:val="bottom"/>
            <w:tcBorders>
              <w:bottom w:val="single" w:sz="8" w:color="D1EDF5"/>
            </w:tcBorders>
            <w:shd w:val="clear" w:color="auto" w:fill="D1EDF5"/>
          </w:tcPr>
          <w:p>
            <w:pPr>
              <w:spacing w:after="0"/>
              <w:rPr>
                <w:sz w:val="24"/>
                <w:szCs w:val="24"/>
                <w:color w:val="auto"/>
              </w:rPr>
            </w:pPr>
          </w:p>
        </w:tc>
        <w:tc>
          <w:tcPr>
            <w:tcW w:w="1000" w:type="dxa"/>
            <w:vAlign w:val="bottom"/>
            <w:tcBorders>
              <w:bottom w:val="single" w:sz="8" w:color="D1EDF5"/>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18,178</w:t>
            </w:r>
          </w:p>
        </w:tc>
      </w:tr>
      <w:tr>
        <w:trPr>
          <w:trHeight w:val="126"/>
        </w:trPr>
        <w:tc>
          <w:tcPr>
            <w:tcW w:w="6960" w:type="dxa"/>
            <w:vAlign w:val="bottom"/>
            <w:tcBorders>
              <w:top w:val="single" w:sz="8" w:color="D1EDF5"/>
            </w:tcBorders>
          </w:tcPr>
          <w:p>
            <w:pPr>
              <w:spacing w:after="0" w:line="127"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D1EDF5"/>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D1EDF5"/>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r>
        <w:trPr>
          <w:trHeight w:val="206"/>
        </w:trPr>
        <w:tc>
          <w:tcPr>
            <w:tcW w:w="69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In-process capitalized software development costs</w:t>
            </w:r>
          </w:p>
        </w:tc>
        <w:tc>
          <w:tcPr>
            <w:tcW w:w="100" w:type="dxa"/>
            <w:vAlign w:val="bottom"/>
            <w:shd w:val="clear" w:color="auto" w:fill="D1EDF5"/>
          </w:tcPr>
          <w:p>
            <w:pPr>
              <w:spacing w:after="0"/>
              <w:rPr>
                <w:sz w:val="17"/>
                <w:szCs w:val="17"/>
                <w:color w:val="auto"/>
              </w:rPr>
            </w:pPr>
          </w:p>
        </w:tc>
        <w:tc>
          <w:tcPr>
            <w:tcW w:w="104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40" w:type="dxa"/>
            <w:vAlign w:val="bottom"/>
            <w:shd w:val="clear" w:color="auto" w:fill="D1EDF5"/>
          </w:tcPr>
          <w:p>
            <w:pPr>
              <w:spacing w:after="0"/>
              <w:rPr>
                <w:sz w:val="17"/>
                <w:szCs w:val="17"/>
                <w:color w:val="auto"/>
              </w:rPr>
            </w:pPr>
          </w:p>
        </w:tc>
        <w:tc>
          <w:tcPr>
            <w:tcW w:w="98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40" w:type="dxa"/>
            <w:vAlign w:val="bottom"/>
            <w:tcBorders>
              <w:bottom w:val="single" w:sz="8" w:color="auto"/>
            </w:tcBorders>
            <w:shd w:val="clear" w:color="auto" w:fill="D1EDF5"/>
          </w:tcPr>
          <w:p>
            <w:pPr>
              <w:spacing w:after="0"/>
              <w:rPr>
                <w:sz w:val="17"/>
                <w:szCs w:val="17"/>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569</w:t>
            </w:r>
          </w:p>
        </w:tc>
      </w:tr>
      <w:tr>
        <w:trPr>
          <w:trHeight w:val="193"/>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Total intangible assets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18,747</w:t>
            </w:r>
          </w:p>
        </w:tc>
      </w:tr>
      <w:tr>
        <w:trPr>
          <w:trHeight w:val="21"/>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80" w:firstLine="381"/>
        <w:spacing w:after="0" w:line="248" w:lineRule="auto"/>
        <w:rPr>
          <w:sz w:val="20"/>
          <w:szCs w:val="20"/>
          <w:color w:val="auto"/>
        </w:rPr>
      </w:pPr>
      <w:r>
        <w:rPr>
          <w:rFonts w:ascii="Times New Roman" w:cs="Times New Roman" w:eastAsia="Times New Roman" w:hAnsi="Times New Roman"/>
          <w:sz w:val="17"/>
          <w:szCs w:val="17"/>
          <w:color w:val="auto"/>
        </w:rPr>
        <w:t>Amortization expense for the years ended December 31, 2025 and 2024 was approximately $7.8 million and $11.1 million, respectively, including approximately $7.2 million and $9.6 million related to capitalized software development costs for the years ended December 31, 2025 and 2024, respectively.</w:t>
      </w:r>
    </w:p>
    <w:p>
      <w:pPr>
        <w:spacing w:after="0" w:line="131" w:lineRule="exact"/>
        <w:rPr>
          <w:sz w:val="20"/>
          <w:szCs w:val="20"/>
          <w:color w:val="auto"/>
        </w:rPr>
      </w:pPr>
    </w:p>
    <w:p>
      <w:pPr>
        <w:ind w:right="560" w:firstLine="381"/>
        <w:spacing w:after="0" w:line="262" w:lineRule="auto"/>
        <w:rPr>
          <w:sz w:val="20"/>
          <w:szCs w:val="20"/>
          <w:color w:val="auto"/>
        </w:rPr>
      </w:pPr>
      <w:r>
        <w:rPr>
          <w:rFonts w:ascii="Times New Roman" w:cs="Times New Roman" w:eastAsia="Times New Roman" w:hAnsi="Times New Roman"/>
          <w:sz w:val="17"/>
          <w:szCs w:val="17"/>
          <w:color w:val="auto"/>
        </w:rPr>
        <w:t>For the years ended December 31, 2025 and 2024, the Company recorded $0.4 million and $0.9 million, respectively, of impairment losses on intangible assets related to capitalized software.</w:t>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represents details of the amortization of finite-lived intangible assets that is estimated to be expensed in the future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2026</w:t>
            </w:r>
          </w:p>
        </w:tc>
        <w:tc>
          <w:tcPr>
            <w:tcW w:w="380" w:type="dxa"/>
            <w:vAlign w:val="bottom"/>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6,223</w:t>
            </w:r>
          </w:p>
        </w:tc>
      </w:tr>
      <w:tr>
        <w:trPr>
          <w:trHeight w:val="201"/>
        </w:trPr>
        <w:tc>
          <w:tcPr>
            <w:tcW w:w="93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5,170</w:t>
            </w:r>
          </w:p>
        </w:tc>
      </w:tr>
      <w:tr>
        <w:trPr>
          <w:trHeight w:val="206"/>
        </w:trPr>
        <w:tc>
          <w:tcPr>
            <w:tcW w:w="9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2028</w:t>
            </w:r>
          </w:p>
        </w:tc>
        <w:tc>
          <w:tcPr>
            <w:tcW w:w="380" w:type="dxa"/>
            <w:vAlign w:val="bottom"/>
            <w:shd w:val="clear" w:color="auto" w:fill="D1EDF5"/>
          </w:tcPr>
          <w:p>
            <w:pPr>
              <w:spacing w:after="0"/>
              <w:rPr>
                <w:sz w:val="17"/>
                <w:szCs w:val="17"/>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4,232</w:t>
            </w:r>
          </w:p>
        </w:tc>
      </w:tr>
      <w:tr>
        <w:trPr>
          <w:trHeight w:val="201"/>
        </w:trPr>
        <w:tc>
          <w:tcPr>
            <w:tcW w:w="938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w:t>
            </w:r>
          </w:p>
        </w:tc>
      </w:tr>
      <w:tr>
        <w:trPr>
          <w:trHeight w:val="206"/>
        </w:trPr>
        <w:tc>
          <w:tcPr>
            <w:tcW w:w="9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2030</w:t>
            </w:r>
          </w:p>
        </w:tc>
        <w:tc>
          <w:tcPr>
            <w:tcW w:w="380" w:type="dxa"/>
            <w:vAlign w:val="bottom"/>
            <w:shd w:val="clear" w:color="auto" w:fill="D1EDF5"/>
          </w:tcPr>
          <w:p>
            <w:pPr>
              <w:spacing w:after="0"/>
              <w:rPr>
                <w:sz w:val="17"/>
                <w:szCs w:val="17"/>
                <w:color w:val="auto"/>
              </w:rPr>
            </w:pPr>
          </w:p>
        </w:tc>
        <w:tc>
          <w:tcPr>
            <w:tcW w:w="7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525</w:t>
            </w:r>
          </w:p>
        </w:tc>
      </w:tr>
      <w:tr>
        <w:trPr>
          <w:trHeight w:val="201"/>
        </w:trPr>
        <w:tc>
          <w:tcPr>
            <w:tcW w:w="93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93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w:t>
            </w:r>
          </w:p>
        </w:tc>
        <w:tc>
          <w:tcPr>
            <w:tcW w:w="380" w:type="dxa"/>
            <w:vAlign w:val="bottom"/>
            <w:tcBorders>
              <w:bottom w:val="single" w:sz="8" w:color="auto"/>
            </w:tcBorders>
            <w:shd w:val="clear" w:color="auto" w:fill="D1EDF5"/>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18,755</w:t>
            </w:r>
          </w:p>
        </w:tc>
      </w:tr>
      <w:tr>
        <w:trPr>
          <w:trHeight w:val="20"/>
        </w:trPr>
        <w:tc>
          <w:tcPr>
            <w:tcW w:w="9380" w:type="dxa"/>
            <w:vAlign w:val="bottom"/>
            <w:tcBorders>
              <w:top w:val="single" w:sz="8" w:color="D1EDF5"/>
            </w:tcBorders>
          </w:tcPr>
          <w:p>
            <w:pPr>
              <w:spacing w:after="0" w:line="20" w:lineRule="exact"/>
              <w:rPr>
                <w:sz w:val="1"/>
                <w:szCs w:val="1"/>
                <w:color w:val="auto"/>
              </w:rPr>
            </w:pPr>
          </w:p>
        </w:tc>
        <w:tc>
          <w:tcPr>
            <w:tcW w:w="380" w:type="dxa"/>
            <w:vAlign w:val="bottom"/>
            <w:tcBorders>
              <w:top w:val="single" w:sz="8" w:color="D1EDF5"/>
              <w:bottom w:val="single" w:sz="8" w:color="auto"/>
            </w:tcBorders>
          </w:tcPr>
          <w:p>
            <w:pPr>
              <w:spacing w:after="0" w:line="20" w:lineRule="exact"/>
              <w:rPr>
                <w:sz w:val="1"/>
                <w:szCs w:val="1"/>
                <w:color w:val="auto"/>
              </w:rPr>
            </w:pPr>
          </w:p>
        </w:tc>
        <w:tc>
          <w:tcPr>
            <w:tcW w:w="760" w:type="dxa"/>
            <w:vAlign w:val="bottom"/>
            <w:tcBorders>
              <w:top w:val="single" w:sz="8" w:color="D1EDF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Fair Value Measurements</w:t>
      </w:r>
    </w:p>
    <w:p>
      <w:pPr>
        <w:spacing w:after="0" w:line="151" w:lineRule="exact"/>
        <w:rPr>
          <w:sz w:val="20"/>
          <w:szCs w:val="20"/>
          <w:color w:val="auto"/>
        </w:rPr>
      </w:pPr>
    </w:p>
    <w:p>
      <w:pPr>
        <w:ind w:right="160" w:firstLine="381"/>
        <w:spacing w:after="0" w:line="278" w:lineRule="auto"/>
        <w:rPr>
          <w:sz w:val="20"/>
          <w:szCs w:val="20"/>
          <w:color w:val="auto"/>
        </w:rPr>
      </w:pPr>
      <w:r>
        <w:rPr>
          <w:rFonts w:ascii="Times New Roman" w:cs="Times New Roman" w:eastAsia="Times New Roman" w:hAnsi="Times New Roman"/>
          <w:sz w:val="17"/>
          <w:szCs w:val="17"/>
          <w:color w:val="auto"/>
        </w:rPr>
        <w:t>The following table sets forth the fair value of the financial assets and liabilities measured on a recurring basis and indicates the fair value hierarchy utilized to determine such fair value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Pr>
          <w:p>
            <w:pPr>
              <w:spacing w:after="0"/>
              <w:rPr>
                <w:sz w:val="15"/>
                <w:szCs w:val="15"/>
                <w:color w:val="auto"/>
              </w:rPr>
            </w:pPr>
          </w:p>
        </w:tc>
      </w:tr>
      <w:tr>
        <w:trPr>
          <w:trHeight w:val="24"/>
        </w:trPr>
        <w:tc>
          <w:tcPr>
            <w:tcW w:w="53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7"/>
        </w:trPr>
        <w:tc>
          <w:tcPr>
            <w:tcW w:w="5340" w:type="dxa"/>
            <w:vAlign w:val="bottom"/>
          </w:tcPr>
          <w:p>
            <w:pPr>
              <w:spacing w:after="0"/>
              <w:rPr>
                <w:sz w:val="15"/>
                <w:szCs w:val="15"/>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340" w:type="dxa"/>
            <w:vAlign w:val="bottom"/>
            <w:tcBorders>
              <w:top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120" w:type="dxa"/>
            <w:vAlign w:val="bottom"/>
            <w:tcBorders>
              <w:top w:val="single" w:sz="8" w:color="auto"/>
            </w:tcBorders>
            <w:shd w:val="clear" w:color="auto" w:fill="D1EDF5"/>
          </w:tcPr>
          <w:p>
            <w:pPr>
              <w:spacing w:after="0"/>
              <w:rPr>
                <w:sz w:val="16"/>
                <w:szCs w:val="16"/>
                <w:color w:val="auto"/>
              </w:rPr>
            </w:pPr>
          </w:p>
        </w:tc>
        <w:tc>
          <w:tcPr>
            <w:tcW w:w="80" w:type="dxa"/>
            <w:vAlign w:val="bottom"/>
            <w:tcBorders>
              <w:top w:val="single" w:sz="8" w:color="D1EDF5"/>
            </w:tcBorders>
            <w:shd w:val="clear" w:color="auto" w:fill="D1EDF5"/>
          </w:tcPr>
          <w:p>
            <w:pPr>
              <w:spacing w:after="0"/>
              <w:rPr>
                <w:sz w:val="16"/>
                <w:szCs w:val="16"/>
                <w:color w:val="auto"/>
              </w:rPr>
            </w:pPr>
          </w:p>
        </w:tc>
        <w:tc>
          <w:tcPr>
            <w:tcW w:w="1120" w:type="dxa"/>
            <w:vAlign w:val="bottom"/>
            <w:tcBorders>
              <w:top w:val="single" w:sz="8" w:color="auto"/>
            </w:tcBorders>
            <w:shd w:val="clear" w:color="auto" w:fill="D1EDF5"/>
          </w:tcPr>
          <w:p>
            <w:pPr>
              <w:spacing w:after="0"/>
              <w:rPr>
                <w:sz w:val="16"/>
                <w:szCs w:val="16"/>
                <w:color w:val="auto"/>
              </w:rPr>
            </w:pPr>
          </w:p>
        </w:tc>
        <w:tc>
          <w:tcPr>
            <w:tcW w:w="100" w:type="dxa"/>
            <w:vAlign w:val="bottom"/>
            <w:tcBorders>
              <w:top w:val="single" w:sz="8" w:color="D1EDF5"/>
            </w:tcBorders>
            <w:shd w:val="clear" w:color="auto" w:fill="D1EDF5"/>
          </w:tcPr>
          <w:p>
            <w:pPr>
              <w:spacing w:after="0"/>
              <w:rPr>
                <w:sz w:val="16"/>
                <w:szCs w:val="16"/>
                <w:color w:val="auto"/>
              </w:rPr>
            </w:pPr>
          </w:p>
        </w:tc>
        <w:tc>
          <w:tcPr>
            <w:tcW w:w="1100" w:type="dxa"/>
            <w:vAlign w:val="bottom"/>
            <w:tcBorders>
              <w:top w:val="single" w:sz="8" w:color="auto"/>
            </w:tcBorders>
            <w:shd w:val="clear" w:color="auto" w:fill="D1EDF5"/>
          </w:tcPr>
          <w:p>
            <w:pPr>
              <w:spacing w:after="0"/>
              <w:rPr>
                <w:sz w:val="16"/>
                <w:szCs w:val="16"/>
                <w:color w:val="auto"/>
              </w:rPr>
            </w:pPr>
          </w:p>
        </w:tc>
        <w:tc>
          <w:tcPr>
            <w:tcW w:w="100" w:type="dxa"/>
            <w:vAlign w:val="bottom"/>
            <w:tcBorders>
              <w:top w:val="single" w:sz="8" w:color="D1EDF5"/>
            </w:tcBorders>
            <w:shd w:val="clear" w:color="auto" w:fill="D1EDF5"/>
          </w:tcPr>
          <w:p>
            <w:pPr>
              <w:spacing w:after="0"/>
              <w:rPr>
                <w:sz w:val="16"/>
                <w:szCs w:val="16"/>
                <w:color w:val="auto"/>
              </w:rPr>
            </w:pPr>
          </w:p>
        </w:tc>
        <w:tc>
          <w:tcPr>
            <w:tcW w:w="1120" w:type="dxa"/>
            <w:vAlign w:val="bottom"/>
            <w:tcBorders>
              <w:top w:val="single" w:sz="8" w:color="auto"/>
            </w:tcBorders>
            <w:shd w:val="clear" w:color="auto" w:fill="D1EDF5"/>
          </w:tcPr>
          <w:p>
            <w:pPr>
              <w:spacing w:after="0"/>
              <w:rPr>
                <w:sz w:val="16"/>
                <w:szCs w:val="16"/>
                <w:color w:val="auto"/>
              </w:rPr>
            </w:pPr>
          </w:p>
        </w:tc>
      </w:tr>
      <w:tr>
        <w:trPr>
          <w:trHeight w:val="201"/>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340" w:type="dxa"/>
            <w:vAlign w:val="bottom"/>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Money market funds</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17,737</w:t>
            </w:r>
          </w:p>
        </w:tc>
        <w:tc>
          <w:tcPr>
            <w:tcW w:w="80" w:type="dxa"/>
            <w:vAlign w:val="bottom"/>
            <w:shd w:val="clear" w:color="auto" w:fill="D1EDF5"/>
          </w:tcPr>
          <w:p>
            <w:pPr>
              <w:spacing w:after="0"/>
              <w:rPr>
                <w:sz w:val="17"/>
                <w:szCs w:val="17"/>
                <w:color w:val="auto"/>
              </w:rPr>
            </w:pPr>
          </w:p>
        </w:tc>
        <w:tc>
          <w:tcPr>
            <w:tcW w:w="1120" w:type="dxa"/>
            <w:vAlign w:val="bottom"/>
            <w:tcBorders>
              <w:bottom w:val="single" w:sz="8" w:color="auto"/>
            </w:tcBorders>
            <w:shd w:val="clear" w:color="auto" w:fill="D1EDF5"/>
          </w:tcPr>
          <w:p>
            <w:pPr>
              <w:ind w:left="640"/>
              <w:spacing w:after="0"/>
              <w:rPr>
                <w:sz w:val="20"/>
                <w:szCs w:val="20"/>
                <w:color w:val="auto"/>
              </w:rPr>
            </w:pPr>
            <w:r>
              <w:rPr>
                <w:rFonts w:ascii="Times New Roman" w:cs="Times New Roman" w:eastAsia="Times New Roman" w:hAnsi="Times New Roman"/>
                <w:sz w:val="15"/>
                <w:szCs w:val="15"/>
                <w:color w:val="auto"/>
              </w:rPr>
              <w:t>17,737</w:t>
            </w:r>
          </w:p>
        </w:tc>
        <w:tc>
          <w:tcPr>
            <w:tcW w:w="100" w:type="dxa"/>
            <w:vAlign w:val="bottom"/>
            <w:shd w:val="clear" w:color="auto" w:fill="D1EDF5"/>
          </w:tcPr>
          <w:p>
            <w:pPr>
              <w:spacing w:after="0"/>
              <w:rPr>
                <w:sz w:val="17"/>
                <w:szCs w:val="17"/>
                <w:color w:val="auto"/>
              </w:rPr>
            </w:pPr>
          </w:p>
        </w:tc>
        <w:tc>
          <w:tcPr>
            <w:tcW w:w="1100" w:type="dxa"/>
            <w:vAlign w:val="bottom"/>
            <w:tcBorders>
              <w:bottom w:val="single" w:sz="8" w:color="auto"/>
            </w:tcBorders>
            <w:shd w:val="clear" w:color="auto" w:fill="D1EDF5"/>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1EDF5"/>
          </w:tcPr>
          <w:p>
            <w:pPr>
              <w:spacing w:after="0"/>
              <w:rPr>
                <w:sz w:val="17"/>
                <w:szCs w:val="17"/>
                <w:color w:val="auto"/>
              </w:rPr>
            </w:pPr>
          </w:p>
        </w:tc>
        <w:tc>
          <w:tcPr>
            <w:tcW w:w="1120" w:type="dxa"/>
            <w:vAlign w:val="bottom"/>
            <w:tcBorders>
              <w:bottom w:val="single" w:sz="8" w:color="auto"/>
            </w:tcBorders>
            <w:shd w:val="clear" w:color="auto" w:fill="D1EDF5"/>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340" w:type="dxa"/>
            <w:vAlign w:val="bottom"/>
          </w:tcPr>
          <w:p>
            <w:pPr>
              <w:spacing w:after="0"/>
              <w:rPr>
                <w:sz w:val="20"/>
                <w:szCs w:val="20"/>
                <w:color w:val="auto"/>
              </w:rPr>
            </w:pPr>
            <w:r>
              <w:rPr>
                <w:rFonts w:ascii="Times New Roman" w:cs="Times New Roman" w:eastAsia="Times New Roman" w:hAnsi="Times New Roman"/>
                <w:sz w:val="15"/>
                <w:szCs w:val="15"/>
                <w:color w:val="auto"/>
              </w:rPr>
              <w:t>Total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17,737</w:t>
            </w:r>
          </w:p>
        </w:tc>
        <w:tc>
          <w:tcPr>
            <w:tcW w:w="80" w:type="dxa"/>
            <w:vAlign w:val="bottom"/>
          </w:tcPr>
          <w:p>
            <w:pPr>
              <w:spacing w:after="0"/>
              <w:rPr>
                <w:sz w:val="17"/>
                <w:szCs w:val="17"/>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17,737</w:t>
            </w:r>
          </w:p>
        </w:tc>
        <w:tc>
          <w:tcPr>
            <w:tcW w:w="100" w:type="dxa"/>
            <w:vAlign w:val="bottom"/>
          </w:tcPr>
          <w:p>
            <w:pPr>
              <w:spacing w:after="0"/>
              <w:rPr>
                <w:sz w:val="17"/>
                <w:szCs w:val="17"/>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 transfers between levels occurred during the years ended December 31, 2025 or December 31, 2024.</w:t>
      </w:r>
    </w:p>
    <w:p>
      <w:pPr>
        <w:spacing w:after="0" w:line="143" w:lineRule="exact"/>
        <w:rPr>
          <w:sz w:val="20"/>
          <w:szCs w:val="20"/>
          <w:color w:val="auto"/>
        </w:rPr>
      </w:pPr>
    </w:p>
    <w:p>
      <w:pPr>
        <w:ind w:right="120" w:firstLine="381"/>
        <w:spacing w:after="0" w:line="250" w:lineRule="auto"/>
        <w:rPr>
          <w:sz w:val="20"/>
          <w:szCs w:val="20"/>
          <w:color w:val="auto"/>
        </w:rPr>
      </w:pPr>
      <w:r>
        <w:rPr>
          <w:rFonts w:ascii="Times New Roman" w:cs="Times New Roman" w:eastAsia="Times New Roman" w:hAnsi="Times New Roman"/>
          <w:sz w:val="17"/>
          <w:szCs w:val="17"/>
          <w:color w:val="auto"/>
        </w:rPr>
        <w:t xml:space="preserve">The Company also had an interest make-whole payment derivative liability on its 2025 Convertible Notes (as defined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that was measured at fair value on a recurring basis prior to the maturity and full repayment of the 2025 Convertible Notes on May 1, 2025. The fair value of that liability was zero as of December 31, 2024. The interest make-whole payment derivative liability was a Level 3 instrument and was valued using a Monte Carlo model.</w:t>
      </w:r>
    </w:p>
    <w:p>
      <w:pPr>
        <w:spacing w:after="0" w:line="117" w:lineRule="exact"/>
        <w:rPr>
          <w:sz w:val="20"/>
          <w:szCs w:val="20"/>
          <w:color w:val="auto"/>
        </w:rPr>
      </w:pPr>
    </w:p>
    <w:p>
      <w:pPr>
        <w:ind w:right="120" w:firstLine="381"/>
        <w:spacing w:after="0" w:line="256" w:lineRule="auto"/>
        <w:rPr>
          <w:sz w:val="20"/>
          <w:szCs w:val="20"/>
          <w:color w:val="auto"/>
        </w:rPr>
      </w:pPr>
      <w:r>
        <w:rPr>
          <w:rFonts w:ascii="Times New Roman" w:cs="Times New Roman" w:eastAsia="Times New Roman" w:hAnsi="Times New Roman"/>
          <w:sz w:val="17"/>
          <w:szCs w:val="17"/>
          <w:color w:val="auto"/>
        </w:rPr>
        <w:t>During the years ended December 31, 2025 and December 31, 2024, there were no conversions of the 2025 Convertible Notes into shares of the Company’s common stock. There were also no changes in the fair value of the interest make-whole liability during the years ended December 31, 2025 or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Financial Instruments</w:t>
      </w:r>
    </w:p>
    <w:p>
      <w:pPr>
        <w:spacing w:after="0" w:line="164" w:lineRule="exact"/>
        <w:rPr>
          <w:sz w:val="20"/>
          <w:szCs w:val="20"/>
          <w:color w:val="auto"/>
        </w:rPr>
      </w:pPr>
    </w:p>
    <w:p>
      <w:pPr>
        <w:ind w:right="200" w:firstLine="381"/>
        <w:spacing w:after="0" w:line="248" w:lineRule="auto"/>
        <w:rPr>
          <w:sz w:val="20"/>
          <w:szCs w:val="20"/>
          <w:color w:val="auto"/>
        </w:rPr>
      </w:pPr>
      <w:r>
        <w:rPr>
          <w:rFonts w:ascii="Times New Roman" w:cs="Times New Roman" w:eastAsia="Times New Roman" w:hAnsi="Times New Roman"/>
          <w:sz w:val="17"/>
          <w:szCs w:val="17"/>
          <w:color w:val="auto"/>
        </w:rPr>
        <w:t xml:space="preserve">The carrying values of the Company’s other financial assets and liabilities approximate their fair values because of their short-term nature, with the exception of the 2029 Senior Secured Notes (as defined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and 2025 Convertible Notes. The 2029 Senior Secured Notes and 2025 Convertible Notes are carried at amortized cost, with the 2025 Convertible notes being adjusted for changes in fair value of the embedded interest make-whole payment derivative.</w:t>
      </w:r>
    </w:p>
    <w:p>
      <w:pPr>
        <w:spacing w:after="0" w:line="119" w:lineRule="exact"/>
        <w:rPr>
          <w:sz w:val="20"/>
          <w:szCs w:val="20"/>
          <w:color w:val="auto"/>
        </w:rPr>
      </w:pPr>
    </w:p>
    <w:p>
      <w:pPr>
        <w:ind w:right="40" w:firstLine="381"/>
        <w:spacing w:after="0" w:line="244" w:lineRule="auto"/>
        <w:rPr>
          <w:sz w:val="20"/>
          <w:szCs w:val="20"/>
          <w:color w:val="auto"/>
        </w:rPr>
      </w:pPr>
      <w:r>
        <w:rPr>
          <w:rFonts w:ascii="Times New Roman" w:cs="Times New Roman" w:eastAsia="Times New Roman" w:hAnsi="Times New Roman"/>
          <w:sz w:val="17"/>
          <w:szCs w:val="17"/>
          <w:color w:val="auto"/>
        </w:rPr>
        <w:t>As detailed in Note 6 – Debt below, the 2029 Senior Secured Notes were initially recorded upon issuance on November 6, 2024 at fair value. The fair value of the 2029 Senior Secured Notes was determined based on a discounted cash flow model, which represents a Level 3 measurement. The fair value was estimated using probability-weighted scenarios which include assumptions that are highly subjective and required judgment regarding significant matters, such as the timing of redemption, amount and timing of future cash flows and an adjusted market yield of 8.35%. The use of different assumptions could have a material effect on the fair value estimates.</w:t>
      </w:r>
    </w:p>
    <w:p>
      <w:pPr>
        <w:spacing w:after="0" w:line="124" w:lineRule="exact"/>
        <w:rPr>
          <w:sz w:val="20"/>
          <w:szCs w:val="20"/>
          <w:color w:val="auto"/>
        </w:rPr>
      </w:pPr>
    </w:p>
    <w:p>
      <w:pPr>
        <w:ind w:firstLine="381"/>
        <w:spacing w:after="0" w:line="237" w:lineRule="auto"/>
        <w:rPr>
          <w:sz w:val="20"/>
          <w:szCs w:val="20"/>
          <w:color w:val="auto"/>
        </w:rPr>
      </w:pPr>
      <w:r>
        <w:rPr>
          <w:rFonts w:ascii="Times New Roman" w:cs="Times New Roman" w:eastAsia="Times New Roman" w:hAnsi="Times New Roman"/>
          <w:sz w:val="17"/>
          <w:szCs w:val="17"/>
          <w:color w:val="auto"/>
        </w:rPr>
        <w:t>Also detailed below in Note 6 – Debt, the Short-Term Loan (defined below) was initially recorded upon issuance on June 28, 2024 at an amount equal to the allocated gross proceeds of the loan based on the relative fair values of the Short-Term Loan and the Short-Term Loan Warrants (defined below) issued in connection with the loan. The fair value of the Short-Term Loan used to allocate the gross proceeds was determined using a discounted cash flow model based on assumptions such as the amount and timing of the future cash flows and an estimated market yield of 27.57%, which represents a Level 3 measurement.</w:t>
      </w:r>
    </w:p>
    <w:p>
      <w:pPr>
        <w:spacing w:after="0" w:line="140" w:lineRule="exact"/>
        <w:rPr>
          <w:sz w:val="20"/>
          <w:szCs w:val="20"/>
          <w:color w:val="auto"/>
        </w:rPr>
      </w:pPr>
    </w:p>
    <w:p>
      <w:pPr>
        <w:ind w:right="20" w:firstLine="381"/>
        <w:spacing w:after="0" w:line="245" w:lineRule="auto"/>
        <w:rPr>
          <w:sz w:val="20"/>
          <w:szCs w:val="20"/>
          <w:color w:val="auto"/>
        </w:rPr>
      </w:pPr>
      <w:r>
        <w:rPr>
          <w:rFonts w:ascii="Times New Roman" w:cs="Times New Roman" w:eastAsia="Times New Roman" w:hAnsi="Times New Roman"/>
          <w:sz w:val="17"/>
          <w:szCs w:val="17"/>
          <w:color w:val="auto"/>
        </w:rPr>
        <w:t>Throughout the year ended December 31, 2024, the Company issued common stock warrants, including the Short-Term Loan Warrants, in connection with various debt restructuring arrangements, as discussed further in Note 6 – Debt. The warrants expire four years from their respective dates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were issued with exercise prices ranging from $11.03 to $15.77. The warrants had a total grant date fair value of $30.8 million and were exercisable at issuance.</w:t>
      </w:r>
    </w:p>
    <w:p>
      <w:pPr>
        <w:spacing w:after="0" w:line="123" w:lineRule="exact"/>
        <w:rPr>
          <w:sz w:val="20"/>
          <w:szCs w:val="20"/>
          <w:color w:val="auto"/>
        </w:rPr>
      </w:pPr>
    </w:p>
    <w:p>
      <w:pPr>
        <w:ind w:right="200" w:firstLine="381"/>
        <w:spacing w:after="0" w:line="255" w:lineRule="auto"/>
        <w:rPr>
          <w:sz w:val="20"/>
          <w:szCs w:val="20"/>
          <w:color w:val="auto"/>
        </w:rPr>
      </w:pPr>
      <w:r>
        <w:rPr>
          <w:rFonts w:ascii="Times New Roman" w:cs="Times New Roman" w:eastAsia="Times New Roman" w:hAnsi="Times New Roman"/>
          <w:sz w:val="17"/>
          <w:szCs w:val="17"/>
          <w:color w:val="auto"/>
        </w:rPr>
        <w:t>The common stock warrants were initially valued using a Black-Scholes option-pricing model, which represents a Level 3 measurement. The following table provides weighted-average quantitative information, based on the relative number of warrants issued, regarding inputs used in the Black-Scholes option-pricing model to determine the fair value of the warrants at their respective issuance dates: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3"/>
        </w:trPr>
        <w:tc>
          <w:tcPr>
            <w:tcW w:w="2380" w:type="dxa"/>
            <w:vAlign w:val="bottom"/>
          </w:tcPr>
          <w:p>
            <w:pPr>
              <w:spacing w:after="0"/>
              <w:rPr>
                <w:sz w:val="19"/>
                <w:szCs w:val="19"/>
                <w:color w:val="auto"/>
              </w:rPr>
            </w:pPr>
          </w:p>
        </w:tc>
        <w:tc>
          <w:tcPr>
            <w:tcW w:w="8180" w:type="dxa"/>
            <w:vAlign w:val="bottom"/>
            <w:gridSpan w:val="2"/>
          </w:tcPr>
          <w:p>
            <w:pPr>
              <w:jc w:val="right"/>
              <w:ind w:right="4550"/>
              <w:spacing w:after="0"/>
              <w:rPr>
                <w:sz w:val="20"/>
                <w:szCs w:val="20"/>
                <w:color w:val="auto"/>
              </w:rPr>
            </w:pPr>
            <w:r>
              <w:rPr>
                <w:rFonts w:ascii="Times New Roman" w:cs="Times New Roman" w:eastAsia="Times New Roman" w:hAnsi="Times New Roman"/>
                <w:sz w:val="17"/>
                <w:szCs w:val="17"/>
                <w:b w:val="1"/>
                <w:bCs w:val="1"/>
                <w:color w:val="auto"/>
              </w:rPr>
              <w:t>INSEEGO CORP.</w:t>
            </w:r>
          </w:p>
        </w:tc>
      </w:tr>
      <w:tr>
        <w:trPr>
          <w:trHeight w:val="254"/>
        </w:trPr>
        <w:tc>
          <w:tcPr>
            <w:tcW w:w="2380" w:type="dxa"/>
            <w:vAlign w:val="bottom"/>
          </w:tcPr>
          <w:p>
            <w:pPr>
              <w:spacing w:after="0"/>
              <w:rPr>
                <w:sz w:val="22"/>
                <w:szCs w:val="22"/>
                <w:color w:val="auto"/>
              </w:rPr>
            </w:pPr>
          </w:p>
        </w:tc>
        <w:tc>
          <w:tcPr>
            <w:tcW w:w="8180" w:type="dxa"/>
            <w:vAlign w:val="bottom"/>
            <w:gridSpan w:val="2"/>
          </w:tcPr>
          <w:p>
            <w:pPr>
              <w:jc w:val="right"/>
              <w:ind w:right="299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r>
      <w:tr>
        <w:trPr>
          <w:trHeight w:val="611"/>
        </w:trPr>
        <w:tc>
          <w:tcPr>
            <w:tcW w:w="2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84"/>
        </w:trPr>
        <w:tc>
          <w:tcPr>
            <w:tcW w:w="23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83"/>
        </w:trPr>
        <w:tc>
          <w:tcPr>
            <w:tcW w:w="2380" w:type="dxa"/>
            <w:vAlign w:val="bottom"/>
            <w:tcBorders>
              <w:bottom w:val="single" w:sz="8" w:color="D1EDF5"/>
            </w:tcBorders>
          </w:tcPr>
          <w:p>
            <w:pPr>
              <w:spacing w:after="0"/>
              <w:rPr>
                <w:sz w:val="15"/>
                <w:szCs w:val="15"/>
                <w:color w:val="auto"/>
              </w:rPr>
            </w:pPr>
          </w:p>
        </w:tc>
        <w:tc>
          <w:tcPr>
            <w:tcW w:w="6920" w:type="dxa"/>
            <w:vAlign w:val="bottom"/>
            <w:tcBorders>
              <w:bottom w:val="single" w:sz="8" w:color="D1EDF5"/>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2"/>
        </w:trPr>
        <w:tc>
          <w:tcPr>
            <w:tcW w:w="2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81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$12.59</w:t>
            </w:r>
          </w:p>
        </w:tc>
      </w:tr>
      <w:tr>
        <w:trPr>
          <w:trHeight w:val="201"/>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6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6"/>
        </w:trPr>
        <w:tc>
          <w:tcPr>
            <w:tcW w:w="2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81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201"/>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8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95.1 %</w:t>
            </w:r>
          </w:p>
        </w:tc>
      </w:tr>
      <w:tr>
        <w:trPr>
          <w:trHeight w:val="206"/>
        </w:trPr>
        <w:tc>
          <w:tcPr>
            <w:tcW w:w="23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818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444"/>
        </w:trPr>
        <w:tc>
          <w:tcPr>
            <w:tcW w:w="2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6. Debt</w:t>
            </w:r>
          </w:p>
        </w:tc>
        <w:tc>
          <w:tcPr>
            <w:tcW w:w="6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3"/>
        </w:trPr>
        <w:tc>
          <w:tcPr>
            <w:tcW w:w="23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Working Capital Facility</w:t>
            </w:r>
          </w:p>
        </w:tc>
        <w:tc>
          <w:tcPr>
            <w:tcW w:w="69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11" w:lineRule="exact"/>
        <w:rPr>
          <w:sz w:val="20"/>
          <w:szCs w:val="20"/>
          <w:color w:val="auto"/>
        </w:rPr>
      </w:pPr>
    </w:p>
    <w:p>
      <w:pPr>
        <w:jc w:val="both"/>
        <w:ind w:firstLine="381"/>
        <w:spacing w:after="0" w:line="243" w:lineRule="auto"/>
        <w:rPr>
          <w:sz w:val="20"/>
          <w:szCs w:val="20"/>
          <w:color w:val="auto"/>
        </w:rPr>
      </w:pPr>
      <w:r>
        <w:rPr>
          <w:rFonts w:ascii="Times New Roman" w:cs="Times New Roman" w:eastAsia="Times New Roman" w:hAnsi="Times New Roman"/>
          <w:sz w:val="17"/>
          <w:szCs w:val="17"/>
          <w:color w:val="auto"/>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December 31, 2025.</w:t>
      </w:r>
    </w:p>
    <w:p>
      <w:pPr>
        <w:spacing w:after="0" w:line="123" w:lineRule="exact"/>
        <w:rPr>
          <w:sz w:val="20"/>
          <w:szCs w:val="20"/>
          <w:color w:val="auto"/>
        </w:rPr>
      </w:pPr>
    </w:p>
    <w:p>
      <w:pPr>
        <w:ind w:right="120" w:firstLine="381"/>
        <w:spacing w:after="0" w:line="241" w:lineRule="auto"/>
        <w:rPr>
          <w:sz w:val="20"/>
          <w:szCs w:val="20"/>
          <w:color w:val="auto"/>
        </w:rPr>
      </w:pPr>
      <w:r>
        <w:rPr>
          <w:rFonts w:ascii="Times New Roman" w:cs="Times New Roman" w:eastAsia="Times New Roman" w:hAnsi="Times New Roman"/>
          <w:sz w:val="17"/>
          <w:szCs w:val="17"/>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spacing w:after="0" w:line="123" w:lineRule="exact"/>
        <w:rPr>
          <w:sz w:val="20"/>
          <w:szCs w:val="20"/>
          <w:color w:val="auto"/>
        </w:rPr>
      </w:pPr>
    </w:p>
    <w:p>
      <w:pPr>
        <w:ind w:right="20" w:firstLine="381"/>
        <w:spacing w:after="0" w:line="236" w:lineRule="auto"/>
        <w:rPr>
          <w:sz w:val="20"/>
          <w:szCs w:val="20"/>
          <w:color w:val="auto"/>
        </w:rPr>
      </w:pPr>
      <w:r>
        <w:rPr>
          <w:rFonts w:ascii="Times New Roman" w:cs="Times New Roman" w:eastAsia="Times New Roman" w:hAnsi="Times New Roman"/>
          <w:sz w:val="17"/>
          <w:szCs w:val="17"/>
          <w:color w:val="auto"/>
        </w:rPr>
        <w:t>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which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Swap Contracts with a termination value (determined in accordance with the terms of the Working Capital Facility Agreement) in excess of $1.0 million, as set forth in the Working Capital Facility Agreement.</w:t>
      </w:r>
    </w:p>
    <w:p>
      <w:pPr>
        <w:spacing w:after="0" w:line="128"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December 31, 2025, there were no outstanding borrowings and availability to borrow under the Working Capital Facility was $14.5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2029 Senior Secured Notes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In connection with the 2025 Convertible Note exchange executed on November 6, 2024, as detailed further below in </w:t>
      </w:r>
      <w:r>
        <w:rPr>
          <w:rFonts w:ascii="Times New Roman" w:cs="Times New Roman" w:eastAsia="Times New Roman" w:hAnsi="Times New Roman"/>
          <w:sz w:val="17"/>
          <w:szCs w:val="17"/>
          <w:i w:val="1"/>
          <w:iCs w:val="1"/>
          <w:color w:val="auto"/>
        </w:rPr>
        <w:t>Repurchases and Exchanges of</w:t>
      </w:r>
    </w:p>
    <w:p>
      <w:pPr>
        <w:spacing w:after="0" w:line="1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7"/>
          <w:szCs w:val="17"/>
          <w:i w:val="1"/>
          <w:iCs w:val="1"/>
          <w:color w:val="auto"/>
        </w:rPr>
        <w:t>2025 Convertible Notes</w:t>
      </w:r>
      <w:r>
        <w:rPr>
          <w:rFonts w:ascii="Times New Roman" w:cs="Times New Roman" w:eastAsia="Times New Roman" w:hAnsi="Times New Roman"/>
          <w:sz w:val="17"/>
          <w:szCs w:val="17"/>
          <w:color w:val="auto"/>
        </w:rPr>
        <w:t>, the Company issued to multiple noteholders approximately $40.9 million in principal amount of new senior secured notes due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spacing w:after="0" w:line="123"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120" w:firstLine="381"/>
        <w:spacing w:after="0" w:line="244" w:lineRule="auto"/>
        <w:rPr>
          <w:sz w:val="20"/>
          <w:szCs w:val="20"/>
          <w:color w:val="auto"/>
        </w:rPr>
      </w:pPr>
      <w:r>
        <w:rPr>
          <w:rFonts w:ascii="Times New Roman" w:cs="Times New Roman" w:eastAsia="Times New Roman" w:hAnsi="Times New Roman"/>
          <w:sz w:val="17"/>
          <w:szCs w:val="17"/>
          <w:color w:val="auto"/>
        </w:rPr>
        <w:t xml:space="preserve">The Company incurred $1.7 million of issuance costs for the 2029 Senior Secured Notes, $0.7 million of which was allocated to debt issuance costs and recorded as a direct reduction of the carrying amount of the 2029 Senior Secured Notes, $0.6 million of which was allocated to the common stock and $0.4 million of which was allocated to the warrants issued to the holders of the 2029 Senior Secured Notes and recorded within additional paid-in capital on the Consolidated Balance Sheets. These warrants are further detailed below in the 2025 Convertible Notes section and within </w:t>
      </w:r>
      <w:r>
        <w:rPr>
          <w:rFonts w:ascii="Times New Roman" w:cs="Times New Roman" w:eastAsia="Times New Roman" w:hAnsi="Times New Roman"/>
          <w:sz w:val="17"/>
          <w:szCs w:val="17"/>
          <w:i w:val="1"/>
          <w:iCs w:val="1"/>
          <w:color w:val="auto"/>
        </w:rPr>
        <w:t>Note 8 – Stockholders'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(Deficit)</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The 2029 Senior Secured Notes were initially recorded at fair value, with all direct issuance costs being recorded as a direct reduction of the net carrying amount of the loan, resulting in an initial debt premium over the principal amount of the loan of $1.7 million that will be amortized to interest expense over the term of the loan. As of December 31, 2025, $40.9 million of principal of the 2029 Senior Secured Notes was outstanding, $31.8 million of which was held by related parties.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2029 Senior Secured Notes, net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D1EDF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Principal gross amount</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40,879</w:t>
            </w:r>
          </w:p>
        </w:tc>
        <w:tc>
          <w:tcPr>
            <w:tcW w:w="80" w:type="dxa"/>
            <w:vAlign w:val="bottom"/>
            <w:shd w:val="clear" w:color="auto" w:fill="D1EDF5"/>
          </w:tcPr>
          <w:p>
            <w:pPr>
              <w:spacing w:after="0"/>
              <w:rPr>
                <w:sz w:val="17"/>
                <w:szCs w:val="17"/>
                <w:color w:val="auto"/>
              </w:rPr>
            </w:pPr>
          </w:p>
        </w:tc>
        <w:tc>
          <w:tcPr>
            <w:tcW w:w="400" w:type="dxa"/>
            <w:vAlign w:val="bottom"/>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40,879</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Add: unamortized debt premium</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1,621</w:t>
            </w: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Less: unamortized issuance costs</w:t>
            </w: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ind w:left="520"/>
              <w:spacing w:after="0"/>
              <w:rPr>
                <w:sz w:val="20"/>
                <w:szCs w:val="20"/>
                <w:color w:val="auto"/>
              </w:rPr>
            </w:pPr>
            <w:r>
              <w:rPr>
                <w:rFonts w:ascii="Times New Roman" w:cs="Times New Roman" w:eastAsia="Times New Roman" w:hAnsi="Times New Roman"/>
                <w:sz w:val="15"/>
                <w:szCs w:val="15"/>
                <w:color w:val="auto"/>
              </w:rPr>
              <w:t>(515)</w:t>
            </w:r>
          </w:p>
        </w:tc>
        <w:tc>
          <w:tcPr>
            <w:tcW w:w="8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(670)</w:t>
            </w:r>
          </w:p>
        </w:tc>
      </w:tr>
      <w:tr>
        <w:trPr>
          <w:trHeight w:val="198"/>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Net carrying amount</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41,611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41,830</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firstLine="381"/>
        <w:spacing w:after="0" w:line="262" w:lineRule="auto"/>
        <w:rPr>
          <w:sz w:val="20"/>
          <w:szCs w:val="20"/>
          <w:color w:val="auto"/>
        </w:rPr>
      </w:pPr>
      <w:r>
        <w:rPr>
          <w:rFonts w:ascii="Times New Roman" w:cs="Times New Roman" w:eastAsia="Times New Roman" w:hAnsi="Times New Roman"/>
          <w:sz w:val="17"/>
          <w:szCs w:val="17"/>
          <w:color w:val="auto"/>
        </w:rPr>
        <w:t>On January 14, 2026, the Company issued $8.0 million in additional principal of the Company’s existing 2029 Senior Secured Notes in connection with the exchange of its outstanding preferred stock. See Note 14 – Subsequent Events below for further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Convertible Notes</w:t>
      </w:r>
    </w:p>
    <w:p>
      <w:pPr>
        <w:spacing w:after="0" w:line="151" w:lineRule="exact"/>
        <w:rPr>
          <w:sz w:val="20"/>
          <w:szCs w:val="20"/>
          <w:color w:val="auto"/>
        </w:rPr>
      </w:pPr>
    </w:p>
    <w:p>
      <w:pPr>
        <w:ind w:firstLine="381"/>
        <w:spacing w:after="0" w:line="262" w:lineRule="auto"/>
        <w:rPr>
          <w:sz w:val="20"/>
          <w:szCs w:val="20"/>
          <w:color w:val="auto"/>
        </w:rPr>
      </w:pPr>
      <w:r>
        <w:rPr>
          <w:rFonts w:ascii="Times New Roman" w:cs="Times New Roman" w:eastAsia="Times New Roman" w:hAnsi="Times New Roman"/>
          <w:sz w:val="17"/>
          <w:szCs w:val="17"/>
          <w:color w:val="auto"/>
        </w:rPr>
        <w:t>In 2020, the Company completed both a registered public offering and a privately negotiated exchange agreement that resulted in the issuance of 3.25% convertible senior notes due in 2025 (the “2025 Convertible Notes”).</w:t>
      </w:r>
    </w:p>
    <w:p>
      <w:pPr>
        <w:spacing w:after="0" w:line="119" w:lineRule="exact"/>
        <w:rPr>
          <w:sz w:val="20"/>
          <w:szCs w:val="20"/>
          <w:color w:val="auto"/>
        </w:rPr>
      </w:pPr>
    </w:p>
    <w:p>
      <w:pPr>
        <w:ind w:right="440" w:firstLine="381"/>
        <w:spacing w:after="0" w:line="262" w:lineRule="auto"/>
        <w:rPr>
          <w:sz w:val="20"/>
          <w:szCs w:val="20"/>
          <w:color w:val="auto"/>
        </w:rPr>
      </w:pPr>
      <w:r>
        <w:rPr>
          <w:rFonts w:ascii="Times New Roman" w:cs="Times New Roman" w:eastAsia="Times New Roman" w:hAnsi="Times New Roman"/>
          <w:sz w:val="17"/>
          <w:szCs w:val="17"/>
          <w:color w:val="auto"/>
        </w:rPr>
        <w:t>The 2025 Convertible Notes matured on May 1, 2025. The 2025 Convertible Notes were senior unsecured obligations of the Company and bore interest at an annual rate of 3.25%, which was payable semi-annually in arrears on May 1 and November 1 of each year.</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Repurchases and Exchanges of 2025 Convertible Notes</w:t>
      </w:r>
    </w:p>
    <w:p>
      <w:pPr>
        <w:spacing w:after="0" w:line="164" w:lineRule="exact"/>
        <w:rPr>
          <w:sz w:val="20"/>
          <w:szCs w:val="20"/>
          <w:color w:val="auto"/>
        </w:rPr>
      </w:pPr>
    </w:p>
    <w:p>
      <w:pPr>
        <w:ind w:firstLine="381"/>
        <w:spacing w:after="0" w:line="244" w:lineRule="auto"/>
        <w:rPr>
          <w:sz w:val="20"/>
          <w:szCs w:val="20"/>
          <w:color w:val="auto"/>
        </w:rPr>
      </w:pPr>
      <w:r>
        <w:rPr>
          <w:rFonts w:ascii="Times New Roman" w:cs="Times New Roman" w:eastAsia="Times New Roman" w:hAnsi="Times New Roman"/>
          <w:sz w:val="17"/>
          <w:szCs w:val="17"/>
          <w:color w:val="auto"/>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spacing w:after="0" w:line="124" w:lineRule="exact"/>
        <w:rPr>
          <w:sz w:val="20"/>
          <w:szCs w:val="20"/>
          <w:color w:val="auto"/>
        </w:rPr>
      </w:pPr>
    </w:p>
    <w:p>
      <w:pPr>
        <w:jc w:val="both"/>
        <w:ind w:right="440" w:firstLine="381"/>
        <w:spacing w:after="0" w:line="255" w:lineRule="auto"/>
        <w:rPr>
          <w:sz w:val="20"/>
          <w:szCs w:val="20"/>
          <w:color w:val="auto"/>
        </w:rPr>
      </w:pPr>
      <w:r>
        <w:rPr>
          <w:rFonts w:ascii="Times New Roman" w:cs="Times New Roman" w:eastAsia="Times New Roman" w:hAnsi="Times New Roman"/>
          <w:sz w:val="17"/>
          <w:szCs w:val="17"/>
          <w:color w:val="auto"/>
        </w:rPr>
        <w:t>As of December 31, 2024, $14.9 million of principal amount of the 2025 Convertible Notes was outstanding, none of which was held by related parties. The remaining 2025 Convertible Notes matured on May 1, 2025, at which time all outstanding principal of $14.9 million and related accrued interest was repaid.</w:t>
      </w:r>
    </w:p>
    <w:p>
      <w:pPr>
        <w:spacing w:after="0" w:line="113" w:lineRule="exact"/>
        <w:rPr>
          <w:sz w:val="20"/>
          <w:szCs w:val="20"/>
          <w:color w:val="auto"/>
        </w:rPr>
      </w:pPr>
    </w:p>
    <w:p>
      <w:pPr>
        <w:jc w:val="both"/>
        <w:ind w:right="120" w:firstLine="381"/>
        <w:spacing w:after="0" w:line="255" w:lineRule="auto"/>
        <w:rPr>
          <w:sz w:val="20"/>
          <w:szCs w:val="20"/>
          <w:color w:val="auto"/>
        </w:rPr>
      </w:pPr>
      <w:r>
        <w:rPr>
          <w:rFonts w:ascii="Times New Roman" w:cs="Times New Roman" w:eastAsia="Times New Roman" w:hAnsi="Times New Roman"/>
          <w:sz w:val="17"/>
          <w:szCs w:val="17"/>
          <w:color w:val="auto"/>
        </w:rPr>
        <w:t xml:space="preserve">As a result of these restructurings, the Company recorded a net loss on extinguishment of debt of $2.9 million within loss on debt restructurings, net in the Consolidated Statement of Operations and Comprehensive Income for the year ended December 31, 2024. For more information on the terms of the warrants issued as a part of these restructuring agreements, please see </w:t>
      </w:r>
      <w:r>
        <w:rPr>
          <w:rFonts w:ascii="Times New Roman" w:cs="Times New Roman" w:eastAsia="Times New Roman" w:hAnsi="Times New Roman"/>
          <w:sz w:val="17"/>
          <w:szCs w:val="17"/>
          <w:i w:val="1"/>
          <w:iCs w:val="1"/>
          <w:color w:val="auto"/>
        </w:rPr>
        <w:t>Note 8 –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9420" w:type="dxa"/>
            <w:vAlign w:val="bottom"/>
          </w:tcPr>
          <w:p>
            <w:pPr>
              <w:ind w:left="4620"/>
              <w:spacing w:after="0"/>
              <w:rPr>
                <w:sz w:val="20"/>
                <w:szCs w:val="20"/>
                <w:color w:val="auto"/>
              </w:rPr>
            </w:pPr>
            <w:r>
              <w:rPr>
                <w:rFonts w:ascii="Times New Roman" w:cs="Times New Roman" w:eastAsia="Times New Roman" w:hAnsi="Times New Roman"/>
                <w:sz w:val="17"/>
                <w:szCs w:val="17"/>
                <w:b w:val="1"/>
                <w:bCs w:val="1"/>
                <w:color w:val="auto"/>
              </w:rPr>
              <w:t>INSEEGO CORP.</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4"/>
        </w:trPr>
        <w:tc>
          <w:tcPr>
            <w:tcW w:w="9420" w:type="dxa"/>
            <w:vAlign w:val="bottom"/>
          </w:tcPr>
          <w:p>
            <w:pPr>
              <w:ind w:left="3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660"/>
        </w:trPr>
        <w:tc>
          <w:tcPr>
            <w:tcW w:w="94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The 2025 Convertible Notes as of December 31, 2024 consisted of the following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4"/>
        </w:trPr>
        <w:tc>
          <w:tcPr>
            <w:tcW w:w="9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9420" w:type="dxa"/>
            <w:vAlign w:val="bottom"/>
            <w:tcBorders>
              <w:bottom w:val="single" w:sz="8" w:color="D1EDF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942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Principal</w:t>
            </w:r>
          </w:p>
        </w:tc>
        <w:tc>
          <w:tcPr>
            <w:tcW w:w="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14,949</w:t>
            </w:r>
          </w:p>
        </w:tc>
      </w:tr>
      <w:tr>
        <w:trPr>
          <w:trHeight w:val="201"/>
        </w:trPr>
        <w:tc>
          <w:tcPr>
            <w:tcW w:w="9420" w:type="dxa"/>
            <w:vAlign w:val="bottom"/>
          </w:tcPr>
          <w:p>
            <w:pPr>
              <w:spacing w:after="0"/>
              <w:rPr>
                <w:sz w:val="20"/>
                <w:szCs w:val="20"/>
                <w:color w:val="auto"/>
              </w:rPr>
            </w:pPr>
            <w:r>
              <w:rPr>
                <w:rFonts w:ascii="Times New Roman" w:cs="Times New Roman" w:eastAsia="Times New Roman" w:hAnsi="Times New Roman"/>
                <w:sz w:val="15"/>
                <w:szCs w:val="15"/>
                <w:color w:val="auto"/>
              </w:rPr>
              <w:t>Less: unamortized debt discount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3"/>
        </w:trPr>
        <w:tc>
          <w:tcPr>
            <w:tcW w:w="942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Less: unamortized issuance costs</w:t>
            </w:r>
          </w:p>
        </w:tc>
        <w:tc>
          <w:tcPr>
            <w:tcW w:w="140" w:type="dxa"/>
            <w:vAlign w:val="bottom"/>
            <w:tcBorders>
              <w:bottom w:val="single" w:sz="8" w:color="auto"/>
            </w:tcBorders>
            <w:shd w:val="clear" w:color="auto" w:fill="D1EDF5"/>
          </w:tcPr>
          <w:p>
            <w:pPr>
              <w:spacing w:after="0"/>
              <w:rPr>
                <w:sz w:val="17"/>
                <w:szCs w:val="17"/>
                <w:color w:val="auto"/>
              </w:rPr>
            </w:pPr>
          </w:p>
        </w:tc>
        <w:tc>
          <w:tcPr>
            <w:tcW w:w="10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8"/>
        </w:trPr>
        <w:tc>
          <w:tcPr>
            <w:tcW w:w="9420" w:type="dxa"/>
            <w:vAlign w:val="bottom"/>
          </w:tcPr>
          <w:p>
            <w:pPr>
              <w:spacing w:after="0"/>
              <w:rPr>
                <w:sz w:val="20"/>
                <w:szCs w:val="20"/>
                <w:color w:val="auto"/>
              </w:rPr>
            </w:pPr>
            <w:r>
              <w:rPr>
                <w:rFonts w:ascii="Times New Roman" w:cs="Times New Roman" w:eastAsia="Times New Roman" w:hAnsi="Times New Roman"/>
                <w:sz w:val="15"/>
                <w:szCs w:val="15"/>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14,905</w:t>
            </w:r>
          </w:p>
        </w:tc>
      </w:tr>
      <w:tr>
        <w:trPr>
          <w:trHeight w:val="20"/>
        </w:trPr>
        <w:tc>
          <w:tcPr>
            <w:tcW w:w="9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Loan</w:t>
      </w:r>
    </w:p>
    <w:p>
      <w:pPr>
        <w:spacing w:after="0" w:line="151" w:lineRule="exact"/>
        <w:rPr>
          <w:sz w:val="20"/>
          <w:szCs w:val="20"/>
          <w:color w:val="auto"/>
        </w:rPr>
      </w:pPr>
    </w:p>
    <w:p>
      <w:pPr>
        <w:ind w:right="300" w:firstLine="381"/>
        <w:spacing w:after="0" w:line="248" w:lineRule="auto"/>
        <w:rPr>
          <w:sz w:val="20"/>
          <w:szCs w:val="20"/>
          <w:color w:val="auto"/>
        </w:rPr>
      </w:pPr>
      <w:r>
        <w:rPr>
          <w:rFonts w:ascii="Times New Roman" w:cs="Times New Roman" w:eastAsia="Times New Roman" w:hAnsi="Times New Roman"/>
          <w:sz w:val="17"/>
          <w:szCs w:val="17"/>
          <w:color w:val="auto"/>
        </w:rPr>
        <w:t>On June 28, 2024, the Company entered into a Loan and Security Agreement (the “Short-Term Loan Agreement”), among South Ocean, as lender (“Lender”), the Participating Lenders (described below), the Company, as borrower, and two of the Company’s wholly-owned subsidiaries, Inseego Wireless, Inc. and Inseego North America LLC as guarantors (collectively, the “Guarantors,” and together with the Company, the “Loan Parties”). The Loan Agreement established a loan (the “Short-Term Loan”) with an original principal amount of $19.5 million.</w:t>
      </w:r>
    </w:p>
    <w:p>
      <w:pPr>
        <w:spacing w:after="0" w:line="132" w:lineRule="exact"/>
        <w:rPr>
          <w:sz w:val="20"/>
          <w:szCs w:val="20"/>
          <w:color w:val="auto"/>
        </w:rPr>
      </w:pPr>
    </w:p>
    <w:p>
      <w:pPr>
        <w:ind w:right="160" w:firstLine="381"/>
        <w:spacing w:after="0" w:line="271" w:lineRule="auto"/>
        <w:rPr>
          <w:sz w:val="20"/>
          <w:szCs w:val="20"/>
          <w:color w:val="auto"/>
        </w:rPr>
      </w:pPr>
      <w:r>
        <w:rPr>
          <w:rFonts w:ascii="Times New Roman" w:cs="Times New Roman" w:eastAsia="Times New Roman" w:hAnsi="Times New Roman"/>
          <w:sz w:val="16"/>
          <w:szCs w:val="16"/>
          <w:color w:val="auto"/>
        </w:rPr>
        <w:t>The Short-Term Loan was originally scheduled to mature on September 30, 2024 but maturity was subsequently extended to November 30, 2024. Borrowings under the Short-Term Loan accrued interest at 12.0% per annum. Upon any repayment or prepayment of the amounts borrowed under the Short-Term Loan (including at maturity), the Company was required to pay an exit fee equal to 4.0% of the aggregate principal amount prepaid or repaid.</w:t>
      </w:r>
    </w:p>
    <w:p>
      <w:pPr>
        <w:spacing w:after="0" w:line="113" w:lineRule="exact"/>
        <w:rPr>
          <w:sz w:val="20"/>
          <w:szCs w:val="20"/>
          <w:color w:val="auto"/>
        </w:rPr>
      </w:pPr>
    </w:p>
    <w:p>
      <w:pPr>
        <w:ind w:right="20" w:firstLine="381"/>
        <w:spacing w:after="0" w:line="243" w:lineRule="auto"/>
        <w:rPr>
          <w:sz w:val="20"/>
          <w:szCs w:val="20"/>
          <w:color w:val="auto"/>
        </w:rPr>
      </w:pPr>
      <w:r>
        <w:rPr>
          <w:rFonts w:ascii="Times New Roman" w:cs="Times New Roman" w:eastAsia="Times New Roman" w:hAnsi="Times New Roman"/>
          <w:sz w:val="17"/>
          <w:szCs w:val="17"/>
          <w:color w:val="auto"/>
        </w:rPr>
        <w:t>Also on June 28, 2024, as part of the Short-Term Loan Agreement, the Participating Lenders contributed an aggregate of $3.0 million of participation interests in the Short-Term Loan Agreement (the “Participation Interests”). The Participating Lenders consist of Philip Brace, the Company’s former Executive Chairman, who acquired a $1.0 million Participation Interest, and North Sound Ventures, LP, which acquired a $2.0 million Participation Interest in the Short-Term Loan. As of the date hereof, affiliates of each of the Lender and North Sound Ventures, LP may be deemed to beneficially own more than 5% of the Company’s outstanding Common Stock. James B. Avery, a member of the Company’s Board of Directors, currently serves as Senior Managing Director of Tavistock Group, an affiliate of the Lender. Accordingly, the Lender and the Participating Lenders are considered related parties of the Company.</w:t>
      </w:r>
    </w:p>
    <w:p>
      <w:pPr>
        <w:spacing w:after="0" w:line="126" w:lineRule="exact"/>
        <w:rPr>
          <w:sz w:val="20"/>
          <w:szCs w:val="20"/>
          <w:color w:val="auto"/>
        </w:rPr>
      </w:pPr>
    </w:p>
    <w:p>
      <w:pPr>
        <w:ind w:right="160" w:firstLine="381"/>
        <w:spacing w:after="0" w:line="248" w:lineRule="auto"/>
        <w:rPr>
          <w:sz w:val="20"/>
          <w:szCs w:val="20"/>
          <w:color w:val="auto"/>
        </w:rPr>
      </w:pPr>
      <w:r>
        <w:rPr>
          <w:rFonts w:ascii="Times New Roman" w:cs="Times New Roman" w:eastAsia="Times New Roman" w:hAnsi="Times New Roman"/>
          <w:sz w:val="17"/>
          <w:szCs w:val="17"/>
          <w:color w:val="auto"/>
        </w:rPr>
        <w:t>In connection with entering into the Short-Term Loan Agreement, the Company paid an arrangement and administration fee of $0.2 million to the Lender (the “Short-Term Loan Costs”). Additionally in connection with the Short-Term Loan Agreement, the Company issued to the Lender and the Participating Lenders warrants (the “Short-Term Loan Warrants”) to purchase an aggregate of 550,000 shares of the Company’s common stock, par value $0.001 per share (“Common Stock”). See Note 8 – Stockholders' Equity (Deficit) for further details regarding the Short-Term Loan Warrants.</w:t>
      </w:r>
    </w:p>
    <w:p>
      <w:pPr>
        <w:spacing w:after="0" w:line="119" w:lineRule="exact"/>
        <w:rPr>
          <w:sz w:val="20"/>
          <w:szCs w:val="20"/>
          <w:color w:val="auto"/>
        </w:rPr>
      </w:pPr>
    </w:p>
    <w:p>
      <w:pPr>
        <w:ind w:right="80" w:firstLine="381"/>
        <w:spacing w:after="0" w:line="248" w:lineRule="auto"/>
        <w:rPr>
          <w:sz w:val="20"/>
          <w:szCs w:val="20"/>
          <w:color w:val="auto"/>
        </w:rPr>
      </w:pPr>
      <w:r>
        <w:rPr>
          <w:rFonts w:ascii="Times New Roman" w:cs="Times New Roman" w:eastAsia="Times New Roman" w:hAnsi="Times New Roman"/>
          <w:sz w:val="17"/>
          <w:szCs w:val="17"/>
          <w:color w:val="auto"/>
        </w:rPr>
        <w:t>The gross proceeds received under the Short-Term Loan Agreement, along with the Short-Term Loan Costs, were allocated between the Short-Term Loan and the Short-Term Loan Warrants based on their relative fair values at issuance. The debt discount originally recorded as a result of the allocation of the net proceeds between the Short-Term Loan and the Short-Term Loan Warrants of $3.3 million was fully amortized to interest expense during the year ended December 31, 2024.</w:t>
      </w:r>
    </w:p>
    <w:p>
      <w:pPr>
        <w:spacing w:after="0" w:line="132" w:lineRule="exact"/>
        <w:rPr>
          <w:sz w:val="20"/>
          <w:szCs w:val="20"/>
          <w:color w:val="auto"/>
        </w:rPr>
      </w:pPr>
    </w:p>
    <w:p>
      <w:pPr>
        <w:ind w:right="2100" w:firstLine="381"/>
        <w:spacing w:after="0" w:line="420" w:lineRule="auto"/>
        <w:rPr>
          <w:sz w:val="20"/>
          <w:szCs w:val="20"/>
          <w:color w:val="auto"/>
        </w:rPr>
      </w:pPr>
      <w:r>
        <w:rPr>
          <w:rFonts w:ascii="Times New Roman" w:cs="Times New Roman" w:eastAsia="Times New Roman" w:hAnsi="Times New Roman"/>
          <w:sz w:val="17"/>
          <w:szCs w:val="17"/>
          <w:color w:val="auto"/>
        </w:rPr>
        <w:t xml:space="preserve">After multiple voluntary prepayments, the remaining entire principal balance was repaid in full on November 30, 2024. </w:t>
      </w:r>
      <w:r>
        <w:rPr>
          <w:rFonts w:ascii="Times New Roman" w:cs="Times New Roman" w:eastAsia="Times New Roman" w:hAnsi="Times New Roman"/>
          <w:sz w:val="17"/>
          <w:szCs w:val="17"/>
          <w:b w:val="1"/>
          <w:bCs w:val="1"/>
          <w:i w:val="1"/>
          <w:iCs w:val="1"/>
          <w:color w:val="auto"/>
        </w:rPr>
        <w:t>Prior Credit Facility</w:t>
      </w:r>
    </w:p>
    <w:p>
      <w:pPr>
        <w:spacing w:after="0" w:line="2" w:lineRule="exact"/>
        <w:rPr>
          <w:sz w:val="20"/>
          <w:szCs w:val="20"/>
          <w:color w:val="auto"/>
        </w:rPr>
      </w:pPr>
    </w:p>
    <w:p>
      <w:pPr>
        <w:jc w:val="both"/>
        <w:ind w:right="220" w:firstLine="381"/>
        <w:spacing w:after="0" w:line="248" w:lineRule="auto"/>
        <w:rPr>
          <w:sz w:val="20"/>
          <w:szCs w:val="20"/>
          <w:color w:val="auto"/>
        </w:rPr>
      </w:pPr>
      <w:r>
        <w:rPr>
          <w:rFonts w:ascii="Times New Roman" w:cs="Times New Roman" w:eastAsia="Times New Roman" w:hAnsi="Times New Roman"/>
          <w:sz w:val="17"/>
          <w:szCs w:val="17"/>
          <w:color w:val="auto"/>
        </w:rPr>
        <w:t>On August 5,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 indirect subsidiary of the Company, as borrowers (together with Inseego Wireless, the “Borrowers”), and the Company, as guarantor (together with the Borrowers, the “Loan Parties”).</w:t>
      </w:r>
    </w:p>
    <w:p>
      <w:pPr>
        <w:spacing w:after="0" w:line="132" w:lineRule="exact"/>
        <w:rPr>
          <w:sz w:val="20"/>
          <w:szCs w:val="20"/>
          <w:color w:val="auto"/>
        </w:rPr>
      </w:pPr>
    </w:p>
    <w:p>
      <w:pPr>
        <w:ind w:right="120" w:firstLine="381"/>
        <w:spacing w:after="0" w:line="263" w:lineRule="auto"/>
        <w:rPr>
          <w:sz w:val="20"/>
          <w:szCs w:val="20"/>
          <w:color w:val="auto"/>
        </w:rPr>
      </w:pPr>
      <w:r>
        <w:rPr>
          <w:rFonts w:ascii="Times New Roman" w:cs="Times New Roman" w:eastAsia="Times New Roman" w:hAnsi="Times New Roman"/>
          <w:sz w:val="16"/>
          <w:szCs w:val="16"/>
          <w:color w:val="auto"/>
        </w:rPr>
        <w:t>The Credit Agreement established a secured asset-backed revolving credit facility which is comprised of a maximum $50 million revolving credit facility (“Prior Credit Facility”), with a minimum borrowing amount for interest calculations of $4.5 million upon execution of the Credit Agreement. Availability under the Prior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Prior Credit Facility Parties’ obligations under the Credit Agreement were secured by 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continuing security interest in all property of each Prior Credit Facility Party, subject to certain Excluded Collateral (as defined in the Credit Agreement).</w:t>
      </w:r>
    </w:p>
    <w:p>
      <w:pPr>
        <w:spacing w:after="0" w:line="147"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On May 2, 2023, (1) two related parties, South Ocean Funding, LLC and North Sound Ventures, LP (collectively, the “Prior Credit Facility Participants”) collectively purchased a $4.0 million last-out subordinated participation interest in the Credit Agreement (the “Prior Credit Facility Participation Interest”) from the Lender, and (2) the Borrowers entered into an amendment to the Credit Agreement which increased the borrowing base under the Prior Credit Facility by $4.0 million, increased the minimum borrowing amount for interest calculations to $8.5 million, and modified certain covenants. In connection with the purchase of the Prior Credit Facility Participation Interest, we agreed to pay the Prior Credit Facility Participants an aggregate exit fee (the “Exit Fee”) ranging from 7.5% to 12.5% of the amount of the Prior Credit Facility Participation Interest, payable upon the earlier to occur of (a) the maturity date of the Prior Credit Facility, (b) termination of the Lender’s commitment to make revolving loans prior to the scheduled maturity date of the Prior Credit Facility, and (c) the early redemption of the Prior Credit Facility Participation Interest, as applicable. Further, the purchase of the Prior Credit Facility Participation Interest granted an option for the Prior Credit Facility Participants to purchase the subject revolving loan or to redeem its Prior Credit Facility Participation Interest under certain circumstances. The Prior Credit Facility Participants are each affiliates of beneficial holders of greater than five percent of our outstanding common stock.</w:t>
      </w:r>
    </w:p>
    <w:p>
      <w:pPr>
        <w:spacing w:after="0" w:line="130"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Effective April 18, 2024, the Company exercised its right to voluntarily pay-off and terminate the Prior Credit Facility. As a result of the termination, the Company paid the outstanding balance and related termination fees on the Prior Credit Facility of approximately $3.0 million. The Company also paid the Exit Fee in the aggregate amount of $0.4 million to the Prior Credit Facility Participants.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As a result of the voluntary pay-off, the Company recorded a loss on extinguishment of debt of $0.8 million within loss on extinguishment of revolving credit facility on the Consolidated Statements of Operations and Comprehensive Income during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Summary</w:t>
      </w:r>
    </w:p>
    <w:p>
      <w:pPr>
        <w:spacing w:after="0" w:line="164" w:lineRule="exact"/>
        <w:rPr>
          <w:sz w:val="20"/>
          <w:szCs w:val="20"/>
          <w:color w:val="auto"/>
        </w:rPr>
      </w:pPr>
    </w:p>
    <w:p>
      <w:pPr>
        <w:ind w:right="20" w:firstLine="381"/>
        <w:spacing w:after="0" w:line="262" w:lineRule="auto"/>
        <w:rPr>
          <w:sz w:val="20"/>
          <w:szCs w:val="20"/>
          <w:color w:val="auto"/>
        </w:rPr>
      </w:pPr>
      <w:r>
        <w:rPr>
          <w:rFonts w:ascii="Times New Roman" w:cs="Times New Roman" w:eastAsia="Times New Roman" w:hAnsi="Times New Roman"/>
          <w:sz w:val="17"/>
          <w:szCs w:val="17"/>
          <w:color w:val="auto"/>
        </w:rPr>
        <w:t>The following table sets forth total interest expense, annualized effective interest rate, and interest expense related to related parties, if applicable, for each of the debt instruments detailed above (in thousands, except for percentages):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480"/>
          </w:cols>
          <w:pgMar w:left="840" w:top="568" w:right="92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360" w:type="dxa"/>
            <w:vAlign w:val="bottom"/>
            <w:gridSpan w:val="5"/>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2029 Senior Secured Notes</w:t>
            </w:r>
          </w:p>
        </w:tc>
        <w:tc>
          <w:tcPr>
            <w:tcW w:w="700" w:type="dxa"/>
            <w:vAlign w:val="bottom"/>
            <w:shd w:val="clear" w:color="auto" w:fill="D1EDF5"/>
          </w:tcPr>
          <w:p>
            <w:pPr>
              <w:spacing w:after="0"/>
              <w:rPr>
                <w:sz w:val="16"/>
                <w:szCs w:val="16"/>
                <w:color w:val="auto"/>
              </w:rPr>
            </w:pPr>
          </w:p>
        </w:tc>
        <w:tc>
          <w:tcPr>
            <w:tcW w:w="42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80" w:type="dxa"/>
            <w:vAlign w:val="bottom"/>
            <w:shd w:val="clear" w:color="auto" w:fill="D1EDF5"/>
          </w:tcPr>
          <w:p>
            <w:pPr>
              <w:spacing w:after="0"/>
              <w:rPr>
                <w:sz w:val="16"/>
                <w:szCs w:val="16"/>
                <w:color w:val="auto"/>
              </w:rPr>
            </w:pP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3,679</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Amortization of debt discount/premium</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98"/>
        </w:trPr>
        <w:tc>
          <w:tcPr>
            <w:tcW w:w="820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3,460</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529</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Related party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w:t>
            </w:r>
          </w:p>
        </w:tc>
      </w:tr>
      <w:tr>
        <w:trPr>
          <w:trHeight w:val="206"/>
        </w:trPr>
        <w:tc>
          <w:tcPr>
            <w:tcW w:w="8200" w:type="dxa"/>
            <w:vAlign w:val="bottom"/>
            <w:shd w:val="clear" w:color="auto" w:fill="D1EDF5"/>
          </w:tcPr>
          <w:p>
            <w:pPr>
              <w:spacing w:after="0"/>
              <w:rPr>
                <w:sz w:val="17"/>
                <w:szCs w:val="17"/>
                <w:color w:val="auto"/>
              </w:rPr>
            </w:pP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202"/>
        </w:trPr>
        <w:tc>
          <w:tcPr>
            <w:tcW w:w="8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Working Capital Facility</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20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2025 Convertible Notes</w:t>
            </w: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3,912</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489</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Amortization of debt discount/premium</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614</w:t>
            </w:r>
          </w:p>
        </w:tc>
      </w:tr>
      <w:tr>
        <w:trPr>
          <w:trHeight w:val="198"/>
        </w:trPr>
        <w:tc>
          <w:tcPr>
            <w:tcW w:w="820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5,015</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Related party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2,847</w:t>
            </w:r>
          </w:p>
        </w:tc>
      </w:tr>
      <w:tr>
        <w:trPr>
          <w:trHeight w:val="256"/>
        </w:trPr>
        <w:tc>
          <w:tcPr>
            <w:tcW w:w="8200" w:type="dxa"/>
            <w:vAlign w:val="bottom"/>
            <w:shd w:val="clear" w:color="auto" w:fill="D1EDF5"/>
          </w:tcPr>
          <w:p>
            <w:pPr>
              <w:spacing w:after="0"/>
              <w:rPr>
                <w:sz w:val="22"/>
                <w:szCs w:val="22"/>
                <w:color w:val="auto"/>
              </w:rPr>
            </w:pPr>
          </w:p>
        </w:tc>
        <w:tc>
          <w:tcPr>
            <w:tcW w:w="700" w:type="dxa"/>
            <w:vAlign w:val="bottom"/>
            <w:shd w:val="clear" w:color="auto" w:fill="D1EDF5"/>
          </w:tcPr>
          <w:p>
            <w:pPr>
              <w:spacing w:after="0"/>
              <w:rPr>
                <w:sz w:val="22"/>
                <w:szCs w:val="22"/>
                <w:color w:val="auto"/>
              </w:rPr>
            </w:pPr>
          </w:p>
        </w:tc>
        <w:tc>
          <w:tcPr>
            <w:tcW w:w="42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260" w:type="dxa"/>
            <w:vAlign w:val="bottom"/>
            <w:shd w:val="clear" w:color="auto" w:fill="D1EDF5"/>
          </w:tcPr>
          <w:p>
            <w:pPr>
              <w:spacing w:after="0"/>
              <w:rPr>
                <w:sz w:val="22"/>
                <w:szCs w:val="22"/>
                <w:color w:val="auto"/>
              </w:rPr>
            </w:pPr>
          </w:p>
        </w:tc>
        <w:tc>
          <w:tcPr>
            <w:tcW w:w="880" w:type="dxa"/>
            <w:vAlign w:val="bottom"/>
            <w:shd w:val="clear" w:color="auto" w:fill="D1EDF5"/>
          </w:tcPr>
          <w:p>
            <w:pPr>
              <w:spacing w:after="0"/>
              <w:rPr>
                <w:sz w:val="22"/>
                <w:szCs w:val="22"/>
                <w:color w:val="auto"/>
              </w:rPr>
            </w:pPr>
          </w:p>
        </w:tc>
      </w:tr>
      <w:tr>
        <w:trPr>
          <w:trHeight w:val="202"/>
        </w:trPr>
        <w:tc>
          <w:tcPr>
            <w:tcW w:w="8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Short-Term Loan</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1,391</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Amortization of debt discount/premium</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3,330</w:t>
            </w:r>
          </w:p>
        </w:tc>
      </w:tr>
      <w:tr>
        <w:trPr>
          <w:trHeight w:val="198"/>
        </w:trPr>
        <w:tc>
          <w:tcPr>
            <w:tcW w:w="8200" w:type="dxa"/>
            <w:vAlign w:val="bottom"/>
            <w:shd w:val="clear" w:color="auto" w:fill="D1EDF5"/>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4,721</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Related party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4,721</w:t>
            </w:r>
          </w:p>
        </w:tc>
      </w:tr>
      <w:tr>
        <w:trPr>
          <w:trHeight w:val="256"/>
        </w:trPr>
        <w:tc>
          <w:tcPr>
            <w:tcW w:w="8200" w:type="dxa"/>
            <w:vAlign w:val="bottom"/>
            <w:shd w:val="clear" w:color="auto" w:fill="D1EDF5"/>
          </w:tcPr>
          <w:p>
            <w:pPr>
              <w:spacing w:after="0"/>
              <w:rPr>
                <w:sz w:val="22"/>
                <w:szCs w:val="22"/>
                <w:color w:val="auto"/>
              </w:rPr>
            </w:pPr>
          </w:p>
        </w:tc>
        <w:tc>
          <w:tcPr>
            <w:tcW w:w="700" w:type="dxa"/>
            <w:vAlign w:val="bottom"/>
            <w:shd w:val="clear" w:color="auto" w:fill="D1EDF5"/>
          </w:tcPr>
          <w:p>
            <w:pPr>
              <w:spacing w:after="0"/>
              <w:rPr>
                <w:sz w:val="22"/>
                <w:szCs w:val="22"/>
                <w:color w:val="auto"/>
              </w:rPr>
            </w:pPr>
          </w:p>
        </w:tc>
        <w:tc>
          <w:tcPr>
            <w:tcW w:w="420" w:type="dxa"/>
            <w:vAlign w:val="bottom"/>
            <w:shd w:val="clear" w:color="auto" w:fill="D1EDF5"/>
          </w:tcPr>
          <w:p>
            <w:pPr>
              <w:spacing w:after="0"/>
              <w:rPr>
                <w:sz w:val="22"/>
                <w:szCs w:val="22"/>
                <w:color w:val="auto"/>
              </w:rPr>
            </w:pPr>
          </w:p>
        </w:tc>
        <w:tc>
          <w:tcPr>
            <w:tcW w:w="100" w:type="dxa"/>
            <w:vAlign w:val="bottom"/>
            <w:shd w:val="clear" w:color="auto" w:fill="D1EDF5"/>
          </w:tcPr>
          <w:p>
            <w:pPr>
              <w:spacing w:after="0"/>
              <w:rPr>
                <w:sz w:val="22"/>
                <w:szCs w:val="22"/>
                <w:color w:val="auto"/>
              </w:rPr>
            </w:pPr>
          </w:p>
        </w:tc>
        <w:tc>
          <w:tcPr>
            <w:tcW w:w="260" w:type="dxa"/>
            <w:vAlign w:val="bottom"/>
            <w:shd w:val="clear" w:color="auto" w:fill="D1EDF5"/>
          </w:tcPr>
          <w:p>
            <w:pPr>
              <w:spacing w:after="0"/>
              <w:rPr>
                <w:sz w:val="22"/>
                <w:szCs w:val="22"/>
                <w:color w:val="auto"/>
              </w:rPr>
            </w:pPr>
          </w:p>
        </w:tc>
        <w:tc>
          <w:tcPr>
            <w:tcW w:w="880" w:type="dxa"/>
            <w:vAlign w:val="bottom"/>
            <w:shd w:val="clear" w:color="auto" w:fill="D1EDF5"/>
          </w:tcPr>
          <w:p>
            <w:pPr>
              <w:spacing w:after="0"/>
              <w:rPr>
                <w:sz w:val="22"/>
                <w:szCs w:val="22"/>
                <w:color w:val="auto"/>
              </w:rPr>
            </w:pPr>
          </w:p>
        </w:tc>
      </w:tr>
      <w:tr>
        <w:trPr>
          <w:trHeight w:val="202"/>
        </w:trPr>
        <w:tc>
          <w:tcPr>
            <w:tcW w:w="8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Prior Credit Facility</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Contractual interest expense</w:t>
            </w:r>
          </w:p>
        </w:tc>
        <w:tc>
          <w:tcPr>
            <w:tcW w:w="700" w:type="dxa"/>
            <w:vAlign w:val="bottom"/>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312</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Accretion of exit fee</w:t>
            </w:r>
          </w:p>
        </w:tc>
        <w:tc>
          <w:tcPr>
            <w:tcW w:w="7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700" w:type="dxa"/>
            <w:vAlign w:val="bottom"/>
            <w:tcBorders>
              <w:bottom w:val="single" w:sz="8" w:color="auto"/>
            </w:tcBorders>
            <w:shd w:val="clear" w:color="auto" w:fill="D1EDF5"/>
          </w:tcPr>
          <w:p>
            <w:pPr>
              <w:spacing w:after="0"/>
              <w:rPr>
                <w:sz w:val="17"/>
                <w:szCs w:val="17"/>
                <w:color w:val="auto"/>
              </w:rPr>
            </w:pP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193"/>
        </w:trPr>
        <w:tc>
          <w:tcPr>
            <w:tcW w:w="8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interest expense</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w:t>
            </w:r>
          </w:p>
        </w:tc>
      </w:tr>
      <w:tr>
        <w:trPr>
          <w:trHeight w:val="206"/>
        </w:trPr>
        <w:tc>
          <w:tcPr>
            <w:tcW w:w="8200" w:type="dxa"/>
            <w:vAlign w:val="bottom"/>
            <w:shd w:val="clear" w:color="auto" w:fill="D1EDF5"/>
          </w:tcPr>
          <w:p>
            <w:pPr>
              <w:spacing w:after="0"/>
              <w:rPr>
                <w:sz w:val="17"/>
                <w:szCs w:val="17"/>
                <w:color w:val="auto"/>
              </w:rPr>
            </w:pP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spacing w:after="0"/>
              <w:rPr>
                <w:sz w:val="17"/>
                <w:szCs w:val="17"/>
                <w:color w:val="auto"/>
              </w:rPr>
            </w:pPr>
          </w:p>
        </w:tc>
      </w:tr>
      <w:tr>
        <w:trPr>
          <w:trHeight w:val="202"/>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b w:val="1"/>
                <w:bCs w:val="1"/>
                <w:color w:val="auto"/>
              </w:rPr>
              <w:t>Other interest expense</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w:t>
            </w:r>
          </w:p>
        </w:tc>
      </w:tr>
      <w:tr>
        <w:trPr>
          <w:trHeight w:val="222"/>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Consolidated interest expense</w:t>
            </w:r>
          </w:p>
        </w:tc>
        <w:tc>
          <w:tcPr>
            <w:tcW w:w="700" w:type="dxa"/>
            <w:vAlign w:val="bottom"/>
            <w:tcBorders>
              <w:bottom w:val="single" w:sz="8" w:color="auto"/>
            </w:tcBorders>
            <w:shd w:val="clear" w:color="auto" w:fill="D1EDF5"/>
          </w:tcPr>
          <w:p>
            <w:pPr>
              <w:jc w:val="right"/>
              <w:ind w:right="545"/>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3,771</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10,906</w:t>
            </w:r>
          </w:p>
        </w:tc>
      </w:tr>
      <w:tr>
        <w:trPr>
          <w:trHeight w:val="20"/>
        </w:trPr>
        <w:tc>
          <w:tcPr>
            <w:tcW w:w="820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4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880" w:type="dxa"/>
            <w:vAlign w:val="bottom"/>
            <w:tcBorders>
              <w:top w:val="single" w:sz="8" w:color="D1EDF5"/>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381"/>
        <w:spacing w:after="0" w:line="248" w:lineRule="auto"/>
        <w:rPr>
          <w:sz w:val="20"/>
          <w:szCs w:val="20"/>
          <w:color w:val="auto"/>
        </w:rPr>
      </w:pPr>
      <w:r>
        <w:rPr>
          <w:rFonts w:ascii="Times New Roman" w:cs="Times New Roman" w:eastAsia="Times New Roman" w:hAnsi="Times New Roman"/>
          <w:sz w:val="17"/>
          <w:szCs w:val="17"/>
          <w:color w:val="auto"/>
        </w:rPr>
        <w:t>The annualized effective interest rates, including the impact of non-cash interest expense, for the 2029 Senior Secured Notes and 2025 Convertible Notes for the year ended December 31, 2025 was 8.5% and 4.1%, respectively. The annualized effective interest rates, including the impact of non-cash interest expense, for the 2029 Senior Secured Notes, 2025 Convertible Notes, Short-Term Loan, and Prior Credit Facility for the year ended December 31, 2024 was 8.5%, 4.2%, 92.7% and 36.1%,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Income Taxes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income (loss) before income taxes for the years ended December 31, 2025 and 2024 is comprised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360" w:type="dxa"/>
            <w:vAlign w:val="bottom"/>
            <w:gridSpan w:val="5"/>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Domestic</w:t>
            </w:r>
          </w:p>
        </w:tc>
        <w:tc>
          <w:tcPr>
            <w:tcW w:w="700" w:type="dxa"/>
            <w:vAlign w:val="bottom"/>
            <w:shd w:val="clear" w:color="auto" w:fill="D1EDF5"/>
          </w:tcPr>
          <w:p>
            <w:pPr>
              <w:jc w:val="right"/>
              <w:ind w:right="548"/>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(13,883)</w:t>
            </w:r>
          </w:p>
        </w:tc>
      </w:tr>
      <w:tr>
        <w:trPr>
          <w:trHeight w:val="201"/>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Foreign</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w:t>
            </w:r>
          </w:p>
        </w:tc>
      </w:tr>
      <w:tr>
        <w:trPr>
          <w:trHeight w:val="221"/>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700" w:type="dxa"/>
            <w:vAlign w:val="bottom"/>
            <w:tcBorders>
              <w:bottom w:val="single" w:sz="8" w:color="auto"/>
            </w:tcBorders>
            <w:shd w:val="clear" w:color="auto" w:fill="D1EDF5"/>
          </w:tcPr>
          <w:p>
            <w:pPr>
              <w:jc w:val="right"/>
              <w:ind w:right="548"/>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1,282</w:t>
            </w:r>
          </w:p>
        </w:tc>
        <w:tc>
          <w:tcPr>
            <w:tcW w:w="100" w:type="dxa"/>
            <w:vAlign w:val="bottom"/>
            <w:tcBorders>
              <w:bottom w:val="single" w:sz="8" w:color="D1EDF5"/>
            </w:tcBorders>
            <w:shd w:val="clear" w:color="auto" w:fill="D1EDF5"/>
          </w:tcPr>
          <w:p>
            <w:pPr>
              <w:spacing w:after="0"/>
              <w:rPr>
                <w:sz w:val="18"/>
                <w:szCs w:val="18"/>
                <w:color w:val="auto"/>
              </w:rPr>
            </w:pPr>
          </w:p>
        </w:tc>
        <w:tc>
          <w:tcPr>
            <w:tcW w:w="260" w:type="dxa"/>
            <w:vAlign w:val="bottom"/>
            <w:tcBorders>
              <w:bottom w:val="single" w:sz="8" w:color="auto"/>
            </w:tcBorders>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(13,680)</w:t>
            </w:r>
          </w:p>
        </w:tc>
      </w:tr>
      <w:tr>
        <w:trPr>
          <w:trHeight w:val="20"/>
        </w:trPr>
        <w:tc>
          <w:tcPr>
            <w:tcW w:w="8200" w:type="dxa"/>
            <w:vAlign w:val="bottom"/>
            <w:tcBorders>
              <w:top w:val="single" w:sz="8" w:color="D1EDF5"/>
            </w:tcBorders>
          </w:tcPr>
          <w:p>
            <w:pPr>
              <w:spacing w:after="0" w:line="20" w:lineRule="exact"/>
              <w:rPr>
                <w:sz w:val="1"/>
                <w:szCs w:val="1"/>
                <w:color w:val="auto"/>
              </w:rPr>
            </w:pPr>
          </w:p>
        </w:tc>
        <w:tc>
          <w:tcPr>
            <w:tcW w:w="700" w:type="dxa"/>
            <w:vAlign w:val="bottom"/>
            <w:tcBorders>
              <w:top w:val="single" w:sz="8" w:color="D1EDF5"/>
              <w:bottom w:val="single" w:sz="8" w:color="auto"/>
            </w:tcBorders>
          </w:tcPr>
          <w:p>
            <w:pPr>
              <w:spacing w:after="0" w:line="20" w:lineRule="exact"/>
              <w:rPr>
                <w:sz w:val="1"/>
                <w:szCs w:val="1"/>
                <w:color w:val="auto"/>
              </w:rPr>
            </w:pPr>
          </w:p>
        </w:tc>
        <w:tc>
          <w:tcPr>
            <w:tcW w:w="4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60" w:type="dxa"/>
            <w:vAlign w:val="bottom"/>
            <w:tcBorders>
              <w:top w:val="single" w:sz="8" w:color="D1EDF5"/>
              <w:bottom w:val="single" w:sz="8" w:color="auto"/>
            </w:tcBorders>
          </w:tcPr>
          <w:p>
            <w:pPr>
              <w:spacing w:after="0" w:line="20" w:lineRule="exact"/>
              <w:rPr>
                <w:sz w:val="1"/>
                <w:szCs w:val="1"/>
                <w:color w:val="auto"/>
              </w:rPr>
            </w:pPr>
          </w:p>
        </w:tc>
        <w:tc>
          <w:tcPr>
            <w:tcW w:w="880" w:type="dxa"/>
            <w:vAlign w:val="bottom"/>
            <w:tcBorders>
              <w:top w:val="single" w:sz="8" w:color="D1EDF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60"/>
          </w:cols>
          <w:pgMar w:left="840" w:top="568" w:right="8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74295</wp:posOffset>
            </wp:positionV>
            <wp:extent cx="67348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(benefit) provision for income taxes for the years ended December 31, 2025 and 2024 is comprised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000" w:type="dxa"/>
            <w:vAlign w:val="bottom"/>
            <w:gridSpan w:val="4"/>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76"/>
        </w:trPr>
        <w:tc>
          <w:tcPr>
            <w:tcW w:w="8200" w:type="dxa"/>
            <w:vAlign w:val="bottom"/>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r>
      <w:tr>
        <w:trPr>
          <w:trHeight w:val="188"/>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Current:</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Federal</w:t>
            </w:r>
          </w:p>
        </w:tc>
        <w:tc>
          <w:tcPr>
            <w:tcW w:w="780" w:type="dxa"/>
            <w:vAlign w:val="bottom"/>
            <w:shd w:val="clear" w:color="auto" w:fill="D1EDF5"/>
          </w:tcPr>
          <w:p>
            <w:pPr>
              <w:jc w:val="right"/>
              <w:ind w:right="628"/>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gridSpan w:val="2"/>
            <w:shd w:val="clear" w:color="auto" w:fill="D1EDF5"/>
          </w:tcPr>
          <w:p>
            <w:pPr>
              <w:jc w:val="center"/>
              <w:ind w:right="20"/>
              <w:spacing w:after="0"/>
              <w:rPr>
                <w:sz w:val="20"/>
                <w:szCs w:val="20"/>
                <w:color w:val="auto"/>
              </w:rPr>
            </w:pPr>
            <w:r>
              <w:rPr>
                <w:rFonts w:ascii="Times New Roman" w:cs="Times New Roman" w:eastAsia="Times New Roman" w:hAnsi="Times New Roman"/>
                <w:sz w:val="15"/>
                <w:szCs w:val="15"/>
                <w:color w:val="auto"/>
                <w:w w:val="93"/>
              </w:rPr>
              <w:t>—</w:t>
            </w:r>
          </w:p>
        </w:tc>
        <w:tc>
          <w:tcPr>
            <w:tcW w:w="780" w:type="dxa"/>
            <w:vAlign w:val="bottom"/>
            <w:shd w:val="clear" w:color="auto" w:fill="D1EDF5"/>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State</w:t>
            </w:r>
          </w:p>
        </w:tc>
        <w:tc>
          <w:tcPr>
            <w:tcW w:w="78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Foreign</w:t>
            </w:r>
          </w:p>
        </w:tc>
        <w:tc>
          <w:tcPr>
            <w:tcW w:w="780" w:type="dxa"/>
            <w:vAlign w:val="bottom"/>
            <w:tcBorders>
              <w:bottom w:val="single" w:sz="8" w:color="auto"/>
            </w:tcBorders>
            <w:shd w:val="clear" w:color="auto" w:fill="D1EDF5"/>
          </w:tcPr>
          <w:p>
            <w:pPr>
              <w:spacing w:after="0"/>
              <w:rPr>
                <w:sz w:val="17"/>
                <w:szCs w:val="17"/>
                <w:color w:val="auto"/>
              </w:rPr>
            </w:pPr>
          </w:p>
        </w:tc>
        <w:tc>
          <w:tcPr>
            <w:tcW w:w="340" w:type="dxa"/>
            <w:vAlign w:val="bottom"/>
            <w:tcBorders>
              <w:bottom w:val="single" w:sz="8" w:color="auto"/>
            </w:tcBorders>
            <w:shd w:val="clear" w:color="auto" w:fill="D1EDF5"/>
          </w:tcPr>
          <w:p>
            <w:pPr>
              <w:jc w:val="center"/>
              <w:ind w:left="4"/>
              <w:spacing w:after="0"/>
              <w:rPr>
                <w:sz w:val="20"/>
                <w:szCs w:val="20"/>
                <w:color w:val="auto"/>
              </w:rPr>
            </w:pPr>
            <w:r>
              <w:rPr>
                <w:rFonts w:ascii="Times New Roman" w:cs="Times New Roman" w:eastAsia="Times New Roman" w:hAnsi="Times New Roman"/>
                <w:sz w:val="15"/>
                <w:szCs w:val="15"/>
                <w:color w:val="auto"/>
                <w:w w:val="93"/>
              </w:rPr>
              <w:t>52</w:t>
            </w:r>
          </w:p>
        </w:tc>
        <w:tc>
          <w:tcPr>
            <w:tcW w:w="100" w:type="dxa"/>
            <w:vAlign w:val="bottom"/>
            <w:shd w:val="clear" w:color="auto" w:fill="D1EDF5"/>
          </w:tcPr>
          <w:p>
            <w:pPr>
              <w:spacing w:after="0"/>
              <w:rPr>
                <w:sz w:val="17"/>
                <w:szCs w:val="17"/>
                <w:color w:val="auto"/>
              </w:rPr>
            </w:pPr>
          </w:p>
        </w:tc>
        <w:tc>
          <w:tcPr>
            <w:tcW w:w="780" w:type="dxa"/>
            <w:vAlign w:val="bottom"/>
            <w:tcBorders>
              <w:bottom w:val="single" w:sz="8" w:color="auto"/>
            </w:tcBorders>
            <w:shd w:val="clear" w:color="auto" w:fill="D1EDF5"/>
          </w:tcPr>
          <w:p>
            <w:pPr>
              <w:spacing w:after="0"/>
              <w:rPr>
                <w:sz w:val="17"/>
                <w:szCs w:val="17"/>
                <w:color w:val="auto"/>
              </w:rPr>
            </w:pPr>
          </w:p>
        </w:tc>
        <w:tc>
          <w:tcPr>
            <w:tcW w:w="3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93"/>
        </w:trPr>
        <w:tc>
          <w:tcPr>
            <w:tcW w:w="820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Total current</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w w:val="93"/>
              </w:rPr>
              <w:t>32</w:t>
            </w:r>
          </w:p>
        </w:tc>
        <w:tc>
          <w:tcPr>
            <w:tcW w:w="100" w:type="dxa"/>
            <w:vAlign w:val="bottom"/>
            <w:tcBorders>
              <w:bottom w:val="single" w:sz="8" w:color="D1EDF5"/>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627</w:t>
            </w:r>
          </w:p>
        </w:tc>
      </w:tr>
      <w:tr>
        <w:trPr>
          <w:trHeight w:val="18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Deferred:</w:t>
            </w:r>
          </w:p>
        </w:tc>
        <w:tc>
          <w:tcPr>
            <w:tcW w:w="780" w:type="dxa"/>
            <w:vAlign w:val="bottom"/>
            <w:shd w:val="clear" w:color="auto" w:fill="D1EDF5"/>
          </w:tcPr>
          <w:p>
            <w:pPr>
              <w:spacing w:after="0"/>
              <w:rPr>
                <w:sz w:val="16"/>
                <w:szCs w:val="16"/>
                <w:color w:val="auto"/>
              </w:rPr>
            </w:pPr>
          </w:p>
        </w:tc>
        <w:tc>
          <w:tcPr>
            <w:tcW w:w="340" w:type="dxa"/>
            <w:vAlign w:val="bottom"/>
            <w:shd w:val="clear" w:color="auto" w:fill="D1EDF5"/>
          </w:tcPr>
          <w:p>
            <w:pPr>
              <w:spacing w:after="0"/>
              <w:rPr>
                <w:sz w:val="16"/>
                <w:szCs w:val="16"/>
                <w:color w:val="auto"/>
              </w:rPr>
            </w:pPr>
          </w:p>
        </w:tc>
        <w:tc>
          <w:tcPr>
            <w:tcW w:w="100" w:type="dxa"/>
            <w:vAlign w:val="bottom"/>
            <w:shd w:val="clear" w:color="auto" w:fill="D1EDF5"/>
          </w:tcPr>
          <w:p>
            <w:pPr>
              <w:spacing w:after="0"/>
              <w:rPr>
                <w:sz w:val="16"/>
                <w:szCs w:val="16"/>
                <w:color w:val="auto"/>
              </w:rPr>
            </w:pPr>
          </w:p>
        </w:tc>
        <w:tc>
          <w:tcPr>
            <w:tcW w:w="780" w:type="dxa"/>
            <w:vAlign w:val="bottom"/>
            <w:shd w:val="clear" w:color="auto" w:fill="D1EDF5"/>
          </w:tcPr>
          <w:p>
            <w:pPr>
              <w:spacing w:after="0"/>
              <w:rPr>
                <w:sz w:val="16"/>
                <w:szCs w:val="16"/>
                <w:color w:val="auto"/>
              </w:rPr>
            </w:pPr>
          </w:p>
        </w:tc>
        <w:tc>
          <w:tcPr>
            <w:tcW w:w="360" w:type="dxa"/>
            <w:vAlign w:val="bottom"/>
            <w:shd w:val="clear" w:color="auto" w:fill="D1EDF5"/>
          </w:tcPr>
          <w:p>
            <w:pPr>
              <w:spacing w:after="0"/>
              <w:rPr>
                <w:sz w:val="16"/>
                <w:szCs w:val="16"/>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Federal</w:t>
            </w:r>
          </w:p>
        </w:tc>
        <w:tc>
          <w:tcPr>
            <w:tcW w:w="780" w:type="dxa"/>
            <w:vAlign w:val="bottom"/>
          </w:tcPr>
          <w:p>
            <w:pPr>
              <w:spacing w:after="0"/>
              <w:rPr>
                <w:sz w:val="17"/>
                <w:szCs w:val="17"/>
                <w:color w:val="auto"/>
              </w:rPr>
            </w:pPr>
          </w:p>
        </w:tc>
        <w:tc>
          <w:tcPr>
            <w:tcW w:w="34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3"/>
              </w:rPr>
              <w:t>12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State</w:t>
            </w:r>
          </w:p>
        </w:tc>
        <w:tc>
          <w:tcPr>
            <w:tcW w:w="780" w:type="dxa"/>
            <w:vAlign w:val="bottom"/>
            <w:shd w:val="clear" w:color="auto" w:fill="D1EDF5"/>
          </w:tcPr>
          <w:p>
            <w:pPr>
              <w:spacing w:after="0"/>
              <w:rPr>
                <w:sz w:val="17"/>
                <w:szCs w:val="17"/>
                <w:color w:val="auto"/>
              </w:rPr>
            </w:pPr>
          </w:p>
        </w:tc>
        <w:tc>
          <w:tcPr>
            <w:tcW w:w="440" w:type="dxa"/>
            <w:vAlign w:val="bottom"/>
            <w:gridSpan w:val="2"/>
            <w:shd w:val="clear" w:color="auto" w:fill="D1EDF5"/>
          </w:tcPr>
          <w:p>
            <w:pPr>
              <w:jc w:val="center"/>
              <w:ind w:right="20"/>
              <w:spacing w:after="0"/>
              <w:rPr>
                <w:sz w:val="20"/>
                <w:szCs w:val="20"/>
                <w:color w:val="auto"/>
              </w:rPr>
            </w:pPr>
            <w:r>
              <w:rPr>
                <w:rFonts w:ascii="Times New Roman" w:cs="Times New Roman" w:eastAsia="Times New Roman" w:hAnsi="Times New Roman"/>
                <w:sz w:val="15"/>
                <w:szCs w:val="15"/>
                <w:color w:val="auto"/>
                <w:w w:val="93"/>
              </w:rPr>
              <w:t>—</w:t>
            </w:r>
          </w:p>
        </w:tc>
        <w:tc>
          <w:tcPr>
            <w:tcW w:w="780" w:type="dxa"/>
            <w:vAlign w:val="bottom"/>
            <w:shd w:val="clear" w:color="auto" w:fill="D1EDF5"/>
          </w:tcPr>
          <w:p>
            <w:pPr>
              <w:spacing w:after="0"/>
              <w:rPr>
                <w:sz w:val="17"/>
                <w:szCs w:val="17"/>
                <w:color w:val="auto"/>
              </w:rPr>
            </w:pPr>
          </w:p>
        </w:tc>
        <w:tc>
          <w:tcPr>
            <w:tcW w:w="3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w:t>
            </w:r>
          </w:p>
        </w:tc>
        <w:tc>
          <w:tcPr>
            <w:tcW w:w="780" w:type="dxa"/>
            <w:vAlign w:val="bottom"/>
          </w:tcPr>
          <w:p>
            <w:pPr>
              <w:spacing w:after="0"/>
              <w:rPr>
                <w:sz w:val="17"/>
                <w:szCs w:val="17"/>
                <w:color w:val="auto"/>
              </w:rPr>
            </w:pP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w w:val="93"/>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200" w:type="dxa"/>
            <w:vAlign w:val="bottom"/>
            <w:tcBorders>
              <w:top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deferred</w:t>
            </w:r>
          </w:p>
        </w:tc>
        <w:tc>
          <w:tcPr>
            <w:tcW w:w="780" w:type="dxa"/>
            <w:vAlign w:val="bottom"/>
            <w:tcBorders>
              <w:top w:val="single" w:sz="8" w:color="auto"/>
              <w:bottom w:val="single" w:sz="8" w:color="auto"/>
            </w:tcBorders>
            <w:shd w:val="clear" w:color="auto" w:fill="D1EDF5"/>
          </w:tcPr>
          <w:p>
            <w:pPr>
              <w:spacing w:after="0"/>
              <w:rPr>
                <w:sz w:val="17"/>
                <w:szCs w:val="17"/>
                <w:color w:val="auto"/>
              </w:rPr>
            </w:pPr>
          </w:p>
        </w:tc>
        <w:tc>
          <w:tcPr>
            <w:tcW w:w="340" w:type="dxa"/>
            <w:vAlign w:val="bottom"/>
            <w:tcBorders>
              <w:top w:val="single" w:sz="8" w:color="auto"/>
              <w:bottom w:val="single" w:sz="8" w:color="auto"/>
            </w:tcBorders>
            <w:shd w:val="clear" w:color="auto" w:fill="D1EDF5"/>
          </w:tcPr>
          <w:p>
            <w:pPr>
              <w:jc w:val="center"/>
              <w:ind w:left="4"/>
              <w:spacing w:after="0"/>
              <w:rPr>
                <w:sz w:val="20"/>
                <w:szCs w:val="20"/>
                <w:color w:val="auto"/>
              </w:rPr>
            </w:pPr>
            <w:r>
              <w:rPr>
                <w:rFonts w:ascii="Times New Roman" w:cs="Times New Roman" w:eastAsia="Times New Roman" w:hAnsi="Times New Roman"/>
                <w:sz w:val="15"/>
                <w:szCs w:val="15"/>
                <w:color w:val="auto"/>
                <w:w w:val="93"/>
              </w:rPr>
              <w:t>12</w:t>
            </w:r>
          </w:p>
        </w:tc>
        <w:tc>
          <w:tcPr>
            <w:tcW w:w="100" w:type="dxa"/>
            <w:vAlign w:val="bottom"/>
            <w:tcBorders>
              <w:top w:val="single" w:sz="8" w:color="D1EDF5"/>
            </w:tcBorders>
            <w:shd w:val="clear" w:color="auto" w:fill="D1EDF5"/>
          </w:tcPr>
          <w:p>
            <w:pPr>
              <w:spacing w:after="0"/>
              <w:rPr>
                <w:sz w:val="17"/>
                <w:szCs w:val="17"/>
                <w:color w:val="auto"/>
              </w:rPr>
            </w:pPr>
          </w:p>
        </w:tc>
        <w:tc>
          <w:tcPr>
            <w:tcW w:w="780" w:type="dxa"/>
            <w:vAlign w:val="bottom"/>
            <w:tcBorders>
              <w:top w:val="single" w:sz="8" w:color="auto"/>
              <w:bottom w:val="single" w:sz="8" w:color="auto"/>
            </w:tcBorders>
            <w:shd w:val="clear" w:color="auto" w:fill="D1EDF5"/>
          </w:tcPr>
          <w:p>
            <w:pPr>
              <w:spacing w:after="0"/>
              <w:rPr>
                <w:sz w:val="17"/>
                <w:szCs w:val="17"/>
                <w:color w:val="auto"/>
              </w:rPr>
            </w:pPr>
          </w:p>
        </w:tc>
        <w:tc>
          <w:tcPr>
            <w:tcW w:w="360" w:type="dxa"/>
            <w:vAlign w:val="bottom"/>
            <w:tcBorders>
              <w:top w:val="single" w:sz="8" w:color="auto"/>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93"/>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color w:val="auto"/>
                <w:w w:val="93"/>
              </w:rPr>
              <w:t>44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w:t>
            </w:r>
          </w:p>
        </w:tc>
      </w:tr>
      <w:tr>
        <w:trPr>
          <w:trHeight w:val="21"/>
        </w:trPr>
        <w:tc>
          <w:tcPr>
            <w:tcW w:w="8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net deferred tax liabilities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5"/>
                <w:szCs w:val="15"/>
                <w:color w:val="auto"/>
              </w:rPr>
            </w:pPr>
          </w:p>
        </w:tc>
      </w:tr>
      <w:tr>
        <w:trPr>
          <w:trHeight w:val="24"/>
        </w:trPr>
        <w:tc>
          <w:tcPr>
            <w:tcW w:w="8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8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8"/>
        </w:trPr>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Accrued expenses</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2,662</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4,620</w:t>
            </w:r>
          </w:p>
        </w:tc>
      </w:tr>
      <w:tr>
        <w:trPr>
          <w:trHeight w:val="201"/>
        </w:trPr>
        <w:tc>
          <w:tcPr>
            <w:tcW w:w="8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4,162</w:t>
            </w: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Capitalized research and experimental expenditures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9,797</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11,216</w:t>
            </w:r>
          </w:p>
        </w:tc>
      </w:tr>
      <w:tr>
        <w:trPr>
          <w:trHeight w:val="201"/>
        </w:trPr>
        <w:tc>
          <w:tcPr>
            <w:tcW w:w="8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Convertible debt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2,063</w:t>
            </w:r>
          </w:p>
        </w:tc>
      </w:tr>
      <w:tr>
        <w:trPr>
          <w:trHeight w:val="201"/>
        </w:trPr>
        <w:tc>
          <w:tcPr>
            <w:tcW w:w="8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expense limitation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19,944</w:t>
            </w: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Net operating loss and tax credit carryforwards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103,579</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97,347</w:t>
            </w:r>
          </w:p>
        </w:tc>
      </w:tr>
      <w:tr>
        <w:trPr>
          <w:trHeight w:val="201"/>
        </w:trPr>
        <w:tc>
          <w:tcPr>
            <w:tcW w:w="8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w:t>
            </w: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943</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985</w:t>
            </w:r>
          </w:p>
        </w:tc>
      </w:tr>
      <w:tr>
        <w:trPr>
          <w:trHeight w:val="201"/>
        </w:trPr>
        <w:tc>
          <w:tcPr>
            <w:tcW w:w="81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bottom w:val="single" w:sz="8" w:color="D1ED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w:t>
            </w:r>
          </w:p>
        </w:tc>
      </w:tr>
      <w:tr>
        <w:trPr>
          <w:trHeight w:val="198"/>
        </w:trPr>
        <w:tc>
          <w:tcPr>
            <w:tcW w:w="816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Deferred tax assets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145,258</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142,829</w:t>
            </w:r>
          </w:p>
        </w:tc>
      </w:tr>
      <w:tr>
        <w:trPr>
          <w:trHeight w:val="201"/>
        </w:trPr>
        <w:tc>
          <w:tcPr>
            <w:tcW w:w="8160" w:type="dxa"/>
            <w:vAlign w:val="bottom"/>
            <w:tcBorders>
              <w:bottom w:val="single" w:sz="8" w:color="D1EDF5"/>
            </w:tcBorders>
          </w:tcPr>
          <w:p>
            <w:pPr>
              <w:ind w:left="380"/>
              <w:spacing w:after="0"/>
              <w:rPr>
                <w:sz w:val="20"/>
                <w:szCs w:val="20"/>
                <w:color w:val="auto"/>
              </w:rPr>
            </w:pPr>
            <w:r>
              <w:rPr>
                <w:rFonts w:ascii="Times New Roman" w:cs="Times New Roman" w:eastAsia="Times New Roman" w:hAnsi="Times New Roman"/>
                <w:sz w:val="15"/>
                <w:szCs w:val="15"/>
                <w:color w:val="auto"/>
              </w:rPr>
              <w:t>Valuation allowances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(143,888)</w:t>
            </w:r>
          </w:p>
        </w:tc>
        <w:tc>
          <w:tcPr>
            <w:tcW w:w="100" w:type="dxa"/>
            <w:vAlign w:val="bottom"/>
            <w:tcBorders>
              <w:bottom w:val="single" w:sz="8" w:color="D1ED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(141,628)</w:t>
            </w:r>
          </w:p>
        </w:tc>
      </w:tr>
      <w:tr>
        <w:trPr>
          <w:trHeight w:val="198"/>
        </w:trPr>
        <w:tc>
          <w:tcPr>
            <w:tcW w:w="81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Deferred tax assets, net of valuation allowances</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100" w:type="dxa"/>
            <w:vAlign w:val="bottom"/>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1,201</w:t>
            </w:r>
          </w:p>
        </w:tc>
      </w:tr>
      <w:tr>
        <w:trPr>
          <w:trHeight w:val="181"/>
        </w:trPr>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6"/>
        </w:trPr>
        <w:tc>
          <w:tcPr>
            <w:tcW w:w="81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Right of use asset</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00" w:type="dxa"/>
            <w:vAlign w:val="bottom"/>
            <w:shd w:val="clear" w:color="auto" w:fill="D1EDF5"/>
          </w:tcPr>
          <w:p>
            <w:pPr>
              <w:spacing w:after="0"/>
              <w:rPr>
                <w:sz w:val="17"/>
                <w:szCs w:val="17"/>
                <w:color w:val="auto"/>
              </w:rPr>
            </w:pPr>
          </w:p>
        </w:tc>
        <w:tc>
          <w:tcPr>
            <w:tcW w:w="400" w:type="dxa"/>
            <w:vAlign w:val="bottom"/>
            <w:shd w:val="clear" w:color="auto" w:fill="D1EDF5"/>
          </w:tcPr>
          <w:p>
            <w:pPr>
              <w:spacing w:after="0"/>
              <w:rPr>
                <w:sz w:val="17"/>
                <w:szCs w:val="17"/>
                <w:color w:val="auto"/>
              </w:rPr>
            </w:pPr>
          </w:p>
        </w:tc>
        <w:tc>
          <w:tcPr>
            <w:tcW w:w="7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201"/>
        </w:trPr>
        <w:tc>
          <w:tcPr>
            <w:tcW w:w="81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Acquired intangible assets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Borders>
              <w:bottom w:val="single" w:sz="8" w:color="D1EDF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w:t>
            </w:r>
          </w:p>
        </w:tc>
      </w:tr>
      <w:tr>
        <w:trPr>
          <w:trHeight w:val="196"/>
        </w:trPr>
        <w:tc>
          <w:tcPr>
            <w:tcW w:w="8160" w:type="dxa"/>
            <w:vAlign w:val="bottom"/>
            <w:tcBorders>
              <w:bottom w:val="single" w:sz="8" w:color="D1EDF5"/>
            </w:tcBorders>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100" w:type="dxa"/>
            <w:vAlign w:val="bottom"/>
            <w:tcBorders>
              <w:bottom w:val="single" w:sz="8" w:color="D1EDF5"/>
            </w:tcBorders>
            <w:shd w:val="clear" w:color="auto" w:fill="D1EDF5"/>
          </w:tcPr>
          <w:p>
            <w:pPr>
              <w:spacing w:after="0"/>
              <w:rPr>
                <w:sz w:val="17"/>
                <w:szCs w:val="17"/>
                <w:color w:val="auto"/>
              </w:rPr>
            </w:pPr>
          </w:p>
        </w:tc>
        <w:tc>
          <w:tcPr>
            <w:tcW w:w="400" w:type="dxa"/>
            <w:vAlign w:val="bottom"/>
            <w:tcBorders>
              <w:bottom w:val="single" w:sz="8" w:color="auto"/>
            </w:tcBorders>
            <w:shd w:val="clear" w:color="auto" w:fill="D1EDF5"/>
          </w:tcPr>
          <w:p>
            <w:pPr>
              <w:spacing w:after="0"/>
              <w:rPr>
                <w:sz w:val="17"/>
                <w:szCs w:val="17"/>
                <w:color w:val="auto"/>
              </w:rPr>
            </w:pPr>
          </w:p>
        </w:tc>
        <w:tc>
          <w:tcPr>
            <w:tcW w:w="7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(1,375)</w:t>
            </w:r>
          </w:p>
        </w:tc>
      </w:tr>
      <w:tr>
        <w:trPr>
          <w:trHeight w:val="198"/>
        </w:trPr>
        <w:tc>
          <w:tcPr>
            <w:tcW w:w="81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381"/>
        <w:spacing w:after="0" w:line="248" w:lineRule="auto"/>
        <w:rPr>
          <w:sz w:val="20"/>
          <w:szCs w:val="20"/>
          <w:color w:val="auto"/>
        </w:rPr>
      </w:pPr>
      <w:r>
        <w:rPr>
          <w:rFonts w:ascii="Times New Roman" w:cs="Times New Roman" w:eastAsia="Times New Roman" w:hAnsi="Times New Roman"/>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19" w:lineRule="exact"/>
        <w:rPr>
          <w:sz w:val="20"/>
          <w:szCs w:val="20"/>
          <w:color w:val="auto"/>
        </w:rPr>
      </w:pPr>
    </w:p>
    <w:p>
      <w:pPr>
        <w:ind w:right="120" w:firstLine="381"/>
        <w:spacing w:after="0" w:line="248" w:lineRule="auto"/>
        <w:rPr>
          <w:sz w:val="20"/>
          <w:szCs w:val="20"/>
          <w:color w:val="auto"/>
        </w:rPr>
      </w:pPr>
      <w:r>
        <w:rPr>
          <w:rFonts w:ascii="Times New Roman" w:cs="Times New Roman" w:eastAsia="Times New Roman" w:hAnsi="Times New Roman"/>
          <w:sz w:val="17"/>
          <w:szCs w:val="17"/>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carryback years, if carryback is permitted under the applicable tax law; (3) tax planning strategies; and (4) future taxable income exclusive of reversing temporary differences and carryforwards.</w:t>
      </w:r>
    </w:p>
    <w:p>
      <w:pPr>
        <w:spacing w:after="0" w:line="107" w:lineRule="exact"/>
        <w:rPr>
          <w:sz w:val="20"/>
          <w:szCs w:val="20"/>
          <w:color w:val="auto"/>
        </w:rPr>
      </w:pPr>
    </w:p>
    <w:p>
      <w:pPr>
        <w:ind w:right="40" w:firstLine="381"/>
        <w:spacing w:after="0" w:line="237" w:lineRule="auto"/>
        <w:rPr>
          <w:sz w:val="20"/>
          <w:szCs w:val="20"/>
          <w:color w:val="auto"/>
        </w:rPr>
      </w:pPr>
      <w:r>
        <w:rPr>
          <w:rFonts w:ascii="Times New Roman" w:cs="Times New Roman" w:eastAsia="Times New Roman" w:hAnsi="Times New Roman"/>
          <w:sz w:val="17"/>
          <w:szCs w:val="17"/>
          <w:color w:val="auto"/>
        </w:rPr>
        <w:t>At December 31, 2025 and 2024, the Company had valuation allowances of $143.9 million and $141.6 million, respectively. The increase of $2.3 million in 2025 was primarily related to the generation of taxable net operating losses and tax credit carryforwards due to the Company’s taxable loss position. During the year ended December 31, 2024, the valuation allowance decreased by $7.9 million, primarily related to the utilization of net operating losses due to the Company’s taxable income position. Based on the Company’s current position on valuation allowance, no net income tax benefits resulted in the Company’s consolidated statements of operations from the operating losses created during those years.</w:t>
      </w:r>
    </w:p>
    <w:p>
      <w:pPr>
        <w:spacing w:after="0" w:line="140" w:lineRule="exact"/>
        <w:rPr>
          <w:sz w:val="20"/>
          <w:szCs w:val="20"/>
          <w:color w:val="auto"/>
        </w:rPr>
      </w:pPr>
    </w:p>
    <w:p>
      <w:pPr>
        <w:ind w:right="340" w:firstLine="381"/>
        <w:spacing w:after="0" w:line="278" w:lineRule="auto"/>
        <w:rPr>
          <w:sz w:val="20"/>
          <w:szCs w:val="20"/>
          <w:color w:val="auto"/>
        </w:rPr>
      </w:pPr>
      <w:r>
        <w:rPr>
          <w:rFonts w:ascii="Times New Roman" w:cs="Times New Roman" w:eastAsia="Times New Roman" w:hAnsi="Times New Roman"/>
          <w:sz w:val="17"/>
          <w:szCs w:val="17"/>
          <w:color w:val="auto"/>
        </w:rPr>
        <w:t>The (benefit) provision for income taxes reconciles to the amount computed by applying the statutory federal income tax rate of 21% in 2025 and 2024 to loss before income taxes as follows (in thousands, excluding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80" w:type="dxa"/>
            <w:vAlign w:val="bottom"/>
          </w:tcPr>
          <w:p>
            <w:pPr>
              <w:spacing w:after="0"/>
              <w:rPr>
                <w:sz w:val="15"/>
                <w:szCs w:val="15"/>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Post-ASU 2023-09 Adoption</w:t>
            </w:r>
          </w:p>
        </w:tc>
      </w:tr>
      <w:tr>
        <w:trPr>
          <w:trHeight w:val="24"/>
        </w:trPr>
        <w:tc>
          <w:tcPr>
            <w:tcW w:w="8080" w:type="dxa"/>
            <w:vAlign w:val="bottom"/>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172"/>
        </w:trPr>
        <w:tc>
          <w:tcPr>
            <w:tcW w:w="808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16"/>
        </w:trPr>
        <w:tc>
          <w:tcPr>
            <w:tcW w:w="8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gridSpan w:val="3"/>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8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r>
      <w:tr>
        <w:trPr>
          <w:trHeight w:val="177"/>
        </w:trPr>
        <w:tc>
          <w:tcPr>
            <w:tcW w:w="8080" w:type="dxa"/>
            <w:vAlign w:val="bottom"/>
            <w:tcBorders>
              <w:bottom w:val="single" w:sz="8" w:color="D1EDF5"/>
            </w:tcBorders>
          </w:tcPr>
          <w:p>
            <w:pPr>
              <w:spacing w:after="0"/>
              <w:rPr>
                <w:sz w:val="15"/>
                <w:szCs w:val="15"/>
                <w:color w:val="auto"/>
              </w:rPr>
            </w:pPr>
          </w:p>
        </w:tc>
        <w:tc>
          <w:tcPr>
            <w:tcW w:w="11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D1EDF5"/>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2"/>
        </w:trPr>
        <w:tc>
          <w:tcPr>
            <w:tcW w:w="80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Tax provision at the U.S. federal statutory rate</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202"/>
        </w:trPr>
        <w:tc>
          <w:tcPr>
            <w:tcW w:w="8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State and local income taxes, net of federal income tax effect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4"/>
        </w:trPr>
        <w:tc>
          <w:tcPr>
            <w:tcW w:w="80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Foreign tax effects:</w:t>
            </w:r>
          </w:p>
        </w:tc>
        <w:tc>
          <w:tcPr>
            <w:tcW w:w="1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260" w:type="dxa"/>
            <w:vAlign w:val="bottom"/>
            <w:shd w:val="clear" w:color="auto" w:fill="D1EDF5"/>
          </w:tcPr>
          <w:p>
            <w:pPr>
              <w:spacing w:after="0"/>
              <w:rPr>
                <w:sz w:val="17"/>
                <w:szCs w:val="17"/>
                <w:color w:val="auto"/>
              </w:rPr>
            </w:pPr>
          </w:p>
        </w:tc>
      </w:tr>
      <w:tr>
        <w:trPr>
          <w:trHeight w:val="201"/>
        </w:trPr>
        <w:tc>
          <w:tcPr>
            <w:tcW w:w="80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China</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80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Statutory tax rate difference between China and the U.S.</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1"/>
        </w:trPr>
        <w:tc>
          <w:tcPr>
            <w:tcW w:w="80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206"/>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South Africa</w:t>
            </w:r>
          </w:p>
        </w:tc>
        <w:tc>
          <w:tcPr>
            <w:tcW w:w="1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260" w:type="dxa"/>
            <w:vAlign w:val="bottom"/>
            <w:shd w:val="clear" w:color="auto" w:fill="D1EDF5"/>
          </w:tcPr>
          <w:p>
            <w:pPr>
              <w:spacing w:after="0"/>
              <w:rPr>
                <w:sz w:val="17"/>
                <w:szCs w:val="17"/>
                <w:color w:val="auto"/>
              </w:rPr>
            </w:pPr>
          </w:p>
        </w:tc>
      </w:tr>
      <w:tr>
        <w:trPr>
          <w:trHeight w:val="201"/>
        </w:trPr>
        <w:tc>
          <w:tcPr>
            <w:tcW w:w="80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Statutory tax rate difference between South Africa and the U.S.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6"/>
        </w:trPr>
        <w:tc>
          <w:tcPr>
            <w:tcW w:w="8080" w:type="dxa"/>
            <w:vAlign w:val="bottom"/>
            <w:shd w:val="clear" w:color="auto" w:fill="D1EDF5"/>
          </w:tcPr>
          <w:p>
            <w:pPr>
              <w:ind w:left="42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2.7 %</w:t>
            </w:r>
          </w:p>
        </w:tc>
      </w:tr>
      <w:tr>
        <w:trPr>
          <w:trHeight w:val="201"/>
        </w:trPr>
        <w:tc>
          <w:tcPr>
            <w:tcW w:w="808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06"/>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Other foreign jurisdictions</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02"/>
        </w:trPr>
        <w:tc>
          <w:tcPr>
            <w:tcW w:w="8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Effect of cross-border tax laws:</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Foreign income inclusion (Subpart F and GILTI) true-ups</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(1,820)</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(142.0)%</w:t>
            </w:r>
          </w:p>
        </w:tc>
      </w:tr>
      <w:tr>
        <w:trPr>
          <w:trHeight w:val="202"/>
        </w:trPr>
        <w:tc>
          <w:tcPr>
            <w:tcW w:w="8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Tax credits:</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(26.1)%</w:t>
            </w:r>
          </w:p>
        </w:tc>
      </w:tr>
      <w:tr>
        <w:trPr>
          <w:trHeight w:val="202"/>
        </w:trPr>
        <w:tc>
          <w:tcPr>
            <w:tcW w:w="8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Changes in valuation allowances</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76.5 %</w:t>
            </w:r>
          </w:p>
        </w:tc>
      </w:tr>
      <w:tr>
        <w:trPr>
          <w:trHeight w:val="204"/>
        </w:trPr>
        <w:tc>
          <w:tcPr>
            <w:tcW w:w="80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Nontaxable or nondeductible items:</w:t>
            </w:r>
          </w:p>
        </w:tc>
        <w:tc>
          <w:tcPr>
            <w:tcW w:w="1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260" w:type="dxa"/>
            <w:vAlign w:val="bottom"/>
            <w:shd w:val="clear" w:color="auto" w:fill="D1EDF5"/>
          </w:tcPr>
          <w:p>
            <w:pPr>
              <w:spacing w:after="0"/>
              <w:rPr>
                <w:sz w:val="17"/>
                <w:szCs w:val="17"/>
                <w:color w:val="auto"/>
              </w:rPr>
            </w:pPr>
          </w:p>
        </w:tc>
      </w:tr>
      <w:tr>
        <w:trPr>
          <w:trHeight w:val="201"/>
        </w:trPr>
        <w:tc>
          <w:tcPr>
            <w:tcW w:w="80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35.2 %</w:t>
            </w:r>
          </w:p>
        </w:tc>
      </w:tr>
      <w:tr>
        <w:trPr>
          <w:trHeight w:val="206"/>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Non-deductible officer compensation</w:t>
            </w:r>
          </w:p>
        </w:tc>
        <w:tc>
          <w:tcPr>
            <w:tcW w:w="110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380" w:type="dxa"/>
            <w:vAlign w:val="bottom"/>
            <w:gridSpan w:val="3"/>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32.3 %</w:t>
            </w:r>
          </w:p>
        </w:tc>
      </w:tr>
      <w:tr>
        <w:trPr>
          <w:trHeight w:val="201"/>
        </w:trPr>
        <w:tc>
          <w:tcPr>
            <w:tcW w:w="80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Non-deductible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3.7 %</w:t>
            </w:r>
          </w:p>
        </w:tc>
      </w:tr>
      <w:tr>
        <w:trPr>
          <w:trHeight w:val="206"/>
        </w:trPr>
        <w:tc>
          <w:tcPr>
            <w:tcW w:w="80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b w:val="1"/>
                <w:bCs w:val="1"/>
                <w:color w:val="auto"/>
              </w:rPr>
              <w:t>Other adjustments:</w:t>
            </w:r>
          </w:p>
        </w:tc>
        <w:tc>
          <w:tcPr>
            <w:tcW w:w="1100" w:type="dxa"/>
            <w:vAlign w:val="bottom"/>
            <w:shd w:val="clear" w:color="auto" w:fill="D1EDF5"/>
          </w:tcPr>
          <w:p>
            <w:pPr>
              <w:spacing w:after="0"/>
              <w:rPr>
                <w:sz w:val="17"/>
                <w:szCs w:val="17"/>
                <w:color w:val="auto"/>
              </w:rPr>
            </w:pPr>
          </w:p>
        </w:tc>
        <w:tc>
          <w:tcPr>
            <w:tcW w:w="4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260" w:type="dxa"/>
            <w:vAlign w:val="bottom"/>
            <w:shd w:val="clear" w:color="auto" w:fill="D1EDF5"/>
          </w:tcPr>
          <w:p>
            <w:pPr>
              <w:spacing w:after="0"/>
              <w:rPr>
                <w:sz w:val="17"/>
                <w:szCs w:val="17"/>
                <w:color w:val="auto"/>
              </w:rPr>
            </w:pPr>
          </w:p>
        </w:tc>
      </w:tr>
      <w:tr>
        <w:trPr>
          <w:trHeight w:val="201"/>
        </w:trPr>
        <w:tc>
          <w:tcPr>
            <w:tcW w:w="80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tax deduction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4"/>
        </w:trPr>
        <w:tc>
          <w:tcPr>
            <w:tcW w:w="808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Other prior year true-up</w:t>
            </w:r>
          </w:p>
        </w:tc>
        <w:tc>
          <w:tcPr>
            <w:tcW w:w="110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40" w:type="dxa"/>
            <w:vAlign w:val="bottom"/>
            <w:tcBorders>
              <w:bottom w:val="single" w:sz="8" w:color="auto"/>
            </w:tcBorders>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12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9.9 %</w:t>
            </w:r>
          </w:p>
        </w:tc>
      </w:tr>
      <w:tr>
        <w:trPr>
          <w:trHeight w:val="197"/>
        </w:trPr>
        <w:tc>
          <w:tcPr>
            <w:tcW w:w="8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tax expense and effective income tax rate</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3.4 %</w:t>
            </w:r>
          </w:p>
        </w:tc>
      </w:tr>
      <w:tr>
        <w:trPr>
          <w:trHeight w:val="20"/>
        </w:trPr>
        <w:tc>
          <w:tcPr>
            <w:tcW w:w="8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3"/>
        </w:trPr>
        <w:tc>
          <w:tcPr>
            <w:tcW w:w="8520" w:type="dxa"/>
            <w:vAlign w:val="bottom"/>
          </w:tcPr>
          <w:p>
            <w:pPr>
              <w:ind w:left="4620"/>
              <w:spacing w:after="0"/>
              <w:rPr>
                <w:sz w:val="20"/>
                <w:szCs w:val="20"/>
                <w:color w:val="auto"/>
              </w:rPr>
            </w:pPr>
            <w:r>
              <w:rPr>
                <w:rFonts w:ascii="Times New Roman" w:cs="Times New Roman" w:eastAsia="Times New Roman" w:hAnsi="Times New Roman"/>
                <w:sz w:val="17"/>
                <w:szCs w:val="17"/>
                <w:b w:val="1"/>
                <w:bCs w:val="1"/>
                <w:color w:val="auto"/>
              </w:rPr>
              <w:t>INSEEGO CORP.</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4"/>
        </w:trPr>
        <w:tc>
          <w:tcPr>
            <w:tcW w:w="8520" w:type="dxa"/>
            <w:vAlign w:val="bottom"/>
          </w:tcPr>
          <w:p>
            <w:pPr>
              <w:ind w:left="3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663"/>
        </w:trPr>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Pre-ASU 2023-09 Adoption</w:t>
            </w:r>
          </w:p>
        </w:tc>
      </w:tr>
      <w:tr>
        <w:trPr>
          <w:trHeight w:val="24"/>
        </w:trPr>
        <w:tc>
          <w:tcPr>
            <w:tcW w:w="8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1"/>
        </w:trPr>
        <w:tc>
          <w:tcPr>
            <w:tcW w:w="8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91"/>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520" w:type="dxa"/>
            <w:vAlign w:val="bottom"/>
            <w:tcBorders>
              <w:bottom w:val="single" w:sz="8" w:color="D1EDF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Federal tax benefit, at statutory rate</w:t>
            </w:r>
          </w:p>
        </w:tc>
        <w:tc>
          <w:tcPr>
            <w:tcW w:w="180" w:type="dxa"/>
            <w:vAlign w:val="bottom"/>
            <w:shd w:val="clear" w:color="auto" w:fill="D1EDF5"/>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(2,535)</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provision, net of federal benefit</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1,374</w:t>
            </w:r>
          </w:p>
        </w:tc>
      </w:tr>
      <w:tr>
        <w:trPr>
          <w:trHeight w:val="225"/>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Foreign tax rate difference</w:t>
            </w:r>
          </w:p>
        </w:tc>
        <w:tc>
          <w:tcPr>
            <w:tcW w:w="180" w:type="dxa"/>
            <w:vAlign w:val="bottom"/>
            <w:shd w:val="clear" w:color="auto" w:fill="D1EDF5"/>
          </w:tcPr>
          <w:p>
            <w:pPr>
              <w:spacing w:after="0"/>
              <w:rPr>
                <w:sz w:val="19"/>
                <w:szCs w:val="19"/>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income inclusions</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6,177</w:t>
            </w:r>
          </w:p>
        </w:tc>
      </w:tr>
      <w:tr>
        <w:trPr>
          <w:trHeight w:val="225"/>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Valuation allowance against future tax benefits</w:t>
            </w:r>
          </w:p>
        </w:tc>
        <w:tc>
          <w:tcPr>
            <w:tcW w:w="180" w:type="dxa"/>
            <w:vAlign w:val="bottom"/>
            <w:shd w:val="clear" w:color="auto" w:fill="D1EDF5"/>
          </w:tcPr>
          <w:p>
            <w:pPr>
              <w:spacing w:after="0"/>
              <w:rPr>
                <w:sz w:val="19"/>
                <w:szCs w:val="19"/>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(8,515)</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(1,204)</w:t>
            </w:r>
          </w:p>
        </w:tc>
      </w:tr>
      <w:tr>
        <w:trPr>
          <w:trHeight w:val="225"/>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180" w:type="dxa"/>
            <w:vAlign w:val="bottom"/>
            <w:shd w:val="clear" w:color="auto" w:fill="D1EDF5"/>
          </w:tcPr>
          <w:p>
            <w:pPr>
              <w:spacing w:after="0"/>
              <w:rPr>
                <w:sz w:val="19"/>
                <w:szCs w:val="19"/>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1,989</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Disallowance of loss on debt exchanges</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3,344</w:t>
            </w:r>
          </w:p>
        </w:tc>
      </w:tr>
      <w:tr>
        <w:trPr>
          <w:trHeight w:val="225"/>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Non-deductible officers compensation</w:t>
            </w:r>
          </w:p>
        </w:tc>
        <w:tc>
          <w:tcPr>
            <w:tcW w:w="180" w:type="dxa"/>
            <w:vAlign w:val="bottom"/>
            <w:shd w:val="clear" w:color="auto" w:fill="D1EDF5"/>
          </w:tcPr>
          <w:p>
            <w:pPr>
              <w:spacing w:after="0"/>
              <w:rPr>
                <w:sz w:val="19"/>
                <w:szCs w:val="19"/>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True-up of prior year provisions</w:t>
            </w: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25"/>
        </w:trPr>
        <w:tc>
          <w:tcPr>
            <w:tcW w:w="8520" w:type="dxa"/>
            <w:vAlign w:val="bottom"/>
            <w:shd w:val="clear" w:color="auto" w:fill="D1EDF5"/>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auto"/>
            </w:tcBorders>
            <w:shd w:val="clear" w:color="auto" w:fill="D1EDF5"/>
          </w:tcPr>
          <w:p>
            <w:pPr>
              <w:spacing w:after="0"/>
              <w:rPr>
                <w:sz w:val="19"/>
                <w:szCs w:val="19"/>
                <w:color w:val="auto"/>
              </w:rPr>
            </w:pPr>
          </w:p>
        </w:tc>
        <w:tc>
          <w:tcPr>
            <w:tcW w:w="1860" w:type="dxa"/>
            <w:vAlign w:val="bottom"/>
            <w:tcBorders>
              <w:bottom w:val="single" w:sz="8" w:color="auto"/>
            </w:tcBorders>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1"/>
        </w:trPr>
        <w:tc>
          <w:tcPr>
            <w:tcW w:w="8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689</w:t>
            </w:r>
          </w:p>
        </w:tc>
      </w:tr>
      <w:tr>
        <w:trPr>
          <w:trHeight w:val="444"/>
        </w:trPr>
        <w:tc>
          <w:tcPr>
            <w:tcW w:w="852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9"/>
              </w:rPr>
              <w:t>The following table presents supplemental cash flow information related to income taxes paid (net of refunds received):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4"/>
        </w:trPr>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84"/>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83"/>
        </w:trPr>
        <w:tc>
          <w:tcPr>
            <w:tcW w:w="8520" w:type="dxa"/>
            <w:vAlign w:val="bottom"/>
            <w:tcBorders>
              <w:bottom w:val="single" w:sz="8" w:color="D1EDF5"/>
            </w:tcBorders>
          </w:tcPr>
          <w:p>
            <w:pPr>
              <w:spacing w:after="0"/>
              <w:rPr>
                <w:sz w:val="15"/>
                <w:szCs w:val="15"/>
                <w:color w:val="auto"/>
              </w:rPr>
            </w:pPr>
          </w:p>
        </w:tc>
        <w:tc>
          <w:tcPr>
            <w:tcW w:w="180" w:type="dxa"/>
            <w:vAlign w:val="bottom"/>
            <w:tcBorders>
              <w:bottom w:val="single" w:sz="8" w:color="D1EDF5"/>
            </w:tcBorders>
          </w:tcPr>
          <w:p>
            <w:pPr>
              <w:spacing w:after="0"/>
              <w:rPr>
                <w:sz w:val="15"/>
                <w:szCs w:val="15"/>
                <w:color w:val="auto"/>
              </w:rPr>
            </w:pPr>
          </w:p>
        </w:tc>
        <w:tc>
          <w:tcPr>
            <w:tcW w:w="720" w:type="dxa"/>
            <w:vAlign w:val="bottom"/>
            <w:tcBorders>
              <w:bottom w:val="single" w:sz="8" w:color="D1EDF5"/>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02"/>
        </w:trPr>
        <w:tc>
          <w:tcPr>
            <w:tcW w:w="852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Federal</w:t>
            </w:r>
          </w:p>
        </w:tc>
        <w:tc>
          <w:tcPr>
            <w:tcW w:w="180" w:type="dxa"/>
            <w:vAlign w:val="bottom"/>
            <w:shd w:val="clear" w:color="auto" w:fill="D1EDF5"/>
          </w:tcPr>
          <w:p>
            <w:pPr>
              <w:spacing w:after="0"/>
              <w:rPr>
                <w:sz w:val="17"/>
                <w:szCs w:val="17"/>
                <w:color w:val="auto"/>
              </w:rPr>
            </w:pPr>
          </w:p>
        </w:tc>
        <w:tc>
          <w:tcPr>
            <w:tcW w:w="720" w:type="dxa"/>
            <w:vAlign w:val="bottom"/>
            <w:shd w:val="clear" w:color="auto" w:fill="D1EDF5"/>
          </w:tcPr>
          <w:p>
            <w:pPr>
              <w:spacing w:after="0"/>
              <w:rPr>
                <w:sz w:val="17"/>
                <w:szCs w:val="17"/>
                <w:color w:val="auto"/>
              </w:rPr>
            </w:pP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US state and local:</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85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Illinois</w:t>
            </w:r>
          </w:p>
        </w:tc>
        <w:tc>
          <w:tcPr>
            <w:tcW w:w="180" w:type="dxa"/>
            <w:vAlign w:val="bottom"/>
            <w:shd w:val="clear" w:color="auto" w:fill="D1EDF5"/>
          </w:tcPr>
          <w:p>
            <w:pPr>
              <w:spacing w:after="0"/>
              <w:rPr>
                <w:sz w:val="17"/>
                <w:szCs w:val="17"/>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1"/>
        </w:trPr>
        <w:tc>
          <w:tcPr>
            <w:tcW w:w="8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Indiana</w:t>
            </w: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6"/>
        </w:trPr>
        <w:tc>
          <w:tcPr>
            <w:tcW w:w="85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Pennsylvania</w:t>
            </w:r>
          </w:p>
        </w:tc>
        <w:tc>
          <w:tcPr>
            <w:tcW w:w="180" w:type="dxa"/>
            <w:vAlign w:val="bottom"/>
            <w:shd w:val="clear" w:color="auto" w:fill="D1EDF5"/>
          </w:tcPr>
          <w:p>
            <w:pPr>
              <w:spacing w:after="0"/>
              <w:rPr>
                <w:sz w:val="17"/>
                <w:szCs w:val="17"/>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201"/>
        </w:trPr>
        <w:tc>
          <w:tcPr>
            <w:tcW w:w="85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Texas</w:t>
            </w: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06"/>
        </w:trPr>
        <w:tc>
          <w:tcPr>
            <w:tcW w:w="85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shd w:val="clear" w:color="auto" w:fill="D1EDF5"/>
          </w:tcPr>
          <w:p>
            <w:pPr>
              <w:spacing w:after="0"/>
              <w:rPr>
                <w:sz w:val="17"/>
                <w:szCs w:val="17"/>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1"/>
        </w:trPr>
        <w:tc>
          <w:tcPr>
            <w:tcW w:w="852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852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South Africa</w:t>
            </w:r>
          </w:p>
        </w:tc>
        <w:tc>
          <w:tcPr>
            <w:tcW w:w="180" w:type="dxa"/>
            <w:vAlign w:val="bottom"/>
            <w:shd w:val="clear" w:color="auto" w:fill="D1EDF5"/>
          </w:tcPr>
          <w:p>
            <w:pPr>
              <w:spacing w:after="0"/>
              <w:rPr>
                <w:sz w:val="17"/>
                <w:szCs w:val="17"/>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833</w:t>
            </w:r>
          </w:p>
        </w:tc>
      </w:tr>
      <w:tr>
        <w:trPr>
          <w:trHeight w:val="201"/>
        </w:trPr>
        <w:tc>
          <w:tcPr>
            <w:tcW w:w="852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D1EDF5"/>
            </w:tcBorders>
          </w:tcPr>
          <w:p>
            <w:pPr>
              <w:spacing w:after="0"/>
              <w:rPr>
                <w:sz w:val="17"/>
                <w:szCs w:val="17"/>
                <w:color w:val="auto"/>
              </w:rPr>
            </w:pPr>
          </w:p>
        </w:tc>
        <w:tc>
          <w:tcPr>
            <w:tcW w:w="720" w:type="dxa"/>
            <w:vAlign w:val="bottom"/>
            <w:tcBorders>
              <w:bottom w:val="single" w:sz="8" w:color="D1EDF5"/>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18"/>
        </w:trPr>
        <w:tc>
          <w:tcPr>
            <w:tcW w:w="852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income taxes paid (net of refunds received)</w:t>
            </w:r>
          </w:p>
        </w:tc>
        <w:tc>
          <w:tcPr>
            <w:tcW w:w="180" w:type="dxa"/>
            <w:vAlign w:val="bottom"/>
            <w:shd w:val="clear" w:color="auto" w:fill="D1EDF5"/>
          </w:tcPr>
          <w:p>
            <w:pPr>
              <w:spacing w:after="0"/>
              <w:rPr>
                <w:sz w:val="18"/>
                <w:szCs w:val="18"/>
                <w:color w:val="auto"/>
              </w:rPr>
            </w:pPr>
          </w:p>
        </w:tc>
        <w:tc>
          <w:tcPr>
            <w:tcW w:w="18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1,361</w:t>
            </w:r>
          </w:p>
        </w:tc>
      </w:tr>
      <w:tr>
        <w:trPr>
          <w:trHeight w:val="20"/>
        </w:trPr>
        <w:tc>
          <w:tcPr>
            <w:tcW w:w="852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D1EDF5"/>
            </w:tcBorders>
          </w:tcPr>
          <w:p>
            <w:pPr>
              <w:spacing w:after="0" w:line="20" w:lineRule="exact"/>
              <w:rPr>
                <w:sz w:val="1"/>
                <w:szCs w:val="1"/>
                <w:color w:val="auto"/>
              </w:rPr>
            </w:pPr>
          </w:p>
        </w:tc>
        <w:tc>
          <w:tcPr>
            <w:tcW w:w="720" w:type="dxa"/>
            <w:vAlign w:val="bottom"/>
            <w:tcBorders>
              <w:top w:val="single" w:sz="8" w:color="D1EDF5"/>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40" w:firstLine="381"/>
        <w:spacing w:after="0" w:line="243" w:lineRule="auto"/>
        <w:rPr>
          <w:sz w:val="20"/>
          <w:szCs w:val="20"/>
          <w:color w:val="auto"/>
        </w:rPr>
      </w:pPr>
      <w:r>
        <w:rPr>
          <w:rFonts w:ascii="Times New Roman" w:cs="Times New Roman" w:eastAsia="Times New Roman" w:hAnsi="Times New Roman"/>
          <w:sz w:val="17"/>
          <w:szCs w:val="17"/>
          <w:color w:val="auto"/>
        </w:rPr>
        <w:t>At December 31, 2025, the Company had U.S. federal net operating loss carryforwards (“NOLs”) related to tax years 2025 and 2022 and prior of approximately $374.0 million. Approximately $119.6 million of these NOLs have no expiration date. The remainder will begin to expire in 2030, unless previously utilized. Some of these NOLs may be limited by either past or future changes in control events. The Company has California NOLs at December 31, 2025 of approximately $64.8 million, which begin to expire in 2031, unless previously utilized, and no foreign NOLs for its active foreign subsidiaries. At December 31, 2025, the Company had federal research and development tax credit carryforwards, net of unrecognized tax benefits, of approximately $11.7 million, which begin to expire in 2026, unless previously utilized, and California research and development tax credit carryforwards, net of unrecognized tax benefits, of approximately $11.9 million, which have no expiration date.</w:t>
      </w:r>
    </w:p>
    <w:p>
      <w:pPr>
        <w:spacing w:after="0" w:line="126" w:lineRule="exact"/>
        <w:rPr>
          <w:sz w:val="20"/>
          <w:szCs w:val="20"/>
          <w:color w:val="auto"/>
        </w:rPr>
      </w:pPr>
    </w:p>
    <w:p>
      <w:pPr>
        <w:ind w:right="40" w:firstLine="381"/>
        <w:spacing w:after="0" w:line="255" w:lineRule="auto"/>
        <w:rPr>
          <w:sz w:val="20"/>
          <w:szCs w:val="20"/>
          <w:color w:val="auto"/>
        </w:rPr>
      </w:pPr>
      <w:r>
        <w:rPr>
          <w:rFonts w:ascii="Times New Roman" w:cs="Times New Roman" w:eastAsia="Times New Roman" w:hAnsi="Times New Roman"/>
          <w:sz w:val="17"/>
          <w:szCs w:val="17"/>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2024 and did not identify any events of such cumulative change in ownership during the review period. There were no ownership changes filed with the Securities and Exchange Commission during 2025 and the Company does not believe there were any ownership changes that would trigger any limitations imposed by Sections 382 or 383 through December 31, 2025. The Company will continue monitoring any future changes in stock ownership.</w:t>
      </w:r>
    </w:p>
    <w:p>
      <w:pPr>
        <w:spacing w:after="0" w:line="100" w:lineRule="exact"/>
        <w:rPr>
          <w:sz w:val="20"/>
          <w:szCs w:val="20"/>
          <w:color w:val="auto"/>
        </w:rPr>
      </w:pPr>
    </w:p>
    <w:p>
      <w:pPr>
        <w:ind w:right="280" w:firstLine="381"/>
        <w:spacing w:after="0" w:line="262" w:lineRule="auto"/>
        <w:rPr>
          <w:sz w:val="20"/>
          <w:szCs w:val="20"/>
          <w:color w:val="auto"/>
        </w:rPr>
      </w:pPr>
      <w:r>
        <w:rPr>
          <w:rFonts w:ascii="Times New Roman" w:cs="Times New Roman" w:eastAsia="Times New Roman" w:hAnsi="Times New Roman"/>
          <w:sz w:val="17"/>
          <w:szCs w:val="17"/>
          <w:color w:val="auto"/>
        </w:rPr>
        <w:t>It is the Company’s intention to reinvest undistributed earnings of its continuing foreign subsidiaries’ operations and thereby indefinitely postpone their remittance. Accordingly, no provision has been made for foreign withholding taxes on U.S.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04"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6"/>
          <w:szCs w:val="16"/>
          <w:color w:val="auto"/>
        </w:rPr>
        <w:t>income taxes which may become payable if undistributed earnings of the foreign subsidiary were paid as dividends to the Company. The Company has recorded an income tax of $0.4 million representing the estimated dividend withholding tax in connection with its plan to deregister its discontinued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Telematics operations and remit the remaining assets to the Company. This deregistration is expected to occur in the first half of 2026.</w:t>
      </w:r>
    </w:p>
    <w:p>
      <w:pPr>
        <w:spacing w:after="0" w:line="160" w:lineRule="exact"/>
        <w:rPr>
          <w:sz w:val="20"/>
          <w:szCs w:val="20"/>
          <w:color w:val="auto"/>
        </w:rPr>
      </w:pPr>
    </w:p>
    <w:p>
      <w:pPr>
        <w:ind w:right="60" w:firstLine="381"/>
        <w:spacing w:after="0" w:line="242" w:lineRule="auto"/>
        <w:rPr>
          <w:sz w:val="20"/>
          <w:szCs w:val="20"/>
          <w:color w:val="auto"/>
        </w:rPr>
      </w:pPr>
      <w:r>
        <w:rPr>
          <w:rFonts w:ascii="Times New Roman" w:cs="Times New Roman" w:eastAsia="Times New Roman" w:hAnsi="Times New Roman"/>
          <w:sz w:val="17"/>
          <w:szCs w:val="17"/>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2025 and 2024. At December 31, 2025 and 2024, the Company did not have interest expense related to uncertain tax positions or a liability for unrecognized tax benefits. The Company does not expect changes to its uncertain tax position in the next twelve months.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reconciliation of the beginning and ending amounts of unrecognized tax benefits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480" w:type="dxa"/>
            <w:vAlign w:val="bottom"/>
            <w:shd w:val="clear" w:color="auto" w:fill="D1EDF5"/>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12,639</w:t>
            </w:r>
          </w:p>
        </w:tc>
      </w:tr>
      <w:tr>
        <w:trPr>
          <w:trHeight w:val="201"/>
        </w:trPr>
        <w:tc>
          <w:tcPr>
            <w:tcW w:w="91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Increases related to current and prior year tax positions</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719</w:t>
            </w:r>
          </w:p>
        </w:tc>
      </w:tr>
      <w:tr>
        <w:trPr>
          <w:trHeight w:val="198"/>
        </w:trPr>
        <w:tc>
          <w:tcPr>
            <w:tcW w:w="9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Balance at December 31, 2024</w:t>
            </w:r>
          </w:p>
        </w:tc>
        <w:tc>
          <w:tcPr>
            <w:tcW w:w="480" w:type="dxa"/>
            <w:vAlign w:val="bottom"/>
            <w:shd w:val="clear" w:color="auto" w:fill="D1EDF5"/>
          </w:tcPr>
          <w:p>
            <w:pPr>
              <w:spacing w:after="0"/>
              <w:rPr>
                <w:sz w:val="17"/>
                <w:szCs w:val="17"/>
                <w:color w:val="auto"/>
              </w:rPr>
            </w:pPr>
          </w:p>
        </w:tc>
        <w:tc>
          <w:tcPr>
            <w:tcW w:w="88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13,358</w:t>
            </w:r>
          </w:p>
        </w:tc>
      </w:tr>
      <w:tr>
        <w:trPr>
          <w:trHeight w:val="201"/>
        </w:trPr>
        <w:tc>
          <w:tcPr>
            <w:tcW w:w="918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Increases related to current and prior year tax positions</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468</w:t>
            </w:r>
          </w:p>
        </w:tc>
      </w:tr>
      <w:tr>
        <w:trPr>
          <w:trHeight w:val="223"/>
        </w:trPr>
        <w:tc>
          <w:tcPr>
            <w:tcW w:w="91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Balance at December 31, 2025</w:t>
            </w:r>
          </w:p>
        </w:tc>
        <w:tc>
          <w:tcPr>
            <w:tcW w:w="480" w:type="dxa"/>
            <w:vAlign w:val="bottom"/>
            <w:tcBorders>
              <w:bottom w:val="single" w:sz="8" w:color="auto"/>
            </w:tcBorders>
            <w:shd w:val="clear" w:color="auto" w:fill="D1EDF5"/>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13,826</w:t>
            </w:r>
          </w:p>
        </w:tc>
      </w:tr>
      <w:tr>
        <w:trPr>
          <w:trHeight w:val="20"/>
        </w:trPr>
        <w:tc>
          <w:tcPr>
            <w:tcW w:w="9180" w:type="dxa"/>
            <w:vAlign w:val="bottom"/>
            <w:tcBorders>
              <w:top w:val="single" w:sz="8" w:color="D1EDF5"/>
            </w:tcBorders>
          </w:tcPr>
          <w:p>
            <w:pPr>
              <w:spacing w:after="0" w:line="20" w:lineRule="exact"/>
              <w:rPr>
                <w:sz w:val="1"/>
                <w:szCs w:val="1"/>
                <w:color w:val="auto"/>
              </w:rPr>
            </w:pPr>
          </w:p>
        </w:tc>
        <w:tc>
          <w:tcPr>
            <w:tcW w:w="480" w:type="dxa"/>
            <w:vAlign w:val="bottom"/>
            <w:tcBorders>
              <w:top w:val="single" w:sz="8" w:color="D1EDF5"/>
              <w:bottom w:val="single" w:sz="8" w:color="auto"/>
            </w:tcBorders>
          </w:tcPr>
          <w:p>
            <w:pPr>
              <w:spacing w:after="0" w:line="20" w:lineRule="exact"/>
              <w:rPr>
                <w:sz w:val="1"/>
                <w:szCs w:val="1"/>
                <w:color w:val="auto"/>
              </w:rPr>
            </w:pPr>
          </w:p>
        </w:tc>
        <w:tc>
          <w:tcPr>
            <w:tcW w:w="880" w:type="dxa"/>
            <w:vAlign w:val="bottom"/>
            <w:tcBorders>
              <w:top w:val="single" w:sz="8" w:color="D1EDF5"/>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540" w:firstLine="381"/>
        <w:spacing w:after="0" w:line="262" w:lineRule="auto"/>
        <w:rPr>
          <w:sz w:val="20"/>
          <w:szCs w:val="20"/>
          <w:color w:val="auto"/>
        </w:rPr>
      </w:pPr>
      <w:r>
        <w:rPr>
          <w:rFonts w:ascii="Times New Roman" w:cs="Times New Roman" w:eastAsia="Times New Roman" w:hAnsi="Times New Roman"/>
          <w:sz w:val="17"/>
          <w:szCs w:val="17"/>
          <w:color w:val="auto"/>
        </w:rPr>
        <w:t>There are no tax benefits that, if recognized, would affect the effective tax rate that are included in the balances of unrecognized tax benefits at December 31, 2025.</w:t>
      </w:r>
    </w:p>
    <w:p>
      <w:pPr>
        <w:spacing w:after="0" w:line="107" w:lineRule="exact"/>
        <w:rPr>
          <w:sz w:val="20"/>
          <w:szCs w:val="20"/>
          <w:color w:val="auto"/>
        </w:rPr>
      </w:pPr>
    </w:p>
    <w:p>
      <w:pPr>
        <w:ind w:right="20" w:firstLine="381"/>
        <w:spacing w:after="0" w:line="244" w:lineRule="auto"/>
        <w:rPr>
          <w:sz w:val="20"/>
          <w:szCs w:val="20"/>
          <w:color w:val="auto"/>
        </w:rPr>
      </w:pPr>
      <w:r>
        <w:rPr>
          <w:rFonts w:ascii="Times New Roman" w:cs="Times New Roman" w:eastAsia="Times New Roman" w:hAnsi="Times New Roman"/>
          <w:sz w:val="17"/>
          <w:szCs w:val="17"/>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2022 and 2021,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 The Company is currently under examination by the Internal Revenue Service (“IRS”) for its 2023 federal tax return. At this stage, the Company cannot reasonably estimate the ultimate outcome of the examination but do not believe any impact will have a material impact to its income tax expense.</w:t>
      </w:r>
    </w:p>
    <w:p>
      <w:pPr>
        <w:spacing w:after="0" w:line="125" w:lineRule="exact"/>
        <w:rPr>
          <w:sz w:val="20"/>
          <w:szCs w:val="20"/>
          <w:color w:val="auto"/>
        </w:rPr>
      </w:pPr>
    </w:p>
    <w:p>
      <w:pPr>
        <w:ind w:firstLine="381"/>
        <w:spacing w:after="0" w:line="243" w:lineRule="auto"/>
        <w:rPr>
          <w:sz w:val="20"/>
          <w:szCs w:val="20"/>
          <w:color w:val="auto"/>
        </w:rPr>
      </w:pPr>
      <w:r>
        <w:rPr>
          <w:rFonts w:ascii="Times New Roman" w:cs="Times New Roman" w:eastAsia="Times New Roman" w:hAnsi="Times New Roman"/>
          <w:sz w:val="17"/>
          <w:szCs w:val="17"/>
          <w:color w:val="auto"/>
        </w:rPr>
        <w:t>On July 4, 2025, Congress passed, and the President signed into law, the One Big Beautiful Bill Act (the “OBBBA”), which includes certain business tax provisions, including full deduction of domestic research and development expenditures for tax years beginning January 1, 2025, and to elect, if so desired, to expense in 2025 such expenditures that were deferred in 2022 through 2024. The OBBBA also provided changes in deductibility of executive compensation for publicly traded companies and changes in the calculation of the business interest deduction among other changes - most of which were made effective January 1, 2025. While the OBBBA did not materially affect our income tax expense in 2025, it did materially increase the Company’s 2025 tax deductible research and experimental expenses and business interest expense, which contributed to the Company incurring an estimated U.S. taxable loss in 2025 of approximately $12.4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Stockholders' Equity (Deficit)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Stock</w:t>
      </w:r>
    </w:p>
    <w:p>
      <w:pPr>
        <w:spacing w:after="0" w:line="151" w:lineRule="exact"/>
        <w:rPr>
          <w:sz w:val="20"/>
          <w:szCs w:val="20"/>
          <w:color w:val="auto"/>
        </w:rPr>
      </w:pPr>
    </w:p>
    <w:p>
      <w:pPr>
        <w:ind w:right="20" w:firstLine="381"/>
        <w:spacing w:after="0" w:line="255" w:lineRule="auto"/>
        <w:rPr>
          <w:sz w:val="20"/>
          <w:szCs w:val="20"/>
          <w:color w:val="auto"/>
        </w:rPr>
      </w:pPr>
      <w:r>
        <w:rPr>
          <w:rFonts w:ascii="Times New Roman" w:cs="Times New Roman" w:eastAsia="Times New Roman" w:hAnsi="Times New Roman"/>
          <w:sz w:val="17"/>
          <w:szCs w:val="17"/>
          <w:color w:val="auto"/>
        </w:rPr>
        <w:t>The Company has a total of 2,000,000 shares of preferred stock authorized for issuance at a par value of $0.001 per share, 150,000 of which have been designated Series D Preferred Stock and 39,500 of which have been designated Series E Preferred Stock. As of December 31, 2025, the Company had 25,000 shares of Series E preferred stock issued and outstanding.</w:t>
      </w:r>
    </w:p>
    <w:p>
      <w:pPr>
        <w:spacing w:after="0" w:line="113" w:lineRule="exact"/>
        <w:rPr>
          <w:sz w:val="20"/>
          <w:szCs w:val="20"/>
          <w:color w:val="auto"/>
        </w:rPr>
      </w:pPr>
    </w:p>
    <w:p>
      <w:pPr>
        <w:ind w:right="60" w:firstLine="381"/>
        <w:spacing w:after="0" w:line="245" w:lineRule="auto"/>
        <w:rPr>
          <w:sz w:val="20"/>
          <w:szCs w:val="20"/>
          <w:color w:val="auto"/>
        </w:rPr>
      </w:pPr>
      <w:r>
        <w:rPr>
          <w:rFonts w:ascii="Times New Roman" w:cs="Times New Roman" w:eastAsia="Times New Roman" w:hAnsi="Times New Roman"/>
          <w:sz w:val="17"/>
          <w:szCs w:val="17"/>
          <w:color w:val="auto"/>
        </w:rPr>
        <w:t>Each share of Series E Preferred Stock entitles the holder thereof to receive, when and if declared by the Company out of assets legally available therefor, cumulative cash dividends at an annual rate of 9.00% payable quarterly in arrears on January 1 April 1, July 1 and October 1 of each year, beginning on March 1, 2020. If dividends are not declared and paid in any quarter, or if such dividends are declared but holders of the Series E Preferred Stock elect not to receive them in cash, the quarterly dividend will be deemed to accrue and will be added to the Series E Base Amount (as defined below). The Series E Preferred Stock has no voting rights unless otherwise required by law. The Series E Preferred Stock is perpetual and has no maturity date. However, the Company may, at its option, redeem shares of the Series E Preferred Stock, in whole or in part, on or after July 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 The aggregate liquidation preference of the issued and outstanding shares of Series E Preferred Stock as of December 31, 2025 was $42.0 million.</w:t>
      </w:r>
    </w:p>
    <w:p>
      <w:pPr>
        <w:spacing w:after="0" w:line="126" w:lineRule="exact"/>
        <w:rPr>
          <w:sz w:val="20"/>
          <w:szCs w:val="20"/>
          <w:color w:val="auto"/>
        </w:rPr>
      </w:pPr>
    </w:p>
    <w:p>
      <w:pPr>
        <w:ind w:right="840" w:firstLine="381"/>
        <w:spacing w:after="0" w:line="278" w:lineRule="auto"/>
        <w:rPr>
          <w:sz w:val="20"/>
          <w:szCs w:val="20"/>
          <w:color w:val="auto"/>
        </w:rPr>
      </w:pPr>
      <w:r>
        <w:rPr>
          <w:rFonts w:ascii="Times New Roman" w:cs="Times New Roman" w:eastAsia="Times New Roman" w:hAnsi="Times New Roman"/>
          <w:sz w:val="17"/>
          <w:szCs w:val="17"/>
          <w:color w:val="auto"/>
        </w:rPr>
        <w:t>Dividends declared, but not paid, related to the Series E Preferred Stock resulted in $17.0 million and $13.4 million of dividends accrued, approximating $678.66 and $535.71 per preferred share, as of December 31, 2025 and 2024, respectively.</w:t>
      </w:r>
    </w:p>
    <w:p>
      <w:pPr>
        <w:spacing w:after="0" w:line="93" w:lineRule="exact"/>
        <w:rPr>
          <w:sz w:val="20"/>
          <w:szCs w:val="20"/>
          <w:color w:val="auto"/>
        </w:rPr>
      </w:pPr>
    </w:p>
    <w:p>
      <w:pPr>
        <w:ind w:right="680" w:firstLine="381"/>
        <w:spacing w:after="0" w:line="262" w:lineRule="auto"/>
        <w:rPr>
          <w:sz w:val="20"/>
          <w:szCs w:val="20"/>
          <w:color w:val="auto"/>
        </w:rPr>
      </w:pPr>
      <w:r>
        <w:rPr>
          <w:rFonts w:ascii="Times New Roman" w:cs="Times New Roman" w:eastAsia="Times New Roman" w:hAnsi="Times New Roman"/>
          <w:sz w:val="17"/>
          <w:szCs w:val="17"/>
          <w:color w:val="auto"/>
        </w:rPr>
        <w:t xml:space="preserve">In January 2026, the Company executed an exchange agreement under which all 25,000 outstanding shares of Series E preferred stock were exchanged for a combination of cash, common stock, and debt. See </w:t>
      </w:r>
      <w:r>
        <w:rPr>
          <w:rFonts w:ascii="Times New Roman" w:cs="Times New Roman" w:eastAsia="Times New Roman" w:hAnsi="Times New Roman"/>
          <w:sz w:val="17"/>
          <w:szCs w:val="17"/>
          <w:i w:val="1"/>
          <w:iCs w:val="1"/>
          <w:color w:val="auto"/>
        </w:rPr>
        <w:t>Note 14 – Subsequent Events</w:t>
      </w:r>
      <w:r>
        <w:rPr>
          <w:rFonts w:ascii="Times New Roman" w:cs="Times New Roman" w:eastAsia="Times New Roman" w:hAnsi="Times New Roman"/>
          <w:sz w:val="17"/>
          <w:szCs w:val="17"/>
          <w:color w:val="auto"/>
        </w:rPr>
        <w:t xml:space="preserve"> for further details.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Stock</w:t>
      </w:r>
    </w:p>
    <w:p>
      <w:pPr>
        <w:spacing w:after="0" w:line="151" w:lineRule="exact"/>
        <w:rPr>
          <w:sz w:val="20"/>
          <w:szCs w:val="20"/>
          <w:color w:val="auto"/>
        </w:rPr>
      </w:pPr>
    </w:p>
    <w:p>
      <w:pPr>
        <w:ind w:right="220" w:firstLine="381"/>
        <w:spacing w:after="0" w:line="262" w:lineRule="auto"/>
        <w:rPr>
          <w:sz w:val="20"/>
          <w:szCs w:val="20"/>
          <w:color w:val="auto"/>
        </w:rPr>
      </w:pPr>
      <w:r>
        <w:rPr>
          <w:rFonts w:ascii="Times New Roman" w:cs="Times New Roman" w:eastAsia="Times New Roman" w:hAnsi="Times New Roman"/>
          <w:sz w:val="17"/>
          <w:szCs w:val="17"/>
          <w:color w:val="auto"/>
        </w:rPr>
        <w:t>As of December 31, 2025, the Company had 150,000,000 shares of $0.001 par value common stock authorized for issuance and 15,388,978 shares issued and outstanding.</w:t>
      </w:r>
    </w:p>
    <w:p>
      <w:pPr>
        <w:spacing w:after="0" w:line="115" w:lineRule="exact"/>
        <w:rPr>
          <w:sz w:val="20"/>
          <w:szCs w:val="20"/>
          <w:color w:val="auto"/>
        </w:rPr>
      </w:pPr>
    </w:p>
    <w:p>
      <w:pPr>
        <w:ind w:right="80" w:firstLine="381"/>
        <w:spacing w:after="0" w:line="246" w:lineRule="auto"/>
        <w:rPr>
          <w:sz w:val="20"/>
          <w:szCs w:val="20"/>
          <w:color w:val="auto"/>
        </w:rPr>
      </w:pPr>
      <w:r>
        <w:rPr>
          <w:rFonts w:ascii="Times New Roman" w:cs="Times New Roman" w:eastAsia="Times New Roman" w:hAnsi="Times New Roman"/>
          <w:sz w:val="17"/>
          <w:szCs w:val="17"/>
          <w:color w:val="auto"/>
        </w:rPr>
        <w:t xml:space="preserve">As noted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xml:space="preserve">, as part of the consideration exchanged in multiple repurchases of principal amounts of the Company’s 2025 Convertible Notes, the Company issued 2.9 million shares of its common stock during the year ended December 31, 2024. These shares were recorded at their grant date fair values at a cumulative amount of $44.9 million to additional paid-in capital within the consolidated balance sheet. As discussed in </w:t>
      </w:r>
      <w:r>
        <w:rPr>
          <w:rFonts w:ascii="Times New Roman" w:cs="Times New Roman" w:eastAsia="Times New Roman" w:hAnsi="Times New Roman"/>
          <w:sz w:val="17"/>
          <w:szCs w:val="17"/>
          <w:i w:val="1"/>
          <w:iCs w:val="1"/>
          <w:color w:val="auto"/>
        </w:rPr>
        <w:t>Note 5 –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Value Measurements </w:t>
      </w:r>
      <w:r>
        <w:rPr>
          <w:rFonts w:ascii="Times New Roman" w:cs="Times New Roman" w:eastAsia="Times New Roman" w:hAnsi="Times New Roman"/>
          <w:sz w:val="17"/>
          <w:szCs w:val="17"/>
          <w:color w:val="auto"/>
        </w:rPr>
        <w:t>above, the Company also incurred issuance costs related to the 2029 Senior Secured Notes and common stock issued, $0.6 million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was allocated to the common stock issued and recorded within additional paid-in capital within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20"/>
          </w:cols>
          <w:pgMar w:left="840" w:top="568" w:right="88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147" w:lineRule="exact"/>
        <w:rPr>
          <w:sz w:val="20"/>
          <w:szCs w:val="20"/>
          <w:color w:val="auto"/>
        </w:rPr>
      </w:pPr>
    </w:p>
    <w:p>
      <w:pPr>
        <w:jc w:val="both"/>
        <w:ind w:firstLine="381"/>
        <w:spacing w:after="0" w:line="246" w:lineRule="auto"/>
        <w:rPr>
          <w:sz w:val="20"/>
          <w:szCs w:val="20"/>
          <w:color w:val="auto"/>
        </w:rPr>
      </w:pPr>
      <w:r>
        <w:rPr>
          <w:rFonts w:ascii="Times New Roman" w:cs="Times New Roman" w:eastAsia="Times New Roman" w:hAnsi="Times New Roman"/>
          <w:sz w:val="17"/>
          <w:szCs w:val="17"/>
          <w:color w:val="auto"/>
        </w:rPr>
        <w:t xml:space="preserve">As noted in </w:t>
      </w:r>
      <w:r>
        <w:rPr>
          <w:rFonts w:ascii="Times New Roman" w:cs="Times New Roman" w:eastAsia="Times New Roman" w:hAnsi="Times New Roman"/>
          <w:sz w:val="17"/>
          <w:szCs w:val="17"/>
          <w:i w:val="1"/>
          <w:iCs w:val="1"/>
          <w:color w:val="auto"/>
        </w:rPr>
        <w:t>Note 6 – Debt</w:t>
      </w:r>
      <w:r>
        <w:rPr>
          <w:rFonts w:ascii="Times New Roman" w:cs="Times New Roman" w:eastAsia="Times New Roman" w:hAnsi="Times New Roman"/>
          <w:sz w:val="17"/>
          <w:szCs w:val="17"/>
          <w:color w:val="auto"/>
        </w:rPr>
        <w:t>, in connection with both the Short-Term Loan Agreement and the various exchange agreements entered into to repurchase principal amounts of the Company’s 2025 Convertible Notes, the Company issued warrants during the year ended December 31, 2024 to purchase an aggregate of 3.0 million shares of the Company’s common stock.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issued during the year ended December 31, 2024 are the only outstanding warrants as of December 31, 2025.</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number and exercise price of the warrants issued during the year ended December 31, 2024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00" w:type="dxa"/>
            <w:vAlign w:val="bottom"/>
            <w:vMerge w:val="restart"/>
          </w:tcPr>
          <w:p>
            <w:pPr>
              <w:spacing w:after="0"/>
              <w:rPr>
                <w:sz w:val="13"/>
                <w:szCs w:val="13"/>
                <w:color w:val="auto"/>
              </w:rPr>
            </w:pPr>
          </w:p>
        </w:tc>
        <w:tc>
          <w:tcPr>
            <w:tcW w:w="23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Number of Shares to Purchase with</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vMerge w:val="restart"/>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1EDF5"/>
            </w:tcBorders>
            <w:vMerge w:val="continue"/>
          </w:tcPr>
          <w:p>
            <w:pPr>
              <w:spacing w:after="0"/>
              <w:rPr>
                <w:sz w:val="16"/>
                <w:szCs w:val="16"/>
                <w:color w:val="auto"/>
              </w:rPr>
            </w:pPr>
          </w:p>
        </w:tc>
        <w:tc>
          <w:tcPr>
            <w:tcW w:w="230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Borders>
              <w:bottom w:val="single" w:sz="8" w:color="D1EDF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8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June 28, 2024</w:t>
            </w:r>
          </w:p>
        </w:tc>
        <w:tc>
          <w:tcPr>
            <w:tcW w:w="230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550,000</w:t>
            </w:r>
          </w:p>
        </w:tc>
        <w:tc>
          <w:tcPr>
            <w:tcW w:w="500" w:type="dxa"/>
            <w:vAlign w:val="bottom"/>
            <w:gridSpan w:val="2"/>
            <w:shd w:val="clear" w:color="auto" w:fill="D1EDF5"/>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July 18, 2024</w:t>
            </w:r>
          </w:p>
        </w:tc>
        <w:tc>
          <w:tcPr>
            <w:tcW w:w="23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236,074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w:t>
            </w:r>
          </w:p>
        </w:tc>
        <w:tc>
          <w:tcPr>
            <w:tcW w:w="0" w:type="dxa"/>
            <w:vAlign w:val="bottom"/>
          </w:tcPr>
          <w:p>
            <w:pPr>
              <w:spacing w:after="0"/>
              <w:rPr>
                <w:sz w:val="1"/>
                <w:szCs w:val="1"/>
                <w:color w:val="auto"/>
              </w:rPr>
            </w:pPr>
          </w:p>
        </w:tc>
      </w:tr>
      <w:tr>
        <w:trPr>
          <w:trHeight w:val="206"/>
        </w:trPr>
        <w:tc>
          <w:tcPr>
            <w:tcW w:w="588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August 2, 2024</w:t>
            </w:r>
          </w:p>
        </w:tc>
        <w:tc>
          <w:tcPr>
            <w:tcW w:w="230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88,534</w:t>
            </w:r>
          </w:p>
        </w:tc>
        <w:tc>
          <w:tcPr>
            <w:tcW w:w="500" w:type="dxa"/>
            <w:vAlign w:val="bottom"/>
            <w:gridSpan w:val="2"/>
            <w:shd w:val="clear" w:color="auto" w:fill="D1EDF5"/>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24, 2024</w:t>
            </w:r>
          </w:p>
        </w:tc>
        <w:tc>
          <w:tcPr>
            <w:tcW w:w="23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20,646</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0" w:type="dxa"/>
            <w:vAlign w:val="bottom"/>
          </w:tcPr>
          <w:p>
            <w:pPr>
              <w:spacing w:after="0"/>
              <w:rPr>
                <w:sz w:val="1"/>
                <w:szCs w:val="1"/>
                <w:color w:val="auto"/>
              </w:rPr>
            </w:pPr>
          </w:p>
        </w:tc>
      </w:tr>
      <w:tr>
        <w:trPr>
          <w:trHeight w:val="206"/>
        </w:trPr>
        <w:tc>
          <w:tcPr>
            <w:tcW w:w="588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November 6, 2024</w:t>
            </w:r>
          </w:p>
        </w:tc>
        <w:tc>
          <w:tcPr>
            <w:tcW w:w="230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180,000</w:t>
            </w:r>
          </w:p>
        </w:tc>
        <w:tc>
          <w:tcPr>
            <w:tcW w:w="500" w:type="dxa"/>
            <w:vAlign w:val="bottom"/>
            <w:gridSpan w:val="2"/>
            <w:shd w:val="clear" w:color="auto" w:fill="D1EDF5"/>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0" w:type="dxa"/>
            <w:vAlign w:val="bottom"/>
          </w:tcPr>
          <w:p>
            <w:pPr>
              <w:spacing w:after="0"/>
              <w:rPr>
                <w:sz w:val="1"/>
                <w:szCs w:val="1"/>
                <w:color w:val="auto"/>
              </w:rPr>
            </w:pPr>
          </w:p>
        </w:tc>
      </w:tr>
      <w:tr>
        <w:trPr>
          <w:trHeight w:val="201"/>
        </w:trPr>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November 6, 2024</w:t>
            </w:r>
          </w:p>
        </w:tc>
        <w:tc>
          <w:tcPr>
            <w:tcW w:w="23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1,543,363</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0" w:type="dxa"/>
            <w:vAlign w:val="bottom"/>
          </w:tcPr>
          <w:p>
            <w:pPr>
              <w:spacing w:after="0"/>
              <w:rPr>
                <w:sz w:val="1"/>
                <w:szCs w:val="1"/>
                <w:color w:val="auto"/>
              </w:rPr>
            </w:pPr>
          </w:p>
        </w:tc>
      </w:tr>
      <w:tr>
        <w:trPr>
          <w:trHeight w:val="206"/>
        </w:trPr>
        <w:tc>
          <w:tcPr>
            <w:tcW w:w="588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November 6, 2024</w:t>
            </w:r>
          </w:p>
        </w:tc>
        <w:tc>
          <w:tcPr>
            <w:tcW w:w="2300" w:type="dxa"/>
            <w:vAlign w:val="bottom"/>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29,687</w:t>
            </w:r>
          </w:p>
        </w:tc>
        <w:tc>
          <w:tcPr>
            <w:tcW w:w="500" w:type="dxa"/>
            <w:vAlign w:val="bottom"/>
            <w:gridSpan w:val="2"/>
            <w:shd w:val="clear" w:color="auto" w:fill="D1EDF5"/>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12.34</w:t>
            </w:r>
          </w:p>
        </w:tc>
        <w:tc>
          <w:tcPr>
            <w:tcW w:w="0" w:type="dxa"/>
            <w:vAlign w:val="bottom"/>
          </w:tcPr>
          <w:p>
            <w:pPr>
              <w:spacing w:after="0"/>
              <w:rPr>
                <w:sz w:val="1"/>
                <w:szCs w:val="1"/>
                <w:color w:val="auto"/>
              </w:rPr>
            </w:pPr>
          </w:p>
        </w:tc>
      </w:tr>
      <w:tr>
        <w:trPr>
          <w:trHeight w:val="201"/>
        </w:trPr>
        <w:tc>
          <w:tcPr>
            <w:tcW w:w="5880" w:type="dxa"/>
            <w:vAlign w:val="bottom"/>
            <w:tcBorders>
              <w:bottom w:val="single" w:sz="8" w:color="D1EDF5"/>
            </w:tcBorders>
            <w:gridSpan w:val="2"/>
          </w:tcPr>
          <w:p>
            <w:pPr>
              <w:spacing w:after="0"/>
              <w:rPr>
                <w:sz w:val="20"/>
                <w:szCs w:val="20"/>
                <w:color w:val="auto"/>
              </w:rPr>
            </w:pPr>
            <w:r>
              <w:rPr>
                <w:rFonts w:ascii="Times New Roman" w:cs="Times New Roman" w:eastAsia="Times New Roman" w:hAnsi="Times New Roman"/>
                <w:sz w:val="15"/>
                <w:szCs w:val="15"/>
                <w:color w:val="auto"/>
              </w:rPr>
              <w:t>November 6, 2024</w:t>
            </w:r>
          </w:p>
        </w:tc>
        <w:tc>
          <w:tcPr>
            <w:tcW w:w="23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370,000</w:t>
            </w:r>
          </w:p>
        </w:tc>
        <w:tc>
          <w:tcPr>
            <w:tcW w:w="500" w:type="dxa"/>
            <w:vAlign w:val="bottom"/>
            <w:tcBorders>
              <w:bottom w:val="single" w:sz="8" w:color="D1EDF5"/>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D1EDF5"/>
            </w:tcBorders>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w:t>
            </w:r>
          </w:p>
        </w:tc>
        <w:tc>
          <w:tcPr>
            <w:tcW w:w="2300" w:type="dxa"/>
            <w:vAlign w:val="bottom"/>
            <w:tcBorders>
              <w:bottom w:val="single" w:sz="8" w:color="auto"/>
            </w:tcBorders>
            <w:shd w:val="clear" w:color="auto" w:fill="D1EDF5"/>
          </w:tcPr>
          <w:p>
            <w:pPr>
              <w:jc w:val="right"/>
              <w:ind w:right="5"/>
              <w:spacing w:after="0"/>
              <w:rPr>
                <w:sz w:val="20"/>
                <w:szCs w:val="20"/>
                <w:color w:val="auto"/>
              </w:rPr>
            </w:pPr>
            <w:r>
              <w:rPr>
                <w:rFonts w:ascii="Times New Roman" w:cs="Times New Roman" w:eastAsia="Times New Roman" w:hAnsi="Times New Roman"/>
                <w:sz w:val="15"/>
                <w:szCs w:val="15"/>
                <w:color w:val="auto"/>
              </w:rPr>
              <w:t>3,018,304</w:t>
            </w:r>
          </w:p>
        </w:tc>
        <w:tc>
          <w:tcPr>
            <w:tcW w:w="100" w:type="dxa"/>
            <w:vAlign w:val="bottom"/>
            <w:tcBorders>
              <w:bottom w:val="single" w:sz="8" w:color="D1EDF5"/>
            </w:tcBorders>
            <w:shd w:val="clear" w:color="auto" w:fill="D1EDF5"/>
          </w:tcPr>
          <w:p>
            <w:pPr>
              <w:spacing w:after="0"/>
              <w:rPr>
                <w:sz w:val="18"/>
                <w:szCs w:val="18"/>
                <w:color w:val="auto"/>
              </w:rPr>
            </w:pPr>
          </w:p>
        </w:tc>
        <w:tc>
          <w:tcPr>
            <w:tcW w:w="400" w:type="dxa"/>
            <w:vAlign w:val="bottom"/>
            <w:tcBorders>
              <w:bottom w:val="single" w:sz="8" w:color="D1EDF5"/>
            </w:tcBorders>
            <w:shd w:val="clear" w:color="auto" w:fill="D1EDF5"/>
          </w:tcPr>
          <w:p>
            <w:pPr>
              <w:spacing w:after="0"/>
              <w:rPr>
                <w:sz w:val="18"/>
                <w:szCs w:val="18"/>
                <w:color w:val="auto"/>
              </w:rPr>
            </w:pPr>
          </w:p>
        </w:tc>
        <w:tc>
          <w:tcPr>
            <w:tcW w:w="1880" w:type="dxa"/>
            <w:vAlign w:val="bottom"/>
            <w:tcBorders>
              <w:bottom w:val="single" w:sz="8" w:color="D1EDF5"/>
            </w:tcBorders>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3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400" w:type="dxa"/>
            <w:vAlign w:val="bottom"/>
            <w:tcBorders>
              <w:top w:val="single" w:sz="8" w:color="D1EDF5"/>
            </w:tcBorders>
          </w:tcPr>
          <w:p>
            <w:pPr>
              <w:spacing w:after="0" w:line="20" w:lineRule="exact"/>
              <w:rPr>
                <w:sz w:val="1"/>
                <w:szCs w:val="1"/>
                <w:color w:val="auto"/>
              </w:rPr>
            </w:pPr>
          </w:p>
        </w:tc>
        <w:tc>
          <w:tcPr>
            <w:tcW w:w="188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81"/>
        <w:spacing w:after="0" w:line="255" w:lineRule="auto"/>
        <w:rPr>
          <w:sz w:val="20"/>
          <w:szCs w:val="20"/>
          <w:color w:val="auto"/>
        </w:rPr>
      </w:pPr>
      <w:r>
        <w:rPr>
          <w:rFonts w:ascii="Times New Roman" w:cs="Times New Roman" w:eastAsia="Times New Roman" w:hAnsi="Times New Roman"/>
          <w:sz w:val="17"/>
          <w:szCs w:val="17"/>
          <w:color w:val="auto"/>
        </w:rPr>
        <w:t>The proceeds from the Short-Term Loan Agreement, along with the related Short-Term Loan Costs incurred, were allocated to the Short-Term Loan Warrants and Short-Term Loan based on their relative fair values. This allocation resulted in the Short-Term Loan Warrants having a net value of $3.2 million that the Company recorded within additional paid-in capital within the Company’s consolidated balance sheets.</w:t>
      </w:r>
    </w:p>
    <w:p>
      <w:pPr>
        <w:spacing w:after="0" w:line="113" w:lineRule="exact"/>
        <w:rPr>
          <w:sz w:val="20"/>
          <w:szCs w:val="20"/>
          <w:color w:val="auto"/>
        </w:rPr>
      </w:pPr>
    </w:p>
    <w:p>
      <w:pPr>
        <w:jc w:val="both"/>
        <w:ind w:firstLine="381"/>
        <w:spacing w:after="0" w:line="269" w:lineRule="auto"/>
        <w:rPr>
          <w:sz w:val="20"/>
          <w:szCs w:val="20"/>
          <w:color w:val="auto"/>
        </w:rPr>
      </w:pPr>
      <w:r>
        <w:rPr>
          <w:rFonts w:ascii="Times New Roman" w:cs="Times New Roman" w:eastAsia="Times New Roman" w:hAnsi="Times New Roman"/>
          <w:sz w:val="16"/>
          <w:szCs w:val="16"/>
          <w:color w:val="auto"/>
        </w:rPr>
        <w:t xml:space="preserve">The warrants issued as part of the various repurchases and exchanges of principal balances of the 2025 Convertible Notes, during the year ended December 31, 2024 were recorded at a fair value of $27.6 million within additional paid-in capital within the Company’s consolidated balance sheets. As discussed in </w:t>
      </w:r>
      <w:r>
        <w:rPr>
          <w:rFonts w:ascii="Times New Roman" w:cs="Times New Roman" w:eastAsia="Times New Roman" w:hAnsi="Times New Roman"/>
          <w:sz w:val="16"/>
          <w:szCs w:val="16"/>
          <w:i w:val="1"/>
          <w:iCs w:val="1"/>
          <w:color w:val="auto"/>
        </w:rPr>
        <w:t>Note 5 – Fair Value Measurements</w:t>
      </w:r>
      <w:r>
        <w:rPr>
          <w:rFonts w:ascii="Times New Roman" w:cs="Times New Roman" w:eastAsia="Times New Roman" w:hAnsi="Times New Roman"/>
          <w:sz w:val="16"/>
          <w:szCs w:val="16"/>
          <w:color w:val="auto"/>
        </w:rPr>
        <w:t xml:space="preserve"> above, the Company also incurred issuance costs related to the 2029 Senior Secured Notes and warrants, $0.4 million of which was allocated to the warrants issued and recorded within additional paid-in capital within the Company’s consolidated balance sheets.</w:t>
      </w:r>
    </w:p>
    <w:p>
      <w:pPr>
        <w:spacing w:after="0" w:line="115" w:lineRule="exact"/>
        <w:rPr>
          <w:sz w:val="20"/>
          <w:szCs w:val="20"/>
          <w:color w:val="auto"/>
        </w:rPr>
      </w:pPr>
    </w:p>
    <w:p>
      <w:pPr>
        <w:jc w:val="both"/>
        <w:ind w:firstLine="381"/>
        <w:spacing w:after="0" w:line="248" w:lineRule="auto"/>
        <w:rPr>
          <w:sz w:val="20"/>
          <w:szCs w:val="20"/>
          <w:color w:val="auto"/>
        </w:rPr>
      </w:pPr>
      <w:r>
        <w:rPr>
          <w:rFonts w:ascii="Times New Roman" w:cs="Times New Roman" w:eastAsia="Times New Roman" w:hAnsi="Times New Roman"/>
          <w:sz w:val="17"/>
          <w:szCs w:val="17"/>
          <w:color w:val="auto"/>
        </w:rPr>
        <w:t>During the year ended December 31, 2025, holders exercised 88,534 warrants, resulting in the issuance of 88,534 shares of the Company’s common stock. The Company received aggregate cash proceeds of $1.0 million from these exercises. The weighted-average exercise price of warrants exercised during the period was $11.03 per share.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warrant activity for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160" w:type="dxa"/>
            <w:vAlign w:val="bottom"/>
            <w:vMerge w:val="restart"/>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0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Weighted-Average Exercise</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D1EDF5"/>
            </w:tcBorders>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1EDF5"/>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209"/>
        </w:trPr>
        <w:tc>
          <w:tcPr>
            <w:tcW w:w="5940" w:type="dxa"/>
            <w:vAlign w:val="bottom"/>
            <w:shd w:val="clear" w:color="auto" w:fill="D1EDF5"/>
          </w:tcPr>
          <w:p>
            <w:pPr>
              <w:spacing w:after="0"/>
              <w:rPr>
                <w:sz w:val="20"/>
                <w:szCs w:val="20"/>
                <w:color w:val="auto"/>
              </w:rPr>
            </w:pPr>
            <w:r>
              <w:rPr>
                <w:rFonts w:ascii="Times New Roman" w:cs="Times New Roman" w:eastAsia="Times New Roman" w:hAnsi="Times New Roman"/>
                <w:sz w:val="17"/>
                <w:szCs w:val="17"/>
                <w:color w:val="auto"/>
              </w:rPr>
              <w:t>Outstanding — December 31, 2023</w:t>
            </w:r>
          </w:p>
        </w:tc>
        <w:tc>
          <w:tcPr>
            <w:tcW w:w="21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1EDF5"/>
          </w:tcPr>
          <w:p>
            <w:pPr>
              <w:spacing w:after="0"/>
              <w:rPr>
                <w:sz w:val="18"/>
                <w:szCs w:val="18"/>
                <w:color w:val="auto"/>
              </w:rPr>
            </w:pPr>
          </w:p>
        </w:tc>
        <w:tc>
          <w:tcPr>
            <w:tcW w:w="500" w:type="dxa"/>
            <w:vAlign w:val="bottom"/>
            <w:shd w:val="clear" w:color="auto" w:fill="D1EDF5"/>
          </w:tcPr>
          <w:p>
            <w:pPr>
              <w:spacing w:after="0"/>
              <w:rPr>
                <w:sz w:val="18"/>
                <w:szCs w:val="18"/>
                <w:color w:val="auto"/>
              </w:rPr>
            </w:pPr>
          </w:p>
        </w:tc>
        <w:tc>
          <w:tcPr>
            <w:tcW w:w="1660" w:type="dxa"/>
            <w:vAlign w:val="bottom"/>
            <w:shd w:val="clear" w:color="auto" w:fill="D1ED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7"/>
                <w:szCs w:val="17"/>
                <w:color w:val="auto"/>
              </w:rPr>
              <w:t>Issued during the period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3,018,304</w:t>
            </w:r>
          </w:p>
        </w:tc>
        <w:tc>
          <w:tcPr>
            <w:tcW w:w="600" w:type="dxa"/>
            <w:vAlign w:val="bottom"/>
            <w:tcBorders>
              <w:bottom w:val="single" w:sz="8" w:color="D1EDF5"/>
            </w:tcBorders>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09"/>
        </w:trPr>
        <w:tc>
          <w:tcPr>
            <w:tcW w:w="5940" w:type="dxa"/>
            <w:vAlign w:val="bottom"/>
            <w:shd w:val="clear" w:color="auto" w:fill="D1EDF5"/>
          </w:tcPr>
          <w:p>
            <w:pPr>
              <w:spacing w:after="0"/>
              <w:rPr>
                <w:sz w:val="20"/>
                <w:szCs w:val="20"/>
                <w:color w:val="auto"/>
              </w:rPr>
            </w:pPr>
            <w:r>
              <w:rPr>
                <w:rFonts w:ascii="Times New Roman" w:cs="Times New Roman" w:eastAsia="Times New Roman" w:hAnsi="Times New Roman"/>
                <w:sz w:val="17"/>
                <w:szCs w:val="17"/>
                <w:color w:val="auto"/>
              </w:rPr>
              <w:t>Outstanding — December 31, 2024</w:t>
            </w:r>
          </w:p>
        </w:tc>
        <w:tc>
          <w:tcPr>
            <w:tcW w:w="21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rPr>
              <w:t>3,018,304</w:t>
            </w:r>
          </w:p>
        </w:tc>
        <w:tc>
          <w:tcPr>
            <w:tcW w:w="600" w:type="dxa"/>
            <w:vAlign w:val="bottom"/>
            <w:gridSpan w:val="2"/>
            <w:shd w:val="clear" w:color="auto" w:fill="D1EDF5"/>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7"/>
                <w:szCs w:val="17"/>
                <w:color w:val="auto"/>
              </w:rPr>
              <w:t>Exercised during the period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(88,534)</w:t>
            </w:r>
          </w:p>
        </w:tc>
        <w:tc>
          <w:tcPr>
            <w:tcW w:w="600" w:type="dxa"/>
            <w:vAlign w:val="bottom"/>
            <w:tcBorders>
              <w:bottom w:val="single" w:sz="8" w:color="D1EDF5"/>
            </w:tcBorders>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D1EDF5"/>
            </w:tcBorders>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7"/>
                <w:szCs w:val="17"/>
                <w:color w:val="auto"/>
              </w:rPr>
              <w:t>Outstanding — December 31, 2025</w:t>
            </w:r>
          </w:p>
        </w:tc>
        <w:tc>
          <w:tcPr>
            <w:tcW w:w="21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rPr>
              <w:t>2,929,770</w:t>
            </w:r>
          </w:p>
        </w:tc>
        <w:tc>
          <w:tcPr>
            <w:tcW w:w="600" w:type="dxa"/>
            <w:vAlign w:val="bottom"/>
            <w:tcBorders>
              <w:bottom w:val="single" w:sz="8" w:color="D1EDF5"/>
            </w:tcBorders>
            <w:gridSpan w:val="2"/>
            <w:shd w:val="clear" w:color="auto" w:fill="D1EDF5"/>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D1EDF5"/>
            </w:tcBorders>
            <w:shd w:val="clear" w:color="auto" w:fill="D1EDF5"/>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0" w:type="dxa"/>
            <w:vAlign w:val="bottom"/>
          </w:tcPr>
          <w:p>
            <w:pPr>
              <w:spacing w:after="0"/>
              <w:rPr>
                <w:sz w:val="1"/>
                <w:szCs w:val="1"/>
                <w:color w:val="auto"/>
              </w:rPr>
            </w:pPr>
          </w:p>
        </w:tc>
      </w:tr>
      <w:tr>
        <w:trPr>
          <w:trHeight w:val="20"/>
        </w:trPr>
        <w:tc>
          <w:tcPr>
            <w:tcW w:w="5940" w:type="dxa"/>
            <w:vAlign w:val="bottom"/>
            <w:tcBorders>
              <w:top w:val="single" w:sz="8" w:color="D1EDF5"/>
            </w:tcBorders>
          </w:tcPr>
          <w:p>
            <w:pPr>
              <w:spacing w:after="0" w:line="20" w:lineRule="exact"/>
              <w:rPr>
                <w:sz w:val="1"/>
                <w:szCs w:val="1"/>
                <w:color w:val="auto"/>
              </w:rPr>
            </w:pPr>
          </w:p>
        </w:tc>
        <w:tc>
          <w:tcPr>
            <w:tcW w:w="216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500" w:type="dxa"/>
            <w:vAlign w:val="bottom"/>
            <w:tcBorders>
              <w:top w:val="single" w:sz="8" w:color="D1EDF5"/>
            </w:tcBorders>
          </w:tcPr>
          <w:p>
            <w:pPr>
              <w:spacing w:after="0" w:line="20" w:lineRule="exact"/>
              <w:rPr>
                <w:sz w:val="1"/>
                <w:szCs w:val="1"/>
                <w:color w:val="auto"/>
              </w:rPr>
            </w:pPr>
          </w:p>
        </w:tc>
        <w:tc>
          <w:tcPr>
            <w:tcW w:w="166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Share-based Compensation</w:t>
      </w:r>
    </w:p>
    <w:p>
      <w:pPr>
        <w:spacing w:after="0" w:line="151" w:lineRule="exact"/>
        <w:rPr>
          <w:sz w:val="20"/>
          <w:szCs w:val="20"/>
          <w:color w:val="auto"/>
        </w:rPr>
      </w:pPr>
    </w:p>
    <w:p>
      <w:pPr>
        <w:ind w:right="40" w:firstLine="381"/>
        <w:spacing w:after="0" w:line="248" w:lineRule="auto"/>
        <w:rPr>
          <w:sz w:val="20"/>
          <w:szCs w:val="20"/>
          <w:color w:val="auto"/>
        </w:rPr>
      </w:pPr>
      <w:r>
        <w:rPr>
          <w:rFonts w:ascii="Times New Roman" w:cs="Times New Roman" w:eastAsia="Times New Roman" w:hAnsi="Times New Roman"/>
          <w:sz w:val="17"/>
          <w:szCs w:val="17"/>
          <w:color w:val="auto"/>
        </w:rPr>
        <w:t>During the years ended December 31, 2025 and 2024, the Company granted awards under the 2018 Omnibus Incentive Compensation Plan, previously named the Amended and Restated 2009 Omnibus Incentive Compensation Plan (the “2018 Plan”). The Compensation Committee of the Board of Directors administers the plans. Under the 2018 Plan, shares of common stock may be issued upon the exercise of stock options, in the form of restricted stock, or in settlement of RSUs or other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7"/>
          <w:szCs w:val="17"/>
          <w:color w:val="auto"/>
        </w:rPr>
        <w:t>awards, including awards with alternative vesting schedules such as performance-based criteria. The 2018 Plan authorizes 5,775,308 shares, of which 1,520,208 remain available for future grants as of December 31, 2025.</w:t>
      </w:r>
    </w:p>
    <w:p>
      <w:pPr>
        <w:spacing w:after="0" w:line="119" w:lineRule="exact"/>
        <w:rPr>
          <w:sz w:val="20"/>
          <w:szCs w:val="20"/>
          <w:color w:val="auto"/>
        </w:rPr>
      </w:pPr>
    </w:p>
    <w:p>
      <w:pPr>
        <w:jc w:val="both"/>
        <w:ind w:right="200" w:firstLine="381"/>
        <w:spacing w:after="0" w:line="262" w:lineRule="auto"/>
        <w:rPr>
          <w:sz w:val="20"/>
          <w:szCs w:val="20"/>
          <w:color w:val="auto"/>
        </w:rPr>
      </w:pPr>
      <w:r>
        <w:rPr>
          <w:rFonts w:ascii="Times New Roman" w:cs="Times New Roman" w:eastAsia="Times New Roman" w:hAnsi="Times New Roman"/>
          <w:sz w:val="17"/>
          <w:szCs w:val="17"/>
          <w:color w:val="auto"/>
        </w:rPr>
        <w:t>For the years ended December 31, 2025 and 2024, the following table presents total share-based compensation expense in each functional line item on the consolidated statements of operations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D1EDF5"/>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700" w:type="dxa"/>
            <w:vAlign w:val="bottom"/>
            <w:shd w:val="clear" w:color="auto" w:fill="D1EDF5"/>
          </w:tcPr>
          <w:p>
            <w:pPr>
              <w:jc w:val="right"/>
              <w:ind w:right="548"/>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shd w:val="clear" w:color="auto" w:fill="D1EDF5"/>
          </w:tcPr>
          <w:p>
            <w:pPr>
              <w:spacing w:after="0"/>
              <w:rPr>
                <w:sz w:val="17"/>
                <w:szCs w:val="17"/>
                <w:color w:val="auto"/>
              </w:rPr>
            </w:pPr>
          </w:p>
        </w:tc>
        <w:tc>
          <w:tcPr>
            <w:tcW w:w="720" w:type="dxa"/>
            <w:vAlign w:val="bottom"/>
            <w:shd w:val="clear" w:color="auto" w:fill="D1EDF5"/>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700" w:type="dxa"/>
            <w:vAlign w:val="bottom"/>
            <w:shd w:val="clear" w:color="auto" w:fill="D1EDF5"/>
          </w:tcPr>
          <w:p>
            <w:pPr>
              <w:spacing w:after="0"/>
              <w:rPr>
                <w:sz w:val="17"/>
                <w:szCs w:val="17"/>
                <w:color w:val="auto"/>
              </w:rPr>
            </w:pP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shd w:val="clear" w:color="auto" w:fill="D1EDF5"/>
          </w:tcPr>
          <w:p>
            <w:pPr>
              <w:spacing w:after="0"/>
              <w:rPr>
                <w:sz w:val="17"/>
                <w:szCs w:val="17"/>
                <w:color w:val="auto"/>
              </w:rPr>
            </w:pPr>
          </w:p>
        </w:tc>
        <w:tc>
          <w:tcPr>
            <w:tcW w:w="720" w:type="dxa"/>
            <w:vAlign w:val="bottom"/>
            <w:shd w:val="clear" w:color="auto" w:fill="D1EDF5"/>
          </w:tcPr>
          <w:p>
            <w:pPr>
              <w:spacing w:after="0"/>
              <w:rPr>
                <w:sz w:val="17"/>
                <w:szCs w:val="17"/>
                <w:color w:val="auto"/>
              </w:rPr>
            </w:pP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430</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2,577</w:t>
            </w: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Income from discontinued operations, net of tax</w:t>
            </w:r>
          </w:p>
        </w:tc>
        <w:tc>
          <w:tcPr>
            <w:tcW w:w="700" w:type="dxa"/>
            <w:vAlign w:val="bottom"/>
            <w:shd w:val="clear" w:color="auto" w:fill="D1EDF5"/>
          </w:tcPr>
          <w:p>
            <w:pPr>
              <w:spacing w:after="0"/>
              <w:rPr>
                <w:sz w:val="17"/>
                <w:szCs w:val="17"/>
                <w:color w:val="auto"/>
              </w:rPr>
            </w:pPr>
          </w:p>
        </w:tc>
        <w:tc>
          <w:tcPr>
            <w:tcW w:w="52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D1EDF5"/>
          </w:tcPr>
          <w:p>
            <w:pPr>
              <w:spacing w:after="0"/>
              <w:rPr>
                <w:sz w:val="17"/>
                <w:szCs w:val="17"/>
                <w:color w:val="auto"/>
              </w:rPr>
            </w:pP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98"/>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70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7,441</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4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3,939</w:t>
            </w:r>
          </w:p>
        </w:tc>
      </w:tr>
      <w:tr>
        <w:trPr>
          <w:trHeight w:val="20"/>
        </w:trPr>
        <w:tc>
          <w:tcPr>
            <w:tcW w:w="8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51" w:lineRule="exact"/>
        <w:rPr>
          <w:sz w:val="20"/>
          <w:szCs w:val="20"/>
          <w:color w:val="auto"/>
        </w:rPr>
      </w:pPr>
    </w:p>
    <w:p>
      <w:pPr>
        <w:jc w:val="both"/>
        <w:ind w:right="200" w:firstLine="381"/>
        <w:spacing w:after="0" w:line="256" w:lineRule="auto"/>
        <w:rPr>
          <w:sz w:val="20"/>
          <w:szCs w:val="20"/>
          <w:color w:val="auto"/>
        </w:rPr>
      </w:pPr>
      <w:r>
        <w:rPr>
          <w:rFonts w:ascii="Times New Roman" w:cs="Times New Roman" w:eastAsia="Times New Roman" w:hAnsi="Times New Roman"/>
          <w:sz w:val="17"/>
          <w:szCs w:val="17"/>
          <w:color w:val="auto"/>
        </w:rPr>
        <w:t>The Compensation Committee of the Board of Directors determines eligibility, vesting schedules and exercise prices for stock options granted. For performance stock awards subject to market-based vesting conditions, fair values are determined using the Monte-Carlo simulation model. Stock options generally have a term of ten years and vest over a three- to four-year period.</w:t>
      </w:r>
    </w:p>
    <w:p>
      <w:pPr>
        <w:spacing w:after="0" w:line="111" w:lineRule="exact"/>
        <w:rPr>
          <w:sz w:val="20"/>
          <w:szCs w:val="20"/>
          <w:color w:val="auto"/>
        </w:rPr>
      </w:pPr>
    </w:p>
    <w:p>
      <w:pPr>
        <w:ind w:right="300" w:firstLine="381"/>
        <w:spacing w:after="0" w:line="278" w:lineRule="auto"/>
        <w:rPr>
          <w:sz w:val="20"/>
          <w:szCs w:val="20"/>
          <w:color w:val="auto"/>
        </w:rPr>
      </w:pPr>
      <w:r>
        <w:rPr>
          <w:rFonts w:ascii="Times New Roman" w:cs="Times New Roman" w:eastAsia="Times New Roman" w:hAnsi="Times New Roman"/>
          <w:sz w:val="17"/>
          <w:szCs w:val="17"/>
          <w:color w:val="auto"/>
        </w:rPr>
        <w:t>The following table presents the weighted-average assumptions used in the Black-Scholes valuation model by the Company in calculating the fair value of each stock option granted:</w:t>
      </w:r>
    </w:p>
    <w:p>
      <w:pPr>
        <w:spacing w:after="0" w:line="12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Borders>
              <w:bottom w:val="single" w:sz="8" w:color="D1EDF5"/>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1EDF5"/>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7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560" w:type="dxa"/>
            <w:vAlign w:val="bottom"/>
            <w:gridSpan w:val="2"/>
            <w:shd w:val="clear" w:color="auto" w:fill="D1EDF5"/>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2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1"/>
        </w:trPr>
        <w:tc>
          <w:tcPr>
            <w:tcW w:w="8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r>
      <w:tr>
        <w:trPr>
          <w:trHeight w:val="206"/>
        </w:trPr>
        <w:tc>
          <w:tcPr>
            <w:tcW w:w="87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Volatility</w:t>
            </w:r>
          </w:p>
        </w:tc>
        <w:tc>
          <w:tcPr>
            <w:tcW w:w="4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w w:val="98"/>
              </w:rPr>
              <w:t>94.8 %</w:t>
            </w:r>
          </w:p>
        </w:tc>
        <w:tc>
          <w:tcPr>
            <w:tcW w:w="100" w:type="dxa"/>
            <w:vAlign w:val="bottom"/>
            <w:shd w:val="clear" w:color="auto" w:fill="D1EDF5"/>
          </w:tcPr>
          <w:p>
            <w:pPr>
              <w:spacing w:after="0"/>
              <w:rPr>
                <w:sz w:val="17"/>
                <w:szCs w:val="17"/>
                <w:color w:val="auto"/>
              </w:rPr>
            </w:pPr>
          </w:p>
        </w:tc>
        <w:tc>
          <w:tcPr>
            <w:tcW w:w="12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95.1 %</w:t>
            </w:r>
          </w:p>
        </w:tc>
      </w:tr>
      <w:tr>
        <w:trPr>
          <w:trHeight w:val="198"/>
        </w:trPr>
        <w:tc>
          <w:tcPr>
            <w:tcW w:w="8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bl>
    <w:p>
      <w:pPr>
        <w:spacing w:after="0" w:line="230" w:lineRule="exact"/>
        <w:rPr>
          <w:sz w:val="20"/>
          <w:szCs w:val="20"/>
          <w:color w:val="auto"/>
        </w:rPr>
      </w:pPr>
    </w:p>
    <w:p>
      <w:pPr>
        <w:ind w:right="760" w:firstLine="381"/>
        <w:spacing w:after="0" w:line="262" w:lineRule="auto"/>
        <w:rPr>
          <w:sz w:val="20"/>
          <w:szCs w:val="20"/>
          <w:color w:val="auto"/>
        </w:rPr>
      </w:pPr>
      <w:r>
        <w:rPr>
          <w:rFonts w:ascii="Times New Roman" w:cs="Times New Roman" w:eastAsia="Times New Roman" w:hAnsi="Times New Roman"/>
          <w:sz w:val="17"/>
          <w:szCs w:val="17"/>
          <w:color w:val="auto"/>
        </w:rPr>
        <w:t>The weighted-average fair value of stock option awards granted during the years ended December 31, 2025 and 2024 was $6.99 and $5.82, respectively.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160" w:firstLine="381"/>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Company’s stock option activity for the years ended December 31, 2025 and 2024 (dollars in thousands,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66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80" w:type="dxa"/>
            <w:vAlign w:val="bottom"/>
          </w:tcPr>
          <w:p>
            <w:pPr>
              <w:spacing w:after="0"/>
              <w:rPr>
                <w:sz w:val="11"/>
                <w:szCs w:val="11"/>
                <w:color w:val="auto"/>
              </w:rPr>
            </w:pPr>
          </w:p>
        </w:tc>
        <w:tc>
          <w:tcPr>
            <w:tcW w:w="9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0"/>
        </w:trPr>
        <w:tc>
          <w:tcPr>
            <w:tcW w:w="56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0"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22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0"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220" w:type="dxa"/>
            <w:vAlign w:val="bottom"/>
            <w:gridSpan w:val="2"/>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2"/>
                <w:szCs w:val="12"/>
                <w:color w:val="auto"/>
              </w:rPr>
            </w:pPr>
          </w:p>
        </w:tc>
        <w:tc>
          <w:tcPr>
            <w:tcW w:w="960" w:type="dxa"/>
            <w:vAlign w:val="bottom"/>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D1EDF5"/>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00" w:type="dxa"/>
            <w:vAlign w:val="bottom"/>
            <w:tcBorders>
              <w:bottom w:val="single" w:sz="8" w:color="D1EDF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00" w:type="dxa"/>
            <w:vAlign w:val="bottom"/>
            <w:tcBorders>
              <w:bottom w:val="single" w:sz="8" w:color="D1EDF5"/>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00" w:type="dxa"/>
            <w:vAlign w:val="bottom"/>
            <w:tcBorders>
              <w:bottom w:val="single" w:sz="8" w:color="D1EDF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2"/>
        </w:trPr>
        <w:tc>
          <w:tcPr>
            <w:tcW w:w="56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Outstanding — December 31, 2023</w:t>
            </w: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545,872</w:t>
            </w:r>
          </w:p>
        </w:tc>
        <w:tc>
          <w:tcPr>
            <w:tcW w:w="300" w:type="dxa"/>
            <w:vAlign w:val="bottom"/>
            <w:gridSpan w:val="2"/>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44.16</w:t>
            </w:r>
          </w:p>
        </w:tc>
        <w:tc>
          <w:tcPr>
            <w:tcW w:w="100" w:type="dxa"/>
            <w:vAlign w:val="bottom"/>
            <w:shd w:val="clear" w:color="auto" w:fill="D1EDF5"/>
          </w:tcPr>
          <w:p>
            <w:pPr>
              <w:spacing w:after="0"/>
              <w:rPr>
                <w:sz w:val="17"/>
                <w:szCs w:val="17"/>
                <w:color w:val="auto"/>
              </w:rPr>
            </w:pPr>
          </w:p>
        </w:tc>
        <w:tc>
          <w:tcPr>
            <w:tcW w:w="11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6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8.40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Exercised</w:t>
            </w: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100" w:type="dxa"/>
            <w:vAlign w:val="bottom"/>
            <w:shd w:val="clear" w:color="auto" w:fill="D1EDF5"/>
          </w:tcPr>
          <w:p>
            <w:pPr>
              <w:spacing w:after="0"/>
              <w:rPr>
                <w:sz w:val="17"/>
                <w:szCs w:val="17"/>
                <w:color w:val="auto"/>
              </w:rPr>
            </w:pPr>
          </w:p>
        </w:tc>
        <w:tc>
          <w:tcPr>
            <w:tcW w:w="200" w:type="dxa"/>
            <w:vAlign w:val="bottom"/>
            <w:shd w:val="clear" w:color="auto" w:fill="D1EDF5"/>
          </w:tcPr>
          <w:p>
            <w:pPr>
              <w:spacing w:after="0"/>
              <w:rPr>
                <w:sz w:val="17"/>
                <w:szCs w:val="17"/>
                <w:color w:val="auto"/>
              </w:rPr>
            </w:pPr>
          </w:p>
        </w:tc>
        <w:tc>
          <w:tcPr>
            <w:tcW w:w="94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15.53</w:t>
            </w:r>
          </w:p>
        </w:tc>
        <w:tc>
          <w:tcPr>
            <w:tcW w:w="100" w:type="dxa"/>
            <w:vAlign w:val="bottom"/>
            <w:shd w:val="clear" w:color="auto" w:fill="D1EDF5"/>
          </w:tcPr>
          <w:p>
            <w:pPr>
              <w:spacing w:after="0"/>
              <w:rPr>
                <w:sz w:val="17"/>
                <w:szCs w:val="17"/>
                <w:color w:val="auto"/>
              </w:rPr>
            </w:pPr>
          </w:p>
        </w:tc>
        <w:tc>
          <w:tcPr>
            <w:tcW w:w="11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6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Canceled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(318,796)</w:t>
            </w:r>
          </w:p>
        </w:tc>
        <w:tc>
          <w:tcPr>
            <w:tcW w:w="10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940" w:type="dxa"/>
            <w:vAlign w:val="bottom"/>
            <w:tcBorders>
              <w:bottom w:val="single" w:sz="8" w:color="D1EDF5"/>
            </w:tcBorders>
          </w:tcPr>
          <w:p>
            <w:pPr>
              <w:jc w:val="right"/>
              <w:ind w:right="6"/>
              <w:spacing w:after="0"/>
              <w:rPr>
                <w:sz w:val="20"/>
                <w:szCs w:val="20"/>
                <w:color w:val="auto"/>
              </w:rPr>
            </w:pPr>
            <w:r>
              <w:rPr>
                <w:rFonts w:ascii="Times New Roman" w:cs="Times New Roman" w:eastAsia="Times New Roman" w:hAnsi="Times New Roman"/>
                <w:sz w:val="15"/>
                <w:szCs w:val="15"/>
                <w:color w:val="auto"/>
              </w:rPr>
              <w:t>54.28</w:t>
            </w:r>
          </w:p>
        </w:tc>
        <w:tc>
          <w:tcPr>
            <w:tcW w:w="100" w:type="dxa"/>
            <w:vAlign w:val="bottom"/>
            <w:tcBorders>
              <w:bottom w:val="single" w:sz="8" w:color="D1EDF5"/>
            </w:tcBorders>
          </w:tcPr>
          <w:p>
            <w:pPr>
              <w:spacing w:after="0"/>
              <w:rPr>
                <w:sz w:val="17"/>
                <w:szCs w:val="17"/>
                <w:color w:val="auto"/>
              </w:rPr>
            </w:pPr>
          </w:p>
        </w:tc>
        <w:tc>
          <w:tcPr>
            <w:tcW w:w="112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180" w:type="dxa"/>
            <w:vAlign w:val="bottom"/>
            <w:tcBorders>
              <w:bottom w:val="single" w:sz="8" w:color="D1EDF5"/>
            </w:tcBorders>
          </w:tcPr>
          <w:p>
            <w:pPr>
              <w:spacing w:after="0"/>
              <w:rPr>
                <w:sz w:val="17"/>
                <w:szCs w:val="17"/>
                <w:color w:val="auto"/>
              </w:rPr>
            </w:pPr>
          </w:p>
        </w:tc>
        <w:tc>
          <w:tcPr>
            <w:tcW w:w="960" w:type="dxa"/>
            <w:vAlign w:val="bottom"/>
            <w:tcBorders>
              <w:bottom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Outstanding — December 31, 2024</w:t>
            </w: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269,851</w:t>
            </w:r>
          </w:p>
        </w:tc>
        <w:tc>
          <w:tcPr>
            <w:tcW w:w="300" w:type="dxa"/>
            <w:vAlign w:val="bottom"/>
            <w:gridSpan w:val="2"/>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26.49</w:t>
            </w:r>
          </w:p>
        </w:tc>
        <w:tc>
          <w:tcPr>
            <w:tcW w:w="100" w:type="dxa"/>
            <w:vAlign w:val="bottom"/>
            <w:shd w:val="clear" w:color="auto" w:fill="D1EDF5"/>
          </w:tcPr>
          <w:p>
            <w:pPr>
              <w:spacing w:after="0"/>
              <w:rPr>
                <w:sz w:val="17"/>
                <w:szCs w:val="17"/>
                <w:color w:val="auto"/>
              </w:rPr>
            </w:pPr>
          </w:p>
        </w:tc>
        <w:tc>
          <w:tcPr>
            <w:tcW w:w="11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6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15.19</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6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Exercised</w:t>
            </w: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(10,440)</w:t>
            </w:r>
          </w:p>
        </w:tc>
        <w:tc>
          <w:tcPr>
            <w:tcW w:w="100" w:type="dxa"/>
            <w:vAlign w:val="bottom"/>
            <w:shd w:val="clear" w:color="auto" w:fill="D1EDF5"/>
          </w:tcPr>
          <w:p>
            <w:pPr>
              <w:spacing w:after="0"/>
              <w:rPr>
                <w:sz w:val="17"/>
                <w:szCs w:val="17"/>
                <w:color w:val="auto"/>
              </w:rPr>
            </w:pPr>
          </w:p>
        </w:tc>
        <w:tc>
          <w:tcPr>
            <w:tcW w:w="200" w:type="dxa"/>
            <w:vAlign w:val="bottom"/>
            <w:shd w:val="clear" w:color="auto" w:fill="D1EDF5"/>
          </w:tcPr>
          <w:p>
            <w:pPr>
              <w:spacing w:after="0"/>
              <w:rPr>
                <w:sz w:val="17"/>
                <w:szCs w:val="17"/>
                <w:color w:val="auto"/>
              </w:rPr>
            </w:pPr>
          </w:p>
        </w:tc>
        <w:tc>
          <w:tcPr>
            <w:tcW w:w="940" w:type="dxa"/>
            <w:vAlign w:val="bottom"/>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6.48</w:t>
            </w:r>
          </w:p>
        </w:tc>
        <w:tc>
          <w:tcPr>
            <w:tcW w:w="100" w:type="dxa"/>
            <w:vAlign w:val="bottom"/>
            <w:shd w:val="clear" w:color="auto" w:fill="D1EDF5"/>
          </w:tcPr>
          <w:p>
            <w:pPr>
              <w:spacing w:after="0"/>
              <w:rPr>
                <w:sz w:val="17"/>
                <w:szCs w:val="17"/>
                <w:color w:val="auto"/>
              </w:rPr>
            </w:pPr>
          </w:p>
        </w:tc>
        <w:tc>
          <w:tcPr>
            <w:tcW w:w="112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180" w:type="dxa"/>
            <w:vAlign w:val="bottom"/>
            <w:shd w:val="clear" w:color="auto" w:fill="D1EDF5"/>
          </w:tcPr>
          <w:p>
            <w:pPr>
              <w:spacing w:after="0"/>
              <w:rPr>
                <w:sz w:val="17"/>
                <w:szCs w:val="17"/>
                <w:color w:val="auto"/>
              </w:rPr>
            </w:pPr>
          </w:p>
        </w:tc>
        <w:tc>
          <w:tcPr>
            <w:tcW w:w="96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Canceled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(92,672)</w:t>
            </w:r>
          </w:p>
        </w:tc>
        <w:tc>
          <w:tcPr>
            <w:tcW w:w="100" w:type="dxa"/>
            <w:vAlign w:val="bottom"/>
            <w:tcBorders>
              <w:bottom w:val="single" w:sz="8" w:color="D1EDF5"/>
            </w:tcBorders>
          </w:tcPr>
          <w:p>
            <w:pPr>
              <w:spacing w:after="0"/>
              <w:rPr>
                <w:sz w:val="17"/>
                <w:szCs w:val="17"/>
                <w:color w:val="auto"/>
              </w:rPr>
            </w:pPr>
          </w:p>
        </w:tc>
        <w:tc>
          <w:tcPr>
            <w:tcW w:w="200" w:type="dxa"/>
            <w:vAlign w:val="bottom"/>
            <w:tcBorders>
              <w:bottom w:val="single" w:sz="8" w:color="D1EDF5"/>
            </w:tcBorders>
          </w:tcPr>
          <w:p>
            <w:pPr>
              <w:spacing w:after="0"/>
              <w:rPr>
                <w:sz w:val="17"/>
                <w:szCs w:val="17"/>
                <w:color w:val="auto"/>
              </w:rPr>
            </w:pPr>
          </w:p>
        </w:tc>
        <w:tc>
          <w:tcPr>
            <w:tcW w:w="940" w:type="dxa"/>
            <w:vAlign w:val="bottom"/>
            <w:tcBorders>
              <w:bottom w:val="single" w:sz="8" w:color="D1EDF5"/>
            </w:tcBorders>
          </w:tcPr>
          <w:p>
            <w:pPr>
              <w:jc w:val="right"/>
              <w:ind w:right="6"/>
              <w:spacing w:after="0"/>
              <w:rPr>
                <w:sz w:val="20"/>
                <w:szCs w:val="20"/>
                <w:color w:val="auto"/>
              </w:rPr>
            </w:pPr>
            <w:r>
              <w:rPr>
                <w:rFonts w:ascii="Times New Roman" w:cs="Times New Roman" w:eastAsia="Times New Roman" w:hAnsi="Times New Roman"/>
                <w:sz w:val="15"/>
                <w:szCs w:val="15"/>
                <w:color w:val="auto"/>
              </w:rPr>
              <w:t>24.32</w:t>
            </w:r>
          </w:p>
        </w:tc>
        <w:tc>
          <w:tcPr>
            <w:tcW w:w="100" w:type="dxa"/>
            <w:vAlign w:val="bottom"/>
            <w:tcBorders>
              <w:bottom w:val="single" w:sz="8" w:color="D1EDF5"/>
            </w:tcBorders>
          </w:tcPr>
          <w:p>
            <w:pPr>
              <w:spacing w:after="0"/>
              <w:rPr>
                <w:sz w:val="17"/>
                <w:szCs w:val="17"/>
                <w:color w:val="auto"/>
              </w:rPr>
            </w:pPr>
          </w:p>
        </w:tc>
        <w:tc>
          <w:tcPr>
            <w:tcW w:w="112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180" w:type="dxa"/>
            <w:vAlign w:val="bottom"/>
            <w:tcBorders>
              <w:bottom w:val="single" w:sz="8" w:color="D1EDF5"/>
            </w:tcBorders>
          </w:tcPr>
          <w:p>
            <w:pPr>
              <w:spacing w:after="0"/>
              <w:rPr>
                <w:sz w:val="17"/>
                <w:szCs w:val="17"/>
                <w:color w:val="auto"/>
              </w:rPr>
            </w:pPr>
          </w:p>
        </w:tc>
        <w:tc>
          <w:tcPr>
            <w:tcW w:w="960" w:type="dxa"/>
            <w:vAlign w:val="bottom"/>
            <w:tcBorders>
              <w:bottom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Outstanding — December 31, 2025</w:t>
            </w:r>
          </w:p>
        </w:tc>
        <w:tc>
          <w:tcPr>
            <w:tcW w:w="1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1,517,039</w:t>
            </w:r>
          </w:p>
        </w:tc>
        <w:tc>
          <w:tcPr>
            <w:tcW w:w="300" w:type="dxa"/>
            <w:vAlign w:val="bottom"/>
            <w:tcBorders>
              <w:bottom w:val="single" w:sz="8" w:color="D1EDF5"/>
            </w:tcBorders>
            <w:gridSpan w:val="2"/>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D1EDF5"/>
            </w:tcBorders>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16.70</w:t>
            </w:r>
          </w:p>
        </w:tc>
        <w:tc>
          <w:tcPr>
            <w:tcW w:w="100" w:type="dxa"/>
            <w:vAlign w:val="bottom"/>
            <w:tcBorders>
              <w:bottom w:val="single" w:sz="8" w:color="D1EDF5"/>
            </w:tcBorders>
            <w:shd w:val="clear" w:color="auto" w:fill="D1EDF5"/>
          </w:tcPr>
          <w:p>
            <w:pPr>
              <w:spacing w:after="0"/>
              <w:rPr>
                <w:sz w:val="18"/>
                <w:szCs w:val="18"/>
                <w:color w:val="auto"/>
              </w:rPr>
            </w:pPr>
          </w:p>
        </w:tc>
        <w:tc>
          <w:tcPr>
            <w:tcW w:w="1120" w:type="dxa"/>
            <w:vAlign w:val="bottom"/>
            <w:tcBorders>
              <w:bottom w:val="single" w:sz="8" w:color="D1EDF5"/>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10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0" w:type="dxa"/>
            <w:vAlign w:val="bottom"/>
          </w:tcPr>
          <w:p>
            <w:pPr>
              <w:spacing w:after="0"/>
              <w:rPr>
                <w:sz w:val="1"/>
                <w:szCs w:val="1"/>
                <w:color w:val="auto"/>
              </w:rPr>
            </w:pPr>
          </w:p>
        </w:tc>
      </w:tr>
      <w:tr>
        <w:trPr>
          <w:trHeight w:val="20"/>
        </w:trPr>
        <w:tc>
          <w:tcPr>
            <w:tcW w:w="5660" w:type="dxa"/>
            <w:vAlign w:val="bottom"/>
            <w:tcBorders>
              <w:top w:val="single" w:sz="8" w:color="D1EDF5"/>
            </w:tcBorders>
          </w:tcPr>
          <w:p>
            <w:pPr>
              <w:spacing w:after="0" w:line="20" w:lineRule="exact"/>
              <w:rPr>
                <w:sz w:val="1"/>
                <w:szCs w:val="1"/>
                <w:color w:val="auto"/>
              </w:rPr>
            </w:pPr>
          </w:p>
        </w:tc>
        <w:tc>
          <w:tcPr>
            <w:tcW w:w="114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D1EDF5"/>
            </w:tcBorders>
          </w:tcPr>
          <w:p>
            <w:pPr>
              <w:spacing w:after="0" w:line="20" w:lineRule="exact"/>
              <w:rPr>
                <w:sz w:val="1"/>
                <w:szCs w:val="1"/>
                <w:color w:val="auto"/>
              </w:rPr>
            </w:pPr>
          </w:p>
        </w:tc>
        <w:tc>
          <w:tcPr>
            <w:tcW w:w="94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D1EDF5"/>
              <w:bottom w:val="single" w:sz="8" w:color="auto"/>
            </w:tcBorders>
          </w:tcPr>
          <w:p>
            <w:pPr>
              <w:spacing w:after="0" w:line="20" w:lineRule="exact"/>
              <w:rPr>
                <w:sz w:val="1"/>
                <w:szCs w:val="1"/>
                <w:color w:val="auto"/>
              </w:rPr>
            </w:pPr>
          </w:p>
        </w:tc>
        <w:tc>
          <w:tcPr>
            <w:tcW w:w="96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Vested and Expected to Vest — December 31, 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1,303,162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17.07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1,220</w:t>
            </w:r>
          </w:p>
        </w:tc>
        <w:tc>
          <w:tcPr>
            <w:tcW w:w="0" w:type="dxa"/>
            <w:vAlign w:val="bottom"/>
          </w:tcPr>
          <w:p>
            <w:pPr>
              <w:spacing w:after="0"/>
              <w:rPr>
                <w:sz w:val="1"/>
                <w:szCs w:val="1"/>
                <w:color w:val="auto"/>
              </w:rPr>
            </w:pPr>
          </w:p>
        </w:tc>
      </w:tr>
      <w:tr>
        <w:trPr>
          <w:trHeight w:val="20"/>
        </w:trPr>
        <w:tc>
          <w:tcPr>
            <w:tcW w:w="5660" w:type="dxa"/>
            <w:vAlign w:val="bottom"/>
            <w:tcBorders>
              <w:bottom w:val="single" w:sz="8" w:color="D1EDF5"/>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200" w:type="dxa"/>
            <w:vAlign w:val="bottom"/>
            <w:tcBorders>
              <w:bottom w:val="single" w:sz="8" w:color="D1EDF5"/>
            </w:tcBorders>
          </w:tcPr>
          <w:p>
            <w:pPr>
              <w:spacing w:after="0" w:line="20" w:lineRule="exact"/>
              <w:rPr>
                <w:sz w:val="1"/>
                <w:szCs w:val="1"/>
                <w:color w:val="auto"/>
              </w:rPr>
            </w:pPr>
          </w:p>
        </w:tc>
        <w:tc>
          <w:tcPr>
            <w:tcW w:w="940" w:type="dxa"/>
            <w:vAlign w:val="bottom"/>
            <w:tcBorders>
              <w:bottom w:val="single" w:sz="8" w:color="D1EDF5"/>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1120" w:type="dxa"/>
            <w:vAlign w:val="bottom"/>
            <w:tcBorders>
              <w:bottom w:val="single" w:sz="8" w:color="D1EDF5"/>
            </w:tcBorders>
          </w:tcPr>
          <w:p>
            <w:pPr>
              <w:spacing w:after="0" w:line="20" w:lineRule="exact"/>
              <w:rPr>
                <w:sz w:val="1"/>
                <w:szCs w:val="1"/>
                <w:color w:val="auto"/>
              </w:rPr>
            </w:pPr>
          </w:p>
        </w:tc>
        <w:tc>
          <w:tcPr>
            <w:tcW w:w="100" w:type="dxa"/>
            <w:vAlign w:val="bottom"/>
            <w:tcBorders>
              <w:bottom w:val="single" w:sz="8" w:color="D1ED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6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Exercisable — December 31, 2025</w:t>
            </w:r>
          </w:p>
        </w:tc>
        <w:tc>
          <w:tcPr>
            <w:tcW w:w="1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147,729</w:t>
            </w:r>
          </w:p>
        </w:tc>
        <w:tc>
          <w:tcPr>
            <w:tcW w:w="300" w:type="dxa"/>
            <w:vAlign w:val="bottom"/>
            <w:tcBorders>
              <w:bottom w:val="single" w:sz="8" w:color="D1EDF5"/>
            </w:tcBorders>
            <w:gridSpan w:val="2"/>
            <w:shd w:val="clear" w:color="auto" w:fill="D1EDF5"/>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D1EDF5"/>
            </w:tcBorders>
            <w:shd w:val="clear" w:color="auto" w:fill="D1EDF5"/>
          </w:tcPr>
          <w:p>
            <w:pPr>
              <w:jc w:val="right"/>
              <w:ind w:right="6"/>
              <w:spacing w:after="0"/>
              <w:rPr>
                <w:sz w:val="20"/>
                <w:szCs w:val="20"/>
                <w:color w:val="auto"/>
              </w:rPr>
            </w:pPr>
            <w:r>
              <w:rPr>
                <w:rFonts w:ascii="Times New Roman" w:cs="Times New Roman" w:eastAsia="Times New Roman" w:hAnsi="Times New Roman"/>
                <w:sz w:val="15"/>
                <w:szCs w:val="15"/>
                <w:color w:val="auto"/>
              </w:rPr>
              <w:t>32.81</w:t>
            </w:r>
          </w:p>
        </w:tc>
        <w:tc>
          <w:tcPr>
            <w:tcW w:w="100" w:type="dxa"/>
            <w:vAlign w:val="bottom"/>
            <w:tcBorders>
              <w:bottom w:val="single" w:sz="8" w:color="D1EDF5"/>
            </w:tcBorders>
            <w:shd w:val="clear" w:color="auto" w:fill="D1EDF5"/>
          </w:tcPr>
          <w:p>
            <w:pPr>
              <w:spacing w:after="0"/>
              <w:rPr>
                <w:sz w:val="18"/>
                <w:szCs w:val="18"/>
                <w:color w:val="auto"/>
              </w:rPr>
            </w:pPr>
          </w:p>
        </w:tc>
        <w:tc>
          <w:tcPr>
            <w:tcW w:w="1120" w:type="dxa"/>
            <w:vAlign w:val="bottom"/>
            <w:tcBorders>
              <w:bottom w:val="single" w:sz="8" w:color="D1EDF5"/>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tcBorders>
              <w:bottom w:val="single" w:sz="8" w:color="D1EDF5"/>
            </w:tcBorders>
            <w:shd w:val="clear" w:color="auto" w:fill="D1EDF5"/>
          </w:tcPr>
          <w:p>
            <w:pPr>
              <w:spacing w:after="0"/>
              <w:rPr>
                <w:sz w:val="18"/>
                <w:szCs w:val="18"/>
                <w:color w:val="auto"/>
              </w:rPr>
            </w:pPr>
          </w:p>
        </w:tc>
        <w:tc>
          <w:tcPr>
            <w:tcW w:w="18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0" w:type="dxa"/>
            <w:vAlign w:val="bottom"/>
          </w:tcPr>
          <w:p>
            <w:pPr>
              <w:spacing w:after="0"/>
              <w:rPr>
                <w:sz w:val="1"/>
                <w:szCs w:val="1"/>
                <w:color w:val="auto"/>
              </w:rPr>
            </w:pPr>
          </w:p>
        </w:tc>
      </w:tr>
      <w:tr>
        <w:trPr>
          <w:trHeight w:val="20"/>
        </w:trPr>
        <w:tc>
          <w:tcPr>
            <w:tcW w:w="5660" w:type="dxa"/>
            <w:vAlign w:val="bottom"/>
            <w:tcBorders>
              <w:top w:val="single" w:sz="8" w:color="D1EDF5"/>
            </w:tcBorders>
          </w:tcPr>
          <w:p>
            <w:pPr>
              <w:spacing w:after="0" w:line="20" w:lineRule="exact"/>
              <w:rPr>
                <w:sz w:val="1"/>
                <w:szCs w:val="1"/>
                <w:color w:val="auto"/>
              </w:rPr>
            </w:pPr>
          </w:p>
        </w:tc>
        <w:tc>
          <w:tcPr>
            <w:tcW w:w="114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200" w:type="dxa"/>
            <w:vAlign w:val="bottom"/>
            <w:tcBorders>
              <w:top w:val="single" w:sz="8" w:color="D1EDF5"/>
            </w:tcBorders>
          </w:tcPr>
          <w:p>
            <w:pPr>
              <w:spacing w:after="0" w:line="20" w:lineRule="exact"/>
              <w:rPr>
                <w:sz w:val="1"/>
                <w:szCs w:val="1"/>
                <w:color w:val="auto"/>
              </w:rPr>
            </w:pPr>
          </w:p>
        </w:tc>
        <w:tc>
          <w:tcPr>
            <w:tcW w:w="94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80" w:type="dxa"/>
            <w:vAlign w:val="bottom"/>
            <w:tcBorders>
              <w:top w:val="single" w:sz="8" w:color="D1EDF5"/>
              <w:bottom w:val="single" w:sz="8" w:color="auto"/>
            </w:tcBorders>
          </w:tcPr>
          <w:p>
            <w:pPr>
              <w:spacing w:after="0" w:line="20" w:lineRule="exact"/>
              <w:rPr>
                <w:sz w:val="1"/>
                <w:szCs w:val="1"/>
                <w:color w:val="auto"/>
              </w:rPr>
            </w:pPr>
          </w:p>
        </w:tc>
        <w:tc>
          <w:tcPr>
            <w:tcW w:w="96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80" w:firstLine="381"/>
        <w:spacing w:after="0" w:line="248" w:lineRule="auto"/>
        <w:rPr>
          <w:sz w:val="20"/>
          <w:szCs w:val="20"/>
          <w:color w:val="auto"/>
        </w:rPr>
      </w:pPr>
      <w:r>
        <w:rPr>
          <w:rFonts w:ascii="Times New Roman" w:cs="Times New Roman" w:eastAsia="Times New Roman" w:hAnsi="Times New Roman"/>
          <w:sz w:val="17"/>
          <w:szCs w:val="17"/>
          <w:color w:val="auto"/>
        </w:rPr>
        <w:t>During the year ended December 31, 2025, the Company granted stock options to their CEO in connection with his hiring 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$6.7 million and will be expensed over the four-year vesting term of the awards.</w:t>
      </w:r>
    </w:p>
    <w:p>
      <w:pPr>
        <w:spacing w:after="0" w:line="120" w:lineRule="exact"/>
        <w:rPr>
          <w:sz w:val="20"/>
          <w:szCs w:val="20"/>
          <w:color w:val="auto"/>
        </w:rPr>
      </w:pPr>
    </w:p>
    <w:p>
      <w:pPr>
        <w:ind w:right="240" w:firstLine="381"/>
        <w:spacing w:after="0" w:line="262" w:lineRule="auto"/>
        <w:rPr>
          <w:sz w:val="20"/>
          <w:szCs w:val="20"/>
          <w:color w:val="auto"/>
        </w:rPr>
      </w:pPr>
      <w:r>
        <w:rPr>
          <w:rFonts w:ascii="Times New Roman" w:cs="Times New Roman" w:eastAsia="Times New Roman" w:hAnsi="Times New Roman"/>
          <w:sz w:val="17"/>
          <w:szCs w:val="17"/>
          <w:color w:val="auto"/>
        </w:rPr>
        <w:t>These options granted to the Company’s CEO were valued using a Monte Carlo simulation model. The following table details the key assumptions utilized in the Monte Carlo simulation model used to calculate the grant-date fair value of the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6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January 6, 2025</w:t>
            </w:r>
          </w:p>
        </w:tc>
      </w:tr>
      <w:tr>
        <w:trPr>
          <w:trHeight w:val="198"/>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Valuation date stock price</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11.23</w:t>
            </w:r>
          </w:p>
        </w:tc>
      </w:tr>
      <w:tr>
        <w:trPr>
          <w:trHeight w:val="201"/>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Simulation term (years)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6"/>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60" w:type="dxa"/>
            <w:vAlign w:val="bottom"/>
            <w:shd w:val="clear" w:color="auto" w:fill="D1EDF5"/>
          </w:tcPr>
          <w:p>
            <w:pPr>
              <w:spacing w:after="0"/>
              <w:rPr>
                <w:sz w:val="17"/>
                <w:szCs w:val="17"/>
                <w:color w:val="auto"/>
              </w:rPr>
            </w:pPr>
          </w:p>
        </w:tc>
        <w:tc>
          <w:tcPr>
            <w:tcW w:w="1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4.57 %</w:t>
            </w:r>
          </w:p>
        </w:tc>
      </w:tr>
      <w:tr>
        <w:trPr>
          <w:trHeight w:val="201"/>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84.00 %</w:t>
            </w:r>
          </w:p>
        </w:tc>
      </w:tr>
      <w:tr>
        <w:trPr>
          <w:trHeight w:val="206"/>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260" w:type="dxa"/>
            <w:vAlign w:val="bottom"/>
            <w:shd w:val="clear" w:color="auto" w:fill="D1EDF5"/>
          </w:tcPr>
          <w:p>
            <w:pPr>
              <w:spacing w:after="0"/>
              <w:rPr>
                <w:sz w:val="17"/>
                <w:szCs w:val="17"/>
                <w:color w:val="auto"/>
              </w:rPr>
            </w:pPr>
          </w:p>
        </w:tc>
        <w:tc>
          <w:tcPr>
            <w:tcW w:w="1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 %</w:t>
            </w:r>
          </w:p>
        </w:tc>
      </w:tr>
    </w:tbl>
    <w:p>
      <w:pPr>
        <w:spacing w:after="0" w:line="212" w:lineRule="exact"/>
        <w:rPr>
          <w:sz w:val="20"/>
          <w:szCs w:val="20"/>
          <w:color w:val="auto"/>
        </w:rPr>
      </w:pPr>
    </w:p>
    <w:p>
      <w:pPr>
        <w:ind w:right="360" w:firstLine="381"/>
        <w:spacing w:after="0" w:line="278" w:lineRule="auto"/>
        <w:rPr>
          <w:sz w:val="20"/>
          <w:szCs w:val="20"/>
          <w:color w:val="auto"/>
        </w:rPr>
      </w:pPr>
      <w:r>
        <w:rPr>
          <w:rFonts w:ascii="Times New Roman" w:cs="Times New Roman" w:eastAsia="Times New Roman" w:hAnsi="Times New Roman"/>
          <w:sz w:val="17"/>
          <w:szCs w:val="17"/>
          <w:color w:val="auto"/>
        </w:rPr>
        <w:t>The total intrinsic value of stock options exercised to purchase common stock during the year ended December 31, 2025 was approximately $0.1 million.</w:t>
      </w:r>
    </w:p>
    <w:p>
      <w:pPr>
        <w:spacing w:after="0" w:line="93" w:lineRule="exact"/>
        <w:rPr>
          <w:sz w:val="20"/>
          <w:szCs w:val="20"/>
          <w:color w:val="auto"/>
        </w:rPr>
      </w:pPr>
    </w:p>
    <w:p>
      <w:pPr>
        <w:ind w:right="340" w:firstLine="381"/>
        <w:spacing w:after="0" w:line="248" w:lineRule="auto"/>
        <w:rPr>
          <w:sz w:val="20"/>
          <w:szCs w:val="20"/>
          <w:color w:val="auto"/>
        </w:rPr>
      </w:pPr>
      <w:r>
        <w:rPr>
          <w:rFonts w:ascii="Times New Roman" w:cs="Times New Roman" w:eastAsia="Times New Roman" w:hAnsi="Times New Roman"/>
          <w:sz w:val="17"/>
          <w:szCs w:val="17"/>
          <w:color w:val="auto"/>
        </w:rPr>
        <w:t>As of December 31, 2025, total unrecognized share-based compensation expense related to non-vested stock options was $6.6 million, which is expected to be recognized over a weighted-average period of approximately 3.16 years. The Company recognized approximately $2.2 million and $0.8 million of share-based compensation expense related to the vesting of stock option awards during the years ended December 31, 2025 and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64" w:lineRule="exact"/>
        <w:rPr>
          <w:sz w:val="20"/>
          <w:szCs w:val="20"/>
          <w:color w:val="auto"/>
        </w:rPr>
      </w:pPr>
    </w:p>
    <w:p>
      <w:pPr>
        <w:ind w:right="100" w:firstLine="381"/>
        <w:spacing w:after="0" w:line="248" w:lineRule="auto"/>
        <w:rPr>
          <w:sz w:val="20"/>
          <w:szCs w:val="20"/>
          <w:color w:val="auto"/>
        </w:rPr>
      </w:pPr>
      <w:r>
        <w:rPr>
          <w:rFonts w:ascii="Times New Roman" w:cs="Times New Roman" w:eastAsia="Times New Roman" w:hAnsi="Times New Roman"/>
          <w:sz w:val="17"/>
          <w:szCs w:val="17"/>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summary of restricted stock unit activity under all plans for the years ended December 31, 2025 and 2024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0" w:type="dxa"/>
            <w:vAlign w:val="bottom"/>
          </w:tcPr>
          <w:p>
            <w:pPr>
              <w:spacing w:after="0"/>
              <w:rPr>
                <w:sz w:val="1"/>
                <w:szCs w:val="1"/>
                <w:color w:val="auto"/>
              </w:rPr>
            </w:pPr>
          </w:p>
        </w:tc>
      </w:tr>
      <w:tr>
        <w:trPr>
          <w:trHeight w:val="140"/>
        </w:trPr>
        <w:tc>
          <w:tcPr>
            <w:tcW w:w="8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Grant-Date Fair</w:t>
            </w:r>
          </w:p>
        </w:tc>
        <w:tc>
          <w:tcPr>
            <w:tcW w:w="0" w:type="dxa"/>
            <w:vAlign w:val="bottom"/>
          </w:tcPr>
          <w:p>
            <w:pPr>
              <w:spacing w:after="0"/>
              <w:rPr>
                <w:sz w:val="1"/>
                <w:szCs w:val="1"/>
                <w:color w:val="auto"/>
              </w:rPr>
            </w:pPr>
          </w:p>
        </w:tc>
      </w:tr>
      <w:tr>
        <w:trPr>
          <w:trHeight w:val="184"/>
        </w:trPr>
        <w:tc>
          <w:tcPr>
            <w:tcW w:w="8200" w:type="dxa"/>
            <w:vAlign w:val="bottom"/>
            <w:tcBorders>
              <w:bottom w:val="single" w:sz="8" w:color="D1EDF5"/>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1EDF5"/>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1"/>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Non-vested — December 31, 2023</w:t>
            </w: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203,008</w:t>
            </w:r>
          </w:p>
        </w:tc>
        <w:tc>
          <w:tcPr>
            <w:tcW w:w="12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19.84</w:t>
            </w:r>
          </w:p>
        </w:tc>
        <w:tc>
          <w:tcPr>
            <w:tcW w:w="0" w:type="dxa"/>
            <w:vAlign w:val="bottom"/>
          </w:tcPr>
          <w:p>
            <w:pPr>
              <w:spacing w:after="0"/>
              <w:rPr>
                <w:sz w:val="1"/>
                <w:szCs w:val="1"/>
                <w:color w:val="auto"/>
              </w:rPr>
            </w:pP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1,106,862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9.34</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Vested</w:t>
            </w: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(164,288)</w:t>
            </w:r>
          </w:p>
        </w:tc>
        <w:tc>
          <w:tcPr>
            <w:tcW w:w="12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13.42</w:t>
            </w:r>
          </w:p>
        </w:tc>
        <w:tc>
          <w:tcPr>
            <w:tcW w:w="0" w:type="dxa"/>
            <w:vAlign w:val="bottom"/>
          </w:tcPr>
          <w:p>
            <w:pPr>
              <w:spacing w:after="0"/>
              <w:rPr>
                <w:sz w:val="1"/>
                <w:szCs w:val="1"/>
                <w:color w:val="auto"/>
              </w:rPr>
            </w:pP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(33,741)</w:t>
            </w:r>
          </w:p>
        </w:tc>
        <w:tc>
          <w:tcPr>
            <w:tcW w:w="1240" w:type="dxa"/>
            <w:vAlign w:val="bottom"/>
            <w:tcBorders>
              <w:bottom w:val="single" w:sz="8" w:color="D1EDF5"/>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31.68</w:t>
            </w:r>
          </w:p>
        </w:tc>
        <w:tc>
          <w:tcPr>
            <w:tcW w:w="0" w:type="dxa"/>
            <w:vAlign w:val="bottom"/>
          </w:tcPr>
          <w:p>
            <w:pPr>
              <w:spacing w:after="0"/>
              <w:rPr>
                <w:sz w:val="1"/>
                <w:szCs w:val="1"/>
                <w:color w:val="auto"/>
              </w:rPr>
            </w:pPr>
          </w:p>
        </w:tc>
      </w:tr>
      <w:tr>
        <w:trPr>
          <w:trHeight w:val="198"/>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Non-vested — December 31, 2024</w:t>
            </w: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1,111,841</w:t>
            </w:r>
          </w:p>
        </w:tc>
        <w:tc>
          <w:tcPr>
            <w:tcW w:w="12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1"/>
        </w:trPr>
        <w:tc>
          <w:tcPr>
            <w:tcW w:w="82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1,251,978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0" w:type="dxa"/>
            <w:vAlign w:val="bottom"/>
          </w:tcPr>
          <w:p>
            <w:pPr>
              <w:spacing w:after="0"/>
              <w:rPr>
                <w:sz w:val="1"/>
                <w:szCs w:val="1"/>
                <w:color w:val="auto"/>
              </w:rPr>
            </w:pPr>
          </w:p>
        </w:tc>
      </w:tr>
      <w:tr>
        <w:trPr>
          <w:trHeight w:val="206"/>
        </w:trPr>
        <w:tc>
          <w:tcPr>
            <w:tcW w:w="820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Vested</w:t>
            </w:r>
          </w:p>
        </w:tc>
        <w:tc>
          <w:tcPr>
            <w:tcW w:w="11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(390,926)</w:t>
            </w:r>
          </w:p>
        </w:tc>
        <w:tc>
          <w:tcPr>
            <w:tcW w:w="124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0" w:type="dxa"/>
            <w:vAlign w:val="bottom"/>
          </w:tcPr>
          <w:p>
            <w:pPr>
              <w:spacing w:after="0"/>
              <w:rPr>
                <w:sz w:val="1"/>
                <w:szCs w:val="1"/>
                <w:color w:val="auto"/>
              </w:rPr>
            </w:pPr>
          </w:p>
        </w:tc>
      </w:tr>
      <w:tr>
        <w:trPr>
          <w:trHeight w:val="201"/>
        </w:trPr>
        <w:tc>
          <w:tcPr>
            <w:tcW w:w="8200" w:type="dxa"/>
            <w:vAlign w:val="bottom"/>
            <w:tcBorders>
              <w:bottom w:val="single" w:sz="8" w:color="D1EDF5"/>
            </w:tcBorders>
          </w:tcPr>
          <w:p>
            <w:pPr>
              <w:ind w:left="200"/>
              <w:spacing w:after="0"/>
              <w:rPr>
                <w:sz w:val="20"/>
                <w:szCs w:val="20"/>
                <w:color w:val="auto"/>
              </w:rPr>
            </w:pPr>
            <w:r>
              <w:rPr>
                <w:rFonts w:ascii="Times New Roman" w:cs="Times New Roman" w:eastAsia="Times New Roman" w:hAnsi="Times New Roman"/>
                <w:sz w:val="15"/>
                <w:szCs w:val="15"/>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(126,737)</w:t>
            </w:r>
          </w:p>
        </w:tc>
        <w:tc>
          <w:tcPr>
            <w:tcW w:w="1240" w:type="dxa"/>
            <w:vAlign w:val="bottom"/>
            <w:tcBorders>
              <w:bottom w:val="single" w:sz="8" w:color="D1EDF5"/>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Non-vested — December 31, 2025</w:t>
            </w:r>
          </w:p>
        </w:tc>
        <w:tc>
          <w:tcPr>
            <w:tcW w:w="11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1,846,156</w:t>
            </w:r>
          </w:p>
        </w:tc>
        <w:tc>
          <w:tcPr>
            <w:tcW w:w="1240" w:type="dxa"/>
            <w:vAlign w:val="bottom"/>
            <w:tcBorders>
              <w:bottom w:val="single" w:sz="8" w:color="D1EDF5"/>
            </w:tcBorders>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0" w:type="dxa"/>
            <w:vAlign w:val="bottom"/>
          </w:tcPr>
          <w:p>
            <w:pPr>
              <w:spacing w:after="0"/>
              <w:rPr>
                <w:sz w:val="1"/>
                <w:szCs w:val="1"/>
                <w:color w:val="auto"/>
              </w:rPr>
            </w:pPr>
          </w:p>
        </w:tc>
      </w:tr>
      <w:tr>
        <w:trPr>
          <w:trHeight w:val="20"/>
        </w:trPr>
        <w:tc>
          <w:tcPr>
            <w:tcW w:w="8200" w:type="dxa"/>
            <w:vAlign w:val="bottom"/>
            <w:tcBorders>
              <w:top w:val="single" w:sz="8" w:color="D1EDF5"/>
            </w:tcBorders>
          </w:tcPr>
          <w:p>
            <w:pPr>
              <w:spacing w:after="0" w:line="20" w:lineRule="exact"/>
              <w:rPr>
                <w:sz w:val="1"/>
                <w:szCs w:val="1"/>
                <w:color w:val="auto"/>
              </w:rPr>
            </w:pPr>
          </w:p>
        </w:tc>
        <w:tc>
          <w:tcPr>
            <w:tcW w:w="112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14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381"/>
        <w:spacing w:after="0" w:line="258" w:lineRule="auto"/>
        <w:rPr>
          <w:sz w:val="20"/>
          <w:szCs w:val="20"/>
          <w:color w:val="auto"/>
        </w:rPr>
      </w:pPr>
      <w:r>
        <w:rPr>
          <w:rFonts w:ascii="Times New Roman" w:cs="Times New Roman" w:eastAsia="Times New Roman" w:hAnsi="Times New Roman"/>
          <w:sz w:val="16"/>
          <w:szCs w:val="16"/>
          <w:color w:val="auto"/>
        </w:rPr>
        <w:t>During the year ended December 31, 2025, the Company granted RSUs to their CEO in connection with his hiring on January 6, 2025. The Company granted the CEO 124,347 RSUs that contain a time-based vesting requirement (“Time-based CEO RSUs”) with a total grant-date fair value of $1.4 million that vest over four years. The Company also granted the CEO RSUs that contain a market-based vesting condition in addition to a time-based vesting requirement (“Market-based CEO RSUs”). The Company granted 167,910 of these Market-based CEO RSUs with a total grant-date fair value of</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6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January 6, 2025</w:t>
            </w:r>
          </w:p>
        </w:tc>
      </w:tr>
      <w:tr>
        <w:trPr>
          <w:trHeight w:val="198"/>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Valuation date stock price</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D1EDF5"/>
          </w:tcPr>
          <w:p>
            <w:pPr>
              <w:jc w:val="right"/>
              <w:ind w:right="124"/>
              <w:spacing w:after="0"/>
              <w:rPr>
                <w:sz w:val="20"/>
                <w:szCs w:val="20"/>
                <w:color w:val="auto"/>
              </w:rPr>
            </w:pPr>
            <w:r>
              <w:rPr>
                <w:rFonts w:ascii="Times New Roman" w:cs="Times New Roman" w:eastAsia="Times New Roman" w:hAnsi="Times New Roman"/>
                <w:sz w:val="15"/>
                <w:szCs w:val="15"/>
                <w:color w:val="auto"/>
              </w:rPr>
              <w:t>11.23</w:t>
            </w:r>
          </w:p>
        </w:tc>
      </w:tr>
      <w:tr>
        <w:trPr>
          <w:trHeight w:val="201"/>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Simulation term (years)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6"/>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260" w:type="dxa"/>
            <w:vAlign w:val="bottom"/>
            <w:shd w:val="clear" w:color="auto" w:fill="D1EDF5"/>
          </w:tcPr>
          <w:p>
            <w:pPr>
              <w:spacing w:after="0"/>
              <w:rPr>
                <w:sz w:val="17"/>
                <w:szCs w:val="17"/>
                <w:color w:val="auto"/>
              </w:rPr>
            </w:pPr>
          </w:p>
        </w:tc>
        <w:tc>
          <w:tcPr>
            <w:tcW w:w="1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4.25 %</w:t>
            </w:r>
          </w:p>
        </w:tc>
      </w:tr>
      <w:tr>
        <w:trPr>
          <w:trHeight w:val="201"/>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105.63 %</w:t>
            </w:r>
          </w:p>
        </w:tc>
      </w:tr>
      <w:tr>
        <w:trPr>
          <w:trHeight w:val="206"/>
        </w:trPr>
        <w:tc>
          <w:tcPr>
            <w:tcW w:w="906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260" w:type="dxa"/>
            <w:vAlign w:val="bottom"/>
            <w:shd w:val="clear" w:color="auto" w:fill="D1EDF5"/>
          </w:tcPr>
          <w:p>
            <w:pPr>
              <w:spacing w:after="0"/>
              <w:rPr>
                <w:sz w:val="17"/>
                <w:szCs w:val="17"/>
                <w:color w:val="auto"/>
              </w:rPr>
            </w:pPr>
          </w:p>
        </w:tc>
        <w:tc>
          <w:tcPr>
            <w:tcW w:w="12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98"/>
        </w:trPr>
        <w:tc>
          <w:tcPr>
            <w:tcW w:w="9060" w:type="dxa"/>
            <w:vAlign w:val="bottom"/>
          </w:tcPr>
          <w:p>
            <w:pPr>
              <w:spacing w:after="0"/>
              <w:rPr>
                <w:sz w:val="20"/>
                <w:szCs w:val="20"/>
                <w:color w:val="auto"/>
              </w:rPr>
            </w:pPr>
            <w:r>
              <w:rPr>
                <w:rFonts w:ascii="Times New Roman" w:cs="Times New Roman" w:eastAsia="Times New Roman" w:hAnsi="Times New Roman"/>
                <w:sz w:val="15"/>
                <w:szCs w:val="15"/>
                <w:color w:val="auto"/>
              </w:rPr>
              <w:t>Correlation coefficient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0.3741</w:t>
            </w:r>
          </w:p>
        </w:tc>
      </w:tr>
    </w:tbl>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During the years ended December 31, 2025 and 2024, the total fair value of shares vested was $3.7 million and $2.0 million, respectively.</w:t>
      </w:r>
    </w:p>
    <w:p>
      <w:pPr>
        <w:spacing w:after="0" w:line="160"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As of December 31, 2025, there was $14.8 million of unrecognized share-based compensation expense related to non-vested RSUs, which is expected to be recognized over a weighted-average period of 3.06 years. The Company recognized approximately $5.0 million and $3.1 million of share-based compensation expense related to the vesting of RSUs during the years ended December 31, 2025 and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2000 Employee Stock Purchase Plan</w:t>
      </w:r>
    </w:p>
    <w:p>
      <w:pPr>
        <w:spacing w:after="0" w:line="151"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722,280 shares of common stock may be purchased by eligible employees, of which 429,578 remain available for future purchase as of December 31, 2025.</w:t>
      </w:r>
    </w:p>
    <w:p>
      <w:pPr>
        <w:spacing w:after="0" w:line="119" w:lineRule="exact"/>
        <w:rPr>
          <w:sz w:val="20"/>
          <w:szCs w:val="20"/>
          <w:color w:val="auto"/>
        </w:rPr>
      </w:pPr>
    </w:p>
    <w:p>
      <w:pPr>
        <w:jc w:val="both"/>
        <w:ind w:right="520" w:firstLine="381"/>
        <w:spacing w:after="0" w:line="256" w:lineRule="auto"/>
        <w:rPr>
          <w:sz w:val="20"/>
          <w:szCs w:val="20"/>
          <w:color w:val="auto"/>
        </w:rPr>
      </w:pPr>
      <w:r>
        <w:rPr>
          <w:rFonts w:ascii="Times New Roman" w:cs="Times New Roman" w:eastAsia="Times New Roman" w:hAnsi="Times New Roman"/>
          <w:sz w:val="17"/>
          <w:szCs w:val="17"/>
          <w:color w:val="auto"/>
        </w:rPr>
        <w:t>During the years ended December 31, 2025 and 2024, the Company issued 70,442 shares and 26,096 shares, respectively, under the ESPP. The Company recognized approximately $0.3 million and $0.1 million of share-based compensation expense related to the ESPP during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Income (Loss) per Share</w:t>
      </w:r>
    </w:p>
    <w:p>
      <w:pPr>
        <w:spacing w:after="0" w:line="151"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Basic income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warrants, stock options and RSUs calculated using the treasury stock method and the 2025 Convertible Notes calculated using the if-converted method) are excluded from the diluted EPS computation in loss periods and when their effect would be anti-dilutive.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was as follows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w w:val="99"/>
              </w:rPr>
              <w:t>Income/(Loss)</w:t>
            </w:r>
          </w:p>
        </w:tc>
        <w:tc>
          <w:tcPr>
            <w:tcW w:w="10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Shares*</w:t>
            </w: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Per-Share Amount</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(Denominator)</w:t>
            </w: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40" w:type="dxa"/>
            <w:vAlign w:val="bottom"/>
            <w:tcBorders>
              <w:top w:val="single" w:sz="8" w:color="D1EDF5"/>
            </w:tcBorders>
            <w:gridSpan w:val="2"/>
            <w:shd w:val="clear" w:color="auto" w:fill="D1EDF5"/>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40" w:type="dxa"/>
            <w:vAlign w:val="bottom"/>
            <w:tcBorders>
              <w:top w:val="single" w:sz="8" w:color="auto"/>
            </w:tcBorders>
            <w:shd w:val="clear" w:color="auto" w:fill="D1EDF5"/>
          </w:tcPr>
          <w:p>
            <w:pPr>
              <w:spacing w:after="0"/>
              <w:rPr>
                <w:sz w:val="14"/>
                <w:szCs w:val="14"/>
                <w:color w:val="auto"/>
              </w:rPr>
            </w:pPr>
          </w:p>
        </w:tc>
        <w:tc>
          <w:tcPr>
            <w:tcW w:w="1040" w:type="dxa"/>
            <w:vAlign w:val="bottom"/>
            <w:tcBorders>
              <w:top w:val="single" w:sz="8" w:color="auto"/>
            </w:tcBorders>
            <w:shd w:val="clear" w:color="auto" w:fill="D1EDF5"/>
          </w:tcPr>
          <w:p>
            <w:pPr>
              <w:spacing w:after="0"/>
              <w:rPr>
                <w:sz w:val="14"/>
                <w:szCs w:val="14"/>
                <w:color w:val="auto"/>
              </w:rPr>
            </w:pPr>
          </w:p>
        </w:tc>
        <w:tc>
          <w:tcPr>
            <w:tcW w:w="100" w:type="dxa"/>
            <w:vAlign w:val="bottom"/>
            <w:tcBorders>
              <w:top w:val="single" w:sz="8" w:color="D1EDF5"/>
            </w:tcBorders>
            <w:shd w:val="clear" w:color="auto" w:fill="D1EDF5"/>
          </w:tcPr>
          <w:p>
            <w:pPr>
              <w:spacing w:after="0"/>
              <w:rPr>
                <w:sz w:val="14"/>
                <w:szCs w:val="14"/>
                <w:color w:val="auto"/>
              </w:rPr>
            </w:pPr>
          </w:p>
        </w:tc>
        <w:tc>
          <w:tcPr>
            <w:tcW w:w="1160" w:type="dxa"/>
            <w:vAlign w:val="bottom"/>
            <w:tcBorders>
              <w:top w:val="single" w:sz="8" w:color="auto"/>
            </w:tcBorders>
            <w:shd w:val="clear" w:color="auto" w:fill="D1EDF5"/>
          </w:tcPr>
          <w:p>
            <w:pPr>
              <w:spacing w:after="0"/>
              <w:rPr>
                <w:sz w:val="14"/>
                <w:szCs w:val="14"/>
                <w:color w:val="auto"/>
              </w:rPr>
            </w:pPr>
          </w:p>
        </w:tc>
        <w:tc>
          <w:tcPr>
            <w:tcW w:w="100" w:type="dxa"/>
            <w:vAlign w:val="bottom"/>
            <w:tcBorders>
              <w:top w:val="single" w:sz="8" w:color="D1EDF5"/>
            </w:tcBorders>
            <w:shd w:val="clear" w:color="auto" w:fill="D1EDF5"/>
          </w:tcPr>
          <w:p>
            <w:pPr>
              <w:spacing w:after="0"/>
              <w:rPr>
                <w:sz w:val="14"/>
                <w:szCs w:val="14"/>
                <w:color w:val="auto"/>
              </w:rPr>
            </w:pPr>
          </w:p>
        </w:tc>
        <w:tc>
          <w:tcPr>
            <w:tcW w:w="440" w:type="dxa"/>
            <w:vAlign w:val="bottom"/>
            <w:tcBorders>
              <w:top w:val="single" w:sz="8" w:color="auto"/>
            </w:tcBorders>
            <w:shd w:val="clear" w:color="auto" w:fill="D1EDF5"/>
          </w:tcPr>
          <w:p>
            <w:pPr>
              <w:spacing w:after="0"/>
              <w:rPr>
                <w:sz w:val="14"/>
                <w:szCs w:val="14"/>
                <w:color w:val="auto"/>
              </w:rPr>
            </w:pPr>
          </w:p>
        </w:tc>
        <w:tc>
          <w:tcPr>
            <w:tcW w:w="740" w:type="dxa"/>
            <w:vAlign w:val="bottom"/>
            <w:tcBorders>
              <w:top w:val="single" w:sz="8" w:color="auto"/>
            </w:tcBorders>
            <w:shd w:val="clear" w:color="auto" w:fill="D1EDF5"/>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Basic and Diluted EPS</w:t>
            </w:r>
          </w:p>
        </w:tc>
        <w:tc>
          <w:tcPr>
            <w:tcW w:w="4800" w:type="dxa"/>
            <w:vAlign w:val="bottom"/>
            <w:tcBorders>
              <w:top w:val="single" w:sz="8" w:color="D1EDF5"/>
            </w:tcBorders>
          </w:tcPr>
          <w:p>
            <w:pPr>
              <w:spacing w:after="0"/>
              <w:rPr>
                <w:sz w:val="17"/>
                <w:szCs w:val="17"/>
                <w:color w:val="auto"/>
              </w:rPr>
            </w:pPr>
          </w:p>
        </w:tc>
        <w:tc>
          <w:tcPr>
            <w:tcW w:w="140" w:type="dxa"/>
            <w:vAlign w:val="bottom"/>
            <w:tcBorders>
              <w:top w:val="single" w:sz="8" w:color="D1EDF5"/>
            </w:tcBorders>
          </w:tcPr>
          <w:p>
            <w:pPr>
              <w:spacing w:after="0"/>
              <w:rPr>
                <w:sz w:val="17"/>
                <w:szCs w:val="17"/>
                <w:color w:val="auto"/>
              </w:rPr>
            </w:pPr>
          </w:p>
        </w:tc>
        <w:tc>
          <w:tcPr>
            <w:tcW w:w="1040" w:type="dxa"/>
            <w:vAlign w:val="bottom"/>
            <w:tcBorders>
              <w:top w:val="single" w:sz="8" w:color="D1EDF5"/>
            </w:tcBorders>
          </w:tcPr>
          <w:p>
            <w:pPr>
              <w:spacing w:after="0"/>
              <w:rPr>
                <w:sz w:val="17"/>
                <w:szCs w:val="17"/>
                <w:color w:val="auto"/>
              </w:rPr>
            </w:pPr>
          </w:p>
        </w:tc>
        <w:tc>
          <w:tcPr>
            <w:tcW w:w="100" w:type="dxa"/>
            <w:vAlign w:val="bottom"/>
            <w:tcBorders>
              <w:top w:val="single" w:sz="8" w:color="D1EDF5"/>
            </w:tcBorders>
          </w:tcPr>
          <w:p>
            <w:pPr>
              <w:spacing w:after="0"/>
              <w:rPr>
                <w:sz w:val="17"/>
                <w:szCs w:val="17"/>
                <w:color w:val="auto"/>
              </w:rPr>
            </w:pPr>
          </w:p>
        </w:tc>
        <w:tc>
          <w:tcPr>
            <w:tcW w:w="1160" w:type="dxa"/>
            <w:vAlign w:val="bottom"/>
            <w:tcBorders>
              <w:top w:val="single" w:sz="8" w:color="D1EDF5"/>
            </w:tcBorders>
          </w:tcPr>
          <w:p>
            <w:pPr>
              <w:spacing w:after="0"/>
              <w:rPr>
                <w:sz w:val="17"/>
                <w:szCs w:val="17"/>
                <w:color w:val="auto"/>
              </w:rPr>
            </w:pPr>
          </w:p>
        </w:tc>
        <w:tc>
          <w:tcPr>
            <w:tcW w:w="100" w:type="dxa"/>
            <w:vAlign w:val="bottom"/>
            <w:tcBorders>
              <w:top w:val="single" w:sz="8" w:color="D1EDF5"/>
            </w:tcBorders>
          </w:tcPr>
          <w:p>
            <w:pPr>
              <w:spacing w:after="0"/>
              <w:rPr>
                <w:sz w:val="17"/>
                <w:szCs w:val="17"/>
                <w:color w:val="auto"/>
              </w:rPr>
            </w:pPr>
          </w:p>
        </w:tc>
        <w:tc>
          <w:tcPr>
            <w:tcW w:w="440" w:type="dxa"/>
            <w:vAlign w:val="bottom"/>
            <w:tcBorders>
              <w:top w:val="single" w:sz="8" w:color="D1EDF5"/>
            </w:tcBorders>
          </w:tcPr>
          <w:p>
            <w:pPr>
              <w:spacing w:after="0"/>
              <w:rPr>
                <w:sz w:val="17"/>
                <w:szCs w:val="17"/>
                <w:color w:val="auto"/>
              </w:rPr>
            </w:pPr>
          </w:p>
        </w:tc>
        <w:tc>
          <w:tcPr>
            <w:tcW w:w="740" w:type="dxa"/>
            <w:vAlign w:val="bottom"/>
            <w:tcBorders>
              <w:top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Income from continuing operations</w:t>
            </w:r>
          </w:p>
        </w:tc>
        <w:tc>
          <w:tcPr>
            <w:tcW w:w="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1,238</w:t>
            </w:r>
          </w:p>
        </w:tc>
        <w:tc>
          <w:tcPr>
            <w:tcW w:w="100" w:type="dxa"/>
            <w:vAlign w:val="bottom"/>
            <w:shd w:val="clear" w:color="auto" w:fill="D1EDF5"/>
          </w:tcPr>
          <w:p>
            <w:pPr>
              <w:spacing w:after="0"/>
              <w:rPr>
                <w:sz w:val="17"/>
                <w:szCs w:val="17"/>
                <w:color w:val="auto"/>
              </w:rPr>
            </w:pPr>
          </w:p>
        </w:tc>
        <w:tc>
          <w:tcPr>
            <w:tcW w:w="11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4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40" w:type="dxa"/>
            <w:vAlign w:val="bottom"/>
            <w:tcBorders>
              <w:bottom w:val="single" w:sz="8" w:color="D1EDF5"/>
            </w:tcBorders>
            <w:gridSpan w:val="2"/>
          </w:tcPr>
          <w:p>
            <w:pPr>
              <w:ind w:left="220"/>
              <w:spacing w:after="0"/>
              <w:rPr>
                <w:sz w:val="20"/>
                <w:szCs w:val="20"/>
                <w:color w:val="auto"/>
              </w:rPr>
            </w:pPr>
            <w:r>
              <w:rPr>
                <w:rFonts w:ascii="Times New Roman" w:cs="Times New Roman" w:eastAsia="Times New Roman" w:hAnsi="Times New Roman"/>
                <w:sz w:val="15"/>
                <w:szCs w:val="15"/>
                <w:color w:val="auto"/>
              </w:rPr>
              <w:t>Less: preferred stock dividends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(3,574)</w:t>
            </w:r>
          </w:p>
        </w:tc>
        <w:tc>
          <w:tcPr>
            <w:tcW w:w="100" w:type="dxa"/>
            <w:vAlign w:val="bottom"/>
            <w:tcBorders>
              <w:bottom w:val="single" w:sz="8" w:color="D1EDF5"/>
            </w:tcBorders>
          </w:tcPr>
          <w:p>
            <w:pPr>
              <w:spacing w:after="0"/>
              <w:rPr>
                <w:sz w:val="17"/>
                <w:szCs w:val="17"/>
                <w:color w:val="auto"/>
              </w:rPr>
            </w:pPr>
          </w:p>
        </w:tc>
        <w:tc>
          <w:tcPr>
            <w:tcW w:w="116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440" w:type="dxa"/>
            <w:vAlign w:val="bottom"/>
            <w:tcBorders>
              <w:bottom w:val="single" w:sz="8" w:color="D1EDF5"/>
            </w:tcBorders>
          </w:tcPr>
          <w:p>
            <w:pPr>
              <w:spacing w:after="0"/>
              <w:rPr>
                <w:sz w:val="17"/>
                <w:szCs w:val="17"/>
                <w:color w:val="auto"/>
              </w:rPr>
            </w:pPr>
          </w:p>
        </w:tc>
        <w:tc>
          <w:tcPr>
            <w:tcW w:w="740" w:type="dxa"/>
            <w:vAlign w:val="bottom"/>
            <w:tcBorders>
              <w:bottom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40" w:type="dxa"/>
            <w:vAlign w:val="bottom"/>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 attributable to common stockholders</w:t>
            </w:r>
          </w:p>
        </w:tc>
        <w:tc>
          <w:tcPr>
            <w:tcW w:w="140" w:type="dxa"/>
            <w:vAlign w:val="bottom"/>
            <w:shd w:val="clear" w:color="auto" w:fill="D1EDF5"/>
          </w:tcPr>
          <w:p>
            <w:pPr>
              <w:spacing w:after="0"/>
              <w:rPr>
                <w:sz w:val="17"/>
                <w:szCs w:val="17"/>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12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15,129,030</w:t>
            </w:r>
          </w:p>
        </w:tc>
        <w:tc>
          <w:tcPr>
            <w:tcW w:w="100" w:type="dxa"/>
            <w:vAlign w:val="bottom"/>
            <w:shd w:val="clear" w:color="auto" w:fill="D1EDF5"/>
          </w:tcPr>
          <w:p>
            <w:pPr>
              <w:spacing w:after="0"/>
              <w:rPr>
                <w:sz w:val="17"/>
                <w:szCs w:val="17"/>
                <w:color w:val="auto"/>
              </w:rPr>
            </w:pPr>
          </w:p>
        </w:tc>
        <w:tc>
          <w:tcPr>
            <w:tcW w:w="440" w:type="dxa"/>
            <w:vAlign w:val="bottom"/>
            <w:shd w:val="clear" w:color="auto" w:fill="D1EDF5"/>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center"/>
              <w:ind w:left="244"/>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01"/>
        </w:trPr>
        <w:tc>
          <w:tcPr>
            <w:tcW w:w="6840" w:type="dxa"/>
            <w:vAlign w:val="bottom"/>
            <w:tcBorders>
              <w:bottom w:val="single" w:sz="8" w:color="D1EDF5"/>
            </w:tcBorders>
            <w:gridSpan w:val="2"/>
          </w:tcPr>
          <w:p>
            <w:pPr>
              <w:ind w:left="220"/>
              <w:spacing w:after="0"/>
              <w:rPr>
                <w:sz w:val="20"/>
                <w:szCs w:val="20"/>
                <w:color w:val="auto"/>
              </w:rPr>
            </w:pPr>
            <w:r>
              <w:rPr>
                <w:rFonts w:ascii="Times New Roman" w:cs="Times New Roman" w:eastAsia="Times New Roman" w:hAnsi="Times New Roman"/>
                <w:sz w:val="15"/>
                <w:szCs w:val="15"/>
                <w:color w:val="auto"/>
              </w:rPr>
              <w:t>Loss from discontinued operations, net of tax</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260" w:type="dxa"/>
            <w:vAlign w:val="bottom"/>
            <w:tcBorders>
              <w:bottom w:val="single" w:sz="8" w:color="D1EDF5"/>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15,129,030</w:t>
            </w:r>
          </w:p>
        </w:tc>
        <w:tc>
          <w:tcPr>
            <w:tcW w:w="100" w:type="dxa"/>
            <w:vAlign w:val="bottom"/>
            <w:tcBorders>
              <w:bottom w:val="single" w:sz="8" w:color="D1EDF5"/>
            </w:tcBorders>
          </w:tcPr>
          <w:p>
            <w:pPr>
              <w:spacing w:after="0"/>
              <w:rPr>
                <w:sz w:val="17"/>
                <w:szCs w:val="17"/>
                <w:color w:val="auto"/>
              </w:rPr>
            </w:pPr>
          </w:p>
        </w:tc>
        <w:tc>
          <w:tcPr>
            <w:tcW w:w="440" w:type="dxa"/>
            <w:vAlign w:val="bottom"/>
            <w:tcBorders>
              <w:bottom w:val="single" w:sz="8" w:color="D1EDF5"/>
            </w:tcBorders>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D1EDF5"/>
            </w:tcBorders>
          </w:tcPr>
          <w:p>
            <w:pPr>
              <w:jc w:val="center"/>
              <w:ind w:left="244"/>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D1EDF5"/>
            </w:tcBorders>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Loss attributable to common stockholders</w:t>
            </w:r>
          </w:p>
        </w:tc>
        <w:tc>
          <w:tcPr>
            <w:tcW w:w="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(2,736)</w:t>
            </w:r>
          </w:p>
        </w:tc>
        <w:tc>
          <w:tcPr>
            <w:tcW w:w="1260" w:type="dxa"/>
            <w:vAlign w:val="bottom"/>
            <w:tcBorders>
              <w:bottom w:val="single" w:sz="8" w:color="D1EDF5"/>
            </w:tcBorders>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15,129,030</w:t>
            </w:r>
          </w:p>
        </w:tc>
        <w:tc>
          <w:tcPr>
            <w:tcW w:w="100" w:type="dxa"/>
            <w:vAlign w:val="bottom"/>
            <w:tcBorders>
              <w:bottom w:val="single" w:sz="8" w:color="D1EDF5"/>
            </w:tcBorders>
            <w:shd w:val="clear" w:color="auto" w:fill="D1EDF5"/>
          </w:tcPr>
          <w:p>
            <w:pPr>
              <w:spacing w:after="0"/>
              <w:rPr>
                <w:sz w:val="18"/>
                <w:szCs w:val="18"/>
                <w:color w:val="auto"/>
              </w:rPr>
            </w:pPr>
          </w:p>
        </w:tc>
        <w:tc>
          <w:tcPr>
            <w:tcW w:w="440" w:type="dxa"/>
            <w:vAlign w:val="bottom"/>
            <w:tcBorders>
              <w:bottom w:val="single" w:sz="8" w:color="D1EDF5"/>
            </w:tcBorders>
            <w:shd w:val="clear" w:color="auto" w:fill="D1EDF5"/>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D1EDF5"/>
            </w:tcBorders>
            <w:shd w:val="clear" w:color="auto" w:fill="D1EDF5"/>
          </w:tcPr>
          <w:p>
            <w:pPr>
              <w:jc w:val="center"/>
              <w:ind w:left="244"/>
              <w:spacing w:after="0"/>
              <w:rPr>
                <w:sz w:val="20"/>
                <w:szCs w:val="20"/>
                <w:color w:val="auto"/>
              </w:rPr>
            </w:pPr>
            <w:r>
              <w:rPr>
                <w:rFonts w:ascii="Times New Roman" w:cs="Times New Roman" w:eastAsia="Times New Roman" w:hAnsi="Times New Roman"/>
                <w:sz w:val="15"/>
                <w:szCs w:val="15"/>
                <w:color w:val="auto"/>
              </w:rPr>
              <w:t>(0.18)</w:t>
            </w:r>
          </w:p>
        </w:tc>
        <w:tc>
          <w:tcPr>
            <w:tcW w:w="0" w:type="dxa"/>
            <w:vAlign w:val="bottom"/>
          </w:tcPr>
          <w:p>
            <w:pPr>
              <w:spacing w:after="0"/>
              <w:rPr>
                <w:sz w:val="1"/>
                <w:szCs w:val="1"/>
                <w:color w:val="auto"/>
              </w:rPr>
            </w:pPr>
          </w:p>
        </w:tc>
      </w:tr>
      <w:tr>
        <w:trPr>
          <w:trHeight w:val="20"/>
        </w:trPr>
        <w:tc>
          <w:tcPr>
            <w:tcW w:w="2040" w:type="dxa"/>
            <w:vAlign w:val="bottom"/>
            <w:tcBorders>
              <w:top w:val="single" w:sz="8" w:color="D1EDF5"/>
            </w:tcBorders>
          </w:tcPr>
          <w:p>
            <w:pPr>
              <w:spacing w:after="0" w:line="20" w:lineRule="exact"/>
              <w:rPr>
                <w:sz w:val="1"/>
                <w:szCs w:val="1"/>
                <w:color w:val="auto"/>
              </w:rPr>
            </w:pPr>
          </w:p>
        </w:tc>
        <w:tc>
          <w:tcPr>
            <w:tcW w:w="48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16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440" w:type="dxa"/>
            <w:vAlign w:val="bottom"/>
            <w:tcBorders>
              <w:top w:val="single" w:sz="8" w:color="D1EDF5"/>
            </w:tcBorders>
          </w:tcPr>
          <w:p>
            <w:pPr>
              <w:spacing w:after="0" w:line="20" w:lineRule="exact"/>
              <w:rPr>
                <w:sz w:val="1"/>
                <w:szCs w:val="1"/>
                <w:color w:val="auto"/>
              </w:rPr>
            </w:pPr>
          </w:p>
        </w:tc>
        <w:tc>
          <w:tcPr>
            <w:tcW w:w="74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40" w:type="dxa"/>
            <w:vAlign w:val="bottom"/>
            <w:gridSpan w:val="2"/>
            <w:shd w:val="clear" w:color="auto" w:fill="D1EDF5"/>
          </w:tcPr>
          <w:p>
            <w:pPr>
              <w:spacing w:after="0" w:line="165" w:lineRule="exact"/>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40" w:type="dxa"/>
            <w:vAlign w:val="bottom"/>
            <w:shd w:val="clear" w:color="auto" w:fill="D1EDF5"/>
          </w:tcPr>
          <w:p>
            <w:pPr>
              <w:spacing w:after="0"/>
              <w:rPr>
                <w:sz w:val="15"/>
                <w:szCs w:val="15"/>
                <w:color w:val="auto"/>
              </w:rPr>
            </w:pPr>
          </w:p>
        </w:tc>
        <w:tc>
          <w:tcPr>
            <w:tcW w:w="104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1160" w:type="dxa"/>
            <w:vAlign w:val="bottom"/>
            <w:shd w:val="clear" w:color="auto" w:fill="D1EDF5"/>
          </w:tcPr>
          <w:p>
            <w:pPr>
              <w:spacing w:after="0"/>
              <w:rPr>
                <w:sz w:val="15"/>
                <w:szCs w:val="15"/>
                <w:color w:val="auto"/>
              </w:rPr>
            </w:pPr>
          </w:p>
        </w:tc>
        <w:tc>
          <w:tcPr>
            <w:tcW w:w="100" w:type="dxa"/>
            <w:vAlign w:val="bottom"/>
            <w:shd w:val="clear" w:color="auto" w:fill="D1EDF5"/>
          </w:tcPr>
          <w:p>
            <w:pPr>
              <w:spacing w:after="0"/>
              <w:rPr>
                <w:sz w:val="15"/>
                <w:szCs w:val="15"/>
                <w:color w:val="auto"/>
              </w:rPr>
            </w:pPr>
          </w:p>
        </w:tc>
        <w:tc>
          <w:tcPr>
            <w:tcW w:w="440" w:type="dxa"/>
            <w:vAlign w:val="bottom"/>
            <w:shd w:val="clear" w:color="auto" w:fill="D1EDF5"/>
          </w:tcPr>
          <w:p>
            <w:pPr>
              <w:spacing w:after="0"/>
              <w:rPr>
                <w:sz w:val="15"/>
                <w:szCs w:val="15"/>
                <w:color w:val="auto"/>
              </w:rPr>
            </w:pPr>
          </w:p>
        </w:tc>
        <w:tc>
          <w:tcPr>
            <w:tcW w:w="740" w:type="dxa"/>
            <w:vAlign w:val="bottom"/>
            <w:shd w:val="clear" w:color="auto" w:fill="D1ED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Basic and Diluted EPS</w:t>
            </w:r>
          </w:p>
        </w:tc>
        <w:tc>
          <w:tcPr>
            <w:tcW w:w="4800" w:type="dxa"/>
            <w:vAlign w:val="bottom"/>
            <w:tcBorders>
              <w:top w:val="single" w:sz="8" w:color="D1EDF5"/>
            </w:tcBorders>
          </w:tcPr>
          <w:p>
            <w:pPr>
              <w:spacing w:after="0"/>
              <w:rPr>
                <w:sz w:val="17"/>
                <w:szCs w:val="17"/>
                <w:color w:val="auto"/>
              </w:rPr>
            </w:pPr>
          </w:p>
        </w:tc>
        <w:tc>
          <w:tcPr>
            <w:tcW w:w="140" w:type="dxa"/>
            <w:vAlign w:val="bottom"/>
            <w:tcBorders>
              <w:top w:val="single" w:sz="8" w:color="D1EDF5"/>
            </w:tcBorders>
          </w:tcPr>
          <w:p>
            <w:pPr>
              <w:spacing w:after="0"/>
              <w:rPr>
                <w:sz w:val="17"/>
                <w:szCs w:val="17"/>
                <w:color w:val="auto"/>
              </w:rPr>
            </w:pPr>
          </w:p>
        </w:tc>
        <w:tc>
          <w:tcPr>
            <w:tcW w:w="1040" w:type="dxa"/>
            <w:vAlign w:val="bottom"/>
            <w:tcBorders>
              <w:top w:val="single" w:sz="8" w:color="D1EDF5"/>
            </w:tcBorders>
          </w:tcPr>
          <w:p>
            <w:pPr>
              <w:spacing w:after="0"/>
              <w:rPr>
                <w:sz w:val="17"/>
                <w:szCs w:val="17"/>
                <w:color w:val="auto"/>
              </w:rPr>
            </w:pPr>
          </w:p>
        </w:tc>
        <w:tc>
          <w:tcPr>
            <w:tcW w:w="100" w:type="dxa"/>
            <w:vAlign w:val="bottom"/>
            <w:tcBorders>
              <w:top w:val="single" w:sz="8" w:color="D1EDF5"/>
            </w:tcBorders>
          </w:tcPr>
          <w:p>
            <w:pPr>
              <w:spacing w:after="0"/>
              <w:rPr>
                <w:sz w:val="17"/>
                <w:szCs w:val="17"/>
                <w:color w:val="auto"/>
              </w:rPr>
            </w:pPr>
          </w:p>
        </w:tc>
        <w:tc>
          <w:tcPr>
            <w:tcW w:w="1160" w:type="dxa"/>
            <w:vAlign w:val="bottom"/>
            <w:tcBorders>
              <w:top w:val="single" w:sz="8" w:color="D1EDF5"/>
            </w:tcBorders>
          </w:tcPr>
          <w:p>
            <w:pPr>
              <w:spacing w:after="0"/>
              <w:rPr>
                <w:sz w:val="17"/>
                <w:szCs w:val="17"/>
                <w:color w:val="auto"/>
              </w:rPr>
            </w:pPr>
          </w:p>
        </w:tc>
        <w:tc>
          <w:tcPr>
            <w:tcW w:w="100" w:type="dxa"/>
            <w:vAlign w:val="bottom"/>
            <w:tcBorders>
              <w:top w:val="single" w:sz="8" w:color="D1EDF5"/>
            </w:tcBorders>
          </w:tcPr>
          <w:p>
            <w:pPr>
              <w:spacing w:after="0"/>
              <w:rPr>
                <w:sz w:val="17"/>
                <w:szCs w:val="17"/>
                <w:color w:val="auto"/>
              </w:rPr>
            </w:pPr>
          </w:p>
        </w:tc>
        <w:tc>
          <w:tcPr>
            <w:tcW w:w="440" w:type="dxa"/>
            <w:vAlign w:val="bottom"/>
            <w:tcBorders>
              <w:top w:val="single" w:sz="8" w:color="D1EDF5"/>
            </w:tcBorders>
          </w:tcPr>
          <w:p>
            <w:pPr>
              <w:spacing w:after="0"/>
              <w:rPr>
                <w:sz w:val="17"/>
                <w:szCs w:val="17"/>
                <w:color w:val="auto"/>
              </w:rPr>
            </w:pPr>
          </w:p>
        </w:tc>
        <w:tc>
          <w:tcPr>
            <w:tcW w:w="740" w:type="dxa"/>
            <w:vAlign w:val="bottom"/>
            <w:tcBorders>
              <w:top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(14,369)</w:t>
            </w:r>
          </w:p>
        </w:tc>
        <w:tc>
          <w:tcPr>
            <w:tcW w:w="100" w:type="dxa"/>
            <w:vAlign w:val="bottom"/>
            <w:shd w:val="clear" w:color="auto" w:fill="D1EDF5"/>
          </w:tcPr>
          <w:p>
            <w:pPr>
              <w:spacing w:after="0"/>
              <w:rPr>
                <w:sz w:val="17"/>
                <w:szCs w:val="17"/>
                <w:color w:val="auto"/>
              </w:rPr>
            </w:pPr>
          </w:p>
        </w:tc>
        <w:tc>
          <w:tcPr>
            <w:tcW w:w="1160" w:type="dxa"/>
            <w:vAlign w:val="bottom"/>
            <w:shd w:val="clear" w:color="auto" w:fill="D1EDF5"/>
          </w:tcPr>
          <w:p>
            <w:pPr>
              <w:spacing w:after="0"/>
              <w:rPr>
                <w:sz w:val="17"/>
                <w:szCs w:val="17"/>
                <w:color w:val="auto"/>
              </w:rPr>
            </w:pPr>
          </w:p>
        </w:tc>
        <w:tc>
          <w:tcPr>
            <w:tcW w:w="100" w:type="dxa"/>
            <w:vAlign w:val="bottom"/>
            <w:shd w:val="clear" w:color="auto" w:fill="D1EDF5"/>
          </w:tcPr>
          <w:p>
            <w:pPr>
              <w:spacing w:after="0"/>
              <w:rPr>
                <w:sz w:val="17"/>
                <w:szCs w:val="17"/>
                <w:color w:val="auto"/>
              </w:rPr>
            </w:pPr>
          </w:p>
        </w:tc>
        <w:tc>
          <w:tcPr>
            <w:tcW w:w="440" w:type="dxa"/>
            <w:vAlign w:val="bottom"/>
            <w:shd w:val="clear" w:color="auto" w:fill="D1EDF5"/>
          </w:tcPr>
          <w:p>
            <w:pPr>
              <w:spacing w:after="0"/>
              <w:rPr>
                <w:sz w:val="17"/>
                <w:szCs w:val="17"/>
                <w:color w:val="auto"/>
              </w:rPr>
            </w:pPr>
          </w:p>
        </w:tc>
        <w:tc>
          <w:tcPr>
            <w:tcW w:w="740" w:type="dxa"/>
            <w:vAlign w:val="bottom"/>
            <w:shd w:val="clear" w:color="auto" w:fill="D1EDF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840" w:type="dxa"/>
            <w:vAlign w:val="bottom"/>
            <w:tcBorders>
              <w:bottom w:val="single" w:sz="8" w:color="D1EDF5"/>
            </w:tcBorders>
            <w:gridSpan w:val="2"/>
          </w:tcPr>
          <w:p>
            <w:pPr>
              <w:ind w:left="220"/>
              <w:spacing w:after="0"/>
              <w:rPr>
                <w:sz w:val="20"/>
                <w:szCs w:val="20"/>
                <w:color w:val="auto"/>
              </w:rPr>
            </w:pPr>
            <w:r>
              <w:rPr>
                <w:rFonts w:ascii="Times New Roman" w:cs="Times New Roman" w:eastAsia="Times New Roman" w:hAnsi="Times New Roman"/>
                <w:sz w:val="15"/>
                <w:szCs w:val="15"/>
                <w:color w:val="auto"/>
              </w:rPr>
              <w:t>Less: preferred stock dividends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(3,269)</w:t>
            </w:r>
          </w:p>
        </w:tc>
        <w:tc>
          <w:tcPr>
            <w:tcW w:w="100" w:type="dxa"/>
            <w:vAlign w:val="bottom"/>
            <w:tcBorders>
              <w:bottom w:val="single" w:sz="8" w:color="D1EDF5"/>
            </w:tcBorders>
          </w:tcPr>
          <w:p>
            <w:pPr>
              <w:spacing w:after="0"/>
              <w:rPr>
                <w:sz w:val="17"/>
                <w:szCs w:val="17"/>
                <w:color w:val="auto"/>
              </w:rPr>
            </w:pPr>
          </w:p>
        </w:tc>
        <w:tc>
          <w:tcPr>
            <w:tcW w:w="1160" w:type="dxa"/>
            <w:vAlign w:val="bottom"/>
            <w:tcBorders>
              <w:bottom w:val="single" w:sz="8" w:color="D1EDF5"/>
            </w:tcBorders>
          </w:tcPr>
          <w:p>
            <w:pPr>
              <w:spacing w:after="0"/>
              <w:rPr>
                <w:sz w:val="17"/>
                <w:szCs w:val="17"/>
                <w:color w:val="auto"/>
              </w:rPr>
            </w:pPr>
          </w:p>
        </w:tc>
        <w:tc>
          <w:tcPr>
            <w:tcW w:w="100" w:type="dxa"/>
            <w:vAlign w:val="bottom"/>
            <w:tcBorders>
              <w:bottom w:val="single" w:sz="8" w:color="D1EDF5"/>
            </w:tcBorders>
          </w:tcPr>
          <w:p>
            <w:pPr>
              <w:spacing w:after="0"/>
              <w:rPr>
                <w:sz w:val="17"/>
                <w:szCs w:val="17"/>
                <w:color w:val="auto"/>
              </w:rPr>
            </w:pPr>
          </w:p>
        </w:tc>
        <w:tc>
          <w:tcPr>
            <w:tcW w:w="440" w:type="dxa"/>
            <w:vAlign w:val="bottom"/>
            <w:tcBorders>
              <w:bottom w:val="single" w:sz="8" w:color="D1EDF5"/>
            </w:tcBorders>
          </w:tcPr>
          <w:p>
            <w:pPr>
              <w:spacing w:after="0"/>
              <w:rPr>
                <w:sz w:val="17"/>
                <w:szCs w:val="17"/>
                <w:color w:val="auto"/>
              </w:rPr>
            </w:pPr>
          </w:p>
        </w:tc>
        <w:tc>
          <w:tcPr>
            <w:tcW w:w="740" w:type="dxa"/>
            <w:vAlign w:val="bottom"/>
            <w:tcBorders>
              <w:bottom w:val="single" w:sz="8" w:color="D1EDF5"/>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40" w:type="dxa"/>
            <w:vAlign w:val="bottom"/>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Loss from continuing operations attributable to common stockholders</w:t>
            </w:r>
          </w:p>
        </w:tc>
        <w:tc>
          <w:tcPr>
            <w:tcW w:w="140" w:type="dxa"/>
            <w:vAlign w:val="bottom"/>
            <w:shd w:val="clear" w:color="auto" w:fill="D1EDF5"/>
          </w:tcPr>
          <w:p>
            <w:pPr>
              <w:spacing w:after="0"/>
              <w:rPr>
                <w:sz w:val="17"/>
                <w:szCs w:val="17"/>
                <w:color w:val="auto"/>
              </w:rPr>
            </w:pPr>
          </w:p>
        </w:tc>
        <w:tc>
          <w:tcPr>
            <w:tcW w:w="10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(17,638)</w:t>
            </w:r>
          </w:p>
        </w:tc>
        <w:tc>
          <w:tcPr>
            <w:tcW w:w="1260" w:type="dxa"/>
            <w:vAlign w:val="bottom"/>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12,535,756</w:t>
            </w:r>
          </w:p>
        </w:tc>
        <w:tc>
          <w:tcPr>
            <w:tcW w:w="100" w:type="dxa"/>
            <w:vAlign w:val="bottom"/>
            <w:shd w:val="clear" w:color="auto" w:fill="D1EDF5"/>
          </w:tcPr>
          <w:p>
            <w:pPr>
              <w:spacing w:after="0"/>
              <w:rPr>
                <w:sz w:val="17"/>
                <w:szCs w:val="17"/>
                <w:color w:val="auto"/>
              </w:rPr>
            </w:pPr>
          </w:p>
        </w:tc>
        <w:tc>
          <w:tcPr>
            <w:tcW w:w="440" w:type="dxa"/>
            <w:vAlign w:val="bottom"/>
            <w:shd w:val="clear" w:color="auto" w:fill="D1EDF5"/>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D1EDF5"/>
          </w:tcPr>
          <w:p>
            <w:pPr>
              <w:jc w:val="center"/>
              <w:ind w:left="244"/>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r>
        <w:trPr>
          <w:trHeight w:val="201"/>
        </w:trPr>
        <w:tc>
          <w:tcPr>
            <w:tcW w:w="6840" w:type="dxa"/>
            <w:vAlign w:val="bottom"/>
            <w:tcBorders>
              <w:bottom w:val="single" w:sz="8" w:color="D1EDF5"/>
            </w:tcBorders>
            <w:gridSpan w:val="2"/>
          </w:tcPr>
          <w:p>
            <w:pPr>
              <w:ind w:left="220"/>
              <w:spacing w:after="0"/>
              <w:rPr>
                <w:sz w:val="20"/>
                <w:szCs w:val="20"/>
                <w:color w:val="auto"/>
              </w:rPr>
            </w:pPr>
            <w:r>
              <w:rPr>
                <w:rFonts w:ascii="Times New Roman" w:cs="Times New Roman" w:eastAsia="Times New Roman" w:hAnsi="Times New Roman"/>
                <w:sz w:val="15"/>
                <w:szCs w:val="15"/>
                <w:color w:val="auto"/>
              </w:rPr>
              <w:t>Income from discontinued operations, net of tax</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18,941</w:t>
            </w:r>
          </w:p>
        </w:tc>
        <w:tc>
          <w:tcPr>
            <w:tcW w:w="1260" w:type="dxa"/>
            <w:vAlign w:val="bottom"/>
            <w:tcBorders>
              <w:bottom w:val="single" w:sz="8" w:color="D1EDF5"/>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12,535,756</w:t>
            </w:r>
          </w:p>
        </w:tc>
        <w:tc>
          <w:tcPr>
            <w:tcW w:w="100" w:type="dxa"/>
            <w:vAlign w:val="bottom"/>
            <w:tcBorders>
              <w:bottom w:val="single" w:sz="8" w:color="D1EDF5"/>
            </w:tcBorders>
          </w:tcPr>
          <w:p>
            <w:pPr>
              <w:spacing w:after="0"/>
              <w:rPr>
                <w:sz w:val="17"/>
                <w:szCs w:val="17"/>
                <w:color w:val="auto"/>
              </w:rPr>
            </w:pPr>
          </w:p>
        </w:tc>
        <w:tc>
          <w:tcPr>
            <w:tcW w:w="440" w:type="dxa"/>
            <w:vAlign w:val="bottom"/>
            <w:tcBorders>
              <w:bottom w:val="single" w:sz="8" w:color="D1EDF5"/>
            </w:tcBorders>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D1EDF5"/>
            </w:tcBorders>
          </w:tcPr>
          <w:p>
            <w:pPr>
              <w:jc w:val="center"/>
              <w:ind w:left="264"/>
              <w:spacing w:after="0"/>
              <w:rPr>
                <w:sz w:val="20"/>
                <w:szCs w:val="20"/>
                <w:color w:val="auto"/>
              </w:rPr>
            </w:pPr>
            <w:r>
              <w:rPr>
                <w:rFonts w:ascii="Times New Roman" w:cs="Times New Roman" w:eastAsia="Times New Roman" w:hAnsi="Times New Roman"/>
                <w:sz w:val="15"/>
                <w:szCs w:val="15"/>
                <w:color w:val="auto"/>
              </w:rPr>
              <w:t>1.51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D1EDF5"/>
            </w:tcBorders>
            <w:gridSpan w:val="2"/>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Income attributable to common stockholders</w:t>
            </w:r>
          </w:p>
        </w:tc>
        <w:tc>
          <w:tcPr>
            <w:tcW w:w="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1260" w:type="dxa"/>
            <w:vAlign w:val="bottom"/>
            <w:tcBorders>
              <w:bottom w:val="single" w:sz="8" w:color="D1EDF5"/>
            </w:tcBorders>
            <w:gridSpan w:val="2"/>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12,535,756</w:t>
            </w:r>
          </w:p>
        </w:tc>
        <w:tc>
          <w:tcPr>
            <w:tcW w:w="100" w:type="dxa"/>
            <w:vAlign w:val="bottom"/>
            <w:tcBorders>
              <w:bottom w:val="single" w:sz="8" w:color="D1EDF5"/>
            </w:tcBorders>
            <w:shd w:val="clear" w:color="auto" w:fill="D1EDF5"/>
          </w:tcPr>
          <w:p>
            <w:pPr>
              <w:spacing w:after="0"/>
              <w:rPr>
                <w:sz w:val="18"/>
                <w:szCs w:val="18"/>
                <w:color w:val="auto"/>
              </w:rPr>
            </w:pPr>
          </w:p>
        </w:tc>
        <w:tc>
          <w:tcPr>
            <w:tcW w:w="440" w:type="dxa"/>
            <w:vAlign w:val="bottom"/>
            <w:tcBorders>
              <w:bottom w:val="single" w:sz="8" w:color="D1EDF5"/>
            </w:tcBorders>
            <w:shd w:val="clear" w:color="auto" w:fill="D1EDF5"/>
          </w:tcPr>
          <w:p>
            <w:pPr>
              <w:jc w:val="right"/>
              <w:ind w:right="26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D1EDF5"/>
            </w:tcBorders>
            <w:shd w:val="clear" w:color="auto" w:fill="D1EDF5"/>
          </w:tcPr>
          <w:p>
            <w:pPr>
              <w:jc w:val="center"/>
              <w:ind w:left="264"/>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20"/>
        </w:trPr>
        <w:tc>
          <w:tcPr>
            <w:tcW w:w="2040" w:type="dxa"/>
            <w:vAlign w:val="bottom"/>
            <w:tcBorders>
              <w:top w:val="single" w:sz="8" w:color="D1EDF5"/>
            </w:tcBorders>
          </w:tcPr>
          <w:p>
            <w:pPr>
              <w:spacing w:after="0" w:line="20" w:lineRule="exact"/>
              <w:rPr>
                <w:sz w:val="1"/>
                <w:szCs w:val="1"/>
                <w:color w:val="auto"/>
              </w:rPr>
            </w:pPr>
          </w:p>
        </w:tc>
        <w:tc>
          <w:tcPr>
            <w:tcW w:w="4800" w:type="dxa"/>
            <w:vAlign w:val="bottom"/>
            <w:tcBorders>
              <w:top w:val="single" w:sz="8" w:color="D1EDF5"/>
            </w:tcBorders>
          </w:tcPr>
          <w:p>
            <w:pPr>
              <w:spacing w:after="0" w:line="20" w:lineRule="exact"/>
              <w:rPr>
                <w:sz w:val="1"/>
                <w:szCs w:val="1"/>
                <w:color w:val="auto"/>
              </w:rPr>
            </w:pPr>
          </w:p>
        </w:tc>
        <w:tc>
          <w:tcPr>
            <w:tcW w:w="140" w:type="dxa"/>
            <w:vAlign w:val="bottom"/>
            <w:tcBorders>
              <w:top w:val="single" w:sz="8" w:color="D1EDF5"/>
              <w:bottom w:val="single" w:sz="8" w:color="auto"/>
            </w:tcBorders>
          </w:tcPr>
          <w:p>
            <w:pPr>
              <w:spacing w:after="0" w:line="20" w:lineRule="exact"/>
              <w:rPr>
                <w:sz w:val="1"/>
                <w:szCs w:val="1"/>
                <w:color w:val="auto"/>
              </w:rPr>
            </w:pPr>
          </w:p>
        </w:tc>
        <w:tc>
          <w:tcPr>
            <w:tcW w:w="104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160" w:type="dxa"/>
            <w:vAlign w:val="bottom"/>
            <w:tcBorders>
              <w:top w:val="single" w:sz="8" w:color="D1EDF5"/>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440" w:type="dxa"/>
            <w:vAlign w:val="bottom"/>
            <w:tcBorders>
              <w:top w:val="single" w:sz="8" w:color="D1EDF5"/>
            </w:tcBorders>
          </w:tcPr>
          <w:p>
            <w:pPr>
              <w:spacing w:after="0" w:line="20" w:lineRule="exact"/>
              <w:rPr>
                <w:sz w:val="1"/>
                <w:szCs w:val="1"/>
                <w:color w:val="auto"/>
              </w:rPr>
            </w:pPr>
          </w:p>
        </w:tc>
        <w:tc>
          <w:tcPr>
            <w:tcW w:w="740" w:type="dxa"/>
            <w:vAlign w:val="bottom"/>
            <w:tcBorders>
              <w:top w:val="single" w:sz="8" w:color="D1ED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148" w:lineRule="exact"/>
        <w:rPr>
          <w:sz w:val="20"/>
          <w:szCs w:val="20"/>
          <w:color w:val="auto"/>
        </w:rPr>
      </w:pPr>
    </w:p>
    <w:p>
      <w:pPr>
        <w:ind w:right="260" w:firstLine="381"/>
        <w:spacing w:after="0" w:line="278" w:lineRule="auto"/>
        <w:rPr>
          <w:sz w:val="20"/>
          <w:szCs w:val="20"/>
          <w:color w:val="auto"/>
        </w:rPr>
      </w:pPr>
      <w:r>
        <w:rPr>
          <w:rFonts w:ascii="Times New Roman" w:cs="Times New Roman" w:eastAsia="Times New Roman" w:hAnsi="Times New Roman"/>
          <w:sz w:val="17"/>
          <w:szCs w:val="17"/>
          <w:color w:val="auto"/>
        </w:rPr>
        <w:t>The following is a summary of outstanding potential shares of common stock that have been excluded from the computation of diluted net loss per share attributable to common stockholders because their inclusion would have been anti-dilutive (in thousands):</w:t>
      </w:r>
    </w:p>
    <w:p>
      <w:pPr>
        <w:spacing w:after="0" w:line="12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Borders>
              <w:bottom w:val="single" w:sz="8" w:color="D1EDF5"/>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1EDF5"/>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9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2025 Convertible Notes</w:t>
            </w:r>
          </w:p>
        </w:tc>
        <w:tc>
          <w:tcPr>
            <w:tcW w:w="52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1"/>
        </w:trPr>
        <w:tc>
          <w:tcPr>
            <w:tcW w:w="8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3,018</w:t>
            </w:r>
          </w:p>
        </w:tc>
      </w:tr>
      <w:tr>
        <w:trPr>
          <w:trHeight w:val="206"/>
        </w:trPr>
        <w:tc>
          <w:tcPr>
            <w:tcW w:w="890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Non-qualified stock options</w:t>
            </w:r>
          </w:p>
        </w:tc>
        <w:tc>
          <w:tcPr>
            <w:tcW w:w="42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1,517</w:t>
            </w:r>
          </w:p>
        </w:tc>
        <w:tc>
          <w:tcPr>
            <w:tcW w:w="100" w:type="dxa"/>
            <w:vAlign w:val="bottom"/>
            <w:shd w:val="clear" w:color="auto" w:fill="D1EDF5"/>
          </w:tcPr>
          <w:p>
            <w:pPr>
              <w:spacing w:after="0"/>
              <w:rPr>
                <w:sz w:val="17"/>
                <w:szCs w:val="17"/>
                <w:color w:val="auto"/>
              </w:rPr>
            </w:pPr>
          </w:p>
        </w:tc>
        <w:tc>
          <w:tcPr>
            <w:tcW w:w="114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270</w:t>
            </w:r>
          </w:p>
        </w:tc>
      </w:tr>
      <w:tr>
        <w:trPr>
          <w:trHeight w:val="201"/>
        </w:trPr>
        <w:tc>
          <w:tcPr>
            <w:tcW w:w="8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stock units</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w:t>
            </w:r>
          </w:p>
        </w:tc>
      </w:tr>
      <w:tr>
        <w:trPr>
          <w:trHeight w:val="203"/>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700" w:type="dxa"/>
            <w:vAlign w:val="bottom"/>
            <w:tcBorders>
              <w:bottom w:val="single" w:sz="8" w:color="auto"/>
            </w:tcBorders>
            <w:shd w:val="clear" w:color="auto" w:fill="D1EDF5"/>
          </w:tcPr>
          <w:p>
            <w:pPr>
              <w:spacing w:after="0"/>
              <w:rPr>
                <w:sz w:val="17"/>
                <w:szCs w:val="17"/>
                <w:color w:val="auto"/>
              </w:rPr>
            </w:pPr>
          </w:p>
        </w:tc>
        <w:tc>
          <w:tcPr>
            <w:tcW w:w="42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D1EDF5"/>
          </w:tcPr>
          <w:p>
            <w:pPr>
              <w:spacing w:after="0"/>
              <w:rPr>
                <w:sz w:val="17"/>
                <w:szCs w:val="17"/>
                <w:color w:val="auto"/>
              </w:rPr>
            </w:pPr>
          </w:p>
        </w:tc>
        <w:tc>
          <w:tcPr>
            <w:tcW w:w="114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98"/>
        </w:trPr>
        <w:tc>
          <w:tcPr>
            <w:tcW w:w="8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4,548</w:t>
            </w:r>
          </w:p>
        </w:tc>
      </w:tr>
      <w:tr>
        <w:trPr>
          <w:trHeight w:val="20"/>
        </w:trPr>
        <w:tc>
          <w:tcPr>
            <w:tcW w:w="8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Noncancellable Purchase Obligations</w:t>
      </w:r>
    </w:p>
    <w:p>
      <w:pPr>
        <w:spacing w:after="0" w:line="151" w:lineRule="exact"/>
        <w:rPr>
          <w:sz w:val="20"/>
          <w:szCs w:val="20"/>
          <w:color w:val="auto"/>
        </w:rPr>
      </w:pPr>
    </w:p>
    <w:p>
      <w:pPr>
        <w:jc w:val="both"/>
        <w:ind w:right="100" w:firstLine="381"/>
        <w:spacing w:after="0" w:line="256" w:lineRule="auto"/>
        <w:rPr>
          <w:sz w:val="20"/>
          <w:szCs w:val="20"/>
          <w:color w:val="auto"/>
        </w:rPr>
      </w:pPr>
      <w:r>
        <w:rPr>
          <w:rFonts w:ascii="Times New Roman" w:cs="Times New Roman" w:eastAsia="Times New Roman" w:hAnsi="Times New Roman"/>
          <w:sz w:val="17"/>
          <w:szCs w:val="17"/>
          <w:color w:val="auto"/>
        </w:rPr>
        <w:t>The Company typically enters into commitments with its contract manufacturers and other vendors that require future purchases of goods or services in the upcoming three to four quarters following the balance sheet date. Such commitments are noncancellable (“noncancellable purchase obligations). As of December 31, 2025, future payments under these noncancellable purchase obligations were approximately $101.2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w:t>
      </w:r>
    </w:p>
    <w:p>
      <w:pPr>
        <w:spacing w:after="0" w:line="164" w:lineRule="exact"/>
        <w:rPr>
          <w:sz w:val="20"/>
          <w:szCs w:val="20"/>
          <w:color w:val="auto"/>
        </w:rPr>
      </w:pPr>
    </w:p>
    <w:p>
      <w:pPr>
        <w:ind w:right="120" w:firstLine="381"/>
        <w:spacing w:after="0" w:line="262" w:lineRule="auto"/>
        <w:rPr>
          <w:sz w:val="20"/>
          <w:szCs w:val="20"/>
          <w:color w:val="auto"/>
        </w:rPr>
      </w:pPr>
      <w:r>
        <w:rPr>
          <w:rFonts w:ascii="Times New Roman" w:cs="Times New Roman" w:eastAsia="Times New Roman" w:hAnsi="Times New Roman"/>
          <w:sz w:val="17"/>
          <w:szCs w:val="17"/>
          <w:color w:val="auto"/>
        </w:rPr>
        <w:t>The Company is, from time to time, party to various legal proceedings arising in the ordinary course of business. The Company is regularly required to directly or indirectly participate in other U.S. patent infringement actions pursuant to its</w:t>
      </w:r>
    </w:p>
    <w:p>
      <w:pPr>
        <w:sectPr>
          <w:pgSz w:w="12240" w:h="15840" w:orient="portrait"/>
          <w:cols w:equalWidth="0" w:num="1">
            <w:col w:w="10560"/>
          </w:cols>
          <w:pgMar w:left="840" w:top="568" w:right="8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74295</wp:posOffset>
            </wp:positionV>
            <wp:extent cx="67348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w:t>
      </w:r>
    </w:p>
    <w:p>
      <w:pPr>
        <w:spacing w:after="0" w:line="151" w:lineRule="exact"/>
        <w:rPr>
          <w:sz w:val="20"/>
          <w:szCs w:val="20"/>
          <w:color w:val="auto"/>
        </w:rPr>
      </w:pPr>
    </w:p>
    <w:p>
      <w:pPr>
        <w:ind w:right="20" w:firstLine="381"/>
        <w:spacing w:after="0" w:line="248" w:lineRule="auto"/>
        <w:rPr>
          <w:sz w:val="20"/>
          <w:szCs w:val="20"/>
          <w:color w:val="auto"/>
        </w:rPr>
      </w:pPr>
      <w:r>
        <w:rPr>
          <w:rFonts w:ascii="Times New Roman" w:cs="Times New Roman" w:eastAsia="Times New Roman" w:hAnsi="Times New Roman"/>
          <w:sz w:val="17"/>
          <w:szCs w:val="17"/>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Leases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components of the right-of-use assets and lease liabilities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 Sheet Classification</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80" w:type="dxa"/>
            <w:vAlign w:val="bottom"/>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3680" w:type="dxa"/>
            <w:vAlign w:val="bottom"/>
            <w:tcBorders>
              <w:bottom w:val="single" w:sz="8" w:color="D1EDF5"/>
            </w:tcBorders>
          </w:tcPr>
          <w:p>
            <w:pPr>
              <w:spacing w:after="0"/>
              <w:rPr>
                <w:sz w:val="16"/>
                <w:szCs w:val="16"/>
                <w:color w:val="auto"/>
              </w:rPr>
            </w:pPr>
          </w:p>
        </w:tc>
        <w:tc>
          <w:tcPr>
            <w:tcW w:w="4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36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Operating right-of-use assets, net</w:t>
            </w:r>
          </w:p>
        </w:tc>
        <w:tc>
          <w:tcPr>
            <w:tcW w:w="4280" w:type="dxa"/>
            <w:vAlign w:val="bottom"/>
            <w:tcBorders>
              <w:bottom w:val="single" w:sz="8" w:color="D1EDF5"/>
            </w:tcBorders>
            <w:shd w:val="clear" w:color="auto" w:fill="D1EDF5"/>
          </w:tcPr>
          <w:p>
            <w:pPr>
              <w:jc w:val="cente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3,451</w:t>
            </w:r>
          </w:p>
        </w:tc>
        <w:tc>
          <w:tcPr>
            <w:tcW w:w="100" w:type="dxa"/>
            <w:vAlign w:val="bottom"/>
            <w:tcBorders>
              <w:bottom w:val="single" w:sz="8" w:color="D1EDF5"/>
            </w:tcBorders>
            <w:shd w:val="clear" w:color="auto" w:fill="D1EDF5"/>
          </w:tcPr>
          <w:p>
            <w:pPr>
              <w:spacing w:after="0"/>
              <w:rPr>
                <w:sz w:val="19"/>
                <w:szCs w:val="19"/>
                <w:color w:val="auto"/>
              </w:rPr>
            </w:pPr>
          </w:p>
        </w:tc>
        <w:tc>
          <w:tcPr>
            <w:tcW w:w="16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2,855</w:t>
            </w:r>
          </w:p>
        </w:tc>
        <w:tc>
          <w:tcPr>
            <w:tcW w:w="0" w:type="dxa"/>
            <w:vAlign w:val="bottom"/>
          </w:tcPr>
          <w:p>
            <w:pPr>
              <w:spacing w:after="0"/>
              <w:rPr>
                <w:sz w:val="1"/>
                <w:szCs w:val="1"/>
                <w:color w:val="auto"/>
              </w:rPr>
            </w:pPr>
          </w:p>
        </w:tc>
      </w:tr>
      <w:tr>
        <w:trPr>
          <w:trHeight w:val="20"/>
        </w:trPr>
        <w:tc>
          <w:tcPr>
            <w:tcW w:w="3680" w:type="dxa"/>
            <w:vAlign w:val="bottom"/>
            <w:tcBorders>
              <w:top w:val="single" w:sz="8" w:color="D1EDF5"/>
            </w:tcBorders>
          </w:tcPr>
          <w:p>
            <w:pPr>
              <w:spacing w:after="0" w:line="20" w:lineRule="exact"/>
              <w:rPr>
                <w:sz w:val="1"/>
                <w:szCs w:val="1"/>
                <w:color w:val="auto"/>
              </w:rPr>
            </w:pPr>
          </w:p>
        </w:tc>
        <w:tc>
          <w:tcPr>
            <w:tcW w:w="428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4280" w:type="dxa"/>
            <w:vAlign w:val="bottom"/>
            <w:shd w:val="clear" w:color="auto" w:fill="D1EDF5"/>
          </w:tcPr>
          <w:p>
            <w:pPr>
              <w:jc w:val="cente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968</w:t>
            </w:r>
          </w:p>
        </w:tc>
        <w:tc>
          <w:tcPr>
            <w:tcW w:w="100" w:type="dxa"/>
            <w:vAlign w:val="bottom"/>
            <w:shd w:val="clear" w:color="auto" w:fill="D1EDF5"/>
          </w:tcPr>
          <w:p>
            <w:pPr>
              <w:spacing w:after="0"/>
              <w:rPr>
                <w:sz w:val="17"/>
                <w:szCs w:val="17"/>
                <w:color w:val="auto"/>
              </w:rPr>
            </w:pPr>
          </w:p>
        </w:tc>
        <w:tc>
          <w:tcPr>
            <w:tcW w:w="16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1,346</w:t>
            </w:r>
          </w:p>
        </w:tc>
        <w:tc>
          <w:tcPr>
            <w:tcW w:w="0" w:type="dxa"/>
            <w:vAlign w:val="bottom"/>
          </w:tcPr>
          <w:p>
            <w:pPr>
              <w:spacing w:after="0"/>
              <w:rPr>
                <w:sz w:val="1"/>
                <w:szCs w:val="1"/>
                <w:color w:val="auto"/>
              </w:rPr>
            </w:pPr>
          </w:p>
        </w:tc>
      </w:tr>
      <w:tr>
        <w:trPr>
          <w:trHeight w:val="201"/>
        </w:trPr>
        <w:tc>
          <w:tcPr>
            <w:tcW w:w="36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4280" w:type="dxa"/>
            <w:vAlign w:val="bottom"/>
            <w:tcBorders>
              <w:bottom w:val="single" w:sz="8" w:color="D1EDF5"/>
            </w:tcBorders>
          </w:tcPr>
          <w:p>
            <w:pPr>
              <w:jc w:val="cente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2,910</w:t>
            </w:r>
          </w:p>
        </w:tc>
        <w:tc>
          <w:tcPr>
            <w:tcW w:w="100" w:type="dxa"/>
            <w:vAlign w:val="bottom"/>
            <w:tcBorders>
              <w:bottom w:val="single" w:sz="8" w:color="D1EDF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2,627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Total operating lease liabilities</w:t>
            </w:r>
          </w:p>
        </w:tc>
        <w:tc>
          <w:tcPr>
            <w:tcW w:w="4280" w:type="dxa"/>
            <w:vAlign w:val="bottom"/>
            <w:tcBorders>
              <w:bottom w:val="single" w:sz="8" w:color="D1EDF5"/>
            </w:tcBorders>
            <w:shd w:val="clear" w:color="auto" w:fill="D1EDF5"/>
          </w:tcPr>
          <w:p>
            <w:pPr>
              <w:spacing w:after="0"/>
              <w:rPr>
                <w:sz w:val="18"/>
                <w:szCs w:val="18"/>
                <w:color w:val="auto"/>
              </w:rPr>
            </w:pPr>
          </w:p>
        </w:tc>
        <w:tc>
          <w:tcPr>
            <w:tcW w:w="1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3,878</w:t>
            </w:r>
          </w:p>
        </w:tc>
        <w:tc>
          <w:tcPr>
            <w:tcW w:w="100" w:type="dxa"/>
            <w:vAlign w:val="bottom"/>
            <w:tcBorders>
              <w:bottom w:val="single" w:sz="8" w:color="D1EDF5"/>
            </w:tcBorders>
            <w:shd w:val="clear" w:color="auto" w:fill="D1EDF5"/>
          </w:tcPr>
          <w:p>
            <w:pPr>
              <w:spacing w:after="0"/>
              <w:rPr>
                <w:sz w:val="18"/>
                <w:szCs w:val="18"/>
                <w:color w:val="auto"/>
              </w:rPr>
            </w:pPr>
          </w:p>
        </w:tc>
        <w:tc>
          <w:tcPr>
            <w:tcW w:w="16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D1EDF5"/>
          </w:tcPr>
          <w:p>
            <w:pPr>
              <w:jc w:val="right"/>
              <w:ind w:right="127"/>
              <w:spacing w:after="0"/>
              <w:rPr>
                <w:sz w:val="20"/>
                <w:szCs w:val="20"/>
                <w:color w:val="auto"/>
              </w:rPr>
            </w:pPr>
            <w:r>
              <w:rPr>
                <w:rFonts w:ascii="Times New Roman" w:cs="Times New Roman" w:eastAsia="Times New Roman" w:hAnsi="Times New Roman"/>
                <w:sz w:val="15"/>
                <w:szCs w:val="15"/>
                <w:color w:val="auto"/>
              </w:rPr>
              <w:t>3,973</w:t>
            </w:r>
          </w:p>
        </w:tc>
        <w:tc>
          <w:tcPr>
            <w:tcW w:w="0" w:type="dxa"/>
            <w:vAlign w:val="bottom"/>
          </w:tcPr>
          <w:p>
            <w:pPr>
              <w:spacing w:after="0"/>
              <w:rPr>
                <w:sz w:val="1"/>
                <w:szCs w:val="1"/>
                <w:color w:val="auto"/>
              </w:rPr>
            </w:pPr>
          </w:p>
        </w:tc>
      </w:tr>
      <w:tr>
        <w:trPr>
          <w:trHeight w:val="20"/>
        </w:trPr>
        <w:tc>
          <w:tcPr>
            <w:tcW w:w="3680" w:type="dxa"/>
            <w:vAlign w:val="bottom"/>
            <w:tcBorders>
              <w:top w:val="single" w:sz="8" w:color="D1EDF5"/>
            </w:tcBorders>
          </w:tcPr>
          <w:p>
            <w:pPr>
              <w:spacing w:after="0" w:line="20" w:lineRule="exact"/>
              <w:rPr>
                <w:sz w:val="1"/>
                <w:szCs w:val="1"/>
                <w:color w:val="auto"/>
              </w:rPr>
            </w:pPr>
          </w:p>
        </w:tc>
        <w:tc>
          <w:tcPr>
            <w:tcW w:w="428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bottom w:val="single" w:sz="8" w:color="auto"/>
            </w:tcBorders>
          </w:tcPr>
          <w:p>
            <w:pPr>
              <w:spacing w:after="0" w:line="20" w:lineRule="exact"/>
              <w:rPr>
                <w:sz w:val="1"/>
                <w:szCs w:val="1"/>
                <w:color w:val="auto"/>
              </w:rPr>
            </w:pPr>
          </w:p>
        </w:tc>
        <w:tc>
          <w:tcPr>
            <w:tcW w:w="1100" w:type="dxa"/>
            <w:vAlign w:val="bottom"/>
            <w:tcBorders>
              <w:top w:val="single" w:sz="8" w:color="D1EDF5"/>
              <w:bottom w:val="single" w:sz="8" w:color="auto"/>
            </w:tcBorders>
          </w:tcPr>
          <w:p>
            <w:pPr>
              <w:spacing w:after="0" w:line="20" w:lineRule="exact"/>
              <w:rPr>
                <w:sz w:val="1"/>
                <w:szCs w:val="1"/>
                <w:color w:val="auto"/>
              </w:rPr>
            </w:pPr>
          </w:p>
        </w:tc>
        <w:tc>
          <w:tcPr>
            <w:tcW w:w="100" w:type="dxa"/>
            <w:vAlign w:val="bottom"/>
            <w:tcBorders>
              <w:top w:val="single" w:sz="8" w:color="D1EDF5"/>
            </w:tcBorders>
          </w:tcPr>
          <w:p>
            <w:pPr>
              <w:spacing w:after="0" w:line="20" w:lineRule="exact"/>
              <w:rPr>
                <w:sz w:val="1"/>
                <w:szCs w:val="1"/>
                <w:color w:val="auto"/>
              </w:rPr>
            </w:pPr>
          </w:p>
        </w:tc>
        <w:tc>
          <w:tcPr>
            <w:tcW w:w="160" w:type="dxa"/>
            <w:vAlign w:val="bottom"/>
            <w:tcBorders>
              <w:top w:val="single" w:sz="8" w:color="D1EDF5"/>
              <w:bottom w:val="single" w:sz="8" w:color="auto"/>
            </w:tcBorders>
          </w:tcPr>
          <w:p>
            <w:pPr>
              <w:spacing w:after="0" w:line="20" w:lineRule="exact"/>
              <w:rPr>
                <w:sz w:val="1"/>
                <w:szCs w:val="1"/>
                <w:color w:val="auto"/>
              </w:rPr>
            </w:pPr>
          </w:p>
        </w:tc>
        <w:tc>
          <w:tcPr>
            <w:tcW w:w="1080" w:type="dxa"/>
            <w:vAlign w:val="bottom"/>
            <w:tcBorders>
              <w:top w:val="single" w:sz="8" w:color="D1ED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Weighted-average remaining lease term (in years)</w:t>
            </w:r>
          </w:p>
        </w:tc>
        <w:tc>
          <w:tcPr>
            <w:tcW w:w="3740" w:type="dxa"/>
            <w:vAlign w:val="bottom"/>
            <w:shd w:val="clear" w:color="auto" w:fill="D1EDF5"/>
          </w:tcPr>
          <w:p>
            <w:pPr>
              <w:jc w:val="right"/>
              <w:ind w:right="404"/>
              <w:spacing w:after="0"/>
              <w:rPr>
                <w:sz w:val="20"/>
                <w:szCs w:val="20"/>
                <w:color w:val="auto"/>
              </w:rPr>
            </w:pPr>
            <w:r>
              <w:rPr>
                <w:rFonts w:ascii="Times New Roman" w:cs="Times New Roman" w:eastAsia="Times New Roman" w:hAnsi="Times New Roman"/>
                <w:sz w:val="15"/>
                <w:szCs w:val="15"/>
                <w:color w:val="auto"/>
              </w:rPr>
              <w:t>4.1</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98"/>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37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7.0 %</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9.0 %</w:t>
            </w:r>
          </w:p>
        </w:tc>
      </w:tr>
    </w:tbl>
    <w:p>
      <w:pPr>
        <w:spacing w:after="0" w:line="2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components of lease costs included in operating costs and expenses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right"/>
              <w:ind w:right="34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0"/>
        </w:trPr>
        <w:tc>
          <w:tcPr>
            <w:tcW w:w="820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860" w:type="dxa"/>
            <w:vAlign w:val="bottom"/>
            <w:shd w:val="clear" w:color="auto" w:fill="D1EDF5"/>
          </w:tcPr>
          <w:p>
            <w:pPr>
              <w:spacing w:after="0"/>
              <w:rPr>
                <w:sz w:val="20"/>
                <w:szCs w:val="20"/>
                <w:color w:val="auto"/>
              </w:rPr>
            </w:pPr>
          </w:p>
        </w:tc>
        <w:tc>
          <w:tcPr>
            <w:tcW w:w="20" w:type="dxa"/>
            <w:vAlign w:val="bottom"/>
            <w:shd w:val="clear" w:color="auto" w:fill="D1EDF5"/>
          </w:tcPr>
          <w:p>
            <w:pPr>
              <w:spacing w:after="0"/>
              <w:rPr>
                <w:sz w:val="20"/>
                <w:szCs w:val="20"/>
                <w:color w:val="auto"/>
              </w:rPr>
            </w:pPr>
          </w:p>
        </w:tc>
        <w:tc>
          <w:tcPr>
            <w:tcW w:w="80" w:type="dxa"/>
            <w:vAlign w:val="bottom"/>
            <w:shd w:val="clear" w:color="auto" w:fill="D1EDF5"/>
          </w:tcPr>
          <w:p>
            <w:pPr>
              <w:spacing w:after="0"/>
              <w:rPr>
                <w:sz w:val="20"/>
                <w:szCs w:val="20"/>
                <w:color w:val="auto"/>
              </w:rPr>
            </w:pPr>
          </w:p>
        </w:tc>
        <w:tc>
          <w:tcPr>
            <w:tcW w:w="260" w:type="dxa"/>
            <w:vAlign w:val="bottom"/>
            <w:shd w:val="clear" w:color="auto" w:fill="D1EDF5"/>
          </w:tcPr>
          <w:p>
            <w:pPr>
              <w:spacing w:after="0"/>
              <w:rPr>
                <w:sz w:val="20"/>
                <w:szCs w:val="20"/>
                <w:color w:val="auto"/>
              </w:rPr>
            </w:pPr>
          </w:p>
        </w:tc>
        <w:tc>
          <w:tcPr>
            <w:tcW w:w="880" w:type="dxa"/>
            <w:vAlign w:val="bottom"/>
            <w:shd w:val="clear" w:color="auto" w:fill="D1EDF5"/>
          </w:tcPr>
          <w:p>
            <w:pPr>
              <w:spacing w:after="0"/>
              <w:rPr>
                <w:sz w:val="20"/>
                <w:szCs w:val="20"/>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costs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Gain on early lease termination</w:t>
            </w: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Impairment of operating lease right-of-use assets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r>
      <w:tr>
        <w:trPr>
          <w:trHeight w:val="449"/>
        </w:trPr>
        <w:tc>
          <w:tcPr>
            <w:tcW w:w="8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 (in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3"/>
        </w:trPr>
        <w:tc>
          <w:tcPr>
            <w:tcW w:w="8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5"/>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D1EDF5"/>
            </w:tcBorders>
          </w:tcPr>
          <w:p>
            <w:pPr>
              <w:spacing w:after="0"/>
              <w:rPr>
                <w:sz w:val="15"/>
                <w:szCs w:val="15"/>
                <w:color w:val="auto"/>
              </w:rPr>
            </w:pPr>
          </w:p>
        </w:tc>
        <w:tc>
          <w:tcPr>
            <w:tcW w:w="8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20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60" w:type="dxa"/>
            <w:vAlign w:val="bottom"/>
            <w:shd w:val="clear" w:color="auto" w:fill="D1EDF5"/>
          </w:tcPr>
          <w:p>
            <w:pPr>
              <w:spacing w:after="0"/>
              <w:rPr>
                <w:sz w:val="16"/>
                <w:szCs w:val="16"/>
                <w:color w:val="auto"/>
              </w:rPr>
            </w:pPr>
          </w:p>
        </w:tc>
        <w:tc>
          <w:tcPr>
            <w:tcW w:w="20" w:type="dxa"/>
            <w:vAlign w:val="bottom"/>
            <w:shd w:val="clear" w:color="auto" w:fill="D1EDF5"/>
          </w:tcPr>
          <w:p>
            <w:pPr>
              <w:spacing w:after="0"/>
              <w:rPr>
                <w:sz w:val="16"/>
                <w:szCs w:val="16"/>
                <w:color w:val="auto"/>
              </w:rPr>
            </w:pPr>
          </w:p>
        </w:tc>
        <w:tc>
          <w:tcPr>
            <w:tcW w:w="80" w:type="dxa"/>
            <w:vAlign w:val="bottom"/>
            <w:shd w:val="clear" w:color="auto" w:fill="D1EDF5"/>
          </w:tcPr>
          <w:p>
            <w:pPr>
              <w:spacing w:after="0"/>
              <w:rPr>
                <w:sz w:val="16"/>
                <w:szCs w:val="16"/>
                <w:color w:val="auto"/>
              </w:rPr>
            </w:pPr>
          </w:p>
        </w:tc>
        <w:tc>
          <w:tcPr>
            <w:tcW w:w="260" w:type="dxa"/>
            <w:vAlign w:val="bottom"/>
            <w:shd w:val="clear" w:color="auto" w:fill="D1EDF5"/>
          </w:tcPr>
          <w:p>
            <w:pPr>
              <w:spacing w:after="0"/>
              <w:rPr>
                <w:sz w:val="16"/>
                <w:szCs w:val="16"/>
                <w:color w:val="auto"/>
              </w:rPr>
            </w:pPr>
          </w:p>
        </w:tc>
        <w:tc>
          <w:tcPr>
            <w:tcW w:w="880" w:type="dxa"/>
            <w:vAlign w:val="bottom"/>
            <w:shd w:val="clear" w:color="auto" w:fill="D1EDF5"/>
          </w:tcPr>
          <w:p>
            <w:pPr>
              <w:spacing w:after="0"/>
              <w:rPr>
                <w:sz w:val="16"/>
                <w:szCs w:val="16"/>
                <w:color w:val="auto"/>
              </w:rPr>
            </w:pP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Operating cash flows related to operating leases</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1,636</w:t>
            </w:r>
          </w:p>
        </w:tc>
      </w:tr>
      <w:tr>
        <w:trPr>
          <w:trHeight w:val="206"/>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Operating right-of-use assets obtained in exchange for lease liabilities</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20" w:type="dxa"/>
            <w:vAlign w:val="bottom"/>
            <w:shd w:val="clear" w:color="auto" w:fill="D1EDF5"/>
          </w:tcPr>
          <w:p>
            <w:pPr>
              <w:spacing w:after="0"/>
              <w:rPr>
                <w:sz w:val="17"/>
                <w:szCs w:val="17"/>
                <w:color w:val="auto"/>
              </w:rPr>
            </w:pPr>
          </w:p>
        </w:tc>
        <w:tc>
          <w:tcPr>
            <w:tcW w:w="8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3"/>
        </w:trPr>
        <w:tc>
          <w:tcPr>
            <w:tcW w:w="9180" w:type="dxa"/>
            <w:vAlign w:val="bottom"/>
          </w:tcPr>
          <w:p>
            <w:pPr>
              <w:ind w:left="4620"/>
              <w:spacing w:after="0"/>
              <w:rPr>
                <w:sz w:val="20"/>
                <w:szCs w:val="20"/>
                <w:color w:val="auto"/>
              </w:rPr>
            </w:pPr>
            <w:r>
              <w:rPr>
                <w:rFonts w:ascii="Times New Roman" w:cs="Times New Roman" w:eastAsia="Times New Roman" w:hAnsi="Times New Roman"/>
                <w:sz w:val="17"/>
                <w:szCs w:val="17"/>
                <w:b w:val="1"/>
                <w:bCs w:val="1"/>
                <w:color w:val="auto"/>
              </w:rPr>
              <w:t>INSEEGO CORP.</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4"/>
        </w:trPr>
        <w:tc>
          <w:tcPr>
            <w:tcW w:w="9180" w:type="dxa"/>
            <w:vAlign w:val="bottom"/>
          </w:tcPr>
          <w:p>
            <w:pPr>
              <w:ind w:left="30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660"/>
        </w:trPr>
        <w:tc>
          <w:tcPr>
            <w:tcW w:w="9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The future minimum payments under operating leases were as follows at December 31, 2025 (in thousands):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6"/>
        </w:trPr>
        <w:tc>
          <w:tcPr>
            <w:tcW w:w="9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9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2026</w:t>
            </w:r>
          </w:p>
        </w:tc>
        <w:tc>
          <w:tcPr>
            <w:tcW w:w="520" w:type="dxa"/>
            <w:vAlign w:val="bottom"/>
            <w:shd w:val="clear" w:color="auto" w:fill="D1EDF5"/>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1,198</w:t>
            </w:r>
          </w:p>
        </w:tc>
      </w:tr>
      <w:tr>
        <w:trPr>
          <w:trHeight w:val="201"/>
        </w:trPr>
        <w:tc>
          <w:tcPr>
            <w:tcW w:w="91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5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1,061</w:t>
            </w:r>
          </w:p>
        </w:tc>
      </w:tr>
      <w:tr>
        <w:trPr>
          <w:trHeight w:val="206"/>
        </w:trPr>
        <w:tc>
          <w:tcPr>
            <w:tcW w:w="9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2028</w:t>
            </w:r>
          </w:p>
        </w:tc>
        <w:tc>
          <w:tcPr>
            <w:tcW w:w="520" w:type="dxa"/>
            <w:vAlign w:val="bottom"/>
            <w:shd w:val="clear" w:color="auto" w:fill="D1EDF5"/>
          </w:tcPr>
          <w:p>
            <w:pPr>
              <w:spacing w:after="0"/>
              <w:rPr>
                <w:sz w:val="17"/>
                <w:szCs w:val="17"/>
                <w:color w:val="auto"/>
              </w:rPr>
            </w:pPr>
          </w:p>
        </w:tc>
        <w:tc>
          <w:tcPr>
            <w:tcW w:w="84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798</w:t>
            </w:r>
          </w:p>
        </w:tc>
      </w:tr>
      <w:tr>
        <w:trPr>
          <w:trHeight w:val="201"/>
        </w:trPr>
        <w:tc>
          <w:tcPr>
            <w:tcW w:w="918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52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822</w:t>
            </w:r>
          </w:p>
        </w:tc>
      </w:tr>
      <w:tr>
        <w:trPr>
          <w:trHeight w:val="206"/>
        </w:trPr>
        <w:tc>
          <w:tcPr>
            <w:tcW w:w="918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2030</w:t>
            </w:r>
          </w:p>
        </w:tc>
        <w:tc>
          <w:tcPr>
            <w:tcW w:w="520" w:type="dxa"/>
            <w:vAlign w:val="bottom"/>
            <w:shd w:val="clear" w:color="auto" w:fill="D1EDF5"/>
          </w:tcPr>
          <w:p>
            <w:pPr>
              <w:spacing w:after="0"/>
              <w:rPr>
                <w:sz w:val="17"/>
                <w:szCs w:val="17"/>
                <w:color w:val="auto"/>
              </w:rPr>
            </w:pPr>
          </w:p>
        </w:tc>
        <w:tc>
          <w:tcPr>
            <w:tcW w:w="84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559</w:t>
            </w:r>
          </w:p>
        </w:tc>
      </w:tr>
      <w:tr>
        <w:trPr>
          <w:trHeight w:val="201"/>
        </w:trPr>
        <w:tc>
          <w:tcPr>
            <w:tcW w:w="9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9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Total minimum operating lease payments</w:t>
            </w:r>
          </w:p>
        </w:tc>
        <w:tc>
          <w:tcPr>
            <w:tcW w:w="520" w:type="dxa"/>
            <w:vAlign w:val="bottom"/>
            <w:shd w:val="clear" w:color="auto" w:fill="D1EDF5"/>
          </w:tcPr>
          <w:p>
            <w:pPr>
              <w:spacing w:after="0"/>
              <w:rPr>
                <w:sz w:val="17"/>
                <w:szCs w:val="17"/>
                <w:color w:val="auto"/>
              </w:rPr>
            </w:pPr>
          </w:p>
        </w:tc>
        <w:tc>
          <w:tcPr>
            <w:tcW w:w="84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4,438</w:t>
            </w:r>
          </w:p>
        </w:tc>
      </w:tr>
      <w:tr>
        <w:trPr>
          <w:trHeight w:val="201"/>
        </w:trPr>
        <w:tc>
          <w:tcPr>
            <w:tcW w:w="9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Less: amounts representing interest</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w:t>
            </w:r>
          </w:p>
        </w:tc>
      </w:tr>
      <w:tr>
        <w:trPr>
          <w:trHeight w:val="198"/>
        </w:trPr>
        <w:tc>
          <w:tcPr>
            <w:tcW w:w="9180" w:type="dxa"/>
            <w:vAlign w:val="bottom"/>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Present value of net minimum operating lease payments</w:t>
            </w:r>
          </w:p>
        </w:tc>
        <w:tc>
          <w:tcPr>
            <w:tcW w:w="520" w:type="dxa"/>
            <w:vAlign w:val="bottom"/>
            <w:shd w:val="clear" w:color="auto" w:fill="D1EDF5"/>
          </w:tcPr>
          <w:p>
            <w:pPr>
              <w:spacing w:after="0"/>
              <w:rPr>
                <w:sz w:val="17"/>
                <w:szCs w:val="17"/>
                <w:color w:val="auto"/>
              </w:rPr>
            </w:pPr>
          </w:p>
        </w:tc>
        <w:tc>
          <w:tcPr>
            <w:tcW w:w="840" w:type="dxa"/>
            <w:vAlign w:val="bottom"/>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3,878</w:t>
            </w:r>
          </w:p>
        </w:tc>
      </w:tr>
      <w:tr>
        <w:trPr>
          <w:trHeight w:val="201"/>
        </w:trPr>
        <w:tc>
          <w:tcPr>
            <w:tcW w:w="9180" w:type="dxa"/>
            <w:vAlign w:val="bottom"/>
            <w:tcBorders>
              <w:bottom w:val="single" w:sz="8" w:color="D1EDF5"/>
            </w:tcBorders>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w:t>
            </w:r>
          </w:p>
        </w:tc>
      </w:tr>
      <w:tr>
        <w:trPr>
          <w:trHeight w:val="221"/>
        </w:trPr>
        <w:tc>
          <w:tcPr>
            <w:tcW w:w="9180" w:type="dxa"/>
            <w:vAlign w:val="bottom"/>
            <w:tcBorders>
              <w:bottom w:val="single" w:sz="8" w:color="D1EDF5"/>
            </w:tcBorders>
            <w:shd w:val="clear" w:color="auto" w:fill="D1EDF5"/>
          </w:tcPr>
          <w:p>
            <w:pPr>
              <w:ind w:left="200"/>
              <w:spacing w:after="0"/>
              <w:rPr>
                <w:sz w:val="20"/>
                <w:szCs w:val="20"/>
                <w:color w:val="auto"/>
              </w:rPr>
            </w:pPr>
            <w:r>
              <w:rPr>
                <w:rFonts w:ascii="Times New Roman" w:cs="Times New Roman" w:eastAsia="Times New Roman" w:hAnsi="Times New Roman"/>
                <w:sz w:val="15"/>
                <w:szCs w:val="15"/>
                <w:color w:val="auto"/>
              </w:rPr>
              <w:t>Long-term portion of operating lease obligations</w:t>
            </w:r>
          </w:p>
        </w:tc>
        <w:tc>
          <w:tcPr>
            <w:tcW w:w="520" w:type="dxa"/>
            <w:vAlign w:val="bottom"/>
            <w:tcBorders>
              <w:bottom w:val="single" w:sz="8" w:color="auto"/>
            </w:tcBorders>
            <w:shd w:val="clear" w:color="auto" w:fill="D1EDF5"/>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D1EDF5"/>
          </w:tcPr>
          <w:p>
            <w:pPr>
              <w:jc w:val="right"/>
              <w:ind w:right="4"/>
              <w:spacing w:after="0"/>
              <w:rPr>
                <w:sz w:val="20"/>
                <w:szCs w:val="20"/>
                <w:color w:val="auto"/>
              </w:rPr>
            </w:pPr>
            <w:r>
              <w:rPr>
                <w:rFonts w:ascii="Times New Roman" w:cs="Times New Roman" w:eastAsia="Times New Roman" w:hAnsi="Times New Roman"/>
                <w:sz w:val="15"/>
                <w:szCs w:val="15"/>
                <w:color w:val="auto"/>
              </w:rPr>
              <w:t>2,910</w:t>
            </w:r>
          </w:p>
        </w:tc>
      </w:tr>
      <w:tr>
        <w:trPr>
          <w:trHeight w:val="20"/>
        </w:trPr>
        <w:tc>
          <w:tcPr>
            <w:tcW w:w="9180" w:type="dxa"/>
            <w:vAlign w:val="bottom"/>
            <w:tcBorders>
              <w:top w:val="single" w:sz="8" w:color="D1EDF5"/>
            </w:tcBorders>
          </w:tcPr>
          <w:p>
            <w:pPr>
              <w:spacing w:after="0" w:line="20" w:lineRule="exact"/>
              <w:rPr>
                <w:sz w:val="1"/>
                <w:szCs w:val="1"/>
                <w:color w:val="auto"/>
              </w:rPr>
            </w:pPr>
          </w:p>
        </w:tc>
        <w:tc>
          <w:tcPr>
            <w:tcW w:w="520" w:type="dxa"/>
            <w:vAlign w:val="bottom"/>
            <w:tcBorders>
              <w:top w:val="single" w:sz="8" w:color="D1EDF5"/>
              <w:bottom w:val="single" w:sz="8" w:color="auto"/>
            </w:tcBorders>
          </w:tcPr>
          <w:p>
            <w:pPr>
              <w:spacing w:after="0" w:line="20" w:lineRule="exact"/>
              <w:rPr>
                <w:sz w:val="1"/>
                <w:szCs w:val="1"/>
                <w:color w:val="auto"/>
              </w:rPr>
            </w:pPr>
          </w:p>
        </w:tc>
        <w:tc>
          <w:tcPr>
            <w:tcW w:w="840" w:type="dxa"/>
            <w:vAlign w:val="bottom"/>
            <w:tcBorders>
              <w:top w:val="single" w:sz="8" w:color="D1EDF5"/>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Segment, Geographic, and Concentrations of Risk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64" w:lineRule="exact"/>
        <w:rPr>
          <w:sz w:val="20"/>
          <w:szCs w:val="20"/>
          <w:color w:val="auto"/>
        </w:rPr>
      </w:pPr>
    </w:p>
    <w:p>
      <w:pPr>
        <w:ind w:firstLine="381"/>
        <w:spacing w:after="0" w:line="242" w:lineRule="auto"/>
        <w:rPr>
          <w:sz w:val="20"/>
          <w:szCs w:val="20"/>
          <w:color w:val="auto"/>
        </w:rPr>
      </w:pPr>
      <w:r>
        <w:rPr>
          <w:rFonts w:ascii="Times New Roman" w:cs="Times New Roman" w:eastAsia="Times New Roman" w:hAnsi="Times New Roman"/>
          <w:sz w:val="17"/>
          <w:szCs w:val="17"/>
          <w:color w:val="auto"/>
        </w:rPr>
        <w:t>As previously detailed in Note 1 – Nature of Business and Significant Accounting Policies, the Company operates as one reportable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 The accounting policies of our one reportable segment are the same as those described in Note 1 – Nature of Business and Significant Accounting Policies.</w:t>
      </w:r>
    </w:p>
    <w:p>
      <w:pPr>
        <w:spacing w:after="0" w:line="138" w:lineRule="exact"/>
        <w:rPr>
          <w:sz w:val="20"/>
          <w:szCs w:val="20"/>
          <w:color w:val="auto"/>
        </w:rPr>
      </w:pPr>
    </w:p>
    <w:p>
      <w:pPr>
        <w:ind w:right="180" w:firstLine="381"/>
        <w:spacing w:after="0" w:line="248" w:lineRule="auto"/>
        <w:rPr>
          <w:sz w:val="20"/>
          <w:szCs w:val="20"/>
          <w:color w:val="auto"/>
        </w:rPr>
      </w:pPr>
      <w:r>
        <w:rPr>
          <w:rFonts w:ascii="Times New Roman" w:cs="Times New Roman" w:eastAsia="Times New Roman" w:hAnsi="Times New Roman"/>
          <w:sz w:val="17"/>
          <w:szCs w:val="17"/>
          <w:color w:val="auto"/>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details the revenues, significant expenses and other segment items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40"/>
          </w:cols>
          <w:pgMar w:left="840" w:top="568" w:right="86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Revenues</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166,188</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191,244</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8200" w:type="dxa"/>
            <w:vAlign w:val="bottom"/>
            <w:shd w:val="clear" w:color="auto" w:fill="D1EDF5"/>
          </w:tcPr>
          <w:p>
            <w:pPr>
              <w:ind w:left="220"/>
              <w:spacing w:after="0" w:line="205" w:lineRule="exact"/>
              <w:rPr>
                <w:sz w:val="20"/>
                <w:szCs w:val="20"/>
                <w:color w:val="auto"/>
              </w:rPr>
            </w:pPr>
            <w:r>
              <w:rPr>
                <w:rFonts w:ascii="Times New Roman" w:cs="Times New Roman" w:eastAsia="Times New Roman" w:hAnsi="Times New Roman"/>
                <w:sz w:val="15"/>
                <w:szCs w:val="15"/>
                <w:color w:val="auto"/>
              </w:rPr>
              <w:t xml:space="preserve">Adjusted cost of revenues </w:t>
            </w:r>
            <w:r>
              <w:rPr>
                <w:rFonts w:ascii="Times New Roman" w:cs="Times New Roman" w:eastAsia="Times New Roman" w:hAnsi="Times New Roman"/>
                <w:sz w:val="19"/>
                <w:szCs w:val="19"/>
                <w:color w:val="auto"/>
                <w:vertAlign w:val="superscript"/>
              </w:rPr>
              <w:t>(1)</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94,817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122,321</w:t>
            </w:r>
          </w:p>
        </w:tc>
      </w:tr>
      <w:tr>
        <w:trPr>
          <w:trHeight w:val="203"/>
        </w:trPr>
        <w:tc>
          <w:tcPr>
            <w:tcW w:w="8200" w:type="dxa"/>
            <w:vAlign w:val="bottom"/>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Adjusted research and development </w:t>
            </w:r>
            <w:r>
              <w:rPr>
                <w:rFonts w:ascii="Times New Roman" w:cs="Times New Roman" w:eastAsia="Times New Roman" w:hAnsi="Times New Roman"/>
                <w:sz w:val="19"/>
                <w:szCs w:val="19"/>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19,905</w:t>
            </w:r>
          </w:p>
        </w:tc>
      </w:tr>
      <w:tr>
        <w:trPr>
          <w:trHeight w:val="203"/>
        </w:trPr>
        <w:tc>
          <w:tcPr>
            <w:tcW w:w="8200" w:type="dxa"/>
            <w:vAlign w:val="bottom"/>
            <w:shd w:val="clear" w:color="auto" w:fill="D1EDF5"/>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Adjusted sales and marketing </w:t>
            </w:r>
            <w:r>
              <w:rPr>
                <w:rFonts w:ascii="Times New Roman" w:cs="Times New Roman" w:eastAsia="Times New Roman" w:hAnsi="Times New Roman"/>
                <w:sz w:val="19"/>
                <w:szCs w:val="19"/>
                <w:color w:val="auto"/>
                <w:vertAlign w:val="superscript"/>
              </w:rPr>
              <w:t>(2)</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16,574</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15,522</w:t>
            </w:r>
          </w:p>
        </w:tc>
      </w:tr>
      <w:tr>
        <w:trPr>
          <w:trHeight w:val="203"/>
        </w:trPr>
        <w:tc>
          <w:tcPr>
            <w:tcW w:w="8200" w:type="dxa"/>
            <w:vAlign w:val="bottom"/>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Adjusted general and administrative </w:t>
            </w:r>
            <w:r>
              <w:rPr>
                <w:rFonts w:ascii="Times New Roman" w:cs="Times New Roman" w:eastAsia="Times New Roman" w:hAnsi="Times New Roman"/>
                <w:sz w:val="19"/>
                <w:szCs w:val="19"/>
                <w:color w:val="auto"/>
                <w:vertAlign w:val="superscript"/>
              </w:rPr>
              <w:t>(3)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13,203</w:t>
            </w:r>
          </w:p>
        </w:tc>
      </w:tr>
      <w:tr>
        <w:trPr>
          <w:trHeight w:val="203"/>
        </w:trPr>
        <w:tc>
          <w:tcPr>
            <w:tcW w:w="8200" w:type="dxa"/>
            <w:vAlign w:val="bottom"/>
            <w:shd w:val="clear" w:color="auto" w:fill="D1EDF5"/>
          </w:tcPr>
          <w:p>
            <w:pPr>
              <w:ind w:left="220"/>
              <w:spacing w:after="0" w:line="204" w:lineRule="exact"/>
              <w:rPr>
                <w:sz w:val="20"/>
                <w:szCs w:val="20"/>
                <w:color w:val="auto"/>
              </w:rPr>
            </w:pPr>
            <w:r>
              <w:rPr>
                <w:rFonts w:ascii="Times New Roman" w:cs="Times New Roman" w:eastAsia="Times New Roman" w:hAnsi="Times New Roman"/>
                <w:sz w:val="15"/>
                <w:szCs w:val="15"/>
                <w:color w:val="auto"/>
              </w:rPr>
              <w:t xml:space="preserve">Adjusted depreciation and amortization </w:t>
            </w:r>
            <w:r>
              <w:rPr>
                <w:rFonts w:ascii="Times New Roman" w:cs="Times New Roman" w:eastAsia="Times New Roman" w:hAnsi="Times New Roman"/>
                <w:sz w:val="19"/>
                <w:szCs w:val="19"/>
                <w:color w:val="auto"/>
                <w:vertAlign w:val="superscript"/>
              </w:rPr>
              <w:t>(4)</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8,020</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11,048</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Capitalizable software development expenditures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4,248</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Capitalized software development expenditures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(10,047)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(4,248)</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3,823</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Amortization of purchased intangible assets related to business combinations</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1,320</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Gain on early lease termination</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Right-of-use asset impairment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Debt restructuring costs</w:t>
            </w:r>
          </w:p>
        </w:tc>
        <w:tc>
          <w:tcPr>
            <w:tcW w:w="260" w:type="dxa"/>
            <w:vAlign w:val="bottom"/>
            <w:shd w:val="clear" w:color="auto" w:fill="D1EDF5"/>
          </w:tcPr>
          <w:p>
            <w:pPr>
              <w:spacing w:after="0"/>
              <w:rPr>
                <w:sz w:val="17"/>
                <w:szCs w:val="17"/>
                <w:color w:val="auto"/>
              </w:rPr>
            </w:pPr>
          </w:p>
        </w:tc>
        <w:tc>
          <w:tcPr>
            <w:tcW w:w="96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1,322</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debt restructurings, net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Loss on extinguishment of revolving credit facility</w:t>
            </w:r>
          </w:p>
        </w:tc>
        <w:tc>
          <w:tcPr>
            <w:tcW w:w="260" w:type="dxa"/>
            <w:vAlign w:val="bottom"/>
            <w:shd w:val="clear" w:color="auto" w:fill="D1EDF5"/>
          </w:tcPr>
          <w:p>
            <w:pPr>
              <w:spacing w:after="0"/>
              <w:rPr>
                <w:sz w:val="17"/>
                <w:szCs w:val="17"/>
                <w:color w:val="auto"/>
              </w:rPr>
            </w:pPr>
          </w:p>
        </w:tc>
        <w:tc>
          <w:tcPr>
            <w:tcW w:w="960" w:type="dxa"/>
            <w:vAlign w:val="bottom"/>
            <w:gridSpan w:val="2"/>
            <w:shd w:val="clear" w:color="auto" w:fill="D1EDF5"/>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788</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10,906</w:t>
            </w:r>
          </w:p>
        </w:tc>
      </w:tr>
      <w:tr>
        <w:trPr>
          <w:trHeight w:val="206"/>
        </w:trPr>
        <w:tc>
          <w:tcPr>
            <w:tcW w:w="8200" w:type="dxa"/>
            <w:vAlign w:val="bottom"/>
            <w:shd w:val="clear" w:color="auto" w:fill="D1EDF5"/>
          </w:tcPr>
          <w:p>
            <w:pPr>
              <w:ind w:left="220"/>
              <w:spacing w:after="0"/>
              <w:rPr>
                <w:sz w:val="20"/>
                <w:szCs w:val="20"/>
                <w:color w:val="auto"/>
              </w:rPr>
            </w:pPr>
            <w:r>
              <w:rPr>
                <w:rFonts w:ascii="Times New Roman" w:cs="Times New Roman" w:eastAsia="Times New Roman" w:hAnsi="Times New Roman"/>
                <w:sz w:val="15"/>
                <w:szCs w:val="15"/>
                <w:color w:val="auto"/>
              </w:rPr>
              <w:t>Other income (expense), net</w:t>
            </w:r>
          </w:p>
        </w:tc>
        <w:tc>
          <w:tcPr>
            <w:tcW w:w="260" w:type="dxa"/>
            <w:vAlign w:val="bottom"/>
            <w:shd w:val="clear" w:color="auto" w:fill="D1EDF5"/>
          </w:tcPr>
          <w:p>
            <w:pPr>
              <w:spacing w:after="0"/>
              <w:rPr>
                <w:sz w:val="17"/>
                <w:szCs w:val="17"/>
                <w:color w:val="auto"/>
              </w:rPr>
            </w:pP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(737)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spacing w:after="0"/>
              <w:rPr>
                <w:sz w:val="17"/>
                <w:szCs w:val="17"/>
                <w:color w:val="auto"/>
              </w:rPr>
            </w:pP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850</w:t>
            </w:r>
          </w:p>
        </w:tc>
      </w:tr>
      <w:tr>
        <w:trPr>
          <w:trHeight w:val="201"/>
        </w:trPr>
        <w:tc>
          <w:tcPr>
            <w:tcW w:w="8200" w:type="dxa"/>
            <w:vAlign w:val="bottom"/>
            <w:tcBorders>
              <w:bottom w:val="single" w:sz="8" w:color="D1EDF5"/>
            </w:tcBorders>
          </w:tcPr>
          <w:p>
            <w:pPr>
              <w:ind w:left="220"/>
              <w:spacing w:after="0"/>
              <w:rPr>
                <w:sz w:val="20"/>
                <w:szCs w:val="20"/>
                <w:color w:val="auto"/>
              </w:rPr>
            </w:pPr>
            <w:r>
              <w:rPr>
                <w:rFonts w:ascii="Times New Roman" w:cs="Times New Roman" w:eastAsia="Times New Roman" w:hAnsi="Times New Roman"/>
                <w:sz w:val="15"/>
                <w:szCs w:val="15"/>
                <w:color w:val="auto"/>
              </w:rPr>
              <w:t>Income tax provision</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D1EDF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w:t>
            </w:r>
          </w:p>
        </w:tc>
      </w:tr>
      <w:tr>
        <w:trPr>
          <w:trHeight w:val="198"/>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Segment net income (loss)</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1,238</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(14,369)</w:t>
            </w:r>
          </w:p>
        </w:tc>
      </w:tr>
      <w:tr>
        <w:trPr>
          <w:trHeight w:val="202"/>
        </w:trPr>
        <w:tc>
          <w:tcPr>
            <w:tcW w:w="8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Reconciliation of profit or loss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1"/>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Income (Loss) from discontinued operations, net of tax</w:t>
            </w:r>
          </w:p>
        </w:tc>
        <w:tc>
          <w:tcPr>
            <w:tcW w:w="260" w:type="dxa"/>
            <w:vAlign w:val="bottom"/>
            <w:tcBorders>
              <w:bottom w:val="single" w:sz="8" w:color="auto"/>
            </w:tcBorders>
            <w:shd w:val="clear" w:color="auto" w:fill="D1EDF5"/>
          </w:tcPr>
          <w:p>
            <w:pPr>
              <w:spacing w:after="0"/>
              <w:rPr>
                <w:sz w:val="19"/>
                <w:szCs w:val="19"/>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Borders>
              <w:bottom w:val="single" w:sz="8" w:color="D1EDF5"/>
            </w:tcBorders>
            <w:shd w:val="clear" w:color="auto" w:fill="D1EDF5"/>
          </w:tcPr>
          <w:p>
            <w:pPr>
              <w:spacing w:after="0"/>
              <w:rPr>
                <w:sz w:val="19"/>
                <w:szCs w:val="19"/>
                <w:color w:val="auto"/>
              </w:rPr>
            </w:pPr>
          </w:p>
        </w:tc>
        <w:tc>
          <w:tcPr>
            <w:tcW w:w="260" w:type="dxa"/>
            <w:vAlign w:val="bottom"/>
            <w:tcBorders>
              <w:bottom w:val="single" w:sz="8" w:color="auto"/>
            </w:tcBorders>
            <w:shd w:val="clear" w:color="auto" w:fill="D1EDF5"/>
          </w:tcPr>
          <w:p>
            <w:pPr>
              <w:spacing w:after="0"/>
              <w:rPr>
                <w:sz w:val="19"/>
                <w:szCs w:val="19"/>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18,941</w:t>
            </w:r>
          </w:p>
        </w:tc>
      </w:tr>
      <w:tr>
        <w:trPr>
          <w:trHeight w:val="173"/>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net income (loss)</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100" w:type="dxa"/>
            <w:vAlign w:val="bottom"/>
          </w:tcPr>
          <w:p>
            <w:pPr>
              <w:spacing w:after="0"/>
              <w:rPr>
                <w:sz w:val="15"/>
                <w:szCs w:val="15"/>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4,572</w:t>
            </w:r>
          </w:p>
        </w:tc>
      </w:tr>
    </w:tbl>
    <w:p>
      <w:pPr>
        <w:ind w:left="200" w:hanging="191"/>
        <w:spacing w:after="0"/>
        <w:tabs>
          <w:tab w:leader="none" w:pos="20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share-based compensation expense.</w:t>
      </w:r>
    </w:p>
    <w:p>
      <w:pPr>
        <w:spacing w:after="0" w:line="24" w:lineRule="exact"/>
        <w:rPr>
          <w:rFonts w:ascii="Times New Roman" w:cs="Times New Roman" w:eastAsia="Times New Roman" w:hAnsi="Times New Roman"/>
          <w:sz w:val="14"/>
          <w:szCs w:val="14"/>
          <w:i w:val="1"/>
          <w:iCs w:val="1"/>
          <w:color w:val="auto"/>
        </w:rPr>
      </w:pPr>
    </w:p>
    <w:p>
      <w:pPr>
        <w:ind w:left="200" w:hanging="191"/>
        <w:spacing w:after="0"/>
        <w:tabs>
          <w:tab w:leader="none" w:pos="20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or share-based compensation expense.</w:t>
      </w:r>
    </w:p>
    <w:p>
      <w:pPr>
        <w:spacing w:after="0" w:line="29" w:lineRule="exact"/>
        <w:rPr>
          <w:rFonts w:ascii="Times New Roman" w:cs="Times New Roman" w:eastAsia="Times New Roman" w:hAnsi="Times New Roman"/>
          <w:sz w:val="14"/>
          <w:szCs w:val="14"/>
          <w:i w:val="1"/>
          <w:iCs w:val="1"/>
          <w:color w:val="auto"/>
        </w:rPr>
      </w:pPr>
    </w:p>
    <w:p>
      <w:pPr>
        <w:ind w:left="200" w:hanging="191"/>
        <w:spacing w:after="0"/>
        <w:tabs>
          <w:tab w:leader="none" w:pos="20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right-of-use asset impairments, or debt restructuring costs.</w:t>
      </w:r>
    </w:p>
    <w:p>
      <w:pPr>
        <w:spacing w:after="0" w:line="29" w:lineRule="exact"/>
        <w:rPr>
          <w:rFonts w:ascii="Times New Roman" w:cs="Times New Roman" w:eastAsia="Times New Roman" w:hAnsi="Times New Roman"/>
          <w:sz w:val="14"/>
          <w:szCs w:val="14"/>
          <w:i w:val="1"/>
          <w:iCs w:val="1"/>
          <w:color w:val="auto"/>
        </w:rPr>
      </w:pPr>
    </w:p>
    <w:p>
      <w:pPr>
        <w:ind w:left="200" w:hanging="191"/>
        <w:spacing w:after="0"/>
        <w:tabs>
          <w:tab w:leader="none" w:pos="20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of purchased intangible assets.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Information</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details the Company’s revenues by geographic region based on shipping destination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7"/>
        </w:trPr>
        <w:tc>
          <w:tcPr>
            <w:tcW w:w="82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D1EDF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United States and Canada</w:t>
            </w:r>
          </w:p>
        </w:tc>
        <w:tc>
          <w:tcPr>
            <w:tcW w:w="260" w:type="dxa"/>
            <w:vAlign w:val="bottom"/>
            <w:shd w:val="clear" w:color="auto" w:fill="D1EDF5"/>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164,257</w:t>
            </w:r>
          </w:p>
        </w:tc>
        <w:tc>
          <w:tcPr>
            <w:tcW w:w="100" w:type="dxa"/>
            <w:vAlign w:val="bottom"/>
            <w:shd w:val="clear" w:color="auto" w:fill="D1EDF5"/>
          </w:tcPr>
          <w:p>
            <w:pPr>
              <w:spacing w:after="0"/>
              <w:rPr>
                <w:sz w:val="17"/>
                <w:szCs w:val="17"/>
                <w:color w:val="auto"/>
              </w:rPr>
            </w:pPr>
          </w:p>
        </w:tc>
        <w:tc>
          <w:tcPr>
            <w:tcW w:w="260" w:type="dxa"/>
            <w:vAlign w:val="bottom"/>
            <w:shd w:val="clear" w:color="auto" w:fill="D1EDF5"/>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184,324</w:t>
            </w:r>
          </w:p>
        </w:tc>
      </w:tr>
      <w:tr>
        <w:trPr>
          <w:trHeight w:val="201"/>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Europe (including United Kingdom)</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5,298</w:t>
            </w:r>
          </w:p>
        </w:tc>
      </w:tr>
      <w:tr>
        <w:trPr>
          <w:trHeight w:val="203"/>
        </w:trPr>
        <w:tc>
          <w:tcPr>
            <w:tcW w:w="8200" w:type="dxa"/>
            <w:vAlign w:val="bottom"/>
            <w:tcBorders>
              <w:bottom w:val="single" w:sz="8" w:color="D1EDF5"/>
            </w:tcBorders>
            <w:shd w:val="clear" w:color="auto" w:fill="D1EDF5"/>
          </w:tcPr>
          <w:p>
            <w:pPr>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Borders>
              <w:bottom w:val="single" w:sz="8" w:color="auto"/>
            </w:tcBorders>
            <w:shd w:val="clear" w:color="auto" w:fill="D1EDF5"/>
          </w:tcPr>
          <w:p>
            <w:pPr>
              <w:spacing w:after="0"/>
              <w:rPr>
                <w:sz w:val="17"/>
                <w:szCs w:val="17"/>
                <w:color w:val="auto"/>
              </w:rPr>
            </w:pPr>
          </w:p>
        </w:tc>
        <w:tc>
          <w:tcPr>
            <w:tcW w:w="86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Borders>
              <w:bottom w:val="single" w:sz="8" w:color="D1EDF5"/>
            </w:tcBorders>
            <w:shd w:val="clear" w:color="auto" w:fill="D1EDF5"/>
          </w:tcPr>
          <w:p>
            <w:pPr>
              <w:spacing w:after="0"/>
              <w:rPr>
                <w:sz w:val="17"/>
                <w:szCs w:val="17"/>
                <w:color w:val="auto"/>
              </w:rPr>
            </w:pPr>
          </w:p>
        </w:tc>
        <w:tc>
          <w:tcPr>
            <w:tcW w:w="260" w:type="dxa"/>
            <w:vAlign w:val="bottom"/>
            <w:tcBorders>
              <w:bottom w:val="single" w:sz="8" w:color="auto"/>
            </w:tcBorders>
            <w:shd w:val="clear" w:color="auto" w:fill="D1EDF5"/>
          </w:tcPr>
          <w:p>
            <w:pPr>
              <w:spacing w:after="0"/>
              <w:rPr>
                <w:sz w:val="17"/>
                <w:szCs w:val="17"/>
                <w:color w:val="auto"/>
              </w:rPr>
            </w:pPr>
          </w:p>
        </w:tc>
        <w:tc>
          <w:tcPr>
            <w:tcW w:w="880" w:type="dxa"/>
            <w:vAlign w:val="bottom"/>
            <w:tcBorders>
              <w:bottom w:val="single" w:sz="8" w:color="auto"/>
            </w:tcBorders>
            <w:shd w:val="clear" w:color="auto" w:fill="D1EDF5"/>
          </w:tcPr>
          <w:p>
            <w:pPr>
              <w:jc w:val="right"/>
              <w:spacing w:after="0"/>
              <w:rPr>
                <w:sz w:val="20"/>
                <w:szCs w:val="20"/>
                <w:color w:val="auto"/>
              </w:rPr>
            </w:pPr>
            <w:r>
              <w:rPr>
                <w:rFonts w:ascii="Times New Roman" w:cs="Times New Roman" w:eastAsia="Times New Roman" w:hAnsi="Times New Roman"/>
                <w:sz w:val="15"/>
                <w:szCs w:val="15"/>
                <w:color w:val="auto"/>
              </w:rPr>
              <w:t>1,622</w:t>
            </w:r>
          </w:p>
        </w:tc>
      </w:tr>
      <w:tr>
        <w:trPr>
          <w:trHeight w:val="198"/>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166,188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191,244</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the Company’s long-term assets are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67310</wp:posOffset>
            </wp:positionV>
            <wp:extent cx="67348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4810" cy="41275"/>
                    </a:xfrm>
                    <a:prstGeom prst="rect">
                      <a:avLst/>
                    </a:prstGeom>
                    <a:noFill/>
                  </pic:spPr>
                </pic:pic>
              </a:graphicData>
            </a:graphic>
          </wp:anchor>
        </w:drawing>
      </w:r>
    </w:p>
    <w:p>
      <w:pPr>
        <w:sectPr>
          <w:pgSz w:w="12240" w:h="15840" w:orient="portrait"/>
          <w:cols w:equalWidth="0" w:num="1">
            <w:col w:w="10560"/>
          </w:cols>
          <w:pgMar w:left="840" w:top="568" w:right="840"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INSEEGO CORP.</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Customer Concentrations</w:t>
      </w:r>
    </w:p>
    <w:p>
      <w:pPr>
        <w:spacing w:after="0" w:line="164" w:lineRule="exact"/>
        <w:rPr>
          <w:sz w:val="20"/>
          <w:szCs w:val="20"/>
          <w:color w:val="auto"/>
        </w:rPr>
      </w:pPr>
    </w:p>
    <w:p>
      <w:pPr>
        <w:ind w:right="140" w:firstLine="381"/>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2025, two customers accounted for 62.2% and 26.4% of revenues, respectively. For the year ended December 31, 2024, two customers accounted for 41.9% and 33.6% of revenues, respectively.</w:t>
      </w:r>
    </w:p>
    <w:p>
      <w:pPr>
        <w:spacing w:after="0" w:line="107" w:lineRule="exact"/>
        <w:rPr>
          <w:sz w:val="20"/>
          <w:szCs w:val="20"/>
          <w:color w:val="auto"/>
        </w:rPr>
      </w:pPr>
    </w:p>
    <w:p>
      <w:pPr>
        <w:ind w:right="160" w:firstLine="381"/>
        <w:spacing w:after="0" w:line="278" w:lineRule="auto"/>
        <w:rPr>
          <w:sz w:val="20"/>
          <w:szCs w:val="20"/>
          <w:color w:val="auto"/>
        </w:rPr>
      </w:pPr>
      <w:r>
        <w:rPr>
          <w:rFonts w:ascii="Times New Roman" w:cs="Times New Roman" w:eastAsia="Times New Roman" w:hAnsi="Times New Roman"/>
          <w:sz w:val="17"/>
          <w:szCs w:val="17"/>
          <w:color w:val="auto"/>
        </w:rPr>
        <w:t>At December 31, 2025, two customers accounted for 52.9% and 16.0% of total accounts receivable, net, respectively. At December 31, 2024, three customers accounted for 33.6%, 22.8% and 18.8% of total accounts receivable, net, respectively.</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Concentrations in the Available Sources of Supply of Materials and Product</w:t>
      </w:r>
    </w:p>
    <w:p>
      <w:pPr>
        <w:spacing w:after="0" w:line="151" w:lineRule="exact"/>
        <w:rPr>
          <w:sz w:val="20"/>
          <w:szCs w:val="20"/>
          <w:color w:val="auto"/>
        </w:rPr>
      </w:pPr>
    </w:p>
    <w:p>
      <w:pPr>
        <w:ind w:right="60" w:firstLine="381"/>
        <w:spacing w:after="0" w:line="248" w:lineRule="auto"/>
        <w:rPr>
          <w:sz w:val="20"/>
          <w:szCs w:val="20"/>
          <w:color w:val="auto"/>
        </w:rPr>
      </w:pPr>
      <w:r>
        <w:rPr>
          <w:rFonts w:ascii="Times New Roman" w:cs="Times New Roman" w:eastAsia="Times New Roman" w:hAnsi="Times New Roman"/>
          <w:sz w:val="17"/>
          <w:szCs w:val="17"/>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Subsequent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Stock Exchange</w:t>
      </w:r>
    </w:p>
    <w:p>
      <w:pPr>
        <w:spacing w:after="0" w:line="152" w:lineRule="exact"/>
        <w:rPr>
          <w:sz w:val="20"/>
          <w:szCs w:val="20"/>
          <w:color w:val="auto"/>
        </w:rPr>
      </w:pPr>
    </w:p>
    <w:p>
      <w:pPr>
        <w:ind w:right="140" w:firstLine="381"/>
        <w:spacing w:after="0" w:line="256" w:lineRule="auto"/>
        <w:rPr>
          <w:sz w:val="20"/>
          <w:szCs w:val="20"/>
          <w:color w:val="auto"/>
        </w:rPr>
      </w:pPr>
      <w:r>
        <w:rPr>
          <w:rFonts w:ascii="Times New Roman" w:cs="Times New Roman" w:eastAsia="Times New Roman" w:hAnsi="Times New Roman"/>
          <w:sz w:val="17"/>
          <w:szCs w:val="17"/>
          <w:color w:val="auto"/>
        </w:rPr>
        <w:t>On January 14, 2026 (the “Preferred Stock Exchange Closing Date”), the Company entered into an Exchange Agreement (the “Preferred Stock Exchange Agreement”) with an affiliate of Mubadala Capital (the “Preferred Stock Holder”), which held all 25,000 outstanding shares of the Company’s Series E Preferred Stock.</w:t>
      </w:r>
    </w:p>
    <w:p>
      <w:pPr>
        <w:spacing w:after="0" w:line="111" w:lineRule="exact"/>
        <w:rPr>
          <w:sz w:val="20"/>
          <w:szCs w:val="20"/>
          <w:color w:val="auto"/>
        </w:rPr>
      </w:pPr>
    </w:p>
    <w:p>
      <w:pPr>
        <w:ind w:right="60" w:firstLine="381"/>
        <w:spacing w:after="0" w:line="245" w:lineRule="auto"/>
        <w:rPr>
          <w:sz w:val="20"/>
          <w:szCs w:val="20"/>
          <w:color w:val="auto"/>
        </w:rPr>
      </w:pPr>
      <w:r>
        <w:rPr>
          <w:rFonts w:ascii="Times New Roman" w:cs="Times New Roman" w:eastAsia="Times New Roman" w:hAnsi="Times New Roman"/>
          <w:sz w:val="17"/>
          <w:szCs w:val="17"/>
          <w:color w:val="auto"/>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$10.0 million in cash, one-third of which was paid on the Preferred Stock Exchange Closing Date and the balance of which will be paid in two equal installments on the six and twelve month anniversaries of the Preferred Stock Exchange Closing Date, 767,165 shares of the Company’s common stock, and $8.0 million in additional principal amount of the Company’s existing 9.0% 2029 Senior Secured Notes. The shares of common stock and 2029 Senior Secured Notes were issued to the Preferred Stock Holder on the Preferred Stock Exchange Closing Date.</w:t>
      </w:r>
    </w:p>
    <w:p>
      <w:pPr>
        <w:spacing w:after="0" w:line="123" w:lineRule="exact"/>
        <w:rPr>
          <w:sz w:val="20"/>
          <w:szCs w:val="20"/>
          <w:color w:val="auto"/>
        </w:rPr>
      </w:pPr>
    </w:p>
    <w:p>
      <w:pPr>
        <w:ind w:firstLine="381"/>
        <w:spacing w:after="0" w:line="248" w:lineRule="auto"/>
        <w:rPr>
          <w:sz w:val="20"/>
          <w:szCs w:val="20"/>
          <w:color w:val="auto"/>
        </w:rPr>
      </w:pPr>
      <w:r>
        <w:rPr>
          <w:rFonts w:ascii="Times New Roman" w:cs="Times New Roman" w:eastAsia="Times New Roman" w:hAnsi="Times New Roman"/>
          <w:sz w:val="17"/>
          <w:szCs w:val="17"/>
          <w:color w:val="auto"/>
        </w:rPr>
        <w:t>The 2029 Senior Secured Notes issued to the Preferred Stock Holder have the same terms as the outstanding $40.9 million aggregate principal amount of 2029 Senior Secured Notes originally issued on November 6, 2024, and were issued pursuant to the Base Indenture and Supplemental Indenture entered into on that date by the Company, certain of its subsidiaries, as guarantors, and Wilmington Savings Fund Society, FSB, as trustee and collateral agent.</w:t>
      </w:r>
    </w:p>
    <w:p>
      <w:pPr>
        <w:spacing w:after="0" w:line="119" w:lineRule="exact"/>
        <w:rPr>
          <w:sz w:val="20"/>
          <w:szCs w:val="20"/>
          <w:color w:val="auto"/>
        </w:rPr>
      </w:pPr>
    </w:p>
    <w:p>
      <w:pPr>
        <w:jc w:val="both"/>
        <w:ind w:right="100" w:firstLine="381"/>
        <w:spacing w:after="0" w:line="256" w:lineRule="auto"/>
        <w:rPr>
          <w:sz w:val="20"/>
          <w:szCs w:val="20"/>
          <w:color w:val="auto"/>
        </w:rPr>
      </w:pPr>
      <w:r>
        <w:rPr>
          <w:rFonts w:ascii="Times New Roman" w:cs="Times New Roman" w:eastAsia="Times New Roman" w:hAnsi="Times New Roman"/>
          <w:sz w:val="17"/>
          <w:szCs w:val="17"/>
          <w:color w:val="auto"/>
        </w:rPr>
        <w:t>The Preferred Stock Exchange Agreement provides the Preferred Stock Holder with customary registration rights with respect to the common stock issued, pursuant to which, among other things, the Company agreed to file a registration statement with the Securities and Exchange Commission within six months following the Preferred Stock Exchange Closing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F-44</w:t>
      </w:r>
    </w:p>
    <w:p>
      <w:pPr>
        <w:sectPr>
          <w:pgSz w:w="12240" w:h="15840" w:orient="portrait"/>
          <w:cols w:equalWidth="0" w:num="1">
            <w:col w:w="10480"/>
          </w:cols>
          <w:pgMar w:left="840" w:top="568" w:right="920" w:bottom="1440" w:gutter="0" w:footer="0" w:header="0"/>
        </w:sectPr>
      </w:pPr>
    </w:p>
    <w:bookmarkStart w:id="89" w:name="page90"/>
    <w:bookmarkEnd w:id="89"/>
    <w:p>
      <w:pPr>
        <w:ind w:left="9680"/>
        <w:spacing w:after="0"/>
        <w:rPr>
          <w:sz w:val="20"/>
          <w:szCs w:val="20"/>
          <w:color w:val="auto"/>
        </w:rPr>
      </w:pPr>
      <w:r>
        <w:rPr>
          <w:rFonts w:ascii="Arial" w:cs="Arial" w:eastAsia="Arial" w:hAnsi="Arial"/>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649605</wp:posOffset>
            </wp:positionV>
            <wp:extent cx="1370965" cy="3708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0965" cy="37084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1245870</wp:posOffset>
            </wp:positionV>
            <wp:extent cx="6725285" cy="443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2528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37"/>
          <w:szCs w:val="37"/>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USER RESPONSIBILITY</w:t>
      </w:r>
    </w:p>
    <w:p>
      <w:pPr>
        <w:spacing w:after="0" w:line="239"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b w:val="1"/>
          <w:bCs w:val="1"/>
          <w:color w:val="auto"/>
        </w:rPr>
        <w:t>It is the document user’s responsibility to ensure that this document is current and complete if using a printed copy. Any hardcopy may be out of date. Consult the on-line version of the document, or the on-line Master List to verify current revision level, or contact Document Control.</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REVISION HISTORY</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6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Rev</w:t>
            </w:r>
          </w:p>
        </w:tc>
        <w:tc>
          <w:tcPr>
            <w:tcW w:w="13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5"/>
                <w:szCs w:val="15"/>
                <w:b w:val="1"/>
                <w:bCs w:val="1"/>
                <w:color w:val="auto"/>
              </w:rPr>
              <w:t>Date</w:t>
            </w:r>
          </w:p>
        </w:tc>
        <w:tc>
          <w:tcPr>
            <w:tcW w:w="408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5"/>
                <w:szCs w:val="15"/>
                <w:b w:val="1"/>
                <w:bCs w:val="1"/>
                <w:color w:val="auto"/>
              </w:rPr>
              <w:t>Brief Description of Change</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Originator</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Approved by</w:t>
            </w:r>
          </w:p>
        </w:tc>
      </w:tr>
      <w:tr>
        <w:trPr>
          <w:trHeight w:val="166"/>
        </w:trPr>
        <w:tc>
          <w:tcPr>
            <w:tcW w:w="68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4080" w:type="dxa"/>
            <w:vAlign w:val="bottom"/>
            <w:tcBorders>
              <w:bottom w:val="single" w:sz="8" w:color="auto"/>
              <w:right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2/15/13</w:t>
            </w: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C.Ratcliffe, SVP &amp; General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P. Leparulo, CEO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Counsel</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8/28/15</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Compliance Committee, Officers and Restricted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Lance Bridges, SVP &amp; General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 Newman,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Employees updated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Counsel</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3</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2/24/16</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 Updated</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Lance Bridges, SVP &amp; General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M. Newman,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Counsel</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1/13/17</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Changed company name references to Inseego Corp.</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Lance Bridges, SVP &amp;</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General Counsel</w:t>
            </w: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9/25/17</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Changed policy to reflect new legal counsel and update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 VP Legal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Steve Smith,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Affairs</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5/9/2018</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 Update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 VP Legal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Steve Smith,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Affairs</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7</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7/16/2018</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 Update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 VP Legal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Steve Smith,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Affairs</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8/8/2018</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 Update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 VP Legal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Steve Smith,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Affairs</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11/6/2019</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Exhibit A Update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Dennis Calderon, VP Legal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Steve Smith, EVP &amp; CFO</w:t>
            </w: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Affairs</w:t>
            </w: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r>
        <w:trPr>
          <w:trHeight w:val="203"/>
        </w:trPr>
        <w:tc>
          <w:tcPr>
            <w:tcW w:w="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5/13/2020</w:t>
            </w: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Add procedure for approving 10b5-1 Plans; Compliance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Kurt Scheuerman, SVP &amp;</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Board of Directors</w:t>
            </w:r>
          </w:p>
        </w:tc>
      </w:tr>
      <w:tr>
        <w:trPr>
          <w:trHeight w:val="190"/>
        </w:trPr>
        <w:tc>
          <w:tcPr>
            <w:tcW w:w="68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Officer and Compliance Committee updated; Hardship</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General Counsel</w:t>
            </w:r>
          </w:p>
        </w:tc>
        <w:tc>
          <w:tcPr>
            <w:tcW w:w="2120" w:type="dxa"/>
            <w:vAlign w:val="bottom"/>
            <w:tcBorders>
              <w:right w:val="single" w:sz="8" w:color="auto"/>
            </w:tcBorders>
          </w:tcPr>
          <w:p>
            <w:pPr>
              <w:spacing w:after="0"/>
              <w:rPr>
                <w:sz w:val="16"/>
                <w:szCs w:val="16"/>
                <w:color w:val="auto"/>
              </w:rPr>
            </w:pPr>
          </w:p>
        </w:tc>
      </w:tr>
      <w:tr>
        <w:trPr>
          <w:trHeight w:val="200"/>
        </w:trPr>
        <w:tc>
          <w:tcPr>
            <w:tcW w:w="6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exception deleted; Exhibits A &amp; B deleted</w:t>
            </w:r>
          </w:p>
        </w:tc>
        <w:tc>
          <w:tcPr>
            <w:tcW w:w="23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r>
      <w:tr>
        <w:trPr>
          <w:trHeight w:val="174"/>
        </w:trPr>
        <w:tc>
          <w:tcPr>
            <w:tcW w:w="680" w:type="dxa"/>
            <w:vAlign w:val="bottom"/>
            <w:tcBorders>
              <w:left w:val="single" w:sz="8" w:color="auto"/>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4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RESTRICTED PROPRIETARY INFORMATION</w:t>
      </w:r>
    </w:p>
    <w:p>
      <w:pPr>
        <w:spacing w:after="0" w:line="239" w:lineRule="exact"/>
        <w:rPr>
          <w:sz w:val="20"/>
          <w:szCs w:val="20"/>
          <w:color w:val="auto"/>
        </w:rPr>
      </w:pPr>
    </w:p>
    <w:p>
      <w:pPr>
        <w:ind w:right="320"/>
        <w:spacing w:after="0" w:line="280" w:lineRule="auto"/>
        <w:rPr>
          <w:sz w:val="20"/>
          <w:szCs w:val="20"/>
          <w:color w:val="auto"/>
        </w:rPr>
      </w:pPr>
      <w:r>
        <w:rPr>
          <w:rFonts w:ascii="Arial" w:cs="Arial" w:eastAsia="Arial" w:hAnsi="Arial"/>
          <w:sz w:val="18"/>
          <w:szCs w:val="18"/>
          <w:color w:val="auto"/>
        </w:rPr>
        <w:t>The information disclosed herein is the exclusive property of Inseego Corp. and is not to be disclosed without the written consent of Inseego Corp. No part of this publication may be reproduced or transmitted in any form or by any means including electronic storage, reproduction, execution or transmission without the prior written consent of Inseego Corp. The</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10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1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09" w:right="820" w:bottom="539" w:gutter="0" w:footer="0" w:header="0"/>
        </w:sectPr>
      </w:pPr>
    </w:p>
    <w:bookmarkStart w:id="90" w:name="page91"/>
    <w:bookmarkEnd w:id="90"/>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recipient of this document, by its retention and use, agrees to respect the security status of the information contained herein.</w:t>
      </w:r>
    </w:p>
    <w:p>
      <w:pPr>
        <w:spacing w:after="0" w:line="239"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The information contained in this document is subject to change without notice and should not be construed as a commitment by Inseego Corp. unless such commitment is expressly given in a covering document.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Copyright Inseego Corp. (2020)</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1"/>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2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91" w:name="page92"/>
    <w:bookmarkEnd w:id="91"/>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201" w:lineRule="exact"/>
        <w:rPr>
          <w:sz w:val="20"/>
          <w:szCs w:val="20"/>
          <w:color w:val="auto"/>
        </w:rPr>
      </w:pPr>
    </w:p>
    <w:p>
      <w:pPr>
        <w:ind w:left="220" w:right="20"/>
        <w:spacing w:after="0" w:line="283" w:lineRule="auto"/>
        <w:rPr>
          <w:sz w:val="20"/>
          <w:szCs w:val="20"/>
          <w:color w:val="auto"/>
        </w:rPr>
      </w:pPr>
      <w:r>
        <w:rPr>
          <w:rFonts w:ascii="Arial" w:cs="Arial" w:eastAsia="Arial" w:hAnsi="Arial"/>
          <w:sz w:val="18"/>
          <w:szCs w:val="18"/>
          <w:color w:val="auto"/>
        </w:rPr>
        <w:t>In order to comply with federal and state securities laws governing (a) trading in Inseego Corp. (“Company”) securities while in the possession of “material nonpublic information” concerning the Company, and (b) tipping or disclosing material nonpublic information to outsiders, and in order to prevent even the appearance of improper trading or tipping, the Company has adopted this policy for all of its directors, officers and employees, their immediate family members, and specially designated outsiders who have access to the Company’s material nonpublic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SCOPE</w:t>
      </w:r>
    </w:p>
    <w:p>
      <w:pPr>
        <w:spacing w:after="0" w:line="199" w:lineRule="exact"/>
        <w:rPr>
          <w:sz w:val="20"/>
          <w:szCs w:val="20"/>
          <w:color w:val="auto"/>
        </w:rPr>
      </w:pPr>
    </w:p>
    <w:p>
      <w:pPr>
        <w:ind w:left="740" w:right="160" w:hanging="532"/>
        <w:spacing w:after="0" w:line="284" w:lineRule="auto"/>
        <w:tabs>
          <w:tab w:leader="none" w:pos="7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This policy covers all directors, officers, employees of the Company and its subsidiaries, their immediate family members (collectively referred to as “</w:t>
      </w:r>
      <w:r>
        <w:rPr>
          <w:rFonts w:ascii="Arial" w:cs="Arial" w:eastAsia="Arial" w:hAnsi="Arial"/>
          <w:sz w:val="18"/>
          <w:szCs w:val="18"/>
          <w:b w:val="1"/>
          <w:bCs w:val="1"/>
          <w:i w:val="1"/>
          <w:iCs w:val="1"/>
          <w:color w:val="auto"/>
        </w:rPr>
        <w:t>Insiders</w:t>
      </w:r>
      <w:r>
        <w:rPr>
          <w:rFonts w:ascii="Arial" w:cs="Arial" w:eastAsia="Arial" w:hAnsi="Arial"/>
          <w:sz w:val="18"/>
          <w:szCs w:val="18"/>
          <w:b w:val="1"/>
          <w:bCs w:val="1"/>
          <w:color w:val="auto"/>
        </w:rPr>
        <w:t>”), and any consultants, service providers, independent contractors or other persons whom the Insider Trading Compliance Officer may designate as Insiders because they have access to material nonpublic information concerning the Company.</w:t>
      </w:r>
    </w:p>
    <w:p>
      <w:pPr>
        <w:spacing w:after="0" w:line="127" w:lineRule="exact"/>
        <w:rPr>
          <w:sz w:val="20"/>
          <w:szCs w:val="20"/>
          <w:color w:val="auto"/>
        </w:rPr>
      </w:pPr>
    </w:p>
    <w:p>
      <w:pPr>
        <w:ind w:left="740" w:right="700" w:hanging="532"/>
        <w:spacing w:after="0" w:line="309" w:lineRule="auto"/>
        <w:tabs>
          <w:tab w:leader="none" w:pos="720" w:val="left"/>
        </w:tabs>
        <w:rPr>
          <w:sz w:val="20"/>
          <w:szCs w:val="20"/>
          <w:color w:val="auto"/>
        </w:rPr>
      </w:pPr>
      <w:r>
        <w:rPr>
          <w:rFonts w:ascii="Arial" w:cs="Arial" w:eastAsia="Arial" w:hAnsi="Arial"/>
          <w:sz w:val="18"/>
          <w:szCs w:val="18"/>
          <w:color w:val="auto"/>
        </w:rPr>
        <w:t>2.2</w:t>
        <w:tab/>
        <w:t>The policy applies to any and all transactions in the Company’s securities, including its common stock and options to purchase common stock, and any other type of securities that the Company may issue.</w:t>
      </w:r>
    </w:p>
    <w:p>
      <w:pPr>
        <w:spacing w:after="0" w:line="115" w:lineRule="exact"/>
        <w:rPr>
          <w:sz w:val="20"/>
          <w:szCs w:val="20"/>
          <w:color w:val="auto"/>
        </w:rPr>
      </w:pPr>
    </w:p>
    <w:p>
      <w:pPr>
        <w:ind w:left="740" w:right="80" w:hanging="532"/>
        <w:spacing w:after="0" w:line="279" w:lineRule="auto"/>
        <w:tabs>
          <w:tab w:leader="none" w:pos="720" w:val="left"/>
        </w:tabs>
        <w:rPr>
          <w:sz w:val="20"/>
          <w:szCs w:val="20"/>
          <w:color w:val="auto"/>
        </w:rPr>
      </w:pPr>
      <w:r>
        <w:rPr>
          <w:rFonts w:ascii="Arial" w:cs="Arial" w:eastAsia="Arial" w:hAnsi="Arial"/>
          <w:sz w:val="18"/>
          <w:szCs w:val="18"/>
          <w:color w:val="auto"/>
        </w:rPr>
        <w:t>2.3</w:t>
        <w:tab/>
        <w:t>The policy is delivered to all directors, officers, employees and designated outsiders and to all new directors, officers, employees and designated outsiders at the start of their employment or relationship with the Company. Upon first receiving a copy of the policy or any revised versions, each Insider must sign an acknowledgment that he or she has received a copy and agrees to comply with the policy’s terms. Pre-Clearance Persons, as defined below, will be required to certify compliance with the policy on an annual basis.</w:t>
      </w:r>
    </w:p>
    <w:p>
      <w:pPr>
        <w:spacing w:after="0" w:line="143" w:lineRule="exact"/>
        <w:rPr>
          <w:sz w:val="20"/>
          <w:szCs w:val="20"/>
          <w:color w:val="auto"/>
        </w:rPr>
      </w:pPr>
    </w:p>
    <w:p>
      <w:pPr>
        <w:ind w:left="740" w:right="460" w:hanging="532"/>
        <w:spacing w:after="0" w:line="284" w:lineRule="auto"/>
        <w:tabs>
          <w:tab w:leader="none" w:pos="720" w:val="left"/>
        </w:tabs>
        <w:rPr>
          <w:sz w:val="20"/>
          <w:szCs w:val="20"/>
          <w:color w:val="auto"/>
        </w:rPr>
      </w:pPr>
      <w:r>
        <w:rPr>
          <w:rFonts w:ascii="Arial" w:cs="Arial" w:eastAsia="Arial" w:hAnsi="Arial"/>
          <w:sz w:val="18"/>
          <w:szCs w:val="18"/>
          <w:color w:val="auto"/>
        </w:rPr>
        <w:t>2.4</w:t>
        <w:tab/>
        <w:t>Insiders are expected to comply with this policy until such time as they are no longer affiliated with the Company and no longer possess any material nonpublic information subject to this policy. In addition, if an Insider is subject to a trading blackout under this policy at the time they cease to be affiliated with the Company, they are expected to abide by the applicable trading restrictions until at least the end of the relevant blackout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PRE-CLEARANCE PERSONS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persons (“Pre-Clearance Persons”) must obtain prior written approval of all trades in Company securities from the</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Compliance Officer in accordance with the procedures set forth in Section 6.3 below:</w:t>
      </w:r>
    </w:p>
    <w:p>
      <w:pPr>
        <w:spacing w:after="0" w:line="199" w:lineRule="exact"/>
        <w:rPr>
          <w:sz w:val="20"/>
          <w:szCs w:val="20"/>
          <w:color w:val="auto"/>
        </w:rPr>
      </w:pPr>
    </w:p>
    <w:p>
      <w:pPr>
        <w:ind w:left="300"/>
        <w:spacing w:after="0"/>
        <w:tabs>
          <w:tab w:leader="none" w:pos="7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members of the Company’s board of directors;</w:t>
      </w:r>
    </w:p>
    <w:p>
      <w:pPr>
        <w:spacing w:after="0" w:line="187" w:lineRule="exact"/>
        <w:rPr>
          <w:sz w:val="20"/>
          <w:szCs w:val="20"/>
          <w:color w:val="auto"/>
        </w:rPr>
      </w:pPr>
    </w:p>
    <w:p>
      <w:pPr>
        <w:ind w:left="300"/>
        <w:spacing w:after="0"/>
        <w:tabs>
          <w:tab w:leader="none" w:pos="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executive officers of the Company;</w:t>
      </w:r>
    </w:p>
    <w:p>
      <w:pPr>
        <w:spacing w:after="0" w:line="199" w:lineRule="exact"/>
        <w:rPr>
          <w:sz w:val="20"/>
          <w:szCs w:val="20"/>
          <w:color w:val="auto"/>
        </w:rPr>
      </w:pPr>
    </w:p>
    <w:p>
      <w:pPr>
        <w:ind w:left="740" w:right="280" w:hanging="532"/>
        <w:spacing w:after="0" w:line="309" w:lineRule="auto"/>
        <w:tabs>
          <w:tab w:leader="none" w:pos="720" w:val="left"/>
        </w:tabs>
        <w:rPr>
          <w:sz w:val="20"/>
          <w:szCs w:val="20"/>
          <w:color w:val="auto"/>
        </w:rPr>
      </w:pPr>
      <w:r>
        <w:rPr>
          <w:rFonts w:ascii="Arial" w:cs="Arial" w:eastAsia="Arial" w:hAnsi="Arial"/>
          <w:sz w:val="18"/>
          <w:szCs w:val="18"/>
          <w:color w:val="auto"/>
        </w:rPr>
        <w:t>3.3</w:t>
        <w:tab/>
        <w:t>Executive Vice Presidents and Senior Vice Presidents of the Company and any other direct reports to the Chief Executive Officer;</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3 of</w:t>
            </w:r>
          </w:p>
        </w:tc>
      </w:tr>
      <w:tr>
        <w:trPr>
          <w:trHeight w:val="297"/>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31"/>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r>
    </w:tbl>
    <w:p>
      <w:pPr>
        <w:sectPr>
          <w:pgSz w:w="12240" w:h="15840" w:orient="portrait"/>
          <w:cols w:equalWidth="0" w:num="1">
            <w:col w:w="10580"/>
          </w:cols>
          <w:pgMar w:left="840" w:top="1440" w:right="820" w:bottom="1440" w:gutter="0" w:footer="0" w:header="0"/>
        </w:sectPr>
      </w:pPr>
    </w:p>
    <w:bookmarkStart w:id="92" w:name="page93"/>
    <w:bookmarkEnd w:id="92"/>
    <w:p>
      <w:pPr>
        <w:spacing w:after="0" w:line="77" w:lineRule="exact"/>
        <w:rPr>
          <w:sz w:val="20"/>
          <w:szCs w:val="20"/>
          <w:color w:val="auto"/>
        </w:rPr>
      </w:pPr>
    </w:p>
    <w:p>
      <w:pPr>
        <w:ind w:left="748" w:right="160" w:hanging="532"/>
        <w:spacing w:after="0" w:line="309" w:lineRule="auto"/>
        <w:tabs>
          <w:tab w:leader="none" w:pos="728" w:val="left"/>
        </w:tabs>
        <w:rPr>
          <w:sz w:val="20"/>
          <w:szCs w:val="20"/>
          <w:color w:val="auto"/>
        </w:rPr>
      </w:pPr>
      <w:r>
        <w:rPr>
          <w:rFonts w:ascii="Arial" w:cs="Arial" w:eastAsia="Arial" w:hAnsi="Arial"/>
          <w:sz w:val="18"/>
          <w:szCs w:val="18"/>
          <w:color w:val="auto"/>
        </w:rPr>
        <w:t>3.4</w:t>
        <w:tab/>
        <w:t>All persons subject to the reporting provisions and trading restrictions of Section 16 of the Securities Exchange Act of 1934, as amended (the “Exchange Act”), and the underlying rules and regulations promulgated by the SEC; and</w:t>
      </w:r>
    </w:p>
    <w:p>
      <w:pPr>
        <w:spacing w:after="0" w:line="115"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All other persons designated by the Compliance Officer who, because of their access to material nonpublic information.</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4. INSIDER TRADING COMPLIANCE OFFICER AND COMPLIANCE COMMITTEE</w:t>
      </w:r>
    </w:p>
    <w:p>
      <w:pPr>
        <w:spacing w:after="0" w:line="201" w:lineRule="exact"/>
        <w:rPr>
          <w:sz w:val="20"/>
          <w:szCs w:val="20"/>
          <w:color w:val="auto"/>
        </w:rPr>
      </w:pPr>
    </w:p>
    <w:p>
      <w:pPr>
        <w:ind w:left="228" w:right="40"/>
        <w:spacing w:after="0" w:line="279" w:lineRule="auto"/>
        <w:rPr>
          <w:sz w:val="20"/>
          <w:szCs w:val="20"/>
          <w:color w:val="auto"/>
        </w:rPr>
      </w:pPr>
      <w:r>
        <w:rPr>
          <w:rFonts w:ascii="Arial" w:cs="Arial" w:eastAsia="Arial" w:hAnsi="Arial"/>
          <w:sz w:val="18"/>
          <w:szCs w:val="18"/>
          <w:color w:val="auto"/>
        </w:rPr>
        <w:t>The Company has designated its General Counsel as its Insider Trading Compliance Officer (the “</w:t>
      </w:r>
      <w:r>
        <w:rPr>
          <w:rFonts w:ascii="Arial" w:cs="Arial" w:eastAsia="Arial" w:hAnsi="Arial"/>
          <w:sz w:val="18"/>
          <w:szCs w:val="18"/>
          <w:i w:val="1"/>
          <w:iCs w:val="1"/>
          <w:color w:val="auto"/>
        </w:rPr>
        <w:t>Compliance Officer</w:t>
      </w:r>
      <w:r>
        <w:rPr>
          <w:rFonts w:ascii="Arial" w:cs="Arial" w:eastAsia="Arial" w:hAnsi="Arial"/>
          <w:sz w:val="18"/>
          <w:szCs w:val="18"/>
          <w:color w:val="auto"/>
        </w:rPr>
        <w:t>”). The Insider Trading Compliance Committee (the “Compliance Committee”) will consist of the Compliance Officer, Chief Financial Officer and Controller. The Compliance Officer (or, if the Compliance Officer is unavailable, a member of the Compliance Committee) will review and either approve or prohibit all proposed trades by Pre-Clearance Persons in accordance with the procedures set forth in Section 6.3 below.</w:t>
      </w:r>
    </w:p>
    <w:p>
      <w:pPr>
        <w:spacing w:after="0" w:line="143" w:lineRule="exact"/>
        <w:rPr>
          <w:sz w:val="20"/>
          <w:szCs w:val="20"/>
          <w:color w:val="auto"/>
        </w:rPr>
      </w:pPr>
    </w:p>
    <w:p>
      <w:pPr>
        <w:ind w:left="228" w:right="620"/>
        <w:spacing w:after="0" w:line="309" w:lineRule="auto"/>
        <w:rPr>
          <w:sz w:val="20"/>
          <w:szCs w:val="20"/>
          <w:color w:val="auto"/>
        </w:rPr>
      </w:pPr>
      <w:r>
        <w:rPr>
          <w:rFonts w:ascii="Arial" w:cs="Arial" w:eastAsia="Arial" w:hAnsi="Arial"/>
          <w:sz w:val="18"/>
          <w:szCs w:val="18"/>
          <w:color w:val="auto"/>
        </w:rPr>
        <w:t>In addition to the trading approval duties described in Section 6.3 below, the duties of the Compliance Officer will include the following:</w:t>
      </w:r>
    </w:p>
    <w:p>
      <w:pPr>
        <w:spacing w:after="0" w:line="115"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Administering this policy and monitoring and enforcing compliance with all policy provisions and procedures.</w:t>
      </w:r>
    </w:p>
    <w:p>
      <w:pPr>
        <w:spacing w:after="0" w:line="199"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Responding to all inquiries relating to this policy and its procedures.</w:t>
      </w:r>
    </w:p>
    <w:p>
      <w:pPr>
        <w:spacing w:after="0" w:line="199"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Designating and announcing special trading blackout periods during which no Insiders may trade in Company securities.</w:t>
      </w:r>
    </w:p>
    <w:p>
      <w:pPr>
        <w:spacing w:after="0" w:line="187" w:lineRule="exact"/>
        <w:rPr>
          <w:sz w:val="20"/>
          <w:szCs w:val="20"/>
          <w:color w:val="auto"/>
        </w:rPr>
      </w:pPr>
    </w:p>
    <w:p>
      <w:pPr>
        <w:ind w:left="748" w:right="60" w:hanging="532"/>
        <w:spacing w:after="0" w:line="294" w:lineRule="auto"/>
        <w:tabs>
          <w:tab w:leader="none" w:pos="728" w:val="left"/>
        </w:tabs>
        <w:rPr>
          <w:sz w:val="20"/>
          <w:szCs w:val="20"/>
          <w:color w:val="auto"/>
        </w:rPr>
      </w:pPr>
      <w:r>
        <w:rPr>
          <w:rFonts w:ascii="Arial" w:cs="Arial" w:eastAsia="Arial" w:hAnsi="Arial"/>
          <w:sz w:val="18"/>
          <w:szCs w:val="18"/>
          <w:color w:val="auto"/>
        </w:rPr>
        <w:t>4.4</w:t>
        <w:tab/>
        <w:t>Providing copies of this policy and other appropriate materials to all current and new directors, officers and employees, and such other persons whom the Compliance Officer determines have access to material nonpublic information concerning the Company.</w:t>
      </w:r>
    </w:p>
    <w:p>
      <w:pPr>
        <w:spacing w:after="0" w:line="128"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Administering, monitoring and enforcing compliance with all federal and state insider trading laws and regulations.</w:t>
      </w:r>
    </w:p>
    <w:p>
      <w:pPr>
        <w:spacing w:after="0" w:line="199"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Revising the policy as necessary to reflect changes in federal and state insider trading laws and regulations.</w:t>
      </w:r>
    </w:p>
    <w:p>
      <w:pPr>
        <w:spacing w:after="0" w:line="199" w:lineRule="exact"/>
        <w:rPr>
          <w:sz w:val="20"/>
          <w:szCs w:val="20"/>
          <w:color w:val="auto"/>
        </w:rPr>
      </w:pPr>
    </w:p>
    <w:p>
      <w:pPr>
        <w:ind w:left="748" w:right="800" w:hanging="532"/>
        <w:spacing w:after="0" w:line="295" w:lineRule="auto"/>
        <w:tabs>
          <w:tab w:leader="none" w:pos="728" w:val="left"/>
        </w:tabs>
        <w:rPr>
          <w:sz w:val="20"/>
          <w:szCs w:val="20"/>
          <w:color w:val="auto"/>
        </w:rPr>
      </w:pPr>
      <w:r>
        <w:rPr>
          <w:rFonts w:ascii="Arial" w:cs="Arial" w:eastAsia="Arial" w:hAnsi="Arial"/>
          <w:sz w:val="18"/>
          <w:szCs w:val="18"/>
          <w:color w:val="auto"/>
        </w:rPr>
        <w:t>4.7</w:t>
        <w:tab/>
        <w:t>Maintaining as Company records originals or copies of all documents required by the provisions of this policy or the procedures set forth herein.</w:t>
      </w:r>
    </w:p>
    <w:p>
      <w:pPr>
        <w:spacing w:after="0" w:line="126"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Maintaining an accurate list of Pre-Clearance Persons.</w:t>
      </w:r>
    </w:p>
    <w:p>
      <w:pPr>
        <w:spacing w:after="0" w:line="199"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Providing approval of any Approved Trading Plans under Section 6.4.3 below.</w:t>
      </w:r>
    </w:p>
    <w:p>
      <w:pPr>
        <w:spacing w:after="0" w:line="199" w:lineRule="exact"/>
        <w:rPr>
          <w:sz w:val="20"/>
          <w:szCs w:val="20"/>
          <w:color w:val="auto"/>
        </w:rPr>
      </w:pPr>
    </w:p>
    <w:p>
      <w:pPr>
        <w:ind w:left="828" w:right="360"/>
        <w:spacing w:after="0" w:line="287" w:lineRule="auto"/>
        <w:rPr>
          <w:sz w:val="20"/>
          <w:szCs w:val="20"/>
          <w:color w:val="auto"/>
        </w:rPr>
      </w:pPr>
      <w:r>
        <w:rPr>
          <w:rFonts w:ascii="Arial" w:cs="Arial" w:eastAsia="Arial" w:hAnsi="Arial"/>
          <w:sz w:val="18"/>
          <w:szCs w:val="18"/>
          <w:color w:val="auto"/>
        </w:rPr>
        <w:t>The Compliance Officer may designate one or more individuals who may perform the Compliance Officer’s duties or the duties of another member of the Compliance Committee in the event that the Compliance Officer or other Committee member is unable or unavailable to perform such duties.</w:t>
      </w:r>
    </w:p>
    <w:p>
      <w:pPr>
        <w:spacing w:after="0" w:line="132" w:lineRule="exact"/>
        <w:rPr>
          <w:sz w:val="20"/>
          <w:szCs w:val="20"/>
          <w:color w:val="auto"/>
        </w:rPr>
      </w:pPr>
    </w:p>
    <w:p>
      <w:pPr>
        <w:ind w:left="308" w:right="5560" w:hanging="308"/>
        <w:spacing w:after="0" w:line="503" w:lineRule="auto"/>
        <w:tabs>
          <w:tab w:leader="none" w:pos="20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“MATERIAL NONPUBLIC INFORMATION” </w:t>
      </w:r>
      <w:r>
        <w:rPr>
          <w:rFonts w:ascii="Arial" w:cs="Arial" w:eastAsia="Arial" w:hAnsi="Arial"/>
          <w:sz w:val="18"/>
          <w:szCs w:val="18"/>
          <w:color w:val="auto"/>
        </w:rPr>
        <w:t>1.1 “Material” Information</w:t>
      </w:r>
    </w:p>
    <w:p>
      <w:pPr>
        <w:spacing w:after="0" w:line="79" w:lineRule="exact"/>
        <w:rPr>
          <w:sz w:val="20"/>
          <w:szCs w:val="20"/>
          <w:color w:val="auto"/>
        </w:rPr>
      </w:pPr>
    </w:p>
    <w:tbl>
      <w:tblPr>
        <w:tblLayout w:type="fixed"/>
        <w:tblInd w:w="18"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4 of</w:t>
            </w:r>
          </w:p>
        </w:tc>
      </w:tr>
      <w:tr>
        <w:trPr>
          <w:trHeight w:val="297"/>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31"/>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r>
    </w:tbl>
    <w:p>
      <w:pPr>
        <w:sectPr>
          <w:pgSz w:w="12240" w:h="15840" w:orient="portrait"/>
          <w:cols w:equalWidth="0" w:num="1">
            <w:col w:w="10588"/>
          </w:cols>
          <w:pgMar w:left="832" w:top="1440" w:right="820" w:bottom="1440" w:gutter="0" w:footer="0" w:header="0"/>
        </w:sectPr>
      </w:pPr>
    </w:p>
    <w:bookmarkStart w:id="93" w:name="page94"/>
    <w:bookmarkEnd w:id="93"/>
    <w:p>
      <w:pPr>
        <w:spacing w:after="0" w:line="77" w:lineRule="exact"/>
        <w:rPr>
          <w:sz w:val="20"/>
          <w:szCs w:val="20"/>
          <w:color w:val="auto"/>
        </w:rPr>
      </w:pPr>
    </w:p>
    <w:p>
      <w:pPr>
        <w:ind w:left="908" w:right="100"/>
        <w:spacing w:after="0" w:line="303" w:lineRule="auto"/>
        <w:rPr>
          <w:sz w:val="20"/>
          <w:szCs w:val="20"/>
          <w:color w:val="auto"/>
        </w:rPr>
      </w:pPr>
      <w:r>
        <w:rPr>
          <w:rFonts w:ascii="Arial" w:cs="Arial" w:eastAsia="Arial" w:hAnsi="Arial"/>
          <w:sz w:val="17"/>
          <w:szCs w:val="17"/>
          <w:color w:val="auto"/>
        </w:rPr>
        <w:t>Information about the Company is “material” if it would be expected to affect the investment or voting decisions of the reasonable shareholder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price of Company securities. While it is not possible to identify all information that would be deemed “material,” the following types of information ordinarily would be considered material:</w:t>
      </w:r>
    </w:p>
    <w:p>
      <w:pPr>
        <w:spacing w:after="0" w:line="125" w:lineRule="exact"/>
        <w:rPr>
          <w:sz w:val="20"/>
          <w:szCs w:val="20"/>
          <w:color w:val="auto"/>
        </w:rPr>
      </w:pPr>
    </w:p>
    <w:p>
      <w:pPr>
        <w:ind w:left="1228" w:right="60" w:hanging="314"/>
        <w:spacing w:after="0" w:line="278" w:lineRule="auto"/>
        <w:tabs>
          <w:tab w:leader="none" w:pos="1227"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performance, especially quarterly and year-end earnings, and significant changes in financial performance or liquidity.</w:t>
      </w:r>
    </w:p>
    <w:p>
      <w:pPr>
        <w:spacing w:after="0" w:line="2"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Company projections and strategic plans.</w:t>
      </w:r>
    </w:p>
    <w:p>
      <w:pPr>
        <w:spacing w:after="0" w:line="46"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mergers and acquisitions or the sale of Company assets or subsidiaries.</w:t>
      </w:r>
    </w:p>
    <w:p>
      <w:pPr>
        <w:spacing w:after="0" w:line="33"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New major contracts, orders, suppliers, customers, or finance sources, or the loss thereof.</w:t>
      </w:r>
    </w:p>
    <w:p>
      <w:pPr>
        <w:spacing w:after="0" w:line="46"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Major discoveries or significant changes or developments in products or product lines, research or technologies.</w:t>
      </w:r>
    </w:p>
    <w:p>
      <w:pPr>
        <w:spacing w:after="0" w:line="33" w:lineRule="exact"/>
        <w:rPr>
          <w:rFonts w:ascii="Times New Roman" w:cs="Times New Roman" w:eastAsia="Times New Roman" w:hAnsi="Times New Roman"/>
          <w:sz w:val="18"/>
          <w:szCs w:val="18"/>
          <w:color w:val="auto"/>
        </w:rPr>
      </w:pPr>
    </w:p>
    <w:p>
      <w:pPr>
        <w:ind w:left="1228" w:right="240" w:hanging="314"/>
        <w:spacing w:after="0" w:line="285" w:lineRule="auto"/>
        <w:tabs>
          <w:tab w:leader="none" w:pos="1227"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or developments in supplies or inventory, including significant product defects, recalls or product returns.</w:t>
      </w:r>
    </w:p>
    <w:p>
      <w:pPr>
        <w:spacing w:after="0" w:line="2"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pricing changes.</w:t>
      </w:r>
    </w:p>
    <w:p>
      <w:pPr>
        <w:spacing w:after="0" w:line="33"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public or private securities offerings, or changes in Company dividend policies or amounts.</w:t>
      </w:r>
    </w:p>
    <w:p>
      <w:pPr>
        <w:spacing w:after="0" w:line="46"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in senior management.</w:t>
      </w:r>
    </w:p>
    <w:p>
      <w:pPr>
        <w:spacing w:after="0" w:line="33" w:lineRule="exact"/>
        <w:rPr>
          <w:rFonts w:ascii="Times New Roman" w:cs="Times New Roman" w:eastAsia="Times New Roman" w:hAnsi="Times New Roman"/>
          <w:sz w:val="18"/>
          <w:szCs w:val="18"/>
          <w:color w:val="auto"/>
        </w:rPr>
      </w:pPr>
    </w:p>
    <w:p>
      <w:pPr>
        <w:ind w:left="1208" w:hanging="294"/>
        <w:spacing w:after="0"/>
        <w:tabs>
          <w:tab w:leader="none" w:pos="1208"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major litigation or the resolution of such litigation.</w:t>
      </w:r>
    </w:p>
    <w:p>
      <w:pPr>
        <w:spacing w:after="0" w:line="211"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“Nonpublic” Information</w:t>
      </w:r>
    </w:p>
    <w:p>
      <w:pPr>
        <w:spacing w:after="0" w:line="199" w:lineRule="exact"/>
        <w:rPr>
          <w:sz w:val="20"/>
          <w:szCs w:val="20"/>
          <w:color w:val="auto"/>
        </w:rPr>
      </w:pPr>
    </w:p>
    <w:p>
      <w:pPr>
        <w:ind w:left="688" w:right="80"/>
        <w:spacing w:after="0" w:line="284" w:lineRule="auto"/>
        <w:rPr>
          <w:sz w:val="20"/>
          <w:szCs w:val="20"/>
          <w:color w:val="auto"/>
        </w:rPr>
      </w:pPr>
      <w:r>
        <w:rPr>
          <w:rFonts w:ascii="Arial" w:cs="Arial" w:eastAsia="Arial" w:hAnsi="Arial"/>
          <w:sz w:val="18"/>
          <w:szCs w:val="18"/>
          <w:color w:val="auto"/>
        </w:rPr>
        <w:t>Information is “nonpublic” if it has not been widely disseminated to the public through major newswire services, national news services and financial news services. For the purposes of this policy, information will be considered public, i.e., no longer “nonpublic,” after the close of trading on the second full trading day following the Company’s widespread public release of the information.</w:t>
      </w:r>
    </w:p>
    <w:p>
      <w:pPr>
        <w:spacing w:after="0" w:line="138" w:lineRule="exact"/>
        <w:rPr>
          <w:sz w:val="20"/>
          <w:szCs w:val="20"/>
          <w:color w:val="auto"/>
        </w:rPr>
      </w:pPr>
    </w:p>
    <w:p>
      <w:pPr>
        <w:ind w:left="308"/>
        <w:spacing w:after="0"/>
        <w:tabs>
          <w:tab w:leader="none" w:pos="728"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Consult the Compliance Officer for Guidance</w:t>
      </w:r>
    </w:p>
    <w:p>
      <w:pPr>
        <w:spacing w:after="0" w:line="199" w:lineRule="exact"/>
        <w:rPr>
          <w:sz w:val="20"/>
          <w:szCs w:val="20"/>
          <w:color w:val="auto"/>
        </w:rPr>
      </w:pPr>
    </w:p>
    <w:p>
      <w:pPr>
        <w:ind w:left="688" w:right="320"/>
        <w:spacing w:after="0" w:line="309" w:lineRule="auto"/>
        <w:rPr>
          <w:sz w:val="20"/>
          <w:szCs w:val="20"/>
          <w:color w:val="auto"/>
        </w:rPr>
      </w:pPr>
      <w:r>
        <w:rPr>
          <w:rFonts w:ascii="Arial" w:cs="Arial" w:eastAsia="Arial" w:hAnsi="Arial"/>
          <w:sz w:val="18"/>
          <w:szCs w:val="18"/>
          <w:color w:val="auto"/>
        </w:rPr>
        <w:t>Any Insider who is unsure whether the information that they possess is material or nonpublic must consult the Compliance Officer for guidance before trading in any Company securities.</w:t>
      </w:r>
    </w:p>
    <w:p>
      <w:pPr>
        <w:spacing w:after="0" w:line="113" w:lineRule="exact"/>
        <w:rPr>
          <w:sz w:val="20"/>
          <w:szCs w:val="20"/>
          <w:color w:val="auto"/>
        </w:rPr>
      </w:pPr>
    </w:p>
    <w:p>
      <w:pPr>
        <w:ind w:left="388" w:right="5640" w:hanging="388"/>
        <w:spacing w:after="0" w:line="464" w:lineRule="auto"/>
        <w:tabs>
          <w:tab w:leader="none" w:pos="20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STATEMENT OF COMPANY POLICY AND PROCEDURES </w:t>
      </w:r>
      <w:r>
        <w:rPr>
          <w:rFonts w:ascii="Arial" w:cs="Arial" w:eastAsia="Arial" w:hAnsi="Arial"/>
          <w:sz w:val="18"/>
          <w:szCs w:val="18"/>
          <w:color w:val="auto"/>
        </w:rPr>
        <w:t>6.1 Prohibited Activities</w:t>
      </w:r>
    </w:p>
    <w:p>
      <w:pPr>
        <w:spacing w:after="0" w:line="2" w:lineRule="exact"/>
        <w:rPr>
          <w:sz w:val="20"/>
          <w:szCs w:val="20"/>
          <w:color w:val="auto"/>
        </w:rPr>
      </w:pPr>
    </w:p>
    <w:p>
      <w:pPr>
        <w:ind w:left="1408" w:right="700" w:hanging="608"/>
        <w:spacing w:after="0" w:line="309" w:lineRule="auto"/>
        <w:tabs>
          <w:tab w:leader="none" w:pos="1388" w:val="left"/>
        </w:tabs>
        <w:rPr>
          <w:sz w:val="20"/>
          <w:szCs w:val="20"/>
          <w:color w:val="auto"/>
        </w:rPr>
      </w:pPr>
      <w:r>
        <w:rPr>
          <w:rFonts w:ascii="Arial" w:cs="Arial" w:eastAsia="Arial" w:hAnsi="Arial"/>
          <w:sz w:val="18"/>
          <w:szCs w:val="18"/>
          <w:color w:val="auto"/>
        </w:rPr>
        <w:t>6.1.</w:t>
        <w:tab/>
        <w:t>No Insider may trade in Company securities while possessing material nonpublic information concerning the Company (except as discussed in the section entitled “Limited Exceptions” below).</w:t>
      </w:r>
    </w:p>
    <w:p>
      <w:pPr>
        <w:spacing w:after="0" w:line="115" w:lineRule="exact"/>
        <w:rPr>
          <w:sz w:val="20"/>
          <w:szCs w:val="20"/>
          <w:color w:val="auto"/>
        </w:rPr>
      </w:pPr>
    </w:p>
    <w:p>
      <w:pPr>
        <w:ind w:left="1528" w:right="20" w:hanging="608"/>
        <w:spacing w:after="0" w:line="274" w:lineRule="auto"/>
        <w:tabs>
          <w:tab w:leader="none" w:pos="1508" w:val="left"/>
        </w:tabs>
        <w:rPr>
          <w:sz w:val="20"/>
          <w:szCs w:val="20"/>
          <w:color w:val="auto"/>
        </w:rPr>
      </w:pPr>
      <w:r>
        <w:rPr>
          <w:rFonts w:ascii="Arial" w:cs="Arial" w:eastAsia="Arial" w:hAnsi="Arial"/>
          <w:sz w:val="18"/>
          <w:szCs w:val="18"/>
          <w:color w:val="auto"/>
        </w:rPr>
        <w:t>1.1.2</w:t>
        <w:tab/>
        <w:t>No Insider may trade in Company securities outside the applicable “trading windows” described in Section 6.2 below, or during any special trading blackout periods designated by the Compliance Officer (except as discussed in the section entitled “Limited Exceptions” below).</w:t>
      </w:r>
    </w:p>
    <w:p>
      <w:pPr>
        <w:spacing w:after="0" w:line="2" w:lineRule="exact"/>
        <w:rPr>
          <w:sz w:val="20"/>
          <w:szCs w:val="20"/>
          <w:color w:val="auto"/>
        </w:rPr>
      </w:pPr>
    </w:p>
    <w:p>
      <w:pPr>
        <w:ind w:left="1528" w:right="140" w:hanging="609"/>
        <w:spacing w:after="0" w:line="295" w:lineRule="auto"/>
        <w:tabs>
          <w:tab w:leader="none" w:pos="1508" w:val="left"/>
        </w:tabs>
        <w:rPr>
          <w:sz w:val="20"/>
          <w:szCs w:val="20"/>
          <w:color w:val="auto"/>
        </w:rPr>
      </w:pPr>
      <w:r>
        <w:rPr>
          <w:rFonts w:ascii="Arial" w:cs="Arial" w:eastAsia="Arial" w:hAnsi="Arial"/>
          <w:sz w:val="18"/>
          <w:szCs w:val="18"/>
          <w:color w:val="auto"/>
        </w:rPr>
        <w:t>1.1.3</w:t>
        <w:tab/>
        <w:t>No Preclearance Person may trade in Company securities unless the trade(s) have been approved in advance in writing by the Compliance Officer in accordance with the procedures set forth in</w:t>
      </w:r>
    </w:p>
    <w:p>
      <w:pPr>
        <w:spacing w:after="0" w:line="93" w:lineRule="exact"/>
        <w:rPr>
          <w:sz w:val="20"/>
          <w:szCs w:val="20"/>
          <w:color w:val="auto"/>
        </w:rPr>
      </w:pPr>
    </w:p>
    <w:tbl>
      <w:tblPr>
        <w:tblLayout w:type="fixed"/>
        <w:tblInd w:w="18"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63"/>
        </w:trPr>
        <w:tc>
          <w:tcPr>
            <w:tcW w:w="2700" w:type="dxa"/>
            <w:vAlign w:val="bottom"/>
            <w:tcBorders>
              <w:left w:val="single" w:sz="8" w:color="auto"/>
              <w:right w:val="single" w:sz="8" w:color="auto"/>
            </w:tcBorders>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5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31"/>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r>
    </w:tbl>
    <w:p>
      <w:pPr>
        <w:sectPr>
          <w:pgSz w:w="12240" w:h="15840" w:orient="portrait"/>
          <w:cols w:equalWidth="0" w:num="1">
            <w:col w:w="10588"/>
          </w:cols>
          <w:pgMar w:left="832" w:top="1440" w:right="820" w:bottom="1440" w:gutter="0" w:footer="0" w:header="0"/>
        </w:sectPr>
      </w:pPr>
    </w:p>
    <w:bookmarkStart w:id="94" w:name="page95"/>
    <w:bookmarkEnd w:id="94"/>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6.3 below (except as discussed in the section entitled “Limited Exceptions” below).</w:t>
      </w:r>
    </w:p>
    <w:p>
      <w:pPr>
        <w:spacing w:after="0" w:line="34" w:lineRule="exact"/>
        <w:rPr>
          <w:sz w:val="20"/>
          <w:szCs w:val="20"/>
          <w:color w:val="auto"/>
        </w:rPr>
      </w:pPr>
    </w:p>
    <w:p>
      <w:pPr>
        <w:ind w:left="1520" w:right="120" w:hanging="609"/>
        <w:spacing w:after="0" w:line="274" w:lineRule="auto"/>
        <w:tabs>
          <w:tab w:leader="none" w:pos="1500" w:val="left"/>
        </w:tabs>
        <w:rPr>
          <w:sz w:val="20"/>
          <w:szCs w:val="20"/>
          <w:color w:val="auto"/>
        </w:rPr>
      </w:pPr>
      <w:r>
        <w:rPr>
          <w:rFonts w:ascii="Arial" w:cs="Arial" w:eastAsia="Arial" w:hAnsi="Arial"/>
          <w:sz w:val="18"/>
          <w:szCs w:val="18"/>
          <w:color w:val="auto"/>
        </w:rPr>
        <w:t>1.1.4</w:t>
        <w:tab/>
        <w:t>The Compliance Officer may not trade in Company securities unless the trade(s) have been approved by another member of the Compliance Committee, in accordance with the procedures set forth in Section 6.3 below (except as discussed in the section entitled “Limited Exceptions” below).</w:t>
      </w:r>
    </w:p>
    <w:p>
      <w:pPr>
        <w:spacing w:after="0" w:line="2" w:lineRule="exact"/>
        <w:rPr>
          <w:sz w:val="20"/>
          <w:szCs w:val="20"/>
          <w:color w:val="auto"/>
        </w:rPr>
      </w:pPr>
    </w:p>
    <w:p>
      <w:pPr>
        <w:ind w:left="1520" w:right="120" w:hanging="609"/>
        <w:spacing w:after="0" w:line="291" w:lineRule="auto"/>
        <w:tabs>
          <w:tab w:leader="none" w:pos="15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No Insider may “tip” or disclose material nonpublic information concerning the Company to any outside person (including family members, analysts, individual investors, and members of the investment community and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5" w:lineRule="exact"/>
        <w:rPr>
          <w:sz w:val="20"/>
          <w:szCs w:val="20"/>
          <w:color w:val="auto"/>
        </w:rPr>
      </w:pPr>
    </w:p>
    <w:p>
      <w:pPr>
        <w:ind w:left="1520" w:right="40" w:hanging="609"/>
        <w:spacing w:after="0" w:line="279" w:lineRule="auto"/>
        <w:tabs>
          <w:tab w:leader="none" w:pos="1500" w:val="left"/>
        </w:tabs>
        <w:rPr>
          <w:sz w:val="20"/>
          <w:szCs w:val="20"/>
          <w:color w:val="auto"/>
        </w:rPr>
      </w:pPr>
      <w:r>
        <w:rPr>
          <w:rFonts w:ascii="Arial" w:cs="Arial" w:eastAsia="Arial" w:hAnsi="Arial"/>
          <w:sz w:val="18"/>
          <w:szCs w:val="18"/>
          <w:color w:val="auto"/>
        </w:rPr>
        <w:t>1.1.6</w:t>
        <w:tab/>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207" w:lineRule="exact"/>
        <w:rPr>
          <w:sz w:val="20"/>
          <w:szCs w:val="20"/>
          <w:color w:val="auto"/>
        </w:rPr>
      </w:pPr>
    </w:p>
    <w:p>
      <w:pPr>
        <w:ind w:left="1520" w:right="240" w:hanging="609"/>
        <w:spacing w:after="0" w:line="309" w:lineRule="auto"/>
        <w:tabs>
          <w:tab w:leader="none" w:pos="1500" w:val="left"/>
        </w:tabs>
        <w:rPr>
          <w:sz w:val="20"/>
          <w:szCs w:val="20"/>
          <w:color w:val="auto"/>
        </w:rPr>
      </w:pPr>
      <w:r>
        <w:rPr>
          <w:rFonts w:ascii="Arial" w:cs="Arial" w:eastAsia="Arial" w:hAnsi="Arial"/>
          <w:sz w:val="18"/>
          <w:szCs w:val="18"/>
          <w:color w:val="auto"/>
        </w:rPr>
        <w:t>1.1.7</w:t>
        <w:tab/>
        <w:t>No Insider may trade in any interest or position relating to the future price of Company securities, such as a put, call or short sale. No Insider shall pledge Company stock.</w:t>
      </w:r>
    </w:p>
    <w:p>
      <w:pPr>
        <w:spacing w:after="0" w:line="178" w:lineRule="exact"/>
        <w:rPr>
          <w:sz w:val="20"/>
          <w:szCs w:val="20"/>
          <w:color w:val="auto"/>
        </w:rPr>
      </w:pPr>
    </w:p>
    <w:p>
      <w:pPr>
        <w:ind w:left="1520" w:right="220" w:hanging="609"/>
        <w:spacing w:after="0" w:line="284" w:lineRule="auto"/>
        <w:tabs>
          <w:tab w:leader="none" w:pos="1500" w:val="left"/>
        </w:tabs>
        <w:rPr>
          <w:sz w:val="20"/>
          <w:szCs w:val="20"/>
          <w:color w:val="auto"/>
        </w:rPr>
      </w:pPr>
      <w:r>
        <w:rPr>
          <w:rFonts w:ascii="Arial" w:cs="Arial" w:eastAsia="Arial" w:hAnsi="Arial"/>
          <w:sz w:val="18"/>
          <w:szCs w:val="18"/>
          <w:color w:val="auto"/>
        </w:rPr>
        <w:t>1.1.8</w:t>
        <w:tab/>
        <w:t>No Insider may (a) trade in the securities of 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spacing w:after="0" w:line="138"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Trading Windows and Blackout Periods</w:t>
      </w:r>
    </w:p>
    <w:p>
      <w:pPr>
        <w:spacing w:after="0" w:line="199" w:lineRule="exact"/>
        <w:rPr>
          <w:sz w:val="20"/>
          <w:szCs w:val="20"/>
          <w:color w:val="auto"/>
        </w:rPr>
      </w:pPr>
    </w:p>
    <w:p>
      <w:pPr>
        <w:ind w:left="1440" w:right="260" w:hanging="532"/>
        <w:spacing w:after="0" w:line="251" w:lineRule="auto"/>
        <w:tabs>
          <w:tab w:leader="none" w:pos="14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i w:val="1"/>
          <w:iCs w:val="1"/>
          <w:color w:val="auto"/>
        </w:rPr>
        <w:t>Trading Window for all Directors, Officers and Employees</w:t>
      </w:r>
      <w:r>
        <w:rPr>
          <w:rFonts w:ascii="Arial" w:cs="Arial" w:eastAsia="Arial" w:hAnsi="Arial"/>
          <w:sz w:val="18"/>
          <w:szCs w:val="18"/>
          <w:color w:val="auto"/>
        </w:rPr>
        <w:t>. Except pursuant to an Approved Trading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6.4.3 below), no Company director, officer, employee or other Insider may trade in Company securities unless the trading window is open. The trading window shall open on the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trading day following the Company’s widespread public quarterly earnings release and close on or about the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of the last month of the Company’s fiscal quarter or on such other date as the Compliance Committee shall determine from time to time.</w:t>
      </w:r>
    </w:p>
    <w:p>
      <w:pPr>
        <w:spacing w:after="0" w:line="156" w:lineRule="exact"/>
        <w:rPr>
          <w:sz w:val="20"/>
          <w:szCs w:val="20"/>
          <w:color w:val="auto"/>
        </w:rPr>
      </w:pPr>
    </w:p>
    <w:p>
      <w:pPr>
        <w:ind w:left="1440" w:right="60" w:hanging="532"/>
        <w:spacing w:after="0" w:line="284" w:lineRule="auto"/>
        <w:tabs>
          <w:tab w:leader="none" w:pos="14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i w:val="1"/>
          <w:iCs w:val="1"/>
          <w:color w:val="auto"/>
        </w:rPr>
        <w:t>No Trading During Trading Windows While in the Possession of Material Nonpublic Information</w:t>
      </w:r>
      <w:r>
        <w:rPr>
          <w:rFonts w:ascii="Arial" w:cs="Arial" w:eastAsia="Arial" w:hAnsi="Arial"/>
          <w:sz w:val="18"/>
          <w:szCs w:val="18"/>
          <w:color w:val="auto"/>
        </w:rPr>
        <w:t>. Except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an Approved Trading Plan (as described in Section 6.4.3 below), no Company director, officer, employee or other Insider may trade in Company securities while possessing material nonpublic information concerning the Company even during applicable trading windows.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1"/>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6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95" w:name="page96"/>
    <w:bookmarkEnd w:id="95"/>
    <w:p>
      <w:pPr>
        <w:spacing w:after="0" w:line="77" w:lineRule="exact"/>
        <w:rPr>
          <w:sz w:val="20"/>
          <w:szCs w:val="20"/>
          <w:color w:val="auto"/>
        </w:rPr>
      </w:pPr>
    </w:p>
    <w:p>
      <w:pPr>
        <w:ind w:left="1440" w:right="160" w:hanging="532"/>
        <w:spacing w:after="0" w:line="303" w:lineRule="auto"/>
        <w:tabs>
          <w:tab w:leader="none" w:pos="14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7"/>
          <w:szCs w:val="17"/>
          <w:i w:val="1"/>
          <w:iCs w:val="1"/>
          <w:color w:val="auto"/>
        </w:rPr>
        <w:t xml:space="preserve">No Trading During Blackout Periods. </w:t>
      </w:r>
      <w:r>
        <w:rPr>
          <w:rFonts w:ascii="Arial" w:cs="Arial" w:eastAsia="Arial" w:hAnsi="Arial"/>
          <w:sz w:val="17"/>
          <w:szCs w:val="17"/>
          <w:color w:val="auto"/>
        </w:rPr>
        <w:t>Except pursuant to an Approved Trading Plan (as described in Section 6.4.3</w:t>
      </w:r>
      <w:r>
        <w:rPr>
          <w:rFonts w:ascii="Arial" w:cs="Arial" w:eastAsia="Arial" w:hAnsi="Arial"/>
          <w:sz w:val="17"/>
          <w:szCs w:val="17"/>
          <w:i w:val="1"/>
          <w:iCs w:val="1"/>
          <w:color w:val="auto"/>
        </w:rPr>
        <w:t xml:space="preserve"> </w:t>
      </w:r>
      <w:r>
        <w:rPr>
          <w:rFonts w:ascii="Arial" w:cs="Arial" w:eastAsia="Arial" w:hAnsi="Arial"/>
          <w:sz w:val="17"/>
          <w:szCs w:val="17"/>
          <w:color w:val="auto"/>
        </w:rPr>
        <w:t>below), no Company director, officer, employee or other Insider may trade in Company securities outside the applicable trading windows or during any special blackout periods that the Compliance Officer may announce from time to time. No director, officer or employee may disclose to any outside third party that a special blackout period has been designated. 10b5-1 trading plans could also be suspended during a special blackout period.</w:t>
      </w:r>
    </w:p>
    <w:p>
      <w:pPr>
        <w:spacing w:after="0" w:line="125"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Procedures for Approving Trades by Pre-Clearance Persons</w:t>
      </w:r>
    </w:p>
    <w:p>
      <w:pPr>
        <w:spacing w:after="0" w:line="199" w:lineRule="exact"/>
        <w:rPr>
          <w:sz w:val="20"/>
          <w:szCs w:val="20"/>
          <w:color w:val="auto"/>
        </w:rPr>
      </w:pPr>
    </w:p>
    <w:p>
      <w:pPr>
        <w:ind w:left="1440" w:right="120" w:hanging="532"/>
        <w:spacing w:after="0" w:line="295" w:lineRule="auto"/>
        <w:tabs>
          <w:tab w:leader="none" w:pos="14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i w:val="1"/>
          <w:iCs w:val="1"/>
          <w:color w:val="auto"/>
        </w:rPr>
        <w:t xml:space="preserve">Preclearance Person Trades. </w:t>
      </w:r>
      <w:r>
        <w:rPr>
          <w:rFonts w:ascii="Arial" w:cs="Arial" w:eastAsia="Arial" w:hAnsi="Arial"/>
          <w:sz w:val="18"/>
          <w:szCs w:val="18"/>
          <w:color w:val="auto"/>
        </w:rPr>
        <w:t>Except pursuant to an Approved Trading Plan (as described in Section 6.4.3 below),</w:t>
      </w:r>
      <w:r>
        <w:rPr>
          <w:rFonts w:ascii="Arial" w:cs="Arial" w:eastAsia="Arial" w:hAnsi="Arial"/>
          <w:sz w:val="18"/>
          <w:szCs w:val="18"/>
          <w:i w:val="1"/>
          <w:iCs w:val="1"/>
          <w:color w:val="auto"/>
        </w:rPr>
        <w:t xml:space="preserve"> </w:t>
      </w:r>
      <w:r>
        <w:rPr>
          <w:rFonts w:ascii="Arial" w:cs="Arial" w:eastAsia="Arial" w:hAnsi="Arial"/>
          <w:sz w:val="18"/>
          <w:szCs w:val="18"/>
          <w:color w:val="auto"/>
        </w:rPr>
        <w:t>no Preclearance Person may trade in Company securities until</w:t>
      </w:r>
    </w:p>
    <w:p>
      <w:pPr>
        <w:spacing w:after="0" w:line="126" w:lineRule="exact"/>
        <w:rPr>
          <w:sz w:val="20"/>
          <w:szCs w:val="20"/>
          <w:color w:val="auto"/>
        </w:rPr>
      </w:pPr>
    </w:p>
    <w:p>
      <w:pPr>
        <w:ind w:left="1980" w:right="280" w:hanging="532"/>
        <w:spacing w:after="0" w:line="309" w:lineRule="auto"/>
        <w:rPr>
          <w:sz w:val="20"/>
          <w:szCs w:val="20"/>
          <w:color w:val="auto"/>
        </w:rPr>
      </w:pPr>
      <w:r>
        <w:rPr>
          <w:rFonts w:ascii="Arial" w:cs="Arial" w:eastAsia="Arial" w:hAnsi="Arial"/>
          <w:sz w:val="18"/>
          <w:szCs w:val="18"/>
          <w:color w:val="auto"/>
        </w:rPr>
        <w:t>6.3.1a the person trading has notified the Compliance Officer in writing of the amount and nature of the proposed trade(s);</w:t>
      </w:r>
    </w:p>
    <w:p>
      <w:pPr>
        <w:spacing w:after="0" w:line="115" w:lineRule="exact"/>
        <w:rPr>
          <w:sz w:val="20"/>
          <w:szCs w:val="20"/>
          <w:color w:val="auto"/>
        </w:rPr>
      </w:pPr>
    </w:p>
    <w:p>
      <w:pPr>
        <w:ind w:left="1980" w:right="220" w:hanging="532"/>
        <w:spacing w:after="0" w:line="287" w:lineRule="auto"/>
        <w:rPr>
          <w:sz w:val="20"/>
          <w:szCs w:val="20"/>
          <w:color w:val="auto"/>
        </w:rPr>
      </w:pPr>
      <w:r>
        <w:rPr>
          <w:rFonts w:ascii="Arial" w:cs="Arial" w:eastAsia="Arial" w:hAnsi="Arial"/>
          <w:sz w:val="18"/>
          <w:szCs w:val="18"/>
          <w:color w:val="auto"/>
        </w:rPr>
        <w:t>6.3.1b the person trading has certified to the Compliance Officer in writing that (i) he or she is not in possession of material nonpublic information concerning the Company and (ii) the proposed trade(s) do not violate the trading restrictions of Section 16 of the Exchange Act; and</w:t>
      </w:r>
    </w:p>
    <w:p>
      <w:pPr>
        <w:spacing w:after="0" w:line="134" w:lineRule="exact"/>
        <w:rPr>
          <w:sz w:val="20"/>
          <w:szCs w:val="20"/>
          <w:color w:val="auto"/>
        </w:rPr>
      </w:pPr>
    </w:p>
    <w:p>
      <w:pPr>
        <w:ind w:left="1980" w:right="460" w:hanging="532"/>
        <w:spacing w:after="0" w:line="309" w:lineRule="auto"/>
        <w:rPr>
          <w:sz w:val="20"/>
          <w:szCs w:val="20"/>
          <w:color w:val="auto"/>
        </w:rPr>
      </w:pPr>
      <w:r>
        <w:rPr>
          <w:rFonts w:ascii="Arial" w:cs="Arial" w:eastAsia="Arial" w:hAnsi="Arial"/>
          <w:sz w:val="18"/>
          <w:szCs w:val="18"/>
          <w:color w:val="auto"/>
        </w:rPr>
        <w:t>6.3.1c the Compliance Officer has approved the trade(s) in writing no more than five business days prior to the proposed trade(s).</w:t>
      </w:r>
    </w:p>
    <w:p>
      <w:pPr>
        <w:spacing w:after="0" w:line="102" w:lineRule="exact"/>
        <w:rPr>
          <w:sz w:val="20"/>
          <w:szCs w:val="20"/>
          <w:color w:val="auto"/>
        </w:rPr>
      </w:pPr>
    </w:p>
    <w:p>
      <w:pPr>
        <w:ind w:left="1440" w:right="60" w:hanging="532"/>
        <w:spacing w:after="0" w:line="319" w:lineRule="auto"/>
        <w:tabs>
          <w:tab w:leader="none" w:pos="14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i w:val="1"/>
          <w:iCs w:val="1"/>
          <w:color w:val="auto"/>
        </w:rPr>
        <w:t xml:space="preserve">No Obligation to Approve Trades. </w:t>
      </w:r>
      <w:r>
        <w:rPr>
          <w:rFonts w:ascii="Arial" w:cs="Arial" w:eastAsia="Arial" w:hAnsi="Arial"/>
          <w:sz w:val="17"/>
          <w:szCs w:val="17"/>
          <w:color w:val="auto"/>
        </w:rPr>
        <w:t>The existence of the foregoing approval procedures does not in any way obligate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Compliance Officer or Compliance Committee to approve any trades requested by Preclearance Persons. The Compliance Officer or Compliance Committee may reject any trading requests at their sole reasonable discretion.</w:t>
      </w:r>
    </w:p>
    <w:p>
      <w:pPr>
        <w:spacing w:after="0" w:line="109"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Limited Exceptions.</w:t>
      </w:r>
    </w:p>
    <w:p>
      <w:pPr>
        <w:spacing w:after="0" w:line="199" w:lineRule="exact"/>
        <w:rPr>
          <w:sz w:val="20"/>
          <w:szCs w:val="20"/>
          <w:color w:val="auto"/>
        </w:rPr>
      </w:pPr>
    </w:p>
    <w:p>
      <w:pPr>
        <w:ind w:left="1440" w:right="200" w:hanging="532"/>
        <w:spacing w:after="0" w:line="311" w:lineRule="auto"/>
        <w:tabs>
          <w:tab w:leader="none" w:pos="142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7"/>
          <w:szCs w:val="17"/>
          <w:i w:val="1"/>
          <w:iCs w:val="1"/>
          <w:color w:val="auto"/>
        </w:rPr>
        <w:t>ESPP</w:t>
      </w:r>
      <w:r>
        <w:rPr>
          <w:rFonts w:ascii="Arial" w:cs="Arial" w:eastAsia="Arial" w:hAnsi="Arial"/>
          <w:sz w:val="17"/>
          <w:szCs w:val="17"/>
          <w:color w:val="auto"/>
        </w:rPr>
        <w:t>. The trading prohibitions and restrictions of this policy do not apply to purchases of the Company’s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periodic, automatic payroll contributions to the Company's Employee Stock Purchase Plan ("ESPP"). However, selling any Company stock acquired under the ESPP are subject to trading restrictions under this policy.</w:t>
      </w:r>
    </w:p>
    <w:p>
      <w:pPr>
        <w:spacing w:after="0" w:line="116" w:lineRule="exact"/>
        <w:rPr>
          <w:sz w:val="20"/>
          <w:szCs w:val="20"/>
          <w:color w:val="auto"/>
        </w:rPr>
      </w:pPr>
    </w:p>
    <w:p>
      <w:pPr>
        <w:ind w:left="1440" w:right="140" w:hanging="532"/>
        <w:spacing w:after="0" w:line="279" w:lineRule="auto"/>
        <w:tabs>
          <w:tab w:leader="none" w:pos="142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i w:val="1"/>
          <w:iCs w:val="1"/>
          <w:color w:val="auto"/>
        </w:rPr>
        <w:t>Options and RSUs</w:t>
      </w:r>
      <w:r>
        <w:rPr>
          <w:rFonts w:ascii="Arial" w:cs="Arial" w:eastAsia="Arial" w:hAnsi="Arial"/>
          <w:sz w:val="18"/>
          <w:szCs w:val="18"/>
          <w:color w:val="auto"/>
        </w:rPr>
        <w:t>. The trading prohibitions and restrictions of this policy do not apply to (a) exercising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under the Company's equity incentive plans for cash, the delivery of previously owned Company stock or surrender of shares subject to the option or (b) vesting of shares pursuant to an RSU award. However, the sale of any shares issued on the exercise of stock options or RSU vesting (including broker-assisted same-day-sale/cashless exercises) are subject to trading restrictions under this policy.</w:t>
      </w:r>
    </w:p>
    <w:p>
      <w:pPr>
        <w:spacing w:after="0" w:line="143" w:lineRule="exact"/>
        <w:rPr>
          <w:sz w:val="20"/>
          <w:szCs w:val="20"/>
          <w:color w:val="auto"/>
        </w:rPr>
      </w:pPr>
    </w:p>
    <w:p>
      <w:pPr>
        <w:ind w:left="1440" w:right="80" w:hanging="532"/>
        <w:spacing w:after="0" w:line="287" w:lineRule="auto"/>
        <w:tabs>
          <w:tab w:leader="none" w:pos="142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8"/>
          <w:szCs w:val="18"/>
          <w:i w:val="1"/>
          <w:iCs w:val="1"/>
          <w:color w:val="auto"/>
        </w:rPr>
        <w:t>Approved Trading Plans</w:t>
      </w:r>
      <w:r>
        <w:rPr>
          <w:rFonts w:ascii="Arial" w:cs="Arial" w:eastAsia="Arial" w:hAnsi="Arial"/>
          <w:sz w:val="18"/>
          <w:szCs w:val="18"/>
          <w:color w:val="auto"/>
        </w:rPr>
        <w:t>. The trading prohibitions and restrictions of this policy do not apply to transactions under a</w:t>
      </w:r>
      <w:r>
        <w:rPr>
          <w:rFonts w:ascii="Arial" w:cs="Arial" w:eastAsia="Arial" w:hAnsi="Arial"/>
          <w:sz w:val="18"/>
          <w:szCs w:val="18"/>
          <w:i w:val="1"/>
          <w:iCs w:val="1"/>
          <w:color w:val="auto"/>
        </w:rPr>
        <w:t xml:space="preserve"> </w:t>
      </w:r>
      <w:r>
        <w:rPr>
          <w:rFonts w:ascii="Arial" w:cs="Arial" w:eastAsia="Arial" w:hAnsi="Arial"/>
          <w:sz w:val="18"/>
          <w:szCs w:val="18"/>
          <w:color w:val="auto"/>
        </w:rPr>
        <w:t>pre-existing written plan, contract, instruction, or arrangement under Rule 10b5-1 under the Securities Exchange Act of 1934 (an "Approved Trading Plan") that:</w:t>
      </w:r>
    </w:p>
    <w:p>
      <w:pPr>
        <w:spacing w:after="0" w:line="134" w:lineRule="exact"/>
        <w:rPr>
          <w:sz w:val="20"/>
          <w:szCs w:val="20"/>
          <w:color w:val="auto"/>
        </w:rPr>
      </w:pPr>
    </w:p>
    <w:p>
      <w:pPr>
        <w:ind w:left="1980" w:right="100" w:hanging="532"/>
        <w:spacing w:after="0" w:line="309" w:lineRule="auto"/>
        <w:tabs>
          <w:tab w:leader="none" w:pos="1960" w:val="left"/>
        </w:tabs>
        <w:rPr>
          <w:sz w:val="20"/>
          <w:szCs w:val="20"/>
          <w:color w:val="auto"/>
        </w:rPr>
      </w:pPr>
      <w:r>
        <w:rPr>
          <w:rFonts w:ascii="Arial" w:cs="Arial" w:eastAsia="Arial" w:hAnsi="Arial"/>
          <w:sz w:val="18"/>
          <w:szCs w:val="18"/>
          <w:color w:val="auto"/>
        </w:rPr>
        <w:t>6.4.3a</w:t>
        <w:tab/>
        <w:t>has been reviewed and approved at least 45 days in advance of any trades thereunder by the Compliance Officer (or, if revised or amended, such revisions or amendments have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1"/>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7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96" w:name="page97"/>
    <w:bookmarkEnd w:id="96"/>
    <w:p>
      <w:pPr>
        <w:spacing w:after="0" w:line="77" w:lineRule="exact"/>
        <w:rPr>
          <w:sz w:val="20"/>
          <w:szCs w:val="20"/>
          <w:color w:val="auto"/>
        </w:rPr>
      </w:pPr>
    </w:p>
    <w:p>
      <w:pPr>
        <w:ind w:left="1980" w:right="520"/>
        <w:spacing w:after="0" w:line="309" w:lineRule="auto"/>
        <w:rPr>
          <w:sz w:val="20"/>
          <w:szCs w:val="20"/>
          <w:color w:val="auto"/>
        </w:rPr>
      </w:pPr>
      <w:r>
        <w:rPr>
          <w:rFonts w:ascii="Arial" w:cs="Arial" w:eastAsia="Arial" w:hAnsi="Arial"/>
          <w:sz w:val="18"/>
          <w:szCs w:val="18"/>
          <w:color w:val="auto"/>
        </w:rPr>
        <w:t>been reviewed and approved by the Compliance Officer at least 45 days in advance of any subsequent trades);</w:t>
      </w:r>
    </w:p>
    <w:p>
      <w:pPr>
        <w:spacing w:after="0" w:line="115" w:lineRule="exact"/>
        <w:rPr>
          <w:sz w:val="20"/>
          <w:szCs w:val="20"/>
          <w:color w:val="auto"/>
        </w:rPr>
      </w:pPr>
    </w:p>
    <w:p>
      <w:pPr>
        <w:ind w:left="1980" w:right="260" w:hanging="532"/>
        <w:spacing w:after="0" w:line="295" w:lineRule="auto"/>
        <w:tabs>
          <w:tab w:leader="none" w:pos="1960" w:val="left"/>
        </w:tabs>
        <w:rPr>
          <w:sz w:val="20"/>
          <w:szCs w:val="20"/>
          <w:color w:val="auto"/>
        </w:rPr>
      </w:pPr>
      <w:r>
        <w:rPr>
          <w:rFonts w:ascii="Arial" w:cs="Arial" w:eastAsia="Arial" w:hAnsi="Arial"/>
          <w:sz w:val="18"/>
          <w:szCs w:val="18"/>
          <w:color w:val="auto"/>
        </w:rPr>
        <w:t>6.4.3b</w:t>
        <w:tab/>
        <w:t>was entered into in good faith by the Insider at a time when the Insider was not in possession of material nonpublic information about the Company; and</w:t>
      </w:r>
    </w:p>
    <w:p>
      <w:pPr>
        <w:spacing w:after="0" w:line="126" w:lineRule="exact"/>
        <w:rPr>
          <w:sz w:val="20"/>
          <w:szCs w:val="20"/>
          <w:color w:val="auto"/>
        </w:rPr>
      </w:pPr>
    </w:p>
    <w:p>
      <w:pPr>
        <w:ind w:left="1980" w:right="120" w:hanging="532"/>
        <w:spacing w:after="0" w:line="284" w:lineRule="auto"/>
        <w:tabs>
          <w:tab w:leader="none" w:pos="1960" w:val="left"/>
        </w:tabs>
        <w:rPr>
          <w:sz w:val="20"/>
          <w:szCs w:val="20"/>
          <w:color w:val="auto"/>
        </w:rPr>
      </w:pPr>
      <w:r>
        <w:rPr>
          <w:rFonts w:ascii="Arial" w:cs="Arial" w:eastAsia="Arial" w:hAnsi="Arial"/>
          <w:sz w:val="18"/>
          <w:szCs w:val="18"/>
          <w:color w:val="auto"/>
        </w:rPr>
        <w:t>6.4.3c</w:t>
        <w:tab/>
        <w:t>gives a third party the discretionary authority to execute such purchases and sales, outside the control of the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spacing w:after="0" w:line="138" w:lineRule="exact"/>
        <w:rPr>
          <w:sz w:val="20"/>
          <w:szCs w:val="20"/>
          <w:color w:val="auto"/>
        </w:rPr>
      </w:pPr>
    </w:p>
    <w:p>
      <w:pPr>
        <w:ind w:left="1440" w:right="220" w:hanging="532"/>
        <w:spacing w:after="0" w:line="284" w:lineRule="auto"/>
        <w:tabs>
          <w:tab w:leader="none" w:pos="1420" w:val="left"/>
        </w:tabs>
        <w:rPr>
          <w:sz w:val="20"/>
          <w:szCs w:val="20"/>
          <w:color w:val="auto"/>
        </w:rPr>
      </w:pPr>
      <w:r>
        <w:rPr>
          <w:rFonts w:ascii="Arial" w:cs="Arial" w:eastAsia="Arial" w:hAnsi="Arial"/>
          <w:sz w:val="18"/>
          <w:szCs w:val="18"/>
          <w:color w:val="auto"/>
        </w:rPr>
        <w:t>6.4.4</w:t>
      </w:r>
      <w:r>
        <w:rPr>
          <w:sz w:val="20"/>
          <w:szCs w:val="20"/>
          <w:color w:val="auto"/>
        </w:rPr>
        <w:tab/>
      </w:r>
      <w:r>
        <w:rPr>
          <w:rFonts w:ascii="Arial" w:cs="Arial" w:eastAsia="Arial" w:hAnsi="Arial"/>
          <w:sz w:val="18"/>
          <w:szCs w:val="18"/>
          <w:i w:val="1"/>
          <w:iCs w:val="1"/>
          <w:color w:val="auto"/>
        </w:rPr>
        <w:t xml:space="preserve">No Exceptions Based on Personal Circumstances. </w:t>
      </w:r>
      <w:r>
        <w:rPr>
          <w:rFonts w:ascii="Arial" w:cs="Arial" w:eastAsia="Arial" w:hAnsi="Arial"/>
          <w:sz w:val="18"/>
          <w:szCs w:val="18"/>
          <w:color w:val="auto"/>
        </w:rPr>
        <w:t>There may be instances where an Insider may suffer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138"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Priority of Statutory or Regulatory Trading Restrictions</w:t>
      </w:r>
    </w:p>
    <w:p>
      <w:pPr>
        <w:spacing w:after="0" w:line="199" w:lineRule="exact"/>
        <w:rPr>
          <w:sz w:val="20"/>
          <w:szCs w:val="20"/>
          <w:color w:val="auto"/>
        </w:rPr>
      </w:pPr>
    </w:p>
    <w:p>
      <w:pPr>
        <w:ind w:left="680" w:right="120"/>
        <w:spacing w:after="0" w:line="287" w:lineRule="auto"/>
        <w:rPr>
          <w:sz w:val="20"/>
          <w:szCs w:val="20"/>
          <w:color w:val="auto"/>
        </w:rPr>
      </w:pPr>
      <w:r>
        <w:rPr>
          <w:rFonts w:ascii="Arial" w:cs="Arial" w:eastAsia="Arial" w:hAnsi="Arial"/>
          <w:sz w:val="18"/>
          <w:szCs w:val="18"/>
          <w:color w:val="auto"/>
        </w:rPr>
        <w:t>The trading prohibitions and restrictions set forth in this policy will be superseded by any greater prohibitions or restrictions prescribed by federal or state securities laws and regulations, e.g., short-swing trading by Section 16 Individuals. Any Insider who is uncertain whether other prohibitions or restrictions apply should ask the Compliance Officer.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POTENTIAL CIVIL, CRIMINAL AND DISCIPLINARY SANCTIONS</w:t>
      </w:r>
    </w:p>
    <w:p>
      <w:pPr>
        <w:spacing w:after="0" w:line="201"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Civil and Criminal Penalties</w:t>
      </w:r>
    </w:p>
    <w:p>
      <w:pPr>
        <w:spacing w:after="0" w:line="199" w:lineRule="exact"/>
        <w:rPr>
          <w:sz w:val="20"/>
          <w:szCs w:val="20"/>
          <w:color w:val="auto"/>
        </w:rPr>
      </w:pPr>
    </w:p>
    <w:p>
      <w:pPr>
        <w:ind w:left="680" w:right="20"/>
        <w:spacing w:after="0" w:line="279" w:lineRule="auto"/>
        <w:rPr>
          <w:sz w:val="20"/>
          <w:szCs w:val="20"/>
          <w:color w:val="auto"/>
        </w:rPr>
      </w:pPr>
      <w:r>
        <w:rPr>
          <w:rFonts w:ascii="Arial" w:cs="Arial" w:eastAsia="Arial" w:hAnsi="Arial"/>
          <w:sz w:val="18"/>
          <w:szCs w:val="18"/>
          <w:color w:val="auto"/>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$1 million, and serve a jail term of up to ten years. The Company and/or the supervisors of the person violating the rules may also be required to pay major civil or criminal penalties.</w:t>
      </w:r>
    </w:p>
    <w:p>
      <w:pPr>
        <w:spacing w:after="0" w:line="143"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Company Discipline</w:t>
      </w:r>
    </w:p>
    <w:p>
      <w:pPr>
        <w:spacing w:after="0" w:line="199" w:lineRule="exact"/>
        <w:rPr>
          <w:sz w:val="20"/>
          <w:szCs w:val="20"/>
          <w:color w:val="auto"/>
        </w:rPr>
      </w:pPr>
    </w:p>
    <w:p>
      <w:pPr>
        <w:ind w:left="680" w:right="60"/>
        <w:spacing w:after="0" w:line="287" w:lineRule="auto"/>
        <w:rPr>
          <w:sz w:val="20"/>
          <w:szCs w:val="20"/>
          <w:color w:val="auto"/>
        </w:rPr>
      </w:pPr>
      <w:r>
        <w:rPr>
          <w:rFonts w:ascii="Arial" w:cs="Arial" w:eastAsia="Arial" w:hAnsi="Arial"/>
          <w:sz w:val="18"/>
          <w:szCs w:val="18"/>
          <w:color w:val="auto"/>
        </w:rPr>
        <w:t>Violation of this policy or federal or state insider trading or tipping laws by any director, officer or employee, or their immediate family members, may subject the director to dismissal proceedings and the officer or employee to disciplinary action by the Company up to and including termination for cause.</w:t>
      </w:r>
    </w:p>
    <w:p>
      <w:pPr>
        <w:spacing w:after="0" w:line="134"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Reporting of Violations</w:t>
      </w:r>
    </w:p>
    <w:p>
      <w:pPr>
        <w:spacing w:after="0" w:line="199" w:lineRule="exact"/>
        <w:rPr>
          <w:sz w:val="20"/>
          <w:szCs w:val="20"/>
          <w:color w:val="auto"/>
        </w:rPr>
      </w:pPr>
    </w:p>
    <w:p>
      <w:pPr>
        <w:jc w:val="both"/>
        <w:ind w:left="680" w:right="360"/>
        <w:spacing w:after="0" w:line="294" w:lineRule="auto"/>
        <w:rPr>
          <w:sz w:val="20"/>
          <w:szCs w:val="20"/>
          <w:color w:val="auto"/>
        </w:rPr>
      </w:pPr>
      <w:r>
        <w:rPr>
          <w:rFonts w:ascii="Arial" w:cs="Arial" w:eastAsia="Arial" w:hAnsi="Arial"/>
          <w:sz w:val="18"/>
          <w:szCs w:val="18"/>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other Compliance Committee</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8 of</w:t>
            </w:r>
          </w:p>
        </w:tc>
      </w:tr>
      <w:tr>
        <w:trPr>
          <w:trHeight w:val="284"/>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4"/>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97" w:name="page98"/>
    <w:bookmarkEnd w:id="97"/>
    <w:p>
      <w:pPr>
        <w:spacing w:after="0" w:line="77" w:lineRule="exact"/>
        <w:rPr>
          <w:sz w:val="20"/>
          <w:szCs w:val="20"/>
          <w:color w:val="auto"/>
        </w:rPr>
      </w:pPr>
    </w:p>
    <w:p>
      <w:pPr>
        <w:ind w:left="680" w:right="280"/>
        <w:spacing w:after="0" w:line="342" w:lineRule="auto"/>
        <w:rPr>
          <w:sz w:val="20"/>
          <w:szCs w:val="20"/>
          <w:color w:val="auto"/>
        </w:rPr>
      </w:pPr>
      <w:r>
        <w:rPr>
          <w:rFonts w:ascii="Arial" w:cs="Arial" w:eastAsia="Arial" w:hAnsi="Arial"/>
          <w:sz w:val="17"/>
          <w:szCs w:val="17"/>
          <w:color w:val="auto"/>
        </w:rPr>
        <w:t>members and/or the Company’s legal counsel, will determine whether the Company should release any material nonpublic information, or whether the Company should report the violation to the SEC or other appropriate governmental authority.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INQUIRIES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direct all inquiries regarding any of the provisions or procedures of this policy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63"/>
        </w:trPr>
        <w:tc>
          <w:tcPr>
            <w:tcW w:w="2700" w:type="dxa"/>
            <w:vAlign w:val="bottom"/>
            <w:tcBorders>
              <w:left w:val="single" w:sz="8" w:color="auto"/>
              <w:right w:val="single" w:sz="8" w:color="auto"/>
            </w:tcBorders>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Page 9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31"/>
        </w:trPr>
        <w:tc>
          <w:tcPr>
            <w:tcW w:w="2700" w:type="dxa"/>
            <w:vAlign w:val="bottom"/>
            <w:tcBorders>
              <w:left w:val="single" w:sz="8" w:color="auto"/>
              <w:bottom w:val="single" w:sz="8" w:color="auto"/>
              <w:right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r>
    </w:tbl>
    <w:p>
      <w:pPr>
        <w:sectPr>
          <w:pgSz w:w="12240" w:h="15840" w:orient="portrait"/>
          <w:cols w:equalWidth="0" w:num="1">
            <w:col w:w="10580"/>
          </w:cols>
          <w:pgMar w:left="840" w:top="1440" w:right="820" w:bottom="1440" w:gutter="0" w:footer="0" w:header="0"/>
        </w:sectPr>
      </w:pPr>
    </w:p>
    <w:bookmarkStart w:id="98" w:name="page99"/>
    <w:bookmarkEnd w:id="98"/>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APPLICATION AND APPROVAL FORM FOR TRADING BY</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16 INDIVIDUALS AND RESTRICTED EMPLOYEES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-10160</wp:posOffset>
            </wp:positionV>
            <wp:extent cx="1568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-10160</wp:posOffset>
            </wp:positionV>
            <wp:extent cx="1568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-10160</wp:posOffset>
            </wp:positionV>
            <wp:extent cx="156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3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-10160</wp:posOffset>
            </wp:positionV>
            <wp:extent cx="156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Type of Trade (Purchase/Sale):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-10160</wp:posOffset>
            </wp:positionV>
            <wp:extent cx="156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-10160</wp:posOffset>
            </wp:positionV>
            <wp:extent cx="156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EXAMPLES OF MATERIAL NONPUBLIC INFORMATION</w:t>
      </w:r>
    </w:p>
    <w:p>
      <w:pPr>
        <w:spacing w:after="0" w:line="199" w:lineRule="exact"/>
        <w:rPr>
          <w:sz w:val="20"/>
          <w:szCs w:val="20"/>
          <w:color w:val="auto"/>
        </w:rPr>
      </w:pPr>
    </w:p>
    <w:p>
      <w:pPr>
        <w:ind w:right="760"/>
        <w:spacing w:after="0" w:line="309" w:lineRule="auto"/>
        <w:rPr>
          <w:sz w:val="20"/>
          <w:szCs w:val="20"/>
          <w:color w:val="auto"/>
        </w:rPr>
      </w:pPr>
      <w:r>
        <w:rPr>
          <w:rFonts w:ascii="Arial" w:cs="Arial" w:eastAsia="Arial" w:hAnsi="Arial"/>
          <w:sz w:val="18"/>
          <w:szCs w:val="18"/>
          <w:color w:val="auto"/>
        </w:rPr>
        <w:t>While it is not possible to identify all information that would be deemed “material nonpublic information,” the following types of information ordinarily would be included in the definition if not yet publicly released by the Company:</w:t>
      </w:r>
    </w:p>
    <w:p>
      <w:pPr>
        <w:spacing w:after="0" w:line="115" w:lineRule="exact"/>
        <w:rPr>
          <w:sz w:val="20"/>
          <w:szCs w:val="20"/>
          <w:color w:val="auto"/>
        </w:rPr>
      </w:pPr>
    </w:p>
    <w:p>
      <w:pPr>
        <w:ind w:left="600" w:right="680" w:hanging="303"/>
        <w:spacing w:after="0" w:line="308" w:lineRule="auto"/>
        <w:tabs>
          <w:tab w:leader="none" w:pos="599"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performance, especially quarterly and year-end earnings, and significant changes in financial performance or liquidity.</w:t>
      </w:r>
    </w:p>
    <w:p>
      <w:pPr>
        <w:spacing w:after="0" w:line="178"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Company projections and strategic plans.</w:t>
      </w:r>
    </w:p>
    <w:p>
      <w:pPr>
        <w:spacing w:after="0" w:line="33"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mergers and acquisitions or the sale of Company assets or subsidiaries.</w:t>
      </w:r>
    </w:p>
    <w:p>
      <w:pPr>
        <w:spacing w:after="0" w:line="46"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New major contracts, orders, suppliers, customers or finance sources, or the loss thereof.</w:t>
      </w:r>
    </w:p>
    <w:p>
      <w:pPr>
        <w:spacing w:after="0" w:line="46"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Major discoveries or significant changes or developments in products or product lines, research or technologies.</w:t>
      </w:r>
    </w:p>
    <w:p>
      <w:pPr>
        <w:spacing w:after="0" w:line="33"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or developments in supplies or inventory, including significant product defects, recalls or product returns.</w:t>
      </w:r>
    </w:p>
    <w:p>
      <w:pPr>
        <w:spacing w:after="0" w:line="46"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pricing changes.</w:t>
      </w:r>
    </w:p>
    <w:p>
      <w:pPr>
        <w:spacing w:after="0" w:line="33"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public or private securities/debt offerings, or changes in Company dividend policies or amounts.</w:t>
      </w:r>
    </w:p>
    <w:p>
      <w:pPr>
        <w:spacing w:after="0" w:line="46"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in senior management.</w:t>
      </w:r>
    </w:p>
    <w:p>
      <w:pPr>
        <w:spacing w:after="0" w:line="46" w:lineRule="exact"/>
        <w:rPr>
          <w:rFonts w:ascii="Times New Roman" w:cs="Times New Roman" w:eastAsia="Times New Roman" w:hAnsi="Times New Roman"/>
          <w:sz w:val="18"/>
          <w:szCs w:val="18"/>
          <w:color w:val="auto"/>
        </w:rPr>
      </w:pPr>
    </w:p>
    <w:p>
      <w:pPr>
        <w:ind w:left="600" w:hanging="303"/>
        <w:spacing w:after="0"/>
        <w:tabs>
          <w:tab w:leader="none" w:pos="6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major litigation or the resolution of such litigation.</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Page 10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99" w:name="page100"/>
    <w:bookmarkEnd w:id="99"/>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w:t>
      </w:r>
    </w:p>
    <w:p>
      <w:pPr>
        <w:spacing w:after="0" w:line="200" w:lineRule="exact"/>
        <w:rPr>
          <w:sz w:val="20"/>
          <w:szCs w:val="20"/>
          <w:color w:val="auto"/>
        </w:rPr>
      </w:pPr>
    </w:p>
    <w:p>
      <w:pPr>
        <w:spacing w:after="0" w:line="39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I, , hereby certify that (i) I am not in possession of any “material nonpublic information” concerning the Company (as defined in the Company’s “Insider Trading” Policy) and (ii) to the best of my knowledge, the proposed trade(s) listed above do not violate the trading restrictions of Section 16 of the Securities Exchange Act of 1934, as amended. I understand that if I trade while possessing such information or in violation of such trading restrictions, I may be subject to severe civil and/or criminal penalties, and may be subject to discipline by the Company up to and including termination for cause.</w:t>
      </w:r>
    </w:p>
    <w:p>
      <w:pPr>
        <w:spacing w:after="0" w:line="200" w:lineRule="exact"/>
        <w:rPr>
          <w:sz w:val="20"/>
          <w:szCs w:val="20"/>
          <w:color w:val="auto"/>
        </w:rPr>
      </w:pPr>
    </w:p>
    <w:p>
      <w:pPr>
        <w:spacing w:after="0" w:line="318" w:lineRule="exact"/>
        <w:rPr>
          <w:sz w:val="20"/>
          <w:szCs w:val="20"/>
          <w:color w:val="auto"/>
        </w:rPr>
      </w:pPr>
    </w:p>
    <w:p>
      <w:pPr>
        <w:ind w:left="6680"/>
        <w:spacing w:after="0"/>
        <w:tabs>
          <w:tab w:leader="none" w:pos="86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4241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41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 xml:space="preserve">Reminder: Any trades approved herewith must be executed no later than </w:t>
      </w:r>
      <w:r>
        <w:rPr>
          <w:rFonts w:ascii="Arial" w:cs="Arial" w:eastAsia="Arial" w:hAnsi="Arial"/>
          <w:sz w:val="18"/>
          <w:szCs w:val="18"/>
          <w:b w:val="1"/>
          <w:bCs w:val="1"/>
          <w:color w:val="auto"/>
        </w:rPr>
        <w:t>5 (five)</w:t>
      </w:r>
      <w:r>
        <w:rPr>
          <w:rFonts w:ascii="Arial" w:cs="Arial" w:eastAsia="Arial" w:hAnsi="Arial"/>
          <w:sz w:val="18"/>
          <w:szCs w:val="18"/>
          <w:color w:val="auto"/>
        </w:rPr>
        <w:t xml:space="preserve"> business days following the date signed by the Insider Trading Compliance Officer, provided the trading window has not closed. In no case may any trades take place after the trading window has closed.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REVIEW AND DECISION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certifies that s/he has reviewed the foregoing application and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wp:posOffset>
            </wp:positionV>
            <wp:extent cx="125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509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DOES NOT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wp:posOffset>
            </wp:positionV>
            <wp:extent cx="125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5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proposed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Insider Trading Compliance Officer (or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4233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335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70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Borders>
              <w:top w:val="single" w:sz="8" w:color="auto"/>
            </w:tcBorders>
          </w:tcPr>
          <w:p>
            <w:pPr>
              <w:jc w:val="right"/>
              <w:ind w:right="27"/>
              <w:spacing w:after="0"/>
              <w:rPr>
                <w:sz w:val="20"/>
                <w:szCs w:val="20"/>
                <w:color w:val="auto"/>
              </w:rPr>
            </w:pPr>
            <w:r>
              <w:rPr>
                <w:rFonts w:ascii="Arial" w:cs="Arial" w:eastAsia="Arial" w:hAnsi="Arial"/>
                <w:sz w:val="19"/>
                <w:szCs w:val="19"/>
                <w:color w:val="auto"/>
              </w:rPr>
              <w:t>Title:</w:t>
            </w:r>
          </w:p>
        </w:tc>
        <w:tc>
          <w:tcPr>
            <w:tcW w:w="4880" w:type="dxa"/>
            <w:vAlign w:val="bottom"/>
            <w:tcBorders>
              <w:top w:val="single" w:sz="8" w:color="auto"/>
            </w:tcBorders>
            <w:gridSpan w:val="2"/>
          </w:tcPr>
          <w:p>
            <w:pPr>
              <w:ind w:left="100"/>
              <w:spacing w:after="0"/>
              <w:rPr>
                <w:sz w:val="20"/>
                <w:szCs w:val="20"/>
                <w:color w:val="auto"/>
              </w:rPr>
            </w:pPr>
            <w:r>
              <w:rPr>
                <w:rFonts w:ascii="Arial" w:cs="Arial" w:eastAsia="Arial" w:hAnsi="Arial"/>
                <w:sz w:val="19"/>
                <w:szCs w:val="19"/>
                <w:color w:val="auto"/>
              </w:rPr>
              <w:t>Insider Trading</w:t>
            </w:r>
          </w:p>
        </w:tc>
        <w:tc>
          <w:tcPr>
            <w:tcW w:w="1700" w:type="dxa"/>
            <w:vAlign w:val="bottom"/>
            <w:tcBorders>
              <w:top w:val="single" w:sz="8" w:color="auto"/>
              <w:right w:val="single" w:sz="8" w:color="auto"/>
            </w:tcBorders>
          </w:tcPr>
          <w:p>
            <w:pPr>
              <w:spacing w:after="0"/>
              <w:rPr>
                <w:sz w:val="23"/>
                <w:szCs w:val="23"/>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ind w:left="280"/>
              <w:spacing w:after="0"/>
              <w:rPr>
                <w:sz w:val="20"/>
                <w:szCs w:val="20"/>
                <w:color w:val="auto"/>
              </w:rPr>
            </w:pPr>
            <w:r>
              <w:rPr>
                <w:rFonts w:ascii="Arial" w:cs="Arial" w:eastAsia="Arial" w:hAnsi="Arial"/>
                <w:sz w:val="19"/>
                <w:szCs w:val="19"/>
                <w:color w:val="auto"/>
              </w:rPr>
              <w:t>Rev.:   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5"/>
              </w:rPr>
              <w:t>Page 11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7"/>
              <w:spacing w:after="0"/>
              <w:rPr>
                <w:sz w:val="20"/>
                <w:szCs w:val="20"/>
                <w:color w:val="auto"/>
              </w:rPr>
            </w:pPr>
            <w:r>
              <w:rPr>
                <w:rFonts w:ascii="Arial" w:cs="Arial" w:eastAsia="Arial" w:hAnsi="Arial"/>
                <w:sz w:val="19"/>
                <w:szCs w:val="19"/>
                <w:color w:val="auto"/>
              </w:rPr>
              <w:t>03.002.02</w:t>
            </w:r>
          </w:p>
        </w:tc>
        <w:tc>
          <w:tcPr>
            <w:tcW w:w="190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ectPr>
          <w:pgSz w:w="12240" w:h="15840" w:orient="portrait"/>
          <w:cols w:equalWidth="0" w:num="1">
            <w:col w:w="10580"/>
          </w:cols>
          <w:pgMar w:left="840" w:top="1440" w:right="820" w:bottom="1440" w:gutter="0" w:footer="0" w:header="0"/>
        </w:sectPr>
      </w:pPr>
    </w:p>
    <w:bookmarkStart w:id="100" w:name="page101"/>
    <w:bookmarkEnd w:id="100"/>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RECEIPT AND ACKNOWLEDGMENT</w:t>
      </w:r>
    </w:p>
    <w:p>
      <w:pPr>
        <w:spacing w:after="0" w:line="200" w:lineRule="exact"/>
        <w:rPr>
          <w:sz w:val="20"/>
          <w:szCs w:val="20"/>
          <w:color w:val="auto"/>
        </w:rPr>
      </w:pPr>
    </w:p>
    <w:p>
      <w:pPr>
        <w:spacing w:after="0" w:line="35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 , hereby acknowledge that I have received and read a copy of the “Insider Trading” Policy and agree to comply with its terms. I understand that violation of the insider trading or tipping laws or regulations may subject me to severe civil and/or criminal penalties, and that violation of the terms of the above titled policy may subject me to discipline by the Company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340" w:type="dxa"/>
            <w:vAlign w:val="bottom"/>
            <w:gridSpan w:val="2"/>
          </w:tcPr>
          <w:p>
            <w:pPr>
              <w:ind w:left="2680"/>
              <w:spacing w:after="0"/>
              <w:rPr>
                <w:sz w:val="20"/>
                <w:szCs w:val="20"/>
                <w:color w:val="auto"/>
              </w:rPr>
            </w:pPr>
            <w:r>
              <w:rPr>
                <w:rFonts w:ascii="Arial" w:cs="Arial" w:eastAsia="Arial" w:hAnsi="Arial"/>
                <w:sz w:val="18"/>
                <w:szCs w:val="18"/>
                <w:color w:val="auto"/>
              </w:rPr>
              <w:t>Signature</w:t>
            </w: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Date</w:t>
            </w:r>
          </w:p>
        </w:tc>
      </w:tr>
      <w:tr>
        <w:trPr>
          <w:trHeight w:val="402"/>
        </w:trPr>
        <w:tc>
          <w:tcPr>
            <w:tcW w:w="2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56"/>
        </w:trPr>
        <w:tc>
          <w:tcPr>
            <w:tcW w:w="270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Inseego Corp.</w:t>
            </w:r>
          </w:p>
        </w:tc>
        <w:tc>
          <w:tcPr>
            <w:tcW w:w="1300" w:type="dxa"/>
            <w:vAlign w:val="bottom"/>
          </w:tcPr>
          <w:p>
            <w:pPr>
              <w:jc w:val="right"/>
              <w:ind w:right="27"/>
              <w:spacing w:after="0"/>
              <w:rPr>
                <w:sz w:val="20"/>
                <w:szCs w:val="20"/>
                <w:color w:val="auto"/>
              </w:rPr>
            </w:pPr>
            <w:r>
              <w:rPr>
                <w:rFonts w:ascii="Arial" w:cs="Arial" w:eastAsia="Arial" w:hAnsi="Arial"/>
                <w:sz w:val="19"/>
                <w:szCs w:val="19"/>
                <w:color w:val="auto"/>
              </w:rPr>
              <w:t>Title:</w:t>
            </w:r>
          </w:p>
        </w:tc>
        <w:tc>
          <w:tcPr>
            <w:tcW w:w="4340" w:type="dxa"/>
            <w:vAlign w:val="bottom"/>
            <w:gridSpan w:val="2"/>
          </w:tcPr>
          <w:p>
            <w:pPr>
              <w:ind w:left="100"/>
              <w:spacing w:after="0"/>
              <w:rPr>
                <w:sz w:val="20"/>
                <w:szCs w:val="20"/>
                <w:color w:val="auto"/>
              </w:rPr>
            </w:pPr>
            <w:r>
              <w:rPr>
                <w:rFonts w:ascii="Arial" w:cs="Arial" w:eastAsia="Arial" w:hAnsi="Arial"/>
                <w:sz w:val="19"/>
                <w:szCs w:val="19"/>
                <w:color w:val="auto"/>
              </w:rPr>
              <w:t>Insider Trading</w:t>
            </w:r>
          </w:p>
        </w:tc>
        <w:tc>
          <w:tcPr>
            <w:tcW w:w="54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r>
      <w:tr>
        <w:trPr>
          <w:trHeight w:val="156"/>
        </w:trPr>
        <w:tc>
          <w:tcPr>
            <w:tcW w:w="2700" w:type="dxa"/>
            <w:vAlign w:val="bottom"/>
            <w:tcBorders>
              <w:left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50"/>
        </w:trPr>
        <w:tc>
          <w:tcPr>
            <w:tcW w:w="2700" w:type="dxa"/>
            <w:vAlign w:val="bottom"/>
            <w:tcBorders>
              <w:left w:val="single" w:sz="8" w:color="auto"/>
              <w:right w:val="single" w:sz="8" w:color="auto"/>
            </w:tcBorders>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Doc. No.:</w:t>
            </w:r>
          </w:p>
        </w:tc>
        <w:tc>
          <w:tcPr>
            <w:tcW w:w="2980" w:type="dxa"/>
            <w:vAlign w:val="bottom"/>
            <w:tcBorders>
              <w:right w:val="single" w:sz="8" w:color="auto"/>
            </w:tcBorders>
          </w:tcPr>
          <w:p>
            <w:pPr>
              <w:spacing w:after="0"/>
              <w:rPr>
                <w:sz w:val="21"/>
                <w:szCs w:val="21"/>
                <w:color w:val="auto"/>
              </w:rPr>
            </w:pPr>
          </w:p>
        </w:tc>
        <w:tc>
          <w:tcPr>
            <w:tcW w:w="1360" w:type="dxa"/>
            <w:vAlign w:val="bottom"/>
          </w:tcPr>
          <w:p>
            <w:pPr>
              <w:ind w:left="280"/>
              <w:spacing w:after="0"/>
              <w:rPr>
                <w:sz w:val="20"/>
                <w:szCs w:val="20"/>
                <w:color w:val="auto"/>
              </w:rPr>
            </w:pPr>
            <w:r>
              <w:rPr>
                <w:rFonts w:ascii="Arial" w:cs="Arial" w:eastAsia="Arial" w:hAnsi="Arial"/>
                <w:sz w:val="19"/>
                <w:szCs w:val="19"/>
                <w:color w:val="auto"/>
              </w:rPr>
              <w:t>Rev.:   8</w:t>
            </w:r>
          </w:p>
        </w:tc>
        <w:tc>
          <w:tcPr>
            <w:tcW w:w="54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7"/>
              </w:rPr>
              <w:t>Page 12 of</w:t>
            </w:r>
          </w:p>
        </w:tc>
      </w:tr>
      <w:tr>
        <w:trPr>
          <w:trHeight w:val="285"/>
        </w:trPr>
        <w:tc>
          <w:tcPr>
            <w:tcW w:w="2700" w:type="dxa"/>
            <w:vAlign w:val="bottom"/>
            <w:tcBorders>
              <w:left w:val="single" w:sz="8" w:color="auto"/>
              <w:right w:val="single" w:sz="8" w:color="auto"/>
            </w:tcBorders>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Legal</w:t>
            </w:r>
          </w:p>
        </w:tc>
        <w:tc>
          <w:tcPr>
            <w:tcW w:w="2980" w:type="dxa"/>
            <w:vAlign w:val="bottom"/>
            <w:tcBorders>
              <w:right w:val="single" w:sz="8" w:color="auto"/>
            </w:tcBorders>
          </w:tcPr>
          <w:p>
            <w:pPr>
              <w:jc w:val="right"/>
              <w:ind w:right="2008"/>
              <w:spacing w:after="0"/>
              <w:rPr>
                <w:sz w:val="20"/>
                <w:szCs w:val="20"/>
                <w:color w:val="auto"/>
              </w:rPr>
            </w:pPr>
            <w:r>
              <w:rPr>
                <w:rFonts w:ascii="Arial" w:cs="Arial" w:eastAsia="Arial" w:hAnsi="Arial"/>
                <w:sz w:val="19"/>
                <w:szCs w:val="19"/>
                <w:color w:val="auto"/>
              </w:rPr>
              <w:t>03.002.02</w:t>
            </w:r>
          </w:p>
        </w:tc>
        <w:tc>
          <w:tcPr>
            <w:tcW w:w="13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6"/>
              </w:rPr>
              <w:t>#NUM_PAGES#</w:t>
            </w:r>
          </w:p>
        </w:tc>
      </w:tr>
      <w:tr>
        <w:trPr>
          <w:trHeight w:val="143"/>
        </w:trPr>
        <w:tc>
          <w:tcPr>
            <w:tcW w:w="27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-1056005</wp:posOffset>
            </wp:positionV>
            <wp:extent cx="42418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41800" cy="8255"/>
                    </a:xfrm>
                    <a:prstGeom prst="rect">
                      <a:avLst/>
                    </a:prstGeom>
                    <a:noFill/>
                  </pic:spPr>
                </pic:pic>
              </a:graphicData>
            </a:graphic>
          </wp:anchor>
        </w:drawing>
      </w:r>
    </w:p>
    <w:p>
      <w:pPr>
        <w:sectPr>
          <w:pgSz w:w="12240" w:h="15840" w:orient="portrait"/>
          <w:cols w:equalWidth="0" w:num="1">
            <w:col w:w="10580"/>
          </w:cols>
          <w:pgMar w:left="840" w:top="1440" w:right="82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131" w:lineRule="exact"/>
        <w:rPr>
          <w:sz w:val="20"/>
          <w:szCs w:val="20"/>
          <w:color w:val="auto"/>
        </w:rPr>
      </w:pPr>
    </w:p>
    <w:tbl>
      <w:tblPr>
        <w:tblLayout w:type="fixed"/>
        <w:tblInd w:w="820" w:type="dxa"/>
        <w:tblCellMar>
          <w:top w:w="0" w:type="dxa"/>
          <w:left w:w="0" w:type="dxa"/>
          <w:bottom w:w="0" w:type="dxa"/>
          <w:right w:w="0" w:type="dxa"/>
        </w:tblCellMar>
      </w:tblPr>
      <w:tr>
        <w:trPr>
          <w:trHeight w:val="179"/>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Jurisdiction of Incorporation or Organization</w:t>
            </w:r>
          </w:p>
        </w:tc>
      </w:tr>
      <w:tr>
        <w:trPr>
          <w:trHeight w:val="24"/>
        </w:trPr>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D1EDF5"/>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9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Inseego Wireless, Inc.</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20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Inseego Wireless UK Limited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0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Inseego Japan K.K.</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20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Inseego India Private Limited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India</w:t>
            </w:r>
          </w:p>
        </w:tc>
      </w:tr>
      <w:tr>
        <w:trPr>
          <w:trHeight w:val="20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Novatel Wireless Australia Pty Ltd.</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Australia</w:t>
            </w:r>
          </w:p>
        </w:tc>
      </w:tr>
      <w:tr>
        <w:trPr>
          <w:trHeight w:val="20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Novatel Wireless Asia Limited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Hong Kong</w:t>
            </w:r>
          </w:p>
        </w:tc>
      </w:tr>
      <w:tr>
        <w:trPr>
          <w:trHeight w:val="20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Novatel Wireless (Italy) S.r.l.</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Italy</w:t>
            </w:r>
          </w:p>
        </w:tc>
      </w:tr>
      <w:tr>
        <w:trPr>
          <w:trHeight w:val="20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Novatel Wireless (Shanghai) Co. Ltd.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20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Inseego North America, LLC</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Oregon</w:t>
            </w:r>
          </w:p>
        </w:tc>
      </w:tr>
      <w:tr>
        <w:trPr>
          <w:trHeight w:val="20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Inseego SA (Pty) Ltd.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South Africa</w:t>
            </w:r>
          </w:p>
        </w:tc>
      </w:tr>
      <w:tr>
        <w:trPr>
          <w:trHeight w:val="206"/>
        </w:trPr>
        <w:tc>
          <w:tcPr>
            <w:tcW w:w="5020" w:type="dxa"/>
            <w:vAlign w:val="bottom"/>
            <w:gridSpan w:val="2"/>
            <w:shd w:val="clear" w:color="auto" w:fill="D1EDF5"/>
          </w:tcPr>
          <w:p>
            <w:pPr>
              <w:spacing w:after="0"/>
              <w:rPr>
                <w:sz w:val="20"/>
                <w:szCs w:val="20"/>
                <w:color w:val="auto"/>
              </w:rPr>
            </w:pPr>
            <w:r>
              <w:rPr>
                <w:rFonts w:ascii="Times New Roman" w:cs="Times New Roman" w:eastAsia="Times New Roman" w:hAnsi="Times New Roman"/>
                <w:sz w:val="15"/>
                <w:szCs w:val="15"/>
                <w:color w:val="auto"/>
              </w:rPr>
              <w:t>DigiCore International Proprietary Limited</w:t>
            </w:r>
          </w:p>
        </w:tc>
        <w:tc>
          <w:tcPr>
            <w:tcW w:w="2700" w:type="dxa"/>
            <w:vAlign w:val="bottom"/>
            <w:shd w:val="clear" w:color="auto" w:fill="D1EDF5"/>
          </w:tcPr>
          <w:p>
            <w:pPr>
              <w:spacing w:after="0"/>
              <w:rPr>
                <w:sz w:val="20"/>
                <w:szCs w:val="20"/>
                <w:color w:val="auto"/>
              </w:rPr>
            </w:pPr>
            <w:r>
              <w:rPr>
                <w:rFonts w:ascii="Times New Roman" w:cs="Times New Roman" w:eastAsia="Times New Roman" w:hAnsi="Times New Roman"/>
                <w:sz w:val="15"/>
                <w:szCs w:val="15"/>
                <w:color w:val="auto"/>
              </w:rPr>
              <w:t>South Africa</w:t>
            </w:r>
          </w:p>
        </w:tc>
      </w:tr>
      <w:tr>
        <w:trPr>
          <w:trHeight w:val="198"/>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Inseego Finance Limited</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United Kingdom</w:t>
            </w:r>
          </w:p>
        </w:tc>
      </w:tr>
    </w:tbl>
    <w:p>
      <w:pPr>
        <w:sectPr>
          <w:pgSz w:w="12240" w:h="15840" w:orient="portrait"/>
          <w:cols w:equalWidth="0" w:num="1">
            <w:col w:w="9960"/>
          </w:cols>
          <w:pgMar w:left="1440" w:top="834" w:right="8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w:t>
      </w:r>
    </w:p>
    <w:p>
      <w:pPr>
        <w:spacing w:after="0" w:line="227" w:lineRule="exact"/>
        <w:rPr>
          <w:sz w:val="20"/>
          <w:szCs w:val="20"/>
          <w:color w:val="auto"/>
        </w:rPr>
      </w:pPr>
    </w:p>
    <w:p>
      <w:pPr>
        <w:ind w:left="600" w:hanging="303"/>
        <w:spacing w:after="0"/>
        <w:tabs>
          <w:tab w:leader="none" w:pos="6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(Form S-3 No. 333-207255) of Novatel Wireless, Inc. (predecessor issuer to Inseego Corp.);</w:t>
      </w:r>
    </w:p>
    <w:p>
      <w:pPr>
        <w:spacing w:after="0" w:line="214" w:lineRule="exact"/>
        <w:rPr>
          <w:rFonts w:ascii="Times New Roman" w:cs="Times New Roman" w:eastAsia="Times New Roman" w:hAnsi="Times New Roman"/>
          <w:sz w:val="20"/>
          <w:szCs w:val="20"/>
          <w:color w:val="auto"/>
        </w:rPr>
      </w:pPr>
    </w:p>
    <w:p>
      <w:pPr>
        <w:ind w:left="600" w:hanging="303"/>
        <w:spacing w:after="0"/>
        <w:tabs>
          <w:tab w:leader="none" w:pos="6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(Form S-1 No. 333-283913);</w:t>
      </w:r>
    </w:p>
    <w:p>
      <w:pPr>
        <w:spacing w:after="0" w:line="227" w:lineRule="exact"/>
        <w:rPr>
          <w:rFonts w:ascii="Times New Roman" w:cs="Times New Roman" w:eastAsia="Times New Roman" w:hAnsi="Times New Roman"/>
          <w:sz w:val="20"/>
          <w:szCs w:val="20"/>
          <w:color w:val="auto"/>
        </w:rPr>
      </w:pPr>
    </w:p>
    <w:p>
      <w:pPr>
        <w:ind w:left="600" w:hanging="303"/>
        <w:spacing w:after="0" w:line="275" w:lineRule="auto"/>
        <w:tabs>
          <w:tab w:leader="none" w:pos="6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Statements (Form S-3 Nos. 333-290849, 333-239728, 333- 231350, 333-228315, and 333-221404) of Inseego Corp.; and</w:t>
      </w:r>
    </w:p>
    <w:p>
      <w:pPr>
        <w:spacing w:after="0" w:line="158" w:lineRule="exact"/>
        <w:rPr>
          <w:rFonts w:ascii="Times New Roman" w:cs="Times New Roman" w:eastAsia="Times New Roman" w:hAnsi="Times New Roman"/>
          <w:sz w:val="20"/>
          <w:szCs w:val="20"/>
          <w:color w:val="auto"/>
        </w:rPr>
      </w:pPr>
    </w:p>
    <w:p>
      <w:pPr>
        <w:jc w:val="both"/>
        <w:ind w:left="600" w:hanging="303"/>
        <w:spacing w:after="0" w:line="256" w:lineRule="auto"/>
        <w:tabs>
          <w:tab w:leader="none" w:pos="6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Statements (Form S-8 Nos. 333-292460, 333-283914, 333-266721, 333-263381, 333-246367, 333-226754, 333-214965, 333-207233, 333-202648, 333-190879, 333-176489, 333-163033, 333-145482, 333-139730, and 333-53692) of Inseego Corp.,</w:t>
      </w:r>
    </w:p>
    <w:p>
      <w:pPr>
        <w:spacing w:after="0" w:line="178"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20"/>
          <w:szCs w:val="20"/>
          <w:color w:val="auto"/>
        </w:rPr>
        <w:t>of our reports dated February 19, 2026 with respect to the consolidated financial statements of Inseego Corp. (the “Company”)) and the effectiveness of internal control over financial reporting of the Company included in this Annual Report on Form 10-K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CPAs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ectPr>
          <w:pgSz w:w="12240" w:h="15840" w:orient="portrait"/>
          <w:cols w:equalWidth="0" w:num="1">
            <w:col w:w="10560"/>
          </w:cols>
          <w:pgMar w:left="840" w:top="711" w:right="8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w:t>
      </w:r>
    </w:p>
    <w:p>
      <w:pPr>
        <w:spacing w:after="0" w:line="227" w:lineRule="exact"/>
        <w:rPr>
          <w:sz w:val="20"/>
          <w:szCs w:val="20"/>
          <w:color w:val="auto"/>
        </w:rPr>
      </w:pPr>
    </w:p>
    <w:p>
      <w:pPr>
        <w:ind w:left="600" w:hanging="303"/>
        <w:spacing w:after="0"/>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(Form S-3 No. 333-207255) of Novatel Wireless, Inc. (predecessor issuer to Inseego Corp.);</w:t>
      </w:r>
    </w:p>
    <w:p>
      <w:pPr>
        <w:spacing w:after="0" w:line="214" w:lineRule="exact"/>
        <w:rPr>
          <w:rFonts w:ascii="Times New Roman" w:cs="Times New Roman" w:eastAsia="Times New Roman" w:hAnsi="Times New Roman"/>
          <w:sz w:val="20"/>
          <w:szCs w:val="20"/>
          <w:color w:val="auto"/>
        </w:rPr>
      </w:pPr>
    </w:p>
    <w:p>
      <w:pPr>
        <w:ind w:left="600" w:hanging="303"/>
        <w:spacing w:after="0"/>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 (Form S-1 No. 333-283913);</w:t>
      </w:r>
    </w:p>
    <w:p>
      <w:pPr>
        <w:spacing w:after="0" w:line="227" w:lineRule="exact"/>
        <w:rPr>
          <w:rFonts w:ascii="Times New Roman" w:cs="Times New Roman" w:eastAsia="Times New Roman" w:hAnsi="Times New Roman"/>
          <w:sz w:val="20"/>
          <w:szCs w:val="20"/>
          <w:color w:val="auto"/>
        </w:rPr>
      </w:pPr>
    </w:p>
    <w:p>
      <w:pPr>
        <w:ind w:left="600" w:hanging="303"/>
        <w:spacing w:after="0" w:line="275" w:lineRule="auto"/>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Statements (Form S-3 Nos. 333-290849, 333-239728, 333- 231350, 333-228315, and 333-221404) of Inseego Corp.; and</w:t>
      </w:r>
    </w:p>
    <w:p>
      <w:pPr>
        <w:spacing w:after="0" w:line="158" w:lineRule="exact"/>
        <w:rPr>
          <w:rFonts w:ascii="Times New Roman" w:cs="Times New Roman" w:eastAsia="Times New Roman" w:hAnsi="Times New Roman"/>
          <w:sz w:val="20"/>
          <w:szCs w:val="20"/>
          <w:color w:val="auto"/>
        </w:rPr>
      </w:pPr>
    </w:p>
    <w:p>
      <w:pPr>
        <w:jc w:val="both"/>
        <w:ind w:left="600" w:hanging="303"/>
        <w:spacing w:after="0" w:line="256" w:lineRule="auto"/>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Statements (Form S-8 Nos. 333-292460, 333-283914, 333-266721, 333-263381, 333-246367, 333-226754, 333-214965, 333-207233, 333-202648, 333-190879, 333-176489, 333-163033, 333-145482, 333-139730, and 333-53692) of Inseego Corp.,</w:t>
      </w:r>
    </w:p>
    <w:p>
      <w:pPr>
        <w:spacing w:after="0" w:line="178"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20"/>
          <w:szCs w:val="20"/>
          <w:color w:val="auto"/>
        </w:rPr>
        <w:t>of our report dated February 19, 2025, with respect to the consolidated financial statements of Inseego Corp. included in this Annual Report on Form 10-K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MARCUM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p>
      <w:pPr>
        <w:sectPr>
          <w:pgSz w:w="12240" w:h="15840" w:orient="portrait"/>
          <w:cols w:equalWidth="0" w:num="1">
            <w:col w:w="10560"/>
          </w:cols>
          <w:pgMar w:left="840" w:top="711" w:right="8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Juho Sarvikas, certify that:</w:t>
      </w:r>
    </w:p>
    <w:p>
      <w:pPr>
        <w:spacing w:after="0" w:line="160" w:lineRule="exact"/>
        <w:rPr>
          <w:sz w:val="20"/>
          <w:szCs w:val="20"/>
          <w:color w:val="auto"/>
        </w:rPr>
      </w:pPr>
    </w:p>
    <w:p>
      <w:pPr>
        <w:ind w:left="620" w:hanging="171"/>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Inseego Corp.;</w:t>
      </w:r>
    </w:p>
    <w:p>
      <w:pPr>
        <w:spacing w:after="0" w:line="159" w:lineRule="exact"/>
        <w:rPr>
          <w:rFonts w:ascii="Times New Roman" w:cs="Times New Roman" w:eastAsia="Times New Roman" w:hAnsi="Times New Roman"/>
          <w:sz w:val="17"/>
          <w:szCs w:val="17"/>
          <w:color w:val="auto"/>
        </w:rPr>
      </w:pPr>
    </w:p>
    <w:p>
      <w:pPr>
        <w:ind w:right="100" w:firstLine="449"/>
        <w:spacing w:after="0" w:line="310" w:lineRule="auto"/>
        <w:tabs>
          <w:tab w:leader="none" w:pos="62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6"/>
          <w:szCs w:val="16"/>
          <w:color w:val="auto"/>
        </w:rPr>
      </w:pPr>
    </w:p>
    <w:p>
      <w:pPr>
        <w:ind w:right="60" w:firstLine="449"/>
        <w:spacing w:after="0" w:line="278" w:lineRule="auto"/>
        <w:tabs>
          <w:tab w:leader="none" w:pos="62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7"/>
          <w:szCs w:val="17"/>
          <w:color w:val="auto"/>
        </w:rPr>
      </w:pPr>
    </w:p>
    <w:p>
      <w:pPr>
        <w:ind w:right="80" w:firstLine="449"/>
        <w:spacing w:after="0" w:line="263" w:lineRule="auto"/>
        <w:tabs>
          <w:tab w:leader="none" w:pos="62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Times New Roman" w:cs="Times New Roman" w:eastAsia="Times New Roman" w:hAnsi="Times New Roman"/>
          <w:sz w:val="17"/>
          <w:szCs w:val="17"/>
          <w:color w:val="auto"/>
        </w:rPr>
      </w:pPr>
    </w:p>
    <w:p>
      <w:pPr>
        <w:ind w:left="980" w:right="140" w:hanging="215"/>
        <w:spacing w:after="0" w:line="229"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980" w:right="260" w:hanging="225"/>
        <w:spacing w:after="0" w:line="229"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7"/>
          <w:szCs w:val="17"/>
          <w:color w:val="auto"/>
        </w:rPr>
      </w:pPr>
    </w:p>
    <w:p>
      <w:pPr>
        <w:jc w:val="both"/>
        <w:ind w:left="980" w:right="420" w:hanging="215"/>
        <w:spacing w:after="0" w:line="260" w:lineRule="auto"/>
        <w:tabs>
          <w:tab w:leader="none" w:pos="98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ind w:left="980" w:right="140" w:hanging="225"/>
        <w:spacing w:after="0" w:line="229"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right="240" w:firstLine="449"/>
        <w:spacing w:after="0" w:line="278" w:lineRule="auto"/>
        <w:tabs>
          <w:tab w:leader="none" w:pos="62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7"/>
          <w:szCs w:val="17"/>
          <w:color w:val="auto"/>
        </w:rPr>
      </w:pPr>
    </w:p>
    <w:p>
      <w:pPr>
        <w:ind w:left="980" w:right="660" w:hanging="215"/>
        <w:spacing w:after="0" w:line="235"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Times New Roman" w:cs="Times New Roman" w:eastAsia="Times New Roman" w:hAnsi="Times New Roman"/>
          <w:sz w:val="17"/>
          <w:szCs w:val="17"/>
          <w:color w:val="auto"/>
        </w:rPr>
      </w:pPr>
    </w:p>
    <w:p>
      <w:pPr>
        <w:ind w:left="980" w:right="360" w:hanging="225"/>
        <w:spacing w:after="0" w:line="235" w:lineRule="auto"/>
        <w:tabs>
          <w:tab w:leader="none" w:pos="9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24" w:lineRule="exact"/>
        <w:rPr>
          <w:sz w:val="20"/>
          <w:szCs w:val="20"/>
          <w:color w:val="auto"/>
        </w:rPr>
      </w:pPr>
    </w:p>
    <w:p>
      <w:pPr>
        <w:ind w:left="2780"/>
        <w:spacing w:after="0"/>
        <w:tabs>
          <w:tab w:leader="none" w:pos="308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31750</wp:posOffset>
            </wp:positionV>
            <wp:extent cx="3193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93415" cy="8255"/>
                    </a:xfrm>
                    <a:prstGeom prst="rect">
                      <a:avLst/>
                    </a:prstGeom>
                    <a:noFill/>
                  </pic:spPr>
                </pic:pic>
              </a:graphicData>
            </a:graphic>
          </wp:anchor>
        </w:drawing>
      </w:r>
    </w:p>
    <w:p>
      <w:pPr>
        <w:spacing w:after="0" w:line="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Juho Sarvikas</w:t>
      </w:r>
    </w:p>
    <w:p>
      <w:pPr>
        <w:spacing w:after="0" w:line="1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2240" w:h="15840" w:orient="portrait"/>
          <w:cols w:equalWidth="0" w:num="1">
            <w:col w:w="10560"/>
          </w:cols>
          <w:pgMar w:left="840" w:top="872" w:right="8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Gatoff, certify that:</w:t>
      </w:r>
    </w:p>
    <w:p>
      <w:pPr>
        <w:spacing w:after="0" w:line="160" w:lineRule="exact"/>
        <w:rPr>
          <w:sz w:val="20"/>
          <w:szCs w:val="20"/>
          <w:color w:val="auto"/>
        </w:rPr>
      </w:pPr>
    </w:p>
    <w:p>
      <w:pPr>
        <w:ind w:left="620" w:hanging="17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Inseego Corp.;</w:t>
      </w:r>
    </w:p>
    <w:p>
      <w:pPr>
        <w:spacing w:after="0" w:line="160" w:lineRule="exact"/>
        <w:rPr>
          <w:rFonts w:ascii="Times New Roman" w:cs="Times New Roman" w:eastAsia="Times New Roman" w:hAnsi="Times New Roman"/>
          <w:sz w:val="17"/>
          <w:szCs w:val="17"/>
          <w:color w:val="auto"/>
        </w:rPr>
      </w:pPr>
    </w:p>
    <w:p>
      <w:pPr>
        <w:ind w:right="100" w:firstLine="449"/>
        <w:spacing w:after="0" w:line="310" w:lineRule="auto"/>
        <w:tabs>
          <w:tab w:leader="none" w:pos="62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6"/>
          <w:szCs w:val="16"/>
          <w:color w:val="auto"/>
        </w:rPr>
      </w:pPr>
    </w:p>
    <w:p>
      <w:pPr>
        <w:ind w:right="60" w:firstLine="449"/>
        <w:spacing w:after="0" w:line="278" w:lineRule="auto"/>
        <w:tabs>
          <w:tab w:leader="none" w:pos="62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7"/>
          <w:szCs w:val="17"/>
          <w:color w:val="auto"/>
        </w:rPr>
      </w:pPr>
    </w:p>
    <w:p>
      <w:pPr>
        <w:ind w:right="80" w:firstLine="449"/>
        <w:spacing w:after="0" w:line="263" w:lineRule="auto"/>
        <w:tabs>
          <w:tab w:leader="none" w:pos="62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7"/>
          <w:szCs w:val="17"/>
          <w:color w:val="auto"/>
        </w:rPr>
      </w:pPr>
    </w:p>
    <w:p>
      <w:pPr>
        <w:ind w:left="980" w:right="140" w:hanging="215"/>
        <w:spacing w:after="0" w:line="224"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980" w:right="260" w:hanging="225"/>
        <w:spacing w:after="0" w:line="224"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980" w:right="420" w:hanging="215"/>
        <w:spacing w:after="0" w:line="260" w:lineRule="auto"/>
        <w:tabs>
          <w:tab w:leader="none" w:pos="98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ind w:left="980" w:right="140" w:hanging="225"/>
        <w:spacing w:after="0" w:line="224"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7"/>
          <w:szCs w:val="17"/>
          <w:color w:val="auto"/>
        </w:rPr>
      </w:pPr>
    </w:p>
    <w:p>
      <w:pPr>
        <w:ind w:right="240" w:firstLine="449"/>
        <w:spacing w:after="0" w:line="278" w:lineRule="auto"/>
        <w:tabs>
          <w:tab w:leader="none" w:pos="62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Times New Roman" w:cs="Times New Roman" w:eastAsia="Times New Roman" w:hAnsi="Times New Roman"/>
          <w:sz w:val="17"/>
          <w:szCs w:val="17"/>
          <w:color w:val="auto"/>
        </w:rPr>
      </w:pPr>
    </w:p>
    <w:p>
      <w:pPr>
        <w:ind w:left="980" w:right="660" w:hanging="215"/>
        <w:spacing w:after="0" w:line="246"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left="980" w:right="360" w:hanging="225"/>
        <w:spacing w:after="0" w:line="246" w:lineRule="auto"/>
        <w:tabs>
          <w:tab w:leader="none" w:pos="9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24" w:lineRule="exact"/>
        <w:rPr>
          <w:sz w:val="20"/>
          <w:szCs w:val="20"/>
          <w:color w:val="auto"/>
        </w:rPr>
      </w:pPr>
    </w:p>
    <w:p>
      <w:pPr>
        <w:ind w:left="2780"/>
        <w:spacing w:after="0"/>
        <w:tabs>
          <w:tab w:leader="none" w:pos="308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31750</wp:posOffset>
            </wp:positionV>
            <wp:extent cx="3193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93415" cy="8255"/>
                    </a:xfrm>
                    <a:prstGeom prst="rect">
                      <a:avLst/>
                    </a:prstGeom>
                    <a:noFill/>
                  </pic:spPr>
                </pic:pic>
              </a:graphicData>
            </a:graphic>
          </wp:anchor>
        </w:drawing>
      </w:r>
    </w:p>
    <w:p>
      <w:pPr>
        <w:spacing w:after="0" w:line="1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Steven Gatoff</w:t>
      </w:r>
    </w:p>
    <w:p>
      <w:pPr>
        <w:spacing w:after="0" w:line="1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2240" w:h="15840" w:orient="portrait"/>
          <w:cols w:equalWidth="0" w:num="1">
            <w:col w:w="10560"/>
          </w:cols>
          <w:pgMar w:left="840" w:top="644" w:right="8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Juho Sarvikas, Chief Executive Officer of Inseego Corp. (the “Company”), do hereby certify, pursuant to 18 U.S.C. Section 1350, as adopted pursuant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that to the best of my knowledge:</w:t>
      </w:r>
    </w:p>
    <w:p>
      <w:pPr>
        <w:spacing w:after="0" w:line="246" w:lineRule="exact"/>
        <w:rPr>
          <w:sz w:val="20"/>
          <w:szCs w:val="20"/>
          <w:color w:val="auto"/>
        </w:rPr>
      </w:pPr>
    </w:p>
    <w:p>
      <w:pPr>
        <w:ind w:left="1380" w:right="520" w:hanging="768"/>
        <w:spacing w:after="0" w:line="235" w:lineRule="auto"/>
        <w:tabs>
          <w:tab w:leader="none" w:pos="1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year ended December 31, 2025 (the “Report”) fully complies with the requirements of Section 13(a) or 15(d) of the Securities Exchange Act of 1934, as amended; and</w:t>
      </w:r>
    </w:p>
    <w:p>
      <w:pPr>
        <w:spacing w:after="0" w:line="226" w:lineRule="exact"/>
        <w:rPr>
          <w:rFonts w:ascii="Times New Roman" w:cs="Times New Roman" w:eastAsia="Times New Roman" w:hAnsi="Times New Roman"/>
          <w:sz w:val="17"/>
          <w:szCs w:val="17"/>
          <w:color w:val="auto"/>
        </w:rPr>
      </w:pPr>
    </w:p>
    <w:p>
      <w:pPr>
        <w:ind w:left="1380" w:right="140" w:hanging="768"/>
        <w:spacing w:after="0" w:line="235" w:lineRule="auto"/>
        <w:tabs>
          <w:tab w:leader="none" w:pos="1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36" w:lineRule="exact"/>
        <w:rPr>
          <w:sz w:val="20"/>
          <w:szCs w:val="20"/>
          <w:color w:val="auto"/>
        </w:rPr>
      </w:pPr>
    </w:p>
    <w:p>
      <w:pPr>
        <w:ind w:left="2860"/>
        <w:spacing w:after="0"/>
        <w:tabs>
          <w:tab w:leader="none" w:pos="316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31750</wp:posOffset>
            </wp:positionV>
            <wp:extent cx="3096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Juho Sarvikas</w:t>
      </w:r>
    </w:p>
    <w:p>
      <w:pPr>
        <w:spacing w:after="0" w:line="7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2240" w:h="15840" w:orient="portrait"/>
          <w:cols w:equalWidth="0" w:num="1">
            <w:col w:w="10560"/>
          </w:cols>
          <w:pgMar w:left="840" w:top="644" w:right="8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Gatoff, Chief Financial Officer of Inseego Corp. (the “Company”), do hereby certify, pursuant to 18 U.S.C. Section 1350, as adopted pursuant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that to the best of my knowledge:</w:t>
      </w:r>
    </w:p>
    <w:p>
      <w:pPr>
        <w:spacing w:after="0" w:line="246" w:lineRule="exact"/>
        <w:rPr>
          <w:sz w:val="20"/>
          <w:szCs w:val="20"/>
          <w:color w:val="auto"/>
        </w:rPr>
      </w:pPr>
    </w:p>
    <w:p>
      <w:pPr>
        <w:ind w:left="1220" w:right="680" w:hanging="767"/>
        <w:spacing w:after="0" w:line="235" w:lineRule="auto"/>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of the Company for the year ended December 31, 2025 (the “Report”) fully complies with the requirements of Section 13(a) or 15(d) of the Securities Exchange Act of 1934, as amended; and</w:t>
      </w:r>
    </w:p>
    <w:p>
      <w:pPr>
        <w:spacing w:after="0" w:line="226" w:lineRule="exact"/>
        <w:rPr>
          <w:rFonts w:ascii="Times New Roman" w:cs="Times New Roman" w:eastAsia="Times New Roman" w:hAnsi="Times New Roman"/>
          <w:sz w:val="17"/>
          <w:szCs w:val="17"/>
          <w:color w:val="auto"/>
        </w:rPr>
      </w:pPr>
    </w:p>
    <w:p>
      <w:pPr>
        <w:ind w:left="1220" w:right="300" w:hanging="767"/>
        <w:spacing w:after="0" w:line="235" w:lineRule="auto"/>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36" w:lineRule="exact"/>
        <w:rPr>
          <w:sz w:val="20"/>
          <w:szCs w:val="20"/>
          <w:color w:val="auto"/>
        </w:rPr>
      </w:pPr>
    </w:p>
    <w:p>
      <w:pPr>
        <w:ind w:left="2860"/>
        <w:spacing w:after="0"/>
        <w:tabs>
          <w:tab w:leader="none" w:pos="316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31750</wp:posOffset>
            </wp:positionV>
            <wp:extent cx="3096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18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Steven Gatoff</w:t>
      </w:r>
    </w:p>
    <w:p>
      <w:pPr>
        <w:spacing w:after="0" w:line="7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2240" w:h="15840" w:orient="portrait"/>
      <w:cols w:equalWidth="0" w:num="1">
        <w:col w:w="10560"/>
      </w:cols>
      <w:pgMar w:left="840" w:top="415" w:right="8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PMingLiU">
    <w:panose1 w:val="02020500000000000000"/>
    <w:charset w:val="00"/>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lvl w:ilvl="1">
      <w:lvlJc w:val="left"/>
      <w:lvlText w:val="◦"/>
      <w:numFmt w:val="bullet"/>
      <w:start w:val="1"/>
    </w:lvl>
  </w:abstractNum>
  <w:abstractNum w:abstractNumId="5">
    <w:nsid w:val="2D1D5AE9"/>
    <w:multiLevelType w:val="hybridMultilevel"/>
    <w:lvl w:ilvl="0">
      <w:lvlJc w:val="left"/>
      <w:lvlText w:val="\endash "/>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lvl w:ilvl="1">
      <w:lvlJc w:val="left"/>
      <w:lvlText w:val="(%2)"/>
      <w:numFmt w:val="lowerLetter"/>
      <w:start w:val="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6"/>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2026-04-23T05:16:37Z</dcterms:created>
  <dcterms:modified xsi:type="dcterms:W3CDTF">2026-04-23T05:16:37Z</dcterms:modified>
</cp:coreProperties>
</file>