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Miller Brian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115 EAST PUTNAM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INSEEGO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INSG</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0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08/09/2019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73" w:lineRule="exact"/>
        <w:rPr>
          <w:sz w:val="24"/>
          <w:szCs w:val="24"/>
          <w:color w:val="auto"/>
        </w:rPr>
      </w:pPr>
    </w:p>
    <w:p>
      <w:pPr>
        <w:sectPr>
          <w:pgSz w:w="11900" w:h="16838" w:orient="portrait"/>
          <w:cols w:equalWidth="0" w:num="3">
            <w:col w:w="3360" w:space="720"/>
            <w:col w:w="3257" w:space="720"/>
            <w:col w:w="3363"/>
          </w:cols>
          <w:pgMar w:left="240" w:top="226" w:right="239" w:bottom="10" w:gutter="0" w:footer="0" w:header="0"/>
          <w:type w:val="continuous"/>
        </w:sectPr>
      </w:pPr>
    </w:p>
    <w:p>
      <w:pPr>
        <w:spacing w:after="0" w:line="189"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80" w:type="dxa"/>
            <w:vAlign w:val="bottom"/>
          </w:tcPr>
          <w:p>
            <w:pPr>
              <w:spacing w:after="0"/>
              <w:rPr>
                <w:sz w:val="20"/>
                <w:szCs w:val="20"/>
                <w:color w:val="auto"/>
              </w:rPr>
            </w:pPr>
            <w:r>
              <w:rPr>
                <w:rFonts w:ascii="Arial" w:cs="Arial" w:eastAsia="Arial" w:hAnsi="Arial"/>
                <w:sz w:val="18"/>
                <w:szCs w:val="18"/>
                <w:color w:val="0000FF"/>
              </w:rPr>
              <w:t>GREENWICH</w:t>
            </w:r>
          </w:p>
        </w:tc>
        <w:tc>
          <w:tcPr>
            <w:tcW w:w="940" w:type="dxa"/>
            <w:vAlign w:val="bottom"/>
          </w:tcPr>
          <w:p>
            <w:pPr>
              <w:ind w:left="100"/>
              <w:spacing w:after="0"/>
              <w:rPr>
                <w:sz w:val="20"/>
                <w:szCs w:val="20"/>
                <w:color w:val="auto"/>
              </w:rPr>
            </w:pPr>
            <w:r>
              <w:rPr>
                <w:rFonts w:ascii="Arial" w:cs="Arial" w:eastAsia="Arial" w:hAnsi="Arial"/>
                <w:sz w:val="18"/>
                <w:szCs w:val="18"/>
                <w:color w:val="0000FF"/>
              </w:rPr>
              <w:t>CT</w:t>
            </w:r>
          </w:p>
        </w:tc>
        <w:tc>
          <w:tcPr>
            <w:tcW w:w="1680" w:type="dxa"/>
            <w:vAlign w:val="bottom"/>
          </w:tcPr>
          <w:p>
            <w:pPr>
              <w:ind w:left="420"/>
              <w:spacing w:after="0"/>
              <w:rPr>
                <w:sz w:val="20"/>
                <w:szCs w:val="20"/>
                <w:color w:val="auto"/>
              </w:rPr>
            </w:pPr>
            <w:r>
              <w:rPr>
                <w:rFonts w:ascii="Arial" w:cs="Arial" w:eastAsia="Arial" w:hAnsi="Arial"/>
                <w:sz w:val="18"/>
                <w:szCs w:val="18"/>
                <w:color w:val="0000FF"/>
              </w:rPr>
              <w:t>06830</w:t>
            </w:r>
          </w:p>
        </w:tc>
      </w:tr>
      <w:tr>
        <w:trPr>
          <w:trHeight w:val="158"/>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(City)</w:t>
            </w:r>
          </w:p>
        </w:tc>
        <w:tc>
          <w:tcPr>
            <w:tcW w:w="940" w:type="dxa"/>
            <w:vAlign w:val="bottom"/>
          </w:tcPr>
          <w:p>
            <w:pPr>
              <w:ind w:left="1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right="260" w:hanging="3983"/>
        <w:spacing w:after="0" w:line="231" w:lineRule="auto"/>
        <w:rPr>
          <w:sz w:val="20"/>
          <w:szCs w:val="20"/>
          <w:color w:val="auto"/>
        </w:rPr>
      </w:pPr>
      <w:r>
        <w:rPr>
          <w:rFonts w:ascii="Arial" w:cs="Arial" w:eastAsia="Arial" w:hAnsi="Arial"/>
          <w:sz w:val="14"/>
          <w:szCs w:val="14"/>
          <w:color w:val="auto"/>
        </w:rPr>
        <w:t>4. If Amendment, Date of Original Filed (Month/Day/Year)</w:t>
      </w:r>
      <w:r>
        <w:rPr>
          <w:sz w:val="20"/>
          <w:szCs w:val="20"/>
          <w:color w:val="auto"/>
        </w:rPr>
        <w:t xml:space="preserve"> </w:t>
      </w:r>
      <w:r>
        <w:rPr>
          <w:rFonts w:ascii="Arial" w:cs="Arial" w:eastAsia="Arial" w:hAnsi="Arial"/>
          <w:sz w:val="14"/>
          <w:szCs w:val="14"/>
          <w:color w:val="auto"/>
        </w:rPr>
        <w:t>6. Individual or Joint/Group Filing (Check Applicable Line)</w:t>
      </w:r>
    </w:p>
    <w:p>
      <w:pPr>
        <w:spacing w:after="0" w:line="28" w:lineRule="exact"/>
        <w:rPr>
          <w:sz w:val="24"/>
          <w:szCs w:val="24"/>
          <w:color w:val="auto"/>
        </w:rPr>
      </w:pPr>
    </w:p>
    <w:tbl>
      <w:tblPr>
        <w:tblLayout w:type="fixed"/>
        <w:tblInd w:w="20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400" w:lineRule="exact"/>
        <w:rPr>
          <w:sz w:val="24"/>
          <w:szCs w:val="24"/>
          <w:color w:val="auto"/>
        </w:rPr>
      </w:pPr>
    </w:p>
    <w:p>
      <w:pPr>
        <w:sectPr>
          <w:pgSz w:w="11900" w:h="16838" w:orient="portrait"/>
          <w:cols w:equalWidth="0" w:num="2">
            <w:col w:w="7340" w:space="720"/>
            <w:col w:w="3360"/>
          </w:cols>
          <w:pgMar w:left="240" w:top="226" w:right="239" w:bottom="1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60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200"/>
              <w:spacing w:after="0" w:line="135" w:lineRule="exact"/>
              <w:rPr>
                <w:sz w:val="20"/>
                <w:szCs w:val="20"/>
                <w:color w:val="auto"/>
              </w:rPr>
            </w:pPr>
            <w:r>
              <w:rPr>
                <w:rFonts w:ascii="Arial" w:cs="Arial" w:eastAsia="Arial" w:hAnsi="Arial"/>
                <w:sz w:val="12"/>
                <w:szCs w:val="12"/>
                <w:b w:val="1"/>
                <w:bCs w:val="1"/>
                <w:color w:val="auto"/>
                <w:w w:val="93"/>
              </w:rPr>
              <w:t>(A) or</w:t>
            </w:r>
          </w:p>
        </w:tc>
        <w:tc>
          <w:tcPr>
            <w:tcW w:w="64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320" w:type="dxa"/>
            <w:vAlign w:val="bottom"/>
            <w:gridSpan w:val="7"/>
          </w:tcPr>
          <w:p>
            <w:pPr>
              <w:ind w:left="60"/>
              <w:spacing w:after="0"/>
              <w:rPr>
                <w:sz w:val="20"/>
                <w:szCs w:val="20"/>
                <w:color w:val="auto"/>
              </w:rPr>
            </w:pPr>
            <w:r>
              <w:rPr>
                <w:rFonts w:ascii="Arial" w:cs="Arial" w:eastAsia="Arial" w:hAnsi="Arial"/>
                <w:sz w:val="18"/>
                <w:szCs w:val="18"/>
                <w:color w:val="0000FF"/>
                <w:w w:val="95"/>
              </w:rPr>
              <w:t>Series E Fixed-Rate Cumulative Perpetual</w:t>
            </w:r>
          </w:p>
        </w:tc>
        <w:tc>
          <w:tcPr>
            <w:tcW w:w="1120" w:type="dxa"/>
            <w:vAlign w:val="bottom"/>
            <w:gridSpan w:val="2"/>
            <w:vMerge w:val="restart"/>
          </w:tcPr>
          <w:p>
            <w:pPr>
              <w:jc w:val="right"/>
              <w:ind w:right="139"/>
              <w:spacing w:after="0"/>
              <w:rPr>
                <w:sz w:val="20"/>
                <w:szCs w:val="20"/>
                <w:color w:val="auto"/>
              </w:rPr>
            </w:pPr>
            <w:r>
              <w:rPr>
                <w:rFonts w:ascii="Arial" w:cs="Arial" w:eastAsia="Arial" w:hAnsi="Arial"/>
                <w:sz w:val="18"/>
                <w:szCs w:val="18"/>
                <w:color w:val="0000FF"/>
                <w:w w:val="99"/>
              </w:rPr>
              <w:t>08/09/2019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720" w:type="dxa"/>
            <w:vAlign w:val="bottom"/>
            <w:vMerge w:val="restart"/>
          </w:tcPr>
          <w:p>
            <w:pPr>
              <w:ind w:left="240"/>
              <w:spacing w:after="0"/>
              <w:rPr>
                <w:sz w:val="20"/>
                <w:szCs w:val="20"/>
                <w:color w:val="auto"/>
              </w:rPr>
            </w:pPr>
            <w:r>
              <w:rPr>
                <w:rFonts w:ascii="Arial" w:cs="Arial" w:eastAsia="Arial" w:hAnsi="Arial"/>
                <w:sz w:val="18"/>
                <w:szCs w:val="18"/>
                <w:color w:val="0000FF"/>
              </w:rPr>
              <w:t>3,000</w:t>
            </w:r>
          </w:p>
        </w:tc>
        <w:tc>
          <w:tcPr>
            <w:tcW w:w="520" w:type="dxa"/>
            <w:vAlign w:val="bottom"/>
            <w:vMerge w:val="restart"/>
          </w:tcPr>
          <w:p>
            <w:pPr>
              <w:ind w:left="320"/>
              <w:spacing w:after="0"/>
              <w:rPr>
                <w:sz w:val="20"/>
                <w:szCs w:val="20"/>
                <w:color w:val="auto"/>
              </w:rPr>
            </w:pPr>
            <w:r>
              <w:rPr>
                <w:rFonts w:ascii="Arial" w:cs="Arial" w:eastAsia="Arial" w:hAnsi="Arial"/>
                <w:sz w:val="18"/>
                <w:szCs w:val="18"/>
                <w:color w:val="0000FF"/>
              </w:rPr>
              <w:t>A</w:t>
            </w:r>
          </w:p>
        </w:tc>
        <w:tc>
          <w:tcPr>
            <w:tcW w:w="800" w:type="dxa"/>
            <w:vAlign w:val="bottom"/>
            <w:gridSpan w:val="3"/>
            <w:vMerge w:val="restart"/>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1,000</w:t>
            </w: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4"/>
              </w:rPr>
              <w:t>3,000</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4"/>
            <w:vMerge w:val="restart"/>
          </w:tcPr>
          <w:p>
            <w:pPr>
              <w:ind w:left="60"/>
              <w:spacing w:after="0"/>
              <w:rPr>
                <w:sz w:val="20"/>
                <w:szCs w:val="20"/>
                <w:color w:val="auto"/>
              </w:rPr>
            </w:pPr>
            <w:r>
              <w:rPr>
                <w:rFonts w:ascii="Arial" w:cs="Arial" w:eastAsia="Arial" w:hAnsi="Arial"/>
                <w:sz w:val="18"/>
                <w:szCs w:val="18"/>
                <w:color w:val="0000FF"/>
              </w:rPr>
              <w:t>Preferred Stock</w:t>
            </w: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800" w:type="dxa"/>
            <w:vAlign w:val="bottom"/>
            <w:gridSpan w:val="3"/>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(1)</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40" w:type="dxa"/>
            <w:vAlign w:val="bottom"/>
            <w:tcBorders>
              <w:bottom w:val="single" w:sz="8" w:color="2C2C2C"/>
            </w:tcBorders>
            <w:gridSpan w:val="4"/>
            <w:vMerge w:val="continue"/>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7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7"/>
              </w:rPr>
              <w:t>6,401,995</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4"/>
            <w:vMerge w:val="continue"/>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40" w:type="dxa"/>
            <w:vAlign w:val="bottom"/>
            <w:tcBorders>
              <w:top w:val="single" w:sz="8" w:color="2C2C2C"/>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w:t>
            </w:r>
          </w:p>
        </w:tc>
        <w:tc>
          <w:tcPr>
            <w:tcW w:w="780" w:type="dxa"/>
            <w:vAlign w:val="bottom"/>
            <w:tcBorders>
              <w:top w:val="single" w:sz="8" w:color="2C2C2C"/>
              <w:bottom w:val="single" w:sz="8" w:color="2C2C2C"/>
            </w:tcBorders>
          </w:tcPr>
          <w:p>
            <w:pPr>
              <w:spacing w:after="0"/>
              <w:rPr>
                <w:sz w:val="24"/>
                <w:szCs w:val="24"/>
                <w:color w:val="auto"/>
              </w:rPr>
            </w:pPr>
          </w:p>
        </w:tc>
        <w:tc>
          <w:tcPr>
            <w:tcW w:w="40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52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52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160" w:type="dxa"/>
            <w:vAlign w:val="bottom"/>
            <w:tcBorders>
              <w:top w:val="single" w:sz="8" w:color="2C2C2C"/>
              <w:bottom w:val="single" w:sz="8" w:color="2C2C2C"/>
            </w:tcBorders>
          </w:tcPr>
          <w:p>
            <w:pPr>
              <w:spacing w:after="0"/>
              <w:rPr>
                <w:sz w:val="24"/>
                <w:szCs w:val="24"/>
                <w:color w:val="auto"/>
              </w:rPr>
            </w:pPr>
          </w:p>
        </w:tc>
        <w:tc>
          <w:tcPr>
            <w:tcW w:w="1240" w:type="dxa"/>
            <w:vAlign w:val="bottom"/>
            <w:tcBorders>
              <w:top w:val="single" w:sz="8" w:color="2C2C2C"/>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FF"/>
                <w:w w:val="75"/>
                <w:vertAlign w:val="subscript"/>
              </w:rPr>
              <w:t>60,083</w:t>
            </w:r>
            <w:r>
              <w:rPr>
                <w:rFonts w:ascii="Arial" w:cs="Arial" w:eastAsia="Arial" w:hAnsi="Arial"/>
                <w:sz w:val="11"/>
                <w:szCs w:val="11"/>
                <w:color w:val="008000"/>
                <w:w w:val="75"/>
              </w:rPr>
              <w:t>(2)(3)</w:t>
            </w:r>
          </w:p>
        </w:tc>
        <w:tc>
          <w:tcPr>
            <w:tcW w:w="940" w:type="dxa"/>
            <w:vAlign w:val="bottom"/>
            <w:tcBorders>
              <w:top w:val="single" w:sz="8" w:color="2C2C2C"/>
              <w:bottom w:val="single" w:sz="8" w:color="2C2C2C"/>
            </w:tcBorders>
          </w:tcPr>
          <w:p>
            <w:pPr>
              <w:ind w:left="28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(4)</w:t>
            </w:r>
          </w:p>
        </w:tc>
        <w:tc>
          <w:tcPr>
            <w:tcW w:w="84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6580" w:type="dxa"/>
            <w:vAlign w:val="bottom"/>
            <w:tcBorders>
              <w:top w:val="single" w:sz="8" w:color="2C2C2C"/>
            </w:tcBorders>
            <w:gridSpan w:val="16"/>
          </w:tcPr>
          <w:p>
            <w:pPr>
              <w:ind w:left="2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80" w:type="dxa"/>
            <w:vAlign w:val="bottom"/>
            <w:gridSpan w:val="13"/>
          </w:tcPr>
          <w:p>
            <w:pPr>
              <w:ind w:left="56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6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520" w:type="dxa"/>
            <w:vAlign w:val="bottom"/>
          </w:tcPr>
          <w:p>
            <w:pPr>
              <w:spacing w:after="0"/>
              <w:rPr>
                <w:sz w:val="11"/>
                <w:szCs w:val="11"/>
                <w:color w:val="auto"/>
              </w:rPr>
            </w:pP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gridSpan w:val="2"/>
          </w:tcPr>
          <w:p>
            <w:pPr>
              <w:spacing w:after="0"/>
              <w:rPr>
                <w:sz w:val="8"/>
                <w:szCs w:val="8"/>
                <w:color w:val="auto"/>
              </w:rPr>
            </w:pPr>
          </w:p>
        </w:tc>
        <w:tc>
          <w:tcPr>
            <w:tcW w:w="1140" w:type="dxa"/>
            <w:vAlign w:val="bottom"/>
            <w:tcBorders>
              <w:bottom w:val="single" w:sz="8" w:color="2C2C2C"/>
            </w:tcBorders>
            <w:gridSpan w:val="2"/>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6"/>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60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Miller Brian</w:t>
              </w:r>
            </w:hyperlink>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120" w:type="dxa"/>
            <w:vAlign w:val="bottom"/>
            <w:gridSpan w:val="2"/>
          </w:tcPr>
          <w:p>
            <w:pPr>
              <w:ind w:left="300"/>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5"/>
          </w:tcPr>
          <w:p>
            <w:pPr>
              <w:spacing w:after="0"/>
              <w:rPr>
                <w:sz w:val="20"/>
                <w:szCs w:val="20"/>
                <w:color w:val="auto"/>
              </w:rPr>
            </w:pPr>
            <w:r>
              <w:rPr>
                <w:rFonts w:ascii="Arial" w:cs="Arial" w:eastAsia="Arial" w:hAnsi="Arial"/>
                <w:sz w:val="18"/>
                <w:szCs w:val="18"/>
                <w:color w:val="0000FF"/>
              </w:rPr>
              <w:t>115 EAST PUTNAM AVENUE</w:t>
            </w: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0000FF"/>
              </w:rPr>
              <w:t>GREENWICH</w:t>
            </w:r>
          </w:p>
        </w:tc>
        <w:tc>
          <w:tcPr>
            <w:tcW w:w="1180" w:type="dxa"/>
            <w:vAlign w:val="bottom"/>
            <w:gridSpan w:val="2"/>
          </w:tcPr>
          <w:p>
            <w:pPr>
              <w:ind w:left="20"/>
              <w:spacing w:after="0"/>
              <w:rPr>
                <w:sz w:val="20"/>
                <w:szCs w:val="20"/>
                <w:color w:val="auto"/>
              </w:rPr>
            </w:pPr>
            <w:r>
              <w:rPr>
                <w:rFonts w:ascii="Arial" w:cs="Arial" w:eastAsia="Arial" w:hAnsi="Arial"/>
                <w:sz w:val="18"/>
                <w:szCs w:val="18"/>
                <w:color w:val="0000FF"/>
              </w:rPr>
              <w:t>CT</w:t>
            </w:r>
          </w:p>
        </w:tc>
        <w:tc>
          <w:tcPr>
            <w:tcW w:w="1120" w:type="dxa"/>
            <w:vAlign w:val="bottom"/>
            <w:gridSpan w:val="2"/>
          </w:tcPr>
          <w:p>
            <w:pPr>
              <w:ind w:left="300"/>
              <w:spacing w:after="0"/>
              <w:rPr>
                <w:sz w:val="20"/>
                <w:szCs w:val="20"/>
                <w:color w:val="auto"/>
              </w:rPr>
            </w:pPr>
            <w:r>
              <w:rPr>
                <w:rFonts w:ascii="Arial" w:cs="Arial" w:eastAsia="Arial" w:hAnsi="Arial"/>
                <w:sz w:val="18"/>
                <w:szCs w:val="18"/>
                <w:color w:val="0000FF"/>
              </w:rPr>
              <w:t>06830</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600" w:type="dxa"/>
            <w:vAlign w:val="bottom"/>
          </w:tcPr>
          <w:p>
            <w:pPr>
              <w:ind w:left="300"/>
              <w:spacing w:after="0"/>
              <w:rPr>
                <w:sz w:val="20"/>
                <w:szCs w:val="20"/>
                <w:color w:val="auto"/>
              </w:rPr>
            </w:pPr>
            <w:r>
              <w:rPr>
                <w:rFonts w:ascii="Arial" w:cs="Arial" w:eastAsia="Arial" w:hAnsi="Arial"/>
                <w:sz w:val="14"/>
                <w:szCs w:val="14"/>
                <w:color w:val="auto"/>
                <w:w w:val="97"/>
              </w:rPr>
              <w:t>(Zip)</w:t>
            </w: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gridSpan w:val="2"/>
          </w:tcPr>
          <w:p>
            <w:pPr>
              <w:spacing w:after="0"/>
              <w:rPr>
                <w:sz w:val="7"/>
                <w:szCs w:val="7"/>
                <w:color w:val="auto"/>
              </w:rPr>
            </w:pPr>
          </w:p>
        </w:tc>
        <w:tc>
          <w:tcPr>
            <w:tcW w:w="1140" w:type="dxa"/>
            <w:vAlign w:val="bottom"/>
            <w:tcBorders>
              <w:bottom w:val="single" w:sz="8" w:color="2C2C2C"/>
            </w:tcBorders>
            <w:gridSpan w:val="2"/>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6"/>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6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5"/>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North Sound Trading, LP</w:t>
              </w:r>
            </w:hyperlink>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120" w:type="dxa"/>
            <w:vAlign w:val="bottom"/>
            <w:gridSpan w:val="2"/>
          </w:tcPr>
          <w:p>
            <w:pPr>
              <w:ind w:left="300"/>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5"/>
          </w:tcPr>
          <w:p>
            <w:pPr>
              <w:spacing w:after="0"/>
              <w:rPr>
                <w:sz w:val="20"/>
                <w:szCs w:val="20"/>
                <w:color w:val="auto"/>
              </w:rPr>
            </w:pPr>
            <w:r>
              <w:rPr>
                <w:rFonts w:ascii="Arial" w:cs="Arial" w:eastAsia="Arial" w:hAnsi="Arial"/>
                <w:sz w:val="18"/>
                <w:szCs w:val="18"/>
                <w:color w:val="0000FF"/>
              </w:rPr>
              <w:t>115 EAST PUTNAM AVENUE</w:t>
            </w: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0000FF"/>
              </w:rPr>
              <w:t>GREENWICH</w:t>
            </w:r>
          </w:p>
        </w:tc>
        <w:tc>
          <w:tcPr>
            <w:tcW w:w="1180" w:type="dxa"/>
            <w:vAlign w:val="bottom"/>
            <w:gridSpan w:val="2"/>
          </w:tcPr>
          <w:p>
            <w:pPr>
              <w:ind w:left="20"/>
              <w:spacing w:after="0"/>
              <w:rPr>
                <w:sz w:val="20"/>
                <w:szCs w:val="20"/>
                <w:color w:val="auto"/>
              </w:rPr>
            </w:pPr>
            <w:r>
              <w:rPr>
                <w:rFonts w:ascii="Arial" w:cs="Arial" w:eastAsia="Arial" w:hAnsi="Arial"/>
                <w:sz w:val="18"/>
                <w:szCs w:val="18"/>
                <w:color w:val="0000FF"/>
              </w:rPr>
              <w:t>CT</w:t>
            </w:r>
          </w:p>
        </w:tc>
        <w:tc>
          <w:tcPr>
            <w:tcW w:w="1120" w:type="dxa"/>
            <w:vAlign w:val="bottom"/>
            <w:gridSpan w:val="2"/>
          </w:tcPr>
          <w:p>
            <w:pPr>
              <w:ind w:left="300"/>
              <w:spacing w:after="0"/>
              <w:rPr>
                <w:sz w:val="20"/>
                <w:szCs w:val="20"/>
                <w:color w:val="auto"/>
              </w:rPr>
            </w:pPr>
            <w:r>
              <w:rPr>
                <w:rFonts w:ascii="Arial" w:cs="Arial" w:eastAsia="Arial" w:hAnsi="Arial"/>
                <w:sz w:val="18"/>
                <w:szCs w:val="18"/>
                <w:color w:val="0000FF"/>
              </w:rPr>
              <w:t>06830</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600" w:type="dxa"/>
            <w:vAlign w:val="bottom"/>
          </w:tcPr>
          <w:p>
            <w:pPr>
              <w:ind w:left="300"/>
              <w:spacing w:after="0"/>
              <w:rPr>
                <w:sz w:val="20"/>
                <w:szCs w:val="20"/>
                <w:color w:val="auto"/>
              </w:rPr>
            </w:pPr>
            <w:r>
              <w:rPr>
                <w:rFonts w:ascii="Arial" w:cs="Arial" w:eastAsia="Arial" w:hAnsi="Arial"/>
                <w:sz w:val="14"/>
                <w:szCs w:val="14"/>
                <w:color w:val="auto"/>
                <w:w w:val="97"/>
              </w:rPr>
              <w:t>(Zip)</w:t>
            </w: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10" w:gutter="0" w:footer="0" w:header="0"/>
          <w:type w:val="continuous"/>
        </w:sectPr>
      </w:pPr>
    </w:p>
    <w:p>
      <w:pPr>
        <w:ind w:left="120"/>
        <w:spacing w:after="0"/>
        <w:rPr>
          <w:rFonts w:ascii="Arial" w:cs="Arial" w:eastAsia="Arial" w:hAnsi="Arial"/>
          <w:sz w:val="19"/>
          <w:szCs w:val="19"/>
          <w:u w:val="single" w:color="auto"/>
          <w:color w:val="0000EE"/>
        </w:rPr>
      </w:pPr>
      <w:hyperlink r:id="rId15">
        <w:r>
          <w:rPr>
            <w:rFonts w:ascii="Arial" w:cs="Arial" w:eastAsia="Arial" w:hAnsi="Arial"/>
            <w:sz w:val="19"/>
            <w:szCs w:val="19"/>
            <w:u w:val="single" w:color="auto"/>
            <w:color w:val="0000EE"/>
          </w:rPr>
          <w:t>North Sound Management, Inc.</w:t>
        </w:r>
      </w:hyperlink>
    </w:p>
    <w:p>
      <w:pPr>
        <w:sectPr>
          <w:pgSz w:w="11900" w:h="16838" w:orient="portrait"/>
          <w:cols w:equalWidth="0" w:num="1">
            <w:col w:w="11420"/>
          </w:cols>
          <w:pgMar w:left="240" w:top="226" w:right="239" w:bottom="1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340" w:type="dxa"/>
            <w:vAlign w:val="bottom"/>
          </w:tcPr>
          <w:p>
            <w:pPr>
              <w:ind w:left="200"/>
              <w:spacing w:after="0"/>
              <w:rPr>
                <w:sz w:val="20"/>
                <w:szCs w:val="20"/>
                <w:color w:val="auto"/>
              </w:rPr>
            </w:pPr>
            <w:r>
              <w:rPr>
                <w:rFonts w:ascii="Arial" w:cs="Arial" w:eastAsia="Arial" w:hAnsi="Arial"/>
                <w:sz w:val="14"/>
                <w:szCs w:val="14"/>
                <w:color w:val="auto"/>
              </w:rPr>
              <w:t>(First)</w:t>
            </w:r>
          </w:p>
        </w:tc>
        <w:tc>
          <w:tcPr>
            <w:tcW w:w="1740" w:type="dxa"/>
            <w:vAlign w:val="bottom"/>
          </w:tcPr>
          <w:p>
            <w:pPr>
              <w:ind w:left="3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600" w:type="dxa"/>
            <w:vAlign w:val="bottom"/>
            <w:gridSpan w:val="2"/>
          </w:tcPr>
          <w:p>
            <w:pPr>
              <w:spacing w:after="0"/>
              <w:rPr>
                <w:sz w:val="20"/>
                <w:szCs w:val="20"/>
                <w:color w:val="auto"/>
              </w:rPr>
            </w:pPr>
            <w:r>
              <w:rPr>
                <w:rFonts w:ascii="Arial" w:cs="Arial" w:eastAsia="Arial" w:hAnsi="Arial"/>
                <w:sz w:val="18"/>
                <w:szCs w:val="18"/>
                <w:color w:val="0000FF"/>
              </w:rPr>
              <w:t>115 EAST PUTNAM AVENUE</w:t>
            </w:r>
          </w:p>
        </w:tc>
        <w:tc>
          <w:tcPr>
            <w:tcW w:w="174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1740" w:type="dxa"/>
            <w:vAlign w:val="bottom"/>
            <w:tcBorders>
              <w:bottom w:val="single" w:sz="8" w:color="9A9A9A"/>
            </w:tcBorders>
          </w:tcPr>
          <w:p>
            <w:pPr>
              <w:spacing w:after="0"/>
              <w:rPr>
                <w:sz w:val="18"/>
                <w:szCs w:val="18"/>
                <w:color w:val="auto"/>
              </w:rPr>
            </w:pPr>
          </w:p>
        </w:tc>
      </w:tr>
      <w:tr>
        <w:trPr>
          <w:trHeight w:val="270"/>
        </w:trPr>
        <w:tc>
          <w:tcPr>
            <w:tcW w:w="13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4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GREENWICH</w:t>
            </w:r>
          </w:p>
        </w:tc>
        <w:tc>
          <w:tcPr>
            <w:tcW w:w="1340" w:type="dxa"/>
            <w:vAlign w:val="bottom"/>
          </w:tcPr>
          <w:p>
            <w:pPr>
              <w:ind w:left="200"/>
              <w:spacing w:after="0"/>
              <w:rPr>
                <w:sz w:val="20"/>
                <w:szCs w:val="20"/>
                <w:color w:val="auto"/>
              </w:rPr>
            </w:pPr>
            <w:r>
              <w:rPr>
                <w:rFonts w:ascii="Arial" w:cs="Arial" w:eastAsia="Arial" w:hAnsi="Arial"/>
                <w:sz w:val="18"/>
                <w:szCs w:val="18"/>
                <w:color w:val="0000FF"/>
              </w:rPr>
              <w:t>CT</w:t>
            </w:r>
          </w:p>
        </w:tc>
        <w:tc>
          <w:tcPr>
            <w:tcW w:w="1740" w:type="dxa"/>
            <w:vAlign w:val="bottom"/>
          </w:tcPr>
          <w:p>
            <w:pPr>
              <w:ind w:left="320"/>
              <w:spacing w:after="0"/>
              <w:rPr>
                <w:sz w:val="20"/>
                <w:szCs w:val="20"/>
                <w:color w:val="auto"/>
              </w:rPr>
            </w:pPr>
            <w:r>
              <w:rPr>
                <w:rFonts w:ascii="Arial" w:cs="Arial" w:eastAsia="Arial" w:hAnsi="Arial"/>
                <w:sz w:val="18"/>
                <w:szCs w:val="18"/>
                <w:color w:val="0000FF"/>
              </w:rPr>
              <w:t>06830</w:t>
            </w:r>
          </w:p>
        </w:tc>
      </w:tr>
      <w:tr>
        <w:trPr>
          <w:trHeight w:val="158"/>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7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340" w:type="dxa"/>
            <w:vAlign w:val="bottom"/>
          </w:tcPr>
          <w:p>
            <w:pPr>
              <w:ind w:left="200"/>
              <w:spacing w:after="0"/>
              <w:rPr>
                <w:sz w:val="20"/>
                <w:szCs w:val="20"/>
                <w:color w:val="auto"/>
              </w:rPr>
            </w:pPr>
            <w:r>
              <w:rPr>
                <w:rFonts w:ascii="Arial" w:cs="Arial" w:eastAsia="Arial" w:hAnsi="Arial"/>
                <w:sz w:val="14"/>
                <w:szCs w:val="14"/>
                <w:color w:val="auto"/>
              </w:rPr>
              <w:t>(State)</w:t>
            </w:r>
          </w:p>
        </w:tc>
        <w:tc>
          <w:tcPr>
            <w:tcW w:w="1740" w:type="dxa"/>
            <w:vAlign w:val="bottom"/>
          </w:tcPr>
          <w:p>
            <w:pPr>
              <w:ind w:left="3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1144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114490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right="160" w:firstLine="9"/>
        <w:spacing w:after="0" w:line="288" w:lineRule="auto"/>
        <w:tabs>
          <w:tab w:leader="none" w:pos="13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shares are owned directly by North Sound Trading, LP, a Delaware partnership ("North Sound Trading"). Mr. Miller is the sole shareholder of North Sound Management, Inc., a Delaware corporation ("North Sound Management"), which in turn is the general partner of North Sound Trading. Mr. Miller and North Sound Management may be deemed to indirectly own the shares directly owned by North Sound Trading. Each of North Sound Trading and North Sound Management is deemed a director by deputization by virtue of their relationship with Mr. Miller, a director of the Issuer.</w:t>
      </w:r>
    </w:p>
    <w:p>
      <w:pPr>
        <w:spacing w:after="0" w:line="2" w:lineRule="exact"/>
        <w:rPr>
          <w:rFonts w:ascii="Arial" w:cs="Arial" w:eastAsia="Arial" w:hAnsi="Arial"/>
          <w:sz w:val="12"/>
          <w:szCs w:val="12"/>
          <w:color w:val="008000"/>
        </w:rPr>
      </w:pPr>
    </w:p>
    <w:p>
      <w:pPr>
        <w:ind w:firstLine="9"/>
        <w:spacing w:after="0" w:line="239"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Of the 60,083 restricted stock units, 42,521 restricted stock units are scheduled to vest over a three-year period, with one-third vesting on each anniversary of October 25, 2018, the grant date. The remaining 17,562 restricted stock units are scheduled to vest in full on February 14, 2020.</w:t>
      </w:r>
    </w:p>
    <w:p>
      <w:pPr>
        <w:spacing w:after="0" w:line="30" w:lineRule="exact"/>
        <w:rPr>
          <w:rFonts w:ascii="Arial" w:cs="Arial" w:eastAsia="Arial" w:hAnsi="Arial"/>
          <w:sz w:val="14"/>
          <w:szCs w:val="14"/>
          <w:color w:val="008000"/>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units convert into common stock on a one-for-one basis.</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units are owned directly by Brian Miller.</w:t>
      </w:r>
    </w:p>
    <w:p>
      <w:pPr>
        <w:sectPr>
          <w:pgSz w:w="11900" w:h="16838" w:orient="portrait"/>
          <w:cols w:equalWidth="0" w:num="1">
            <w:col w:w="11280"/>
          </w:cols>
          <w:pgMar w:left="280" w:top="140" w:right="339" w:bottom="1440" w:gutter="0" w:footer="0" w:header="0"/>
        </w:sectPr>
      </w:pPr>
    </w:p>
    <w:p>
      <w:pPr>
        <w:spacing w:after="0" w:line="71"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Brian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6877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687705" cy="8890"/>
                    </a:xfrm>
                    <a:prstGeom prst="rect">
                      <a:avLst/>
                    </a:prstGeom>
                    <a:noFill/>
                  </pic:spPr>
                </pic:pic>
              </a:graphicData>
            </a:graphic>
          </wp:anchor>
        </w:drawing>
      </w:r>
    </w:p>
    <w:p>
      <w:pPr>
        <w:spacing w:after="0" w:line="43"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Brian Miller, President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2744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27444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North Sound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109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21094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5"/>
          <w:szCs w:val="15"/>
          <w:color w:val="0000FF"/>
        </w:rPr>
        <w:t>Inc., acting as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493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349375" cy="8890"/>
                    </a:xfrm>
                    <a:prstGeom prst="rect">
                      <a:avLst/>
                    </a:prstGeom>
                    <a:noFill/>
                  </pic:spPr>
                </pic:pic>
              </a:graphicData>
            </a:graphic>
          </wp:anchor>
        </w:drawing>
      </w:r>
    </w:p>
    <w:p>
      <w:pPr>
        <w:spacing w:after="0" w:line="24"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of North Sound Trading,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566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2566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0000FF"/>
        </w:rPr>
        <w:t>08/13/2019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0000FF"/>
        </w:rPr>
        <w:t>08/13/2019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98" w:lineRule="exact"/>
        <w:rPr>
          <w:sz w:val="20"/>
          <w:szCs w:val="20"/>
          <w:color w:val="auto"/>
        </w:rPr>
      </w:pPr>
    </w:p>
    <w:p>
      <w:pPr>
        <w:sectPr>
          <w:pgSz w:w="11900" w:h="16838" w:orient="portrait"/>
          <w:cols w:equalWidth="0" w:num="2">
            <w:col w:w="8960" w:space="160"/>
            <w:col w:w="2160"/>
          </w:cols>
          <w:pgMar w:left="280" w:top="140" w:right="339" w:bottom="1440" w:gutter="0" w:footer="0" w:header="0"/>
          <w:type w:val="continuous"/>
        </w:sectPr>
      </w:pPr>
    </w:p>
    <w:tbl>
      <w:tblPr>
        <w:tblLayout w:type="fixed"/>
        <w:tblInd w:w="6820" w:type="dxa"/>
        <w:tblCellMar>
          <w:top w:w="0" w:type="dxa"/>
          <w:left w:w="0" w:type="dxa"/>
          <w:bottom w:w="0" w:type="dxa"/>
          <w:right w:w="0" w:type="dxa"/>
        </w:tblCellMar>
      </w:tblPr>
      <w:tr>
        <w:trPr>
          <w:trHeight w:val="207"/>
        </w:trPr>
        <w:tc>
          <w:tcPr>
            <w:tcW w:w="202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90"/>
              </w:rPr>
              <w:t>/s/ Brian Miller, President of</w:t>
            </w:r>
          </w:p>
        </w:tc>
        <w:tc>
          <w:tcPr>
            <w:tcW w:w="2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vMerge w:val="restart"/>
          </w:tcPr>
          <w:p>
            <w:pPr>
              <w:spacing w:after="0"/>
              <w:rPr>
                <w:sz w:val="20"/>
                <w:szCs w:val="20"/>
                <w:color w:val="auto"/>
              </w:rPr>
            </w:pPr>
            <w:r>
              <w:rPr>
                <w:rFonts w:ascii="Arial" w:cs="Arial" w:eastAsia="Arial" w:hAnsi="Arial"/>
                <w:sz w:val="18"/>
                <w:szCs w:val="18"/>
                <w:color w:val="0000FF"/>
                <w:w w:val="86"/>
              </w:rPr>
              <w:t>08/13/2019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26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w w:val="89"/>
              </w:rPr>
              <w:t>North Sound Management, Inc.</w:t>
            </w:r>
          </w:p>
        </w:tc>
        <w:tc>
          <w:tcPr>
            <w:tcW w:w="4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60" w:type="dxa"/>
            <w:vAlign w:val="bottom"/>
            <w:gridSpan w:val="3"/>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 Signature of Reporting Person</w:t>
            </w:r>
          </w:p>
        </w:tc>
        <w:tc>
          <w:tcPr>
            <w:tcW w:w="40" w:type="dxa"/>
            <w:vAlign w:val="bottom"/>
          </w:tcPr>
          <w:p>
            <w:pPr>
              <w:spacing w:after="0"/>
              <w:rPr>
                <w:sz w:val="20"/>
                <w:szCs w:val="20"/>
                <w:color w:val="auto"/>
              </w:rPr>
            </w:pPr>
          </w:p>
        </w:tc>
        <w:tc>
          <w:tcPr>
            <w:tcW w:w="860" w:type="dxa"/>
            <w:vAlign w:val="bottom"/>
            <w:gridSpan w:val="3"/>
          </w:tcPr>
          <w:p>
            <w:pPr>
              <w:ind w:left="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48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80"/>
      </w:cols>
      <w:pgMar w:left="280" w:top="1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12" Type="http://schemas.openxmlformats.org/officeDocument/2006/relationships/hyperlink" Target="http://www.sec.gov/cgi-bin/browse-edgar?action=getcompany&amp;CIK=0001749976" TargetMode="External"/><Relationship Id="rId13" Type="http://schemas.openxmlformats.org/officeDocument/2006/relationships/hyperlink" Target="http://www.sec.gov/cgi-bin/browse-edgar?action=getcompany&amp;CIK=0001022652" TargetMode="External"/><Relationship Id="rId14" Type="http://schemas.openxmlformats.org/officeDocument/2006/relationships/hyperlink" Target="http://www.sec.gov/cgi-bin/browse-edgar?action=getcompany&amp;CIK=0001633979" TargetMode="External"/><Relationship Id="rId15" Type="http://schemas.openxmlformats.org/officeDocument/2006/relationships/hyperlink" Target="http://www.sec.gov/cgi-bin/browse-edgar?action=getcompany&amp;CIK=00017496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2019-12-23T17:01:19Z</dcterms:created>
  <dcterms:modified xsi:type="dcterms:W3CDTF">2019-12-23T17:01:19Z</dcterms:modified>
</cp:coreProperties>
</file>