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fiscal year ended December 31, 2016</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42" w:right="239" w:bottom="1440" w:gutter="0" w:footer="0" w:header="0"/>
        </w:sectPr>
      </w:pPr>
    </w:p>
    <w:p>
      <w:pPr>
        <w:spacing w:after="0" w:line="99"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32" w:lineRule="exact"/>
        <w:rPr>
          <w:sz w:val="24"/>
          <w:szCs w:val="24"/>
          <w:color w:val="auto"/>
        </w:rPr>
      </w:pPr>
    </w:p>
    <w:p>
      <w:pPr>
        <w:sectPr>
          <w:pgSz w:w="11900" w:h="16838" w:orient="portrait"/>
          <w:cols w:equalWidth="0" w:num="2">
            <w:col w:w="6000" w:space="720"/>
            <w:col w:w="4700"/>
          </w:cols>
          <w:pgMar w:left="240" w:top="24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000-31659</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INSEEGO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42" w:right="239" w:bottom="1440" w:gutter="0" w:footer="0" w:header="0"/>
          <w:type w:val="continuous"/>
        </w:sectPr>
      </w:pPr>
    </w:p>
    <w:p>
      <w:pPr>
        <w:spacing w:after="0" w:line="175"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2" w:lineRule="exact"/>
        <w:rPr>
          <w:sz w:val="24"/>
          <w:szCs w:val="24"/>
          <w:color w:val="auto"/>
        </w:rPr>
      </w:pPr>
    </w:p>
    <w:p>
      <w:pPr>
        <w:sectPr>
          <w:pgSz w:w="11900" w:h="16838" w:orient="portrait"/>
          <w:cols w:equalWidth="0" w:num="2">
            <w:col w:w="7580" w:space="720"/>
            <w:col w:w="3120"/>
          </w:cols>
          <w:pgMar w:left="240" w:top="242" w:right="239" w:bottom="1440" w:gutter="0" w:footer="0" w:header="0"/>
          <w:type w:val="continuous"/>
        </w:sectPr>
      </w:pPr>
    </w:p>
    <w:p>
      <w:pPr>
        <w:jc w:val="center"/>
        <w:ind w:right="1840"/>
        <w:spacing w:after="0"/>
        <w:rPr>
          <w:sz w:val="20"/>
          <w:szCs w:val="20"/>
          <w:color w:val="auto"/>
        </w:rPr>
      </w:pPr>
      <w:r>
        <w:rPr>
          <w:rFonts w:ascii="Arial" w:cs="Arial" w:eastAsia="Arial" w:hAnsi="Arial"/>
          <w:sz w:val="14"/>
          <w:szCs w:val="14"/>
          <w:b w:val="1"/>
          <w:bCs w:val="1"/>
          <w:color w:val="auto"/>
        </w:rPr>
        <w:t>(State or Other Jurisdiction</w:t>
      </w:r>
    </w:p>
    <w:p>
      <w:pPr>
        <w:spacing w:after="0" w:line="4" w:lineRule="exact"/>
        <w:rPr>
          <w:sz w:val="24"/>
          <w:szCs w:val="24"/>
          <w:color w:val="auto"/>
        </w:rPr>
      </w:pPr>
    </w:p>
    <w:p>
      <w:pPr>
        <w:jc w:val="center"/>
        <w:ind w:right="18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460" w:space="720"/>
            <w:col w:w="3240"/>
          </w:cols>
          <w:pgMar w:left="240" w:top="242" w:right="239" w:bottom="1440" w:gutter="0" w:footer="0" w:header="0"/>
          <w:type w:val="continuous"/>
        </w:sectPr>
      </w:pPr>
    </w:p>
    <w:p>
      <w:pPr>
        <w:jc w:val="center"/>
        <w:ind w:right="2180"/>
        <w:spacing w:after="0"/>
        <w:rPr>
          <w:sz w:val="20"/>
          <w:szCs w:val="20"/>
          <w:color w:val="auto"/>
        </w:rPr>
      </w:pPr>
      <w:r>
        <w:rPr>
          <w:rFonts w:ascii="Arial" w:cs="Arial" w:eastAsia="Arial" w:hAnsi="Arial"/>
          <w:sz w:val="16"/>
          <w:szCs w:val="16"/>
          <w:b w:val="1"/>
          <w:bCs w:val="1"/>
          <w:color w:val="auto"/>
        </w:rPr>
        <w:t>9605 Scranton Road, Suite 300</w:t>
      </w:r>
    </w:p>
    <w:p>
      <w:pPr>
        <w:spacing w:after="0" w:line="5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92" w:lineRule="exact"/>
        <w:rPr>
          <w:sz w:val="24"/>
          <w:szCs w:val="24"/>
          <w:color w:val="auto"/>
        </w:rPr>
      </w:pPr>
    </w:p>
    <w:p>
      <w:pPr>
        <w:sectPr>
          <w:pgSz w:w="11900" w:h="16838" w:orient="portrait"/>
          <w:cols w:equalWidth="0" w:num="2">
            <w:col w:w="7800" w:space="720"/>
            <w:col w:w="2900"/>
          </w:cols>
          <w:pgMar w:left="240" w:top="242" w:right="2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680" w:space="720"/>
            <w:col w:w="3020"/>
          </w:cols>
          <w:pgMar w:left="240" w:top="242"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(858) 812-3400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420"/>
          </w:cols>
          <w:pgMar w:left="240" w:top="242" w:right="239" w:bottom="1440" w:gutter="0" w:footer="0" w:header="0"/>
          <w:type w:val="continuous"/>
        </w:sectPr>
      </w:pPr>
    </w:p>
    <w:p>
      <w:pPr>
        <w:spacing w:after="0" w:line="8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43" w:lineRule="exact"/>
        <w:rPr>
          <w:sz w:val="24"/>
          <w:szCs w:val="24"/>
          <w:color w:val="auto"/>
        </w:rPr>
      </w:pPr>
    </w:p>
    <w:p>
      <w:pPr>
        <w:sectPr>
          <w:pgSz w:w="11900" w:h="16838" w:orient="portrait"/>
          <w:cols w:equalWidth="0" w:num="3">
            <w:col w:w="8220" w:space="80"/>
            <w:col w:w="140" w:space="160"/>
            <w:col w:w="2820"/>
          </w:cols>
          <w:pgMar w:left="240" w:top="242"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73" w:lineRule="exact"/>
        <w:rPr>
          <w:sz w:val="24"/>
          <w:szCs w:val="24"/>
          <w:color w:val="auto"/>
        </w:rPr>
      </w:pPr>
    </w:p>
    <w:p>
      <w:pPr>
        <w:sectPr>
          <w:pgSz w:w="11900" w:h="16838" w:orient="portrait"/>
          <w:cols w:equalWidth="0" w:num="3">
            <w:col w:w="8360" w:space="80"/>
            <w:col w:w="140" w:space="180"/>
            <w:col w:w="2660"/>
          </w:cols>
          <w:pgMar w:left="240" w:top="242" w:right="239" w:bottom="1440" w:gutter="0" w:footer="0" w:header="0"/>
          <w:type w:val="continuous"/>
        </w:sect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24"/>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files).</w:t>
        <w:tab/>
        <w:t xml:space="preserve">Yes x  No </w:t>
      </w:r>
      <w:r>
        <w:rPr>
          <w:rFonts w:ascii="MS PGothic" w:cs="MS PGothic" w:eastAsia="MS PGothic" w:hAnsi="MS PGothic"/>
          <w:sz w:val="16"/>
          <w:szCs w:val="16"/>
          <w:color w:val="auto"/>
        </w:rPr>
        <w:t>☐</w:t>
      </w:r>
    </w:p>
    <w:p>
      <w:pPr>
        <w:spacing w:after="0" w:line="65" w:lineRule="exact"/>
        <w:rPr>
          <w:sz w:val="24"/>
          <w:szCs w:val="24"/>
          <w:color w:val="auto"/>
        </w:rPr>
      </w:pPr>
    </w:p>
    <w:p>
      <w:pPr>
        <w:ind w:right="620" w:firstLine="324"/>
        <w:spacing w:after="0" w:line="332"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ind w:right="20" w:firstLine="324"/>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40"/>
        <w:spacing w:after="0" w:line="184" w:lineRule="exact"/>
        <w:tabs>
          <w:tab w:leader="none" w:pos="2320" w:val="left"/>
          <w:tab w:leader="none" w:pos="3880" w:val="left"/>
          <w:tab w:leader="none" w:pos="57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73"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3" w:lineRule="exact"/>
        <w:rPr>
          <w:sz w:val="24"/>
          <w:szCs w:val="24"/>
          <w:color w:val="auto"/>
        </w:rPr>
      </w:pPr>
    </w:p>
    <w:p>
      <w:pPr>
        <w:ind w:firstLine="324"/>
        <w:spacing w:after="0" w:line="25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2016, as reported by The Nasdaq Global Select Market, was approximately $63.4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as of March 23, 2017 was 55,955,067.</w:t>
      </w:r>
    </w:p>
    <w:p>
      <w:pPr>
        <w:spacing w:after="0" w:line="1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right="12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2017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420"/>
          </w:cols>
          <w:pgMar w:left="240" w:top="2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20"/>
        </w:trPr>
        <w:tc>
          <w:tcPr>
            <w:tcW w:w="7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40" w:type="dxa"/>
            <w:vAlign w:val="bottom"/>
          </w:tcPr>
          <w:p>
            <w:pPr>
              <w:ind w:left="14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Unresolved Staff Comments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Properties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Selected Financial Data</w:t>
              </w:r>
            </w:hyperlink>
          </w:p>
        </w:tc>
        <w:tc>
          <w:tcPr>
            <w:tcW w:w="5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10040" w:type="dxa"/>
            <w:vAlign w:val="bottom"/>
          </w:tcPr>
          <w:p>
            <w:pPr>
              <w:ind w:left="140"/>
              <w:spacing w:after="0"/>
              <w:rPr>
                <w:rFonts w:ascii="Arial" w:cs="Arial" w:eastAsia="Arial" w:hAnsi="Arial"/>
                <w:sz w:val="18"/>
                <w:szCs w:val="18"/>
                <w:color w:val="auto"/>
              </w:rPr>
            </w:pPr>
            <w:hyperlink w:anchor="page50">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100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Financial Statements and Supplementary Data</w:t>
              </w:r>
            </w:hyperlink>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100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100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1004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100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IV</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Exhibits and Financial Statement Schedules</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1004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INDEX TO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F-1</w:t>
              </w:r>
            </w:hyperlink>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You should not place undue reliance on these statements. These forward-looking statements include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59" w:lineRule="exact"/>
        <w:rPr>
          <w:sz w:val="20"/>
          <w:szCs w:val="20"/>
          <w:color w:val="auto"/>
        </w:rPr>
      </w:pPr>
    </w:p>
    <w:p>
      <w:pPr>
        <w:ind w:left="620" w:right="30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machine-to-machine (“M2M”) products, and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200" w:hanging="315"/>
        <w:spacing w:after="0" w:line="259"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operations of R.E.R. Enterprises, Inc. (and its wholly-owned subsidiary and principal operating asset, Feeney Wireless, LLC (“FW”)), DigiCore Holdings Limited (“DigiCore” or “Ctrack”),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186"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recent divestiture and reorganization transactions;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50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M2M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fleet and vehicle management software-as-a-service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(the “SEC”), including the</w:t>
      </w:r>
    </w:p>
    <w:p>
      <w:pPr>
        <w:sectPr>
          <w:pgSz w:w="11900" w:h="16838" w:orient="portrait"/>
          <w:cols w:equalWidth="0" w:num="1">
            <w:col w:w="11420"/>
          </w:cols>
          <w:pgMar w:left="240" w:top="445" w:right="239" w:bottom="1440" w:gutter="0" w:footer="0" w:header="0"/>
        </w:sectPr>
      </w:pPr>
    </w:p>
    <w:bookmarkStart w:id="3" w:name="page4"/>
    <w:bookmarkEnd w:id="3"/>
    <w:p>
      <w:pPr>
        <w:ind w:right="220"/>
        <w:spacing w:after="0" w:line="259" w:lineRule="auto"/>
        <w:rPr>
          <w:sz w:val="20"/>
          <w:szCs w:val="20"/>
          <w:color w:val="auto"/>
        </w:rPr>
      </w:pPr>
      <w:r>
        <w:rPr>
          <w:rFonts w:ascii="Arial" w:cs="Arial" w:eastAsia="Arial" w:hAnsi="Arial"/>
          <w:sz w:val="18"/>
          <w:szCs w:val="18"/>
          <w:color w:val="auto"/>
        </w:rPr>
        <w:t>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“Inseego”, the Inseego logo, “Enfora”, the Enfora logo, “Spider”, “Enabling Information Anywhere”, “Enabler” and “N4A” are trademarks or registered trademarks of Inseego. “Novatel Wireless”, the Novatel Wireless logo, “MiFi”, “MiFi Intelligent Mobile Hotspot”, “MiFi OS”, “MiFi Powered”, “MiFi Home”, “MobiLink”, “Ovation”, “Expedite” and “MiFi Freedom. My Way.” are trademarks or registered trademarks of Novatel Wireless, Inc. (“Novatel Wireless”). “DigiCore”, “Ctrack” and the Ctrack logo are trademarks or registered trademarks of DigiCore. “FW”, “Crossroads” and the Feeney Wireless logo are trademarks or registered trademarks of FW.</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trademarks, trade names or service marks used in this report are the property of their respective owners.</w:t>
      </w:r>
    </w:p>
    <w:p>
      <w:pPr>
        <w:sectPr>
          <w:pgSz w:w="11900" w:h="16838" w:orient="portrait"/>
          <w:cols w:equalWidth="0" w:num="1">
            <w:col w:w="11200"/>
          </w:cols>
          <w:pgMar w:left="240" w:top="476"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firstLine="392"/>
        <w:spacing w:after="0" w:line="297" w:lineRule="auto"/>
        <w:rPr>
          <w:sz w:val="20"/>
          <w:szCs w:val="20"/>
          <w:color w:val="auto"/>
        </w:rPr>
      </w:pPr>
      <w:r>
        <w:rPr>
          <w:rFonts w:ascii="Arial" w:cs="Arial" w:eastAsia="Arial" w:hAnsi="Arial"/>
          <w:sz w:val="16"/>
          <w:szCs w:val="16"/>
          <w:color w:val="auto"/>
        </w:rPr>
        <w:t>Inseego Corp. is a leading global provider of software-as-a-service (“SaaS”) and solutions for the Internet of Things (“IoT”). We sell telematics solutions globally under the Ctrack™ brand, including our fleet management, asset tracking and monitoring, stolen vehicle recovery and usage-based insurance platforms. We also sell connectivity solutions and device management services. Our products and solutions provide anywhere, anytime communications and analytics for consumers and businesses of all sizes, with approximately 620,000 global subscribers, including 432,000 subscribers for our Ctrack branded fleet management and vehicle telematics solutions and 188,000 subscribers for our connectivity and device management services.</w:t>
      </w:r>
    </w:p>
    <w:p>
      <w:pPr>
        <w:spacing w:after="0" w:line="266" w:lineRule="exact"/>
        <w:rPr>
          <w:sz w:val="20"/>
          <w:szCs w:val="20"/>
          <w:color w:val="auto"/>
        </w:rPr>
      </w:pPr>
    </w:p>
    <w:p>
      <w:pPr>
        <w:ind w:right="200" w:firstLine="392"/>
        <w:spacing w:after="0" w:line="259" w:lineRule="auto"/>
        <w:rPr>
          <w:sz w:val="20"/>
          <w:szCs w:val="20"/>
          <w:color w:val="auto"/>
        </w:rPr>
      </w:pPr>
      <w:r>
        <w:rPr>
          <w:rFonts w:ascii="Arial" w:cs="Arial" w:eastAsia="Arial" w:hAnsi="Arial"/>
          <w:sz w:val="18"/>
          <w:szCs w:val="18"/>
          <w:color w:val="auto"/>
        </w:rPr>
        <w:t>We have invented and reinvented ways in which the world stays connected and accesses information. With multiple first-to-market innovations and a strong and growing portfolio of hardware and software innovations for IoT, our companies have been advancing technology and driving industry transformation for over 30 years. It is this proven expertise and commitment to quality and innovation that makes us a preferred global partner of operators, distributors, system integrators, businesses and consumers.</w:t>
      </w:r>
    </w:p>
    <w:p>
      <w:pPr>
        <w:spacing w:after="0" w:line="29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Inseego is a Delaware corporation formed in 2016 and is the successor to Novatel Wireless, a Delaware corporation formed in 1996, as a result of an internal reorganization that was completed in November 2016 (the “Reorganization”) to separate the Company’s MiFi branded hotspots and USB modem product lines (the “MiFi Business”) from the assets and liabilities associated with our Ctrack fleet and vehicle telematics solutions and our business connectivity and device management solutions. Upon completion of the Reorganization, Novatel Wireless became a wholly-owned subsidiary of Inseego and Novatel Wireless’s former stockholders became stockholders of Inseego, with shares of Inseego common stock trading on The NASDAQ Global Select Market under the trading symbol “INSG.”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Pending Divestitures</w:t>
      </w:r>
    </w:p>
    <w:p>
      <w:pPr>
        <w:spacing w:after="0" w:line="333"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April 11, 2016, we signed a definitive Asset Purchase Agreement with Telit Technologies (Cyprus) Limited and Telit Wireless Solutions, Inc. (collectively, “Telit”) pursuant to which we sold, and Telit acquired, certain hardware modules and related assets (the “Modules Business”). With subsequent modifications pursuant to a Final Resolution Letter Agreement dated September 29, 2016, the aggregate purchase consideration for the Modules Business totaled $11.7 million, which consisted of $11.3 million in cash and $0.4 million in net settled company liabilities.</w:t>
      </w:r>
    </w:p>
    <w:p>
      <w:pPr>
        <w:spacing w:after="0" w:line="280"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September 21, 2016, we entered into a Stock Purchase Agreement (the “Purchase Agreement”), by and among Inseego and Novatel Wireless, on the one hand, and T.C.L. Industries Holdings (H.K.) Limited and Jade Ocean Global Limited (collectively, the “Purchasers”) on the other hand. The Purchase Agreement relates to the pending sale of our subsidiary, Novatel Wireless, which includes the MiFi Business, to the Purchasers for $50.0 million in cash, subject to potential adjustment for Novatel Wireless’s working capital as of the closing date. The sale may not close until all of the closing conditions set forth in the Purchase Agreement have been satisfied. One of the closing conditions is the approval of the Committee on Foreign Investment in the United States (“CFIUS”). CFIUS has identified national security concerns relating to our sale of the MiFi Business to the Purchasers. In early February 2017, the Company and the Purchasers voluntarily withdrew and re-filed their notice to CFIUS in order to obtain additional time to provide further information to CFIUS and explore potential mitigation measures that may allow the transaction to proceed. In early March 2017, CFIUS provided a draft mitigation agreement which, if finalized, would allow CFIUS approval to be granted. Negotiations between CFIUS and the Purchasers regarding the final terms of such mitigation agreement remain ongoing.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33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For the years ended December 31, 2016, 2015 and 2014, the Company’s total net revenues were $243.6 million, $220.9 million and $185.2 million, respectively, including our divested Modules Business. Our MiFi Business generated solely hardware revenues during the years ended December 31, 2016, 2015 and 2014, with net revenues of $145.3 million, $152.4 million and $148.6 million, respectively. Our divested Modules Business also generated solely hardware revenues during the years ended December 31, 2016, 2015 and 2014, with net revenues of $4.5 million, $12.3 million and $11.6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SaaS, Software and Services</w:t>
      </w:r>
    </w:p>
    <w:p>
      <w:pPr>
        <w:spacing w:after="0" w:line="33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Inseego sells SaaS, software and services solutions across multiple IoT vertical markets, including fleet management and vehicle telematics, usage-based insurance, stolen vehicle recovery, asset tracking and monitoring, business connectivity 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both"/>
        <w:ind w:right="240"/>
        <w:spacing w:after="0" w:line="264" w:lineRule="auto"/>
        <w:rPr>
          <w:sz w:val="20"/>
          <w:szCs w:val="20"/>
          <w:color w:val="auto"/>
        </w:rPr>
      </w:pPr>
      <w:r>
        <w:rPr>
          <w:rFonts w:ascii="Arial" w:cs="Arial" w:eastAsia="Arial" w:hAnsi="Arial"/>
          <w:sz w:val="18"/>
          <w:szCs w:val="18"/>
          <w:color w:val="auto"/>
        </w:rPr>
        <w:t>device management. Our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w:t>
      </w:r>
    </w:p>
    <w:p>
      <w:pPr>
        <w:spacing w:after="0" w:line="28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Our SaaS delivery platforms include (i) our Ctrack platforms, which provide fleet, vehicle, asset and other SaaS telematics, (ii) our Crossroads™ platform, which provides easy IoT device management and service enablement and (iii) our Device Management Solutions (“DMS”), a hosted SaaS platform that helps organizations manage the selection, deployment and spend of their wireless assets, saving money on personnel and telecom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Hardware</w:t>
      </w:r>
    </w:p>
    <w:p>
      <w:pPr>
        <w:spacing w:after="0" w:line="27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integrated telematics and mobile tracking hardware is predominantly sold as an enabler for our Ctrack SaaS delivery platforms. Our telematics and mobile tracking hardware devices collect and control critical vehicle data and driver behaviors, and can reliably deliver that information to the cloud, all managed by our services enablement platforms. Our wireless routers are sold both as stand-alone devices and as part of a bundled business connectivity solution, including our Crossroads platform and wireless connectivity services via our carrier partners.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279" w:lineRule="exact"/>
        <w:rPr>
          <w:sz w:val="20"/>
          <w:szCs w:val="20"/>
          <w:color w:val="auto"/>
        </w:rPr>
      </w:pPr>
    </w:p>
    <w:p>
      <w:pPr>
        <w:ind w:right="100" w:firstLine="392"/>
        <w:spacing w:after="0" w:line="270" w:lineRule="auto"/>
        <w:rPr>
          <w:sz w:val="20"/>
          <w:szCs w:val="20"/>
          <w:color w:val="auto"/>
        </w:rPr>
      </w:pPr>
      <w:r>
        <w:rPr>
          <w:rFonts w:ascii="Arial" w:cs="Arial" w:eastAsia="Arial" w:hAnsi="Arial"/>
          <w:sz w:val="17"/>
          <w:szCs w:val="17"/>
          <w:color w:val="auto"/>
        </w:rPr>
        <w:t>We are in the process of divesting our MiFi Business. See “</w:t>
      </w:r>
      <w:r>
        <w:rPr>
          <w:rFonts w:ascii="Arial" w:cs="Arial" w:eastAsia="Arial" w:hAnsi="Arial"/>
          <w:sz w:val="17"/>
          <w:szCs w:val="17"/>
          <w:i w:val="1"/>
          <w:iCs w:val="1"/>
          <w:color w:val="auto"/>
        </w:rPr>
        <w:t>Recent and Pending Divestitures</w:t>
      </w:r>
      <w:r>
        <w:rPr>
          <w:rFonts w:ascii="Arial" w:cs="Arial" w:eastAsia="Arial" w:hAnsi="Arial"/>
          <w:sz w:val="17"/>
          <w:szCs w:val="17"/>
          <w:color w:val="auto"/>
        </w:rPr>
        <w:t>.” While the sale is pending, we are continuing to operate the MiFi Business through our subsidiary, Novatel Wireless. The MiFi Business designs, develops and manufactures through third party contract manufacturers, markets and sells mobile hotspots, USB modems and routers which provide subscribers with secure and convenient high-speed access to corporate, public and personal information through the Internet and enterprise networks via wireless cellular networks. Development and testing of our MiFi hardware products is primarily done in-house by our engineering team in San Diego, California, with some contract work done by unaffiliated third parties overseas. We do not have our own manufacturing facilities for MiFi hardware products. We predominantly rely on Inventec Appliances Corporation, located in China, to build our MiFi hardware products. Our MiFi hardware products are sold by our direct sales force, predominantly in the United States and predominantly to a single customer, Verizon Wireless, although we also sell some MiFi hardware to United States Cellular Corporation, Bell Canada and Verizon Wireless distributors.</w:t>
      </w:r>
    </w:p>
    <w:p>
      <w:pPr>
        <w:spacing w:after="0" w:line="236"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Historically, the MiFi hardware business accounted for a majority of our revenues and a majority of our expenses. This business, however, has relatively low gross margins and operates in a very competitive market environment. While our MiFi hotspot products tend to have advanced features which often enable them to be sold at premium prices when they are first introduced, we also have higher costs than most of our competitors due to our small scale and heavy use of U.S.-based engineers in product development. Most of our competitors have substantially greater resources and scale, as would be expected in the relatively mature, consumer electronics product categories which comprise our MiFi Business. Our wireless data modem and mobile hotspots, for example, compete against similar products offered by Huawei, ZTE, Sierra Wireless, TCL, Franklin Wireless and NetGear. More broadly, those products also compete against wireless handset manufacturers such as HTC, Apple, LG and Samsung, which all offer mobile hotspot capability as a feature of their cellular smartphones.</w:t>
      </w:r>
    </w:p>
    <w:p>
      <w:pPr>
        <w:spacing w:after="0" w:line="24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Because the MiFi Business is not expected to be part of our business going forward, the description of our business below will focus on the portions of our business that we expect to retain going forward.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Telematics Solutions</w:t>
      </w:r>
    </w:p>
    <w:p>
      <w:pPr>
        <w:spacing w:after="0" w:line="17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Inseego entered the telematics software and services industry by acquiring Ctrack and its Ctrack-branded products on October 5, 2015. Prior to its acquisition of Ctrack, Inseego sold telematics hardware through its subsidiary, Enfora, Inc. (“Enfora”). Inseego exited the business of selling stand-alone telematics hardware in 2016 and now offers telematics solutions only through Ctrack. Ctrack was founded in South Africa in 1985, and today our operations span over 50 countries on six continents. Through successful global acquisitions, the Ctrack group broadened its international reach by expanding into countries such as the United Kingdom, The Netherlands and Australia and by identifying strong and capable distributors in emerging markets such as Asia, Africa and Europe.</w:t>
      </w:r>
    </w:p>
    <w:p>
      <w:pPr>
        <w:spacing w:after="0" w:line="30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With over 30 years of experience, we are recognized as a leading global provider of advanced fleet management telematics solutions that add value to a global base of customers with mobile assets. We design and develop a robust range of asset management and monitoring systems using GPS satellite positioning, GSM cellular communication and other advanced communication and sensory technologies. The result is innovative solutions ranging from basic track-and-trace, with stolen vehicle response services, to complete integrated enterprise-level solutions for large fleet owners across the globe.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30" w:right="259" w:bottom="1440" w:gutter="0" w:footer="0" w:header="0"/>
        </w:sectPr>
      </w:pPr>
    </w:p>
    <w:bookmarkStart w:id="6" w:name="page7"/>
    <w:bookmarkEnd w:id="6"/>
    <w:p>
      <w:pPr>
        <w:jc w:val="both"/>
        <w:ind w:firstLine="405"/>
        <w:spacing w:after="0" w:line="264" w:lineRule="auto"/>
        <w:rPr>
          <w:sz w:val="20"/>
          <w:szCs w:val="20"/>
          <w:color w:val="auto"/>
        </w:rPr>
      </w:pPr>
      <w:r>
        <w:rPr>
          <w:rFonts w:ascii="Arial" w:cs="Arial" w:eastAsia="Arial" w:hAnsi="Arial"/>
          <w:sz w:val="18"/>
          <w:szCs w:val="18"/>
          <w:color w:val="auto"/>
        </w:rPr>
        <w:t>Our continued emphasis on researching and developing next-generation products drives Ctrack ahead of the market, meeting demands for value-added, flexible, feature-rich and cost-effective technology. Our superior solutions, coupled with a proven record in successfully rolling out and supporting projects of all sizes worldwide, provide Ctrack with its competitive edge in attracting customers and distribution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Connectivity and Device Management Solutions</w:t>
      </w:r>
    </w:p>
    <w:p>
      <w:pPr>
        <w:spacing w:after="0" w:line="171"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Inseego acquired R.E.R. Enterprises, Inc. and its wholly-owned subsidiary and principal operating asset, FW, on March 27, 2015. Located in Eugene, Oregon, FW is a leader in IoT services and solutions. FW leverages its 17 years of IoT expertise to deliver IoT solutions to a number of vertical market applications, such as security and surveillance, asset management solutions, high-capacity wireless communications, fleet management, and remote monitoring and control.</w:t>
      </w:r>
    </w:p>
    <w:p>
      <w:pPr>
        <w:spacing w:after="0" w:line="133" w:lineRule="exact"/>
        <w:rPr>
          <w:sz w:val="20"/>
          <w:szCs w:val="20"/>
          <w:color w:val="auto"/>
        </w:rPr>
      </w:pPr>
    </w:p>
    <w:p>
      <w:pPr>
        <w:ind w:right="520" w:firstLine="392"/>
        <w:spacing w:after="0" w:line="259" w:lineRule="auto"/>
        <w:rPr>
          <w:sz w:val="20"/>
          <w:szCs w:val="20"/>
          <w:color w:val="auto"/>
        </w:rPr>
      </w:pPr>
      <w:r>
        <w:rPr>
          <w:rFonts w:ascii="Arial" w:cs="Arial" w:eastAsia="Arial" w:hAnsi="Arial"/>
          <w:sz w:val="18"/>
          <w:szCs w:val="18"/>
          <w:color w:val="auto"/>
        </w:rPr>
        <w:t>FW’s software suite is comprised of service delivery platforms that ease the development, deployment and operation of device, asset and fleet management applications. The FW suite includes Crossroads</w:t>
      </w:r>
      <w:r>
        <w:rPr>
          <w:rFonts w:ascii="Arial" w:cs="Arial" w:eastAsia="Arial" w:hAnsi="Arial"/>
          <w:sz w:val="18"/>
          <w:szCs w:val="18"/>
          <w:color w:val="1F497D"/>
        </w:rPr>
        <w:t>,</w:t>
      </w:r>
      <w:r>
        <w:rPr>
          <w:rFonts w:ascii="Arial" w:cs="Arial" w:eastAsia="Arial" w:hAnsi="Arial"/>
          <w:sz w:val="18"/>
          <w:szCs w:val="18"/>
          <w:color w:val="auto"/>
        </w:rPr>
        <w:t xml:space="preserve"> an adaptable IoT application framework that turns field data into easy-to-read charts and graphs, and DMS</w:t>
      </w:r>
      <w:r>
        <w:rPr>
          <w:rFonts w:ascii="Arial" w:cs="Arial" w:eastAsia="Arial" w:hAnsi="Arial"/>
          <w:sz w:val="18"/>
          <w:szCs w:val="18"/>
          <w:color w:val="1F497D"/>
        </w:rPr>
        <w:t>,</w:t>
      </w:r>
      <w:r>
        <w:rPr>
          <w:rFonts w:ascii="Arial" w:cs="Arial" w:eastAsia="Arial" w:hAnsi="Arial"/>
          <w:sz w:val="18"/>
          <w:szCs w:val="18"/>
          <w:color w:val="auto"/>
        </w:rPr>
        <w:t xml:space="preserve"> a hosted SaaS platform for helping organizations manage the selection, deployment and spend of their wireless assets and content management, that tailors information to customer specific needs.</w:t>
      </w:r>
    </w:p>
    <w:p>
      <w:pPr>
        <w:spacing w:after="0" w:line="133"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FW also designs IoT hardware and sells these devices to carriers and enterprises either as stand-alone devices or bundled offerings that can include the Crossroads platform, wireless connectivity packages via our carrier partners and Pro-Premium services. FW IoT hardware designs include stand-alone industrial, USB-based cellular modems with multiple SIM sockets to enable quick switching between carrier networks, in addition to rugged and non-rugged cellular routers with WiFi and Ethernet LAN connectivity. In concert with the hardware offerings, Inseego offers a cloud-based system to manage remote devices, provide timely performance data on remote devices and detailed analytics to enable optimum data use.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Management</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7"/>
          <w:szCs w:val="17"/>
          <w:color w:val="auto"/>
        </w:rPr>
        <w:t>For commercial customers of small, medium or large fleets, our GPS/GSM tracking technology and proprietary software enables us to deliver some of the world’s most advanced and complete fleet management solutions. Ctrack’s fleet management products offer customers fuel and maintenance cost savings, real-time visibility, operational control and efficiency and productivity improvements, as well as enhanced safety and security for fleet vehicles and mobile assets. Customers may also receive environmental benefits from route optimization and CO</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emission reporting. Standard and customized reporting, combined with dashboard views, gives fleet operators automated or on-demand information on an entire fleet or individual vehicle. As fleet operations often rely on a variety of systems for operational effectiveness and efficiency, we focus on providing seamless integration of Ctrack systems that connect and share data with third-party systems. This in turn helps customers increase their competitiveness.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 Tracking</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Ctrack enables customers to accurately monitor and assess the movement and behavior of their mobile workforces. As a result, Ctrack helps its customers manage their workforces in real-time for greatly improved planning and delivery, utilization, service levels and customer satisfaction. Additional workforce and driver benefits have been introduced through Ctrack’s Fleet Protector™. Fleet Protector gives employees 24-hour access to an emergency call center with transport costs covered and guaranteed hospital acceptance following an accident.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Local Council and Municipality Asset Management</w:t>
      </w:r>
    </w:p>
    <w:p>
      <w:pPr>
        <w:spacing w:after="0" w:line="279"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Ctrack Government, Local Council and Municipalities Monitoring and Tracking System allows local authorities and utility providers to scrutinize, assess and act on information in real time to limit theft and abuse of equipment and maximize the safety and productivity of employees. Using a Ctrack tracking system, local authorities and utility companies can streamline workflow management by verifying route completion, identifying and dispatching the most appropriate vehicle to a job to reduce unnecessary mileage and react more quickly to customer requirements. This not only increases the number of completed jobs per day by optimizing mobile resources, but also reduces overhead and realizes substantial environmental benefits by improving fuel efficiency. Furthermore, our driver behavior solutions have a considerable operational impact by improving the way employees drive in order to enhance levels of efficiency and responsibility, as well as protect public perception and corporate image.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3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Advanced Data Analytics and Lifecycle Asset Management</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Ctrack’s Lifecycle Asset Management Division helps customers derive enhanced value from the vast amounts of data generated from their fleet management systems. Using rich fleet analytics and the sophisticated interpretation of data, Ctrack Fleet Analytics™ provides the information needed for critical and proactive decision making, from cost savings to future fleet investments. This outsourced solution enables customers to receive expert analysis without the overhead of employing analysts. Ctrack’s comprehensive analytics software solutions provide access to an array of tools to manage routing, scheduling and every other aspect of a customer’s fleet.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Telematics</w:t>
      </w:r>
    </w:p>
    <w:p>
      <w:pPr>
        <w:spacing w:after="0" w:line="279" w:lineRule="exact"/>
        <w:rPr>
          <w:sz w:val="20"/>
          <w:szCs w:val="20"/>
          <w:color w:val="auto"/>
        </w:rPr>
      </w:pPr>
    </w:p>
    <w:p>
      <w:pPr>
        <w:ind w:right="40" w:firstLine="392"/>
        <w:spacing w:after="0" w:line="293" w:lineRule="auto"/>
        <w:rPr>
          <w:sz w:val="20"/>
          <w:szCs w:val="20"/>
          <w:color w:val="auto"/>
        </w:rPr>
      </w:pPr>
      <w:r>
        <w:rPr>
          <w:rFonts w:ascii="Arial" w:cs="Arial" w:eastAsia="Arial" w:hAnsi="Arial"/>
          <w:sz w:val="16"/>
          <w:szCs w:val="16"/>
          <w:color w:val="auto"/>
        </w:rPr>
        <w:t>Big data analytics can enable advancements and innovation in the short-term vehicle insurance industry, addressing both top-line growth opportunities and bottom-line risk and cost management challenges. Ctrack’s Insurance Telematics Division provides insurance companies with factual reports on driving frequency, times and routes of the insured, as well as insights into their client’s driving behavior, such as harsh acceleration, braking, cornering and other pertinent information. This rich, contextual, vehicle-use confirmation is a key enabler for actuaries to effectively build risk models and calculate scorecards for individual and collective driver-behavior analysis. Risk profiling and real-time monitoring, along with Ctrack’s accident analysis reports, are also helping insurance companies accelerate the claims process, reduce payouts related to fraudulent claims, and significantly improve their loss ratios.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Airport Asset Tracking</w:t>
      </w:r>
    </w:p>
    <w:p>
      <w:pPr>
        <w:spacing w:after="0" w:line="171" w:lineRule="exact"/>
        <w:rPr>
          <w:sz w:val="20"/>
          <w:szCs w:val="20"/>
          <w:color w:val="auto"/>
        </w:rPr>
      </w:pPr>
    </w:p>
    <w:p>
      <w:pPr>
        <w:ind w:right="40" w:firstLine="392"/>
        <w:spacing w:after="0" w:line="293" w:lineRule="auto"/>
        <w:rPr>
          <w:sz w:val="20"/>
          <w:szCs w:val="20"/>
          <w:color w:val="auto"/>
        </w:rPr>
      </w:pPr>
      <w:r>
        <w:rPr>
          <w:rFonts w:ascii="Arial" w:cs="Arial" w:eastAsia="Arial" w:hAnsi="Arial"/>
          <w:sz w:val="16"/>
          <w:szCs w:val="16"/>
          <w:color w:val="auto"/>
        </w:rPr>
        <w:t>Ctrack’s Airport Solution gives airport ground support equipment service providers a GPS-based airport equipment management solution that provides controlled access to their equipment, as well as real-time visibility, through a web-based SaaS platform. Our comprehensive solution is designed to meet the demands of airport authorities while also improving services to their clients, including air service providers and logistics companies. Our solutions ensure accuracy in the administrative processes, as well as the ability to select additional services, such as visibility into equipment usage, access control and geo-location. With a planning and visibility tool, ground service equipment service providers always know who is using what, when and where. Our solution also gives such providers the ability to provide exact invoices based on the usage per client, per cost center and even per individual.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Tracking</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Ctrack’s vehicle tracking products offer a high level of functionality that provide safety and security for vehicles, families and businesses, as well as other lifestyle benefits, all contributing to greater peace of mind and convenience. Customers can locate their vehicles using mobile phones and smart devices such as tablets, view trip details on Ctrack’s advanced internet applications, keep an electronic tax logbook, and even receive support from emergency services following an accident. We are continually developing our portfolio of value-added safety and security features and services to deliver peace-of-mind for our customers. Additional features and services range from panic buttons and medical and roadside assistance to home-drive and legal services. Ctrack’s driver-style profiling system also detects abnormal driving patterns and unauthorized drivers, allowing the support center to proactively respond to possible emergency, vehicle theft or accident situations.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Industry-Specific Solutions</w:t>
      </w:r>
    </w:p>
    <w:p>
      <w:pPr>
        <w:spacing w:after="0" w:line="279"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Ctrack is working closely with a number of industries to understand their unique challenges and requirements. Through Ctrack Industry Solutions, companies are increasing their competitive advantage and benefiting from telematics solutions. Sectors currently supported include:</w:t>
      </w:r>
    </w:p>
    <w:p>
      <w:pPr>
        <w:sectPr>
          <w:pgSz w:w="11900" w:h="16838" w:orient="portrait"/>
          <w:cols w:equalWidth="0" w:num="1">
            <w:col w:w="11360"/>
          </w:cols>
          <w:pgMar w:left="240" w:top="530" w:right="299" w:bottom="1440" w:gutter="0" w:footer="0" w:header="0"/>
        </w:sectPr>
      </w:pPr>
    </w:p>
    <w:p>
      <w:pPr>
        <w:spacing w:after="0" w:line="154"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Service and installation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Light delivery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Long-haul trucking and trailers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Utilities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Fuel and chemical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 maintenance lease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Police and security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Construction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960"/>
        <w:spacing w:after="0" w:line="352" w:lineRule="auto"/>
        <w:rPr>
          <w:sz w:val="20"/>
          <w:szCs w:val="20"/>
          <w:color w:val="auto"/>
        </w:rPr>
      </w:pPr>
      <w:r>
        <w:rPr>
          <w:rFonts w:ascii="Arial" w:cs="Arial" w:eastAsia="Arial" w:hAnsi="Arial"/>
          <w:sz w:val="16"/>
          <w:szCs w:val="16"/>
          <w:color w:val="auto"/>
        </w:rPr>
        <w:t>Government, local authorities and municipalities Industrial vehicles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Original equipment manufacturers and dealers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Agriculture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Transport and car rental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Containers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Refrigeration</w:t>
      </w:r>
    </w:p>
    <w:p>
      <w:pPr>
        <w:spacing w:after="0" w:line="470" w:lineRule="exact"/>
        <w:rPr>
          <w:sz w:val="20"/>
          <w:szCs w:val="20"/>
          <w:color w:val="auto"/>
        </w:rPr>
      </w:pPr>
    </w:p>
    <w:p>
      <w:pPr>
        <w:sectPr>
          <w:pgSz w:w="11900" w:h="16838" w:orient="portrait"/>
          <w:cols w:equalWidth="0" w:num="4">
            <w:col w:w="760" w:space="100"/>
            <w:col w:w="3140" w:space="720"/>
            <w:col w:w="20" w:space="140"/>
            <w:col w:w="6480"/>
          </w:cols>
          <w:pgMar w:left="240" w:top="530" w:right="299" w:bottom="1440" w:gutter="0" w:footer="0" w:header="0"/>
          <w:type w:val="continuous"/>
        </w:sectPr>
      </w:pP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530" w:right="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Business Connectivity and Device Management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Connectivity Solutions</w:t>
      </w:r>
    </w:p>
    <w:p>
      <w:pPr>
        <w:spacing w:after="0" w:line="333" w:lineRule="exact"/>
        <w:rPr>
          <w:sz w:val="20"/>
          <w:szCs w:val="20"/>
          <w:color w:val="auto"/>
        </w:rPr>
      </w:pPr>
    </w:p>
    <w:p>
      <w:pPr>
        <w:ind w:right="180" w:firstLine="392"/>
        <w:spacing w:after="0" w:line="279" w:lineRule="auto"/>
        <w:rPr>
          <w:sz w:val="20"/>
          <w:szCs w:val="20"/>
          <w:color w:val="auto"/>
        </w:rPr>
      </w:pPr>
      <w:r>
        <w:rPr>
          <w:rFonts w:ascii="Arial" w:cs="Arial" w:eastAsia="Arial" w:hAnsi="Arial"/>
          <w:sz w:val="17"/>
          <w:szCs w:val="17"/>
          <w:color w:val="auto"/>
        </w:rPr>
        <w:t>We deliver business connectivity solutions to a number of vertical market applications, such as security and surveillance, asset management solutions, high-capacity wireless communications, fleet management and remote monitoring and control. These solutions typically consist of either stand-alone IoT routers or bundled sales of our wireless routers together with the Crossroads platform, wireless connectivity packages via our carrier partners and Pro-Premium services. Crossroads is an adaptable IoT application framework that turns field data into easy-to-read charts and graphs.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 Management Solutions</w:t>
      </w:r>
    </w:p>
    <w:p>
      <w:pPr>
        <w:spacing w:after="0" w:line="171"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DMS is a hosted SaaS platform that helps organizations manage the selection and deployment of, and expenses related to, their wireless assets and content management, tailoring information to customer specific needs to facilitate savings on personnel and telecom expenses. Our DMS solutions are decentralized procurement systems with centralized controls. To the end-user, the DMS system is a SaaS system to allow procurement, provisioning, maintenance, tracking and billing analysis. For our carrier customers, the DMS solution enables the management of multiple customers from a centralized SaaS system to allow unique offerings and processes to individual customers. Our DMS solutions are targeted toward three customer markets: customized ordering and management portals, self-service management and plan maintenance, and online reporting systems for the carriers and their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Our objective is to be a leading global provider of IoT SaaS and solutions. In furtherance of that objective, we will continue to focus on our recurring revenue from IoT solutions such as our Ctrack telematics solutions, including fleet management, usage-based insurance, stolen-vehicle recovery, and asset tracking and monitoring, and our business connectivity and device management platforms.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strategy are to:</w:t>
      </w:r>
    </w:p>
    <w:p>
      <w:pPr>
        <w:spacing w:after="0" w:line="225"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Improve SaaS Penetration</w:t>
      </w:r>
      <w:r>
        <w:rPr>
          <w:rFonts w:ascii="Arial" w:cs="Arial" w:eastAsia="Arial" w:hAnsi="Arial"/>
          <w:sz w:val="18"/>
          <w:szCs w:val="18"/>
          <w:color w:val="auto"/>
        </w:rPr>
        <w:t>. Through our Ctrack telematics solutions and our business connectivity and device management platforms, we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with SaaS solutions and applications to support their specific business needs.</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Capitalize on Our Direct Relationships with Wireless Operators, Original Equipment Manufacturers (“OEMs”) and Component Suppliers.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continue to capitalize on our direct and long-standing relationships with wireless operators, OEMs and component suppliers in order to increase our worldwide market position.</w:t>
      </w:r>
    </w:p>
    <w:p>
      <w:pPr>
        <w:spacing w:after="0" w:line="181" w:lineRule="exact"/>
        <w:rPr>
          <w:rFonts w:ascii="Arial" w:cs="Arial" w:eastAsia="Arial" w:hAnsi="Arial"/>
          <w:sz w:val="18"/>
          <w:szCs w:val="18"/>
          <w:i w:val="1"/>
          <w:iCs w:val="1"/>
          <w:color w:val="auto"/>
        </w:rPr>
      </w:pPr>
    </w:p>
    <w:p>
      <w:pPr>
        <w:jc w:val="both"/>
        <w:ind w:left="980" w:right="180" w:hanging="324"/>
        <w:spacing w:after="0" w:line="342" w:lineRule="auto"/>
        <w:tabs>
          <w:tab w:leader="none" w:pos="98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Increase the Value of Our Offerings</w:t>
      </w:r>
      <w:r>
        <w:rPr>
          <w:rFonts w:ascii="Arial" w:cs="Arial" w:eastAsia="Arial" w:hAnsi="Arial"/>
          <w:sz w:val="16"/>
          <w:szCs w:val="16"/>
          <w:color w:val="auto"/>
        </w:rPr>
        <w:t>. We will continue to add new features, functionality and intellectual property to our portfolio and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new services and software applications to enhance the overall value and ease of use that our solutions provide to our customers and end users.</w:t>
      </w:r>
    </w:p>
    <w:p>
      <w:pPr>
        <w:spacing w:after="0" w:line="123" w:lineRule="exact"/>
        <w:rPr>
          <w:rFonts w:ascii="Arial" w:cs="Arial" w:eastAsia="Arial" w:hAnsi="Arial"/>
          <w:sz w:val="16"/>
          <w:szCs w:val="16"/>
          <w:i w:val="1"/>
          <w:iCs w:val="1"/>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 Geographical Footprint via Partnerships and Third Party Distribution</w:t>
      </w:r>
      <w:r>
        <w:rPr>
          <w:rFonts w:ascii="Arial" w:cs="Arial" w:eastAsia="Arial" w:hAnsi="Arial"/>
          <w:sz w:val="18"/>
          <w:szCs w:val="18"/>
          <w:color w:val="auto"/>
        </w:rPr>
        <w:t>. We continually evaluate attractive global regions for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evaluate potential parties to distribute our SaaS platforms and IoT solutions.</w:t>
      </w:r>
    </w:p>
    <w:p>
      <w:pPr>
        <w:spacing w:after="0" w:line="170"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Continue to Pioneer Data Analytics Solutions. </w:t>
      </w:r>
      <w:r>
        <w:rPr>
          <w:rFonts w:ascii="Arial" w:cs="Arial" w:eastAsia="Arial" w:hAnsi="Arial"/>
          <w:sz w:val="18"/>
          <w:szCs w:val="18"/>
          <w:color w:val="auto"/>
        </w:rPr>
        <w:t>As we seek to capitalize on potential growth opportunities, we are also deploying and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next-generation telematics solutions that provide even greater depth and utility to the data collected by our SaaS platforms. For instance, in our fleet management business, we offer a fleet monitoring service to provide fleet managers with added insights to improve the effectiveness and efficiency of their fleet operation. In addition, our Fleet Connect product applies proprietary data analytics and algorithms to help fleet owners manage their equipment more efficiently. And finally, with our usage based insurance offerings, we are disrupting the industry standard UBI business model by incorporating robust data analytics platforms and developing unique go-to-market strategies and value propositions.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Partners and Customers</w:t>
      </w:r>
    </w:p>
    <w:p>
      <w:pPr>
        <w:spacing w:after="0" w:line="28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telecom groups and installation partners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30" w:right="279" w:bottom="1440" w:gutter="0" w:footer="0" w:header="0"/>
        </w:sectPr>
      </w:pPr>
    </w:p>
    <w:bookmarkStart w:id="9" w:name="page10"/>
    <w:bookmarkEnd w:id="9"/>
    <w:p>
      <w:pPr>
        <w:ind w:right="160" w:firstLine="405"/>
        <w:spacing w:after="0" w:line="264" w:lineRule="auto"/>
        <w:rPr>
          <w:sz w:val="20"/>
          <w:szCs w:val="20"/>
          <w:color w:val="auto"/>
        </w:rPr>
      </w:pPr>
      <w:r>
        <w:rPr>
          <w:rFonts w:ascii="Arial" w:cs="Arial" w:eastAsia="Arial" w:hAnsi="Arial"/>
          <w:sz w:val="18"/>
          <w:szCs w:val="18"/>
          <w:color w:val="auto"/>
        </w:rPr>
        <w:t>Customers for our products include transportation companies, industrial companies, governmental agencies, manufacturers, application service providers, system integrators and distributors, and enterprises in various industries, including fleet and vehicle transportation, finance and insurance, energy and industrial automation, security and safety, medical monitoring and government.</w:t>
      </w:r>
    </w:p>
    <w:p>
      <w:pPr>
        <w:spacing w:after="0" w:line="28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vertical markets. Fleet management customers include global enterprises such as BHP Billiton, Super Group, Mammoet and Australia Post. Customers of our Government, Local Council and Municipality Monitoring and Tracking System platforms include Thames Water and the City of Ekurhuleni. Airport Solution customers include KLM Equipment Services and Hanover Airport. Usage-based insurance customers include Discovery Insure and Cross Country Insurance Consultants. Our largest vehicle tracking customer is the South African Police Service.</w:t>
      </w:r>
    </w:p>
    <w:p>
      <w:pPr>
        <w:spacing w:after="0" w:line="296" w:lineRule="exact"/>
        <w:rPr>
          <w:sz w:val="20"/>
          <w:szCs w:val="20"/>
          <w:color w:val="auto"/>
        </w:rPr>
      </w:pPr>
    </w:p>
    <w:p>
      <w:pPr>
        <w:ind w:right="640" w:firstLine="392"/>
        <w:spacing w:after="0" w:line="277" w:lineRule="auto"/>
        <w:rPr>
          <w:sz w:val="20"/>
          <w:szCs w:val="20"/>
          <w:color w:val="auto"/>
        </w:rPr>
      </w:pPr>
      <w:r>
        <w:rPr>
          <w:rFonts w:ascii="Arial" w:cs="Arial" w:eastAsia="Arial" w:hAnsi="Arial"/>
          <w:sz w:val="18"/>
          <w:szCs w:val="18"/>
          <w:color w:val="auto"/>
        </w:rPr>
        <w:t>Our customers for our business connectivity products include EnerNOC, Creative Mobile Technologies, Fastenal, T-Mobile, Sprint and Verizon Wireless. Our customers for our device management solutions include T-Mobile and Sprint.</w:t>
      </w:r>
    </w:p>
    <w:p>
      <w:pPr>
        <w:spacing w:after="0" w:line="279" w:lineRule="exact"/>
        <w:rPr>
          <w:sz w:val="20"/>
          <w:szCs w:val="20"/>
          <w:color w:val="auto"/>
        </w:rPr>
      </w:pPr>
    </w:p>
    <w:p>
      <w:pPr>
        <w:jc w:val="both"/>
        <w:ind w:right="60" w:firstLine="392"/>
        <w:spacing w:after="0" w:line="264" w:lineRule="auto"/>
        <w:rPr>
          <w:sz w:val="20"/>
          <w:szCs w:val="20"/>
          <w:color w:val="auto"/>
        </w:rPr>
      </w:pPr>
      <w:r>
        <w:rPr>
          <w:rFonts w:ascii="Arial" w:cs="Arial" w:eastAsia="Arial" w:hAnsi="Arial"/>
          <w:sz w:val="18"/>
          <w:szCs w:val="18"/>
          <w:color w:val="auto"/>
        </w:rPr>
        <w:t>A significant portion of our revenue during the year ended December 31, 2016 came from one customer, Verizon Wireless, due to this customer driving the large majority of sales for the MiFi Business, the sale of which is pending as of the filing date of this report. Our revenues from sales to Verizon Wireless represented approximately 54% of our total revenues for the year ended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We sell our IoT and telematics solutions and services primarily to enterprises and tier-one carriers in the following industries: transportation, government and local municipalities, mining, agriculture, construction, professional services, finance and insurance, energy and industrial automation, and security and safety. These products and solutions are sold by our direct sales force, including our call centers, and through distributors.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engage in a wide variety of sales and marketing activities, driving market leadership and global demand through integrated marketing campaigns.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product marketing, corporate communications, brand marketing and demand generation.</w:t>
      </w:r>
    </w:p>
    <w:p>
      <w:pPr>
        <w:spacing w:after="0" w:line="31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 xml:space="preserve">A substantial majority of our revenue during the year ended December 31, 2016 was derived from sales in the United States. See Note 13, </w:t>
      </w:r>
      <w:r>
        <w:rPr>
          <w:rFonts w:ascii="Arial" w:cs="Arial" w:eastAsia="Arial" w:hAnsi="Arial"/>
          <w:sz w:val="16"/>
          <w:szCs w:val="16"/>
          <w:i w:val="1"/>
          <w:iCs w:val="1"/>
          <w:color w:val="auto"/>
        </w:rPr>
        <w:t>Geographic</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Concentrations of Risk</w:t>
      </w:r>
      <w:r>
        <w:rPr>
          <w:rFonts w:ascii="Arial" w:cs="Arial" w:eastAsia="Arial" w:hAnsi="Arial"/>
          <w:sz w:val="16"/>
          <w:szCs w:val="16"/>
          <w:color w:val="auto"/>
        </w:rPr>
        <w:t>, to our consolidated financial statements for a discussion of our revenue and asset concentrations by geographic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 In 2017 and beyond, we expect the majority of our revenue to be derived from sales outside the United States, assuming the successful divestiture of the MiFi Business. For information regarding risks related to our foreign operations, see the information in “Item 1A. Risk Factors” in Part 1 of this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Our research and development efforts are focused on developing innovative IoT and telematics solutions and services, and improving the functionality, design and performance of our products and solutions. Our research and development expenses for the years ended December 31, 2016, 2015 and 2014 were approximately $30.7 million, $35.4 million and $34.3 million, respectively. These research and development expenses include expenses associated with our MiFi Business and divested Modules Business.</w:t>
      </w:r>
    </w:p>
    <w:p>
      <w:pPr>
        <w:spacing w:after="0" w:line="13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intend to continue to identify and respond to our customers’ needs by introducing new SaaS and IoT solutions and product designs that meet our market and customers’ needs, with an emphasis on creating easy-to-use products and services that enable customers to connect, track, and manage their business systems and assets.</w:t>
      </w:r>
    </w:p>
    <w:p>
      <w:pPr>
        <w:spacing w:after="0" w:line="289"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8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hardware used in our solutions is produced by contract manufacturers. Our current contract manufacturers include Inventec Appliances Corporation and AsiaTelco Technologies Co. Under our manufacturing agreements, contract manufacturers provide us with services including component procurement, product manufacturing, final assembly, testing, quality control and fulfillment. These contract manufacturers are located in China and South Africa and are able to produce our products using modern state-of-the-art equipment and facilities with relatively low-cost labor.</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30" w:right="27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t>We outsource our higher volume manufacturing in an effort to:</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quality, cost optimization, customer order management and new product introduction.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36 United States patents and 29 foreign patents. In addition, we currently have 34 patent applications pending. The patents that we currently own expire at various times between 2021 and 2034.</w:t>
      </w:r>
    </w:p>
    <w:p>
      <w:pPr>
        <w:spacing w:after="0" w:line="7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along with our subsidiaries, also hold a number of trademarks or registered trademarks including “Inseego”, the Inseego logo, “DigiCore”, “Ctrack”, the Ctrack logo, “FW”, “Crossroads”, the FW logo, “Novatel Wireless”, the Novatel Wireless logo, “MiFi”, “MiFi Intelligent Mobile Hotspot”, “MiFi OS”, “MiFi Powered”, “MiFi Home”, “MobiLink”, “Ovation”, “Expedite”, “MiFi Freedom. My Way.”, “Enfora”, “Spider”, “Enabling Information Anywhere”, “Enabler” and “N4A”.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market for IoT and telematics services and solutions is rapidly evolving and highly competitive. It is likely to continue to be significantly affected by new product introductions and industry participants.</w:t>
      </w:r>
    </w:p>
    <w:p>
      <w:pPr>
        <w:spacing w:after="0" w:line="116"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grow our distribution network, and leverage our strategic relationships.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6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IoT solutions and services expands, other entrants may seek to compete with us either directly or indirectly.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December 31, 2016, we had 1,173 employees. We also use the services of consultants and temporary workers from time to time. Our employees are not represented by any collective bargaining unit and we consider our relationship with our employees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color w:val="auto"/>
        </w:rPr>
        <w:t>www.inseego.com</w:t>
      </w:r>
      <w:r>
        <w:rPr>
          <w:rFonts w:ascii="Arial" w:cs="Arial" w:eastAsia="Arial" w:hAnsi="Arial"/>
          <w:sz w:val="18"/>
          <w:szCs w:val="18"/>
          <w:color w:val="auto"/>
        </w:rPr>
        <w:t>.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76" w:right="31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reports filed or furnished pursuant to Section 13(a) or 15(d) of the Securities Exchange Act of 1934, as amended (the “Exchange Act”), as soon as reasonably practicable after we electronically file or furnish this information to the SEC.</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 RELATING TO OUR BUSINESS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and timely complete the divestiture of our MiFi Business;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manage and realize the anticipated benefits of any future acquisitions of businesses, solutions, or technologies;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launch new services or solutions or sell existing services or solutions into additional geographies or vertical markets;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63" w:lineRule="exact"/>
        <w:rPr>
          <w:rFonts w:ascii="Arial" w:cs="Arial" w:eastAsia="Arial" w:hAnsi="Arial"/>
          <w:sz w:val="18"/>
          <w:szCs w:val="18"/>
          <w:color w:val="auto"/>
        </w:rPr>
      </w:pPr>
    </w:p>
    <w:p>
      <w:pPr>
        <w:ind w:left="980" w:right="480" w:hanging="324"/>
        <w:spacing w:after="0" w:line="29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worldwide economic, industry, and market conditions, including disruptions in financial markets and the deterioration of the underlying economic conditions in some countries, and those conditions specific to Internet usage and online businesses;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South African Rand to U.S. Dollar exchange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 and regulations affecting our business;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provision of fleet management solutions from cellular carrier-controlled or OEM-controlled channels from which Inseego may be excluded.</w:t>
      </w:r>
    </w:p>
    <w:p>
      <w:pPr>
        <w:spacing w:after="0" w:line="1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have reported net losses in each of the last three fiscal years, and we cannot predict when we will become profitable or if such profitability can be sustained. We expect to continue making significant expenditures to develop and expand our business. Any growth in our revenue or customer base for our telematics solutions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30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The reorganized company resulting from the acquisitions of FW and Ctrack and the recent and pending divestitures of our hardware business lines may not perform as we or the market expects, which could have an adverse effect on the price of our common stock.</w:t>
      </w:r>
    </w:p>
    <w:p>
      <w:pPr>
        <w:spacing w:after="0" w:line="120" w:lineRule="exact"/>
        <w:rPr>
          <w:sz w:val="20"/>
          <w:szCs w:val="20"/>
          <w:color w:val="auto"/>
        </w:rPr>
      </w:pPr>
    </w:p>
    <w:p>
      <w:pPr>
        <w:ind w:right="540" w:firstLine="392"/>
        <w:spacing w:after="0" w:line="264" w:lineRule="auto"/>
        <w:rPr>
          <w:sz w:val="20"/>
          <w:szCs w:val="20"/>
          <w:color w:val="auto"/>
        </w:rPr>
      </w:pPr>
      <w:r>
        <w:rPr>
          <w:rFonts w:ascii="Arial" w:cs="Arial" w:eastAsia="Arial" w:hAnsi="Arial"/>
          <w:sz w:val="18"/>
          <w:szCs w:val="18"/>
          <w:color w:val="auto"/>
        </w:rPr>
        <w:t>The reorganized company resulting from the acquisitions of FW and Ctrack in 2015 and the recently completed and pending divestitures of our hardware business lines may not perform as we or the market expects. Risks associated with the reorganized company following these acquisitions and divestitures include:</w:t>
      </w:r>
    </w:p>
    <w:p>
      <w:pPr>
        <w:spacing w:after="0" w:line="100" w:lineRule="exact"/>
        <w:rPr>
          <w:sz w:val="20"/>
          <w:szCs w:val="20"/>
          <w:color w:val="auto"/>
        </w:rPr>
      </w:pPr>
    </w:p>
    <w:p>
      <w:pPr>
        <w:ind w:left="980" w:right="50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integrating new business acquisitions and divesting existing lines of business is a difficult, expensive and time-consuming process and the failure to successfully manage such transitions could adversely affect our financial condition and results of operations;</w:t>
      </w:r>
    </w:p>
    <w:p>
      <w:pPr>
        <w:spacing w:after="0" w:line="38" w:lineRule="exact"/>
        <w:rPr>
          <w:rFonts w:ascii="Arial" w:cs="Arial" w:eastAsia="Arial" w:hAnsi="Arial"/>
          <w:sz w:val="17"/>
          <w:szCs w:val="17"/>
          <w:color w:val="auto"/>
        </w:rPr>
      </w:pPr>
    </w:p>
    <w:p>
      <w:pPr>
        <w:jc w:val="both"/>
        <w:ind w:left="980" w:right="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acquisitions of FW and Ctrack changed the nature of the business in which we historically operated from primarily selling communications-related hardware to a solutions and software business in the emerging IoT market; if we are not able to effectively adjust to these changes in the fundamental nature of our business, our financial condition and results of operations may be adversely affected;</w:t>
      </w:r>
    </w:p>
    <w:p>
      <w:pPr>
        <w:spacing w:after="0" w:line="57" w:lineRule="exact"/>
        <w:rPr>
          <w:rFonts w:ascii="Arial" w:cs="Arial" w:eastAsia="Arial" w:hAnsi="Arial"/>
          <w:sz w:val="17"/>
          <w:szCs w:val="17"/>
          <w:color w:val="auto"/>
        </w:rPr>
      </w:pPr>
    </w:p>
    <w:p>
      <w:pPr>
        <w:ind w:left="980" w:right="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spacing w:after="0" w:line="38" w:lineRule="exact"/>
        <w:rPr>
          <w:rFonts w:ascii="Arial" w:cs="Arial" w:eastAsia="Arial" w:hAnsi="Arial"/>
          <w:sz w:val="17"/>
          <w:szCs w:val="17"/>
          <w:color w:val="auto"/>
        </w:rPr>
      </w:pPr>
    </w:p>
    <w:p>
      <w:pPr>
        <w:ind w:left="980" w:right="1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any adverse changes in these third party relationships could adversely affect our business, financial condition and results of operations; and</w:t>
      </w:r>
    </w:p>
    <w:p>
      <w:pPr>
        <w:spacing w:after="0" w:line="73"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these acquisitions and/or divestitures.</w:t>
      </w:r>
    </w:p>
    <w:p>
      <w:pPr>
        <w:spacing w:after="0" w:line="17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addition, a significant portion of our historical revenues have been attributable to businesses, such as the MiFi Business, that is in the process of being divested. As a result, our historical operating results may not be a reliable indicator of how the Company will perform in the future. We cannot provide any assurances with respect to the accuracy of our assumptions with respect to future revenues or revenue growth rates, if any, of the reorganized company, and we cannot provide assurances with respect to our ability to realize any expected operating synergies or cost savings from these acquisitions and divestitures.</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Entry into new lines of business, and our offering of new products and services, resulting from the acquisitions of Ctrack and FW may result in exposure to new risks.</w:t>
      </w:r>
    </w:p>
    <w:p>
      <w:pPr>
        <w:spacing w:after="0" w:line="143"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Ctrack operates primarily in the areas of SaaS telematics, vehicle tracking and fleet management and FW operates in the areas of telematics and telemetry services, which are areas in which we did not previously conduct business. In addition, Ctrack and FW have business models, customers, sales cycles and operating activities that are substantially different from our traditional hardware business that existed prior to these acquisitions. New lines of business, products or services could have a significant impact on the effectiveness of our system of internal controls and could reduce our revenues or increase our expenses and potentially generate losses. Introducing new products and services, or entering new markets, may require substantial time, resources and capital, and profitability targets may not be achieved. Entry into new markets entails inherent risks associated with our inexperience, which may result in costly decisions that could harm our profit and operating results. There are material inherent risks and uncertainties associated with offering new products and services, especially when new markets are not fully developed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Failure to manage these risks, or failure of any product or service offerings to be successful and profitable, could have a material adverse effect on our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70"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development of new solutions for mobile broadband data, vehicle tracking, fleet management and telemetry applications can be difficult, time-consuming and costly.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overseas.</w:t>
      </w:r>
    </w:p>
    <w:p>
      <w:pPr>
        <w:spacing w:after="0" w:line="3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5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 consuming litigation or expensive licenses and our business could be harmed.</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For example, one such entity, Carucel Investments, L.P. (“Carucel”) has filed a claim seeking approximately $43.0 million in royalties and damages related to past sales of MiFi mobile hotspots, which is scheduled to go to trial in April 2017. This is one of several patent infringement lawsuits from non-practicing entities that are brought against us or our subsidiaries each year in the ordinary course of business.</w:t>
      </w:r>
    </w:p>
    <w:p>
      <w:pPr>
        <w:spacing w:after="0" w:line="13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as is the case in the Carucel litigation for which Novatel Wireless may be obligated to indemnify its customer, Verizon Wireless.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2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23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issue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is held in the form of trade secrets which are not protected by patents.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ind w:right="140"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acquisition depends in part on our retention and integration of key personnel from the acquired company or business.</w:t>
      </w:r>
    </w:p>
    <w:p>
      <w:pPr>
        <w:spacing w:after="0" w:line="133"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While our management believes that it is probable that the sale of the MiFi Business to the Purchasers will be completed, if the sale of the MiFi Business to the Purchasers is not completed as expected, then our business and financial performance may be adversely affected.</w:t>
      </w:r>
    </w:p>
    <w:p>
      <w:pPr>
        <w:spacing w:after="0" w:line="147"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The completion of the sale of the MiFi Business to the Purchasers is subject to the satisfaction or waiver of various conditions, including the approval of the transaction by CFIUS, which may not be satisfied in a timely manner or at all.</w:t>
      </w:r>
    </w:p>
    <w:p>
      <w:pPr>
        <w:spacing w:after="0" w:line="116"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auto"/>
        </w:rPr>
        <w:t>While awaiting satisfaction of such conditions, we are continuing to incur expenses and liabilities relating to the MiFi Business as a result of our obligations under the Purchase Agreement to maintain the MiFi Business for the Purchasers’ benefit and are restricted by the terms of the Purchase Agreement in our ability to pursue alternative transactions in which we would sell all or a significant part of the MiFi Business to any party other than the Purchasers. We are also incurring significant third party transaction costs in pursuing approval of the transaction from CFIUS. While our management believes that it is probable that the sale of the MiFi Business to the Purchasers will be completed, if the sale of the MiFi Business to the Purchasers is not completed as expected, then we will have incurred such expenses and liabilities without receiving the anticipated infusion of cash with which to pay them. In addition, our directors, executive officers and other employees will have expended extensive time and effort and will have experienced significant distractions from their work during the pendency of the sale without any commensurate benefit to the Company, which may have a material and adverse effect on our stock price and results of operations.</w:t>
      </w:r>
    </w:p>
    <w:p>
      <w:pPr>
        <w:spacing w:after="0" w:line="143"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If the sale of the MiFi Business to the Purchasers is not completed, our Board of Directors, in discharging its fiduciary obligations to our stockholders, may evaluate other strategic alternatives including, but not limited to, an alternative sale transaction relating to the MiFi Business, incurrence of additional debt or the commencement of a Chapter 11 proceeding with or without a pre-arranged plan of reorganization. An alternative sale transaction, if available, may yield lower consideration than the proposed sale to the Purchasers, be on less favorable terms and conditions than those contained in the Purchase Agreement and involve significant delay. Any future sale of substantially all of our assets or other transactions may be subject to further stockholder approval.</w:t>
      </w:r>
    </w:p>
    <w:p>
      <w:pPr>
        <w:spacing w:after="0" w:line="104" w:lineRule="exact"/>
        <w:rPr>
          <w:sz w:val="20"/>
          <w:szCs w:val="20"/>
          <w:color w:val="auto"/>
        </w:rPr>
      </w:pPr>
    </w:p>
    <w:p>
      <w:pPr>
        <w:ind w:right="80" w:firstLine="392"/>
        <w:spacing w:after="0" w:line="302" w:lineRule="auto"/>
        <w:rPr>
          <w:sz w:val="20"/>
          <w:szCs w:val="20"/>
          <w:color w:val="auto"/>
        </w:rPr>
      </w:pPr>
      <w:r>
        <w:rPr>
          <w:rFonts w:ascii="Arial" w:cs="Arial" w:eastAsia="Arial" w:hAnsi="Arial"/>
          <w:sz w:val="16"/>
          <w:szCs w:val="16"/>
          <w:color w:val="auto"/>
        </w:rPr>
        <w:t>Finally, while our management believes that it is probable that the sale of the MiFi Business to the Purchasers will be completed, if the sale of the MiFi Business to the Purchasers is not completed as expected, then the announcement of the termination of the Purchase Agreement may adversely affect our relationships with customers, suppliers and employees, which could have a material adverse impact on our ability to effectively operate the MiFi Business or our other businesses, each of which could have further adverse effects on our business, results of operations and the trading price of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 protracted financial restructuring could cause us to lose key management employees and otherwise adversely affect our business.</w:t>
      </w:r>
    </w:p>
    <w:p>
      <w:pPr>
        <w:spacing w:after="0" w:line="117"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While our management believes that it is probable that the sale of the MiFi Business to the Purchasers will be completed, if the sale of the MiFi Business to the Purchasers is not completed as expected, then any alternative we pursue may take substantially longer to consummate than the planned divestiture. A protracted financial restructuring could disrupt our business and would divert the attention of our management from the operation of our business and implementation of our business plan. It is possible that such a prolonged financial restructuring or bankruptcy proceeding would cause us to lose many of our key management employees. Such losses of key management employees would likely make it difficult for us to complete a financial restructuring and may make it less likely that we will be able to continue as a viable business.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uncertainty surrounding a prolonged financial restructuring could also have other adverse effects on us. For example, it could also adversely affect:</w:t>
      </w:r>
    </w:p>
    <w:p>
      <w:pPr>
        <w:spacing w:after="0" w:line="8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capitalize on business opportunities and react to competitive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how our business is viewed by investors, lenders, strategic partners or customers;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enterprise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40"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our 5.50% convertible senior notes due 2022 (the “Inseego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3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Inseego Notes, to accelerate the maturity of such indebtedness. Any default under such indebtedness could have a material adverse effect on our business, results of operations and financial condition.</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Revolver contains customary operational covenants, our failure to comply with which could result in a default under the Revolver as well as a cross-default under the indenture governing the Inseego Notes.</w:t>
      </w:r>
    </w:p>
    <w:p>
      <w:pPr>
        <w:spacing w:after="0" w:line="1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Revolver contains usual and customary restrictive covenants relating to the management and operation of our business, and it is likely that any future debt arrangements we may enter into would contain similar covenants. Failure to comply with any of the covenants under the Revolver or any other debt agreement providing for borrowings in excess of $5.0 million could result in a default under such an agreement and a cross-default under the indenture, dated as of January 9, 2017, by and between Inseego and Wilmington Trust, National Association, as trustee (the “Inseego Indenture”), which governs the Inseego Notes, which could cause the holders of the Inseego Notes to accelerate the maturity of such indebtedness. Any default or cross-default under such indebtedness could have a material adverse effect on our business, results of operations and financial results.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current consolidated debt levels, we may incur additional debt in compliance with our existing obligations.</w:t>
      </w:r>
    </w:p>
    <w:p>
      <w:pPr>
        <w:spacing w:after="0" w:line="22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Despite our current consolidated debt levels, we and our subsidiaries may be able to incur additional debt in the future, including secured debt. The Inseego Indenture contains covenants, that are effective until June 15, 2020, limiting our and our subsidiaries’ ability to incur additional secured indebtedness in the future, but it will not completely prohibit the incurrence of such secured debt. Although the terms of the Inseego Indenture contain restrictions on the incurrence of additional indebtedness, those restrictions are subject to a number of significant qualifications and exceptions and the amount of capital indebtedness that could be incurred in connection with those exceptions could be substantial.</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6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development activities could disrupt our business and harm our financial condition and results of operations.</w:t>
      </w:r>
    </w:p>
    <w:p>
      <w:pPr>
        <w:spacing w:after="0" w:line="225"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related equity financings could also impact our ability to utilize our net operating loss carryforwards.</w:t>
      </w:r>
    </w:p>
    <w:p>
      <w:pPr>
        <w:spacing w:after="0" w:line="17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Numerous other risks of engaging in acquisitions include: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w:t>
      </w:r>
    </w:p>
    <w:p>
      <w:pPr>
        <w:spacing w:after="0" w:line="15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Conversely, there are many risks associated with corporate divestitures, including the pending sale of our MiFi Business. The numerous risks of engaging in sales of assets, technology or portions of our business include: difficulties separating divested operations from ongoing operations; loss of sales, marketing and operating synergies; loss of key employees and know-how related to the on-going portions of the business; unanticipated costs; diversion of management’s attention from existing operations; and adverse effects on existing business relationships with suppliers and customers. Similar to discontinued operations, divestitures may be disruptive and result in substantial accounting charges for any related restructuring.</w:t>
      </w:r>
    </w:p>
    <w:p>
      <w:pPr>
        <w:spacing w:after="0" w:line="6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As a result, if we fail to properly evaluate or implement acquisitions or divestitures, including the pending sale of our MiFi Business, we may not achieve the anticipated benefits of any such transactions, and we may incur unanticipated costs, either of which could harm our business and operating results.</w:t>
      </w:r>
    </w:p>
    <w:p>
      <w:pPr>
        <w:spacing w:after="0" w:line="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complete the sale of our MiFi Business to the Purchasers, we will become subject to three-year non-competition and non-solicitation covenants, which may limit our ability to effectively operate our business in certain respects or sell the Company to a third-party acquirer.</w:t>
      </w:r>
    </w:p>
    <w:p>
      <w:pPr>
        <w:spacing w:after="0" w:line="17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If we complete the sale of our MiFi Business to the Purchasers, we will become subject to three-year non-competition and non- solicitation covenants. During such three-year period, we will be restricted from designing, developing, manufacturing, marketing or selling on a standalone basis products of the MiFi Business as of the closing of the sale, subject to certain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exceptions, and from soliciting for employment persons who were employees of the MiFi Business as of the closing of the sale.</w:t>
      </w:r>
    </w:p>
    <w:p>
      <w:pPr>
        <w:spacing w:after="0" w:line="2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These limitations may negatively impact the scope and/or volume of our business, which may adversely affect our financial condition and results of operations. In addition, under certain circumstances, a third-party acquirer may also be subject to these limitations, which may inhibit a future sale transaction of the Company that may otherwise be favorable to our stockholders.</w:t>
      </w:r>
    </w:p>
    <w:p>
      <w:pPr>
        <w:spacing w:after="0" w:line="2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complete the sale of our MiFi Business to the Purchasers, we may become obligated to incur certain post-closing defense costs in connection with certain intellectual property-related litigation matters related to the MiFi Business, and may become obligated to indemnify Purchasers for certain losses relating to the MiFi Business.</w:t>
      </w:r>
    </w:p>
    <w:p>
      <w:pPr>
        <w:spacing w:after="0" w:line="289"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Under the Purchase Agreement, following the sale of our MiFi Business to the Purchasers, we will retain responsibility for the defense costs for pending litigation matters for intellectual property used in the MiFi Business, and may be partially responsible for defense costs relating to certain future litigation matters relating to intellectual property used in the MiFi Business, should proceedings be initiated. Similarly, we may be responsible for all or a portion of any judgment or settlement associated with intellectual property disputes or litigation related to the MiFi Business. In addition, we have agreed to indemnify Purchasers for certain types of losses relating to the MiFi Business, such as product liability and product recall costs. Moreover, we remain responsible for certain obligations of the MiFi Business that arose prior to the closing of the sale, such as warranty claims for products that we sold to Verizon Wireless and other customers prior to the closing. The amounts of these current and potential future liabilities are currently indeterminable, but if they turn out to be significant, they could adversely affect our business, financial condition and results of operations.</w:t>
      </w:r>
    </w:p>
    <w:p>
      <w:pPr>
        <w:spacing w:after="0" w:line="2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complete the sale of our MiFi Business to the Purchasers, our actual financial and operating results could differ materially from any expectations or guidance provided by us concerning future results.</w:t>
      </w:r>
    </w:p>
    <w:p>
      <w:pPr>
        <w:spacing w:after="0" w:line="170"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We currently expect to realize material cost savings and increased gross profit, but also a significant decrease in revenue, as a result of the sale of our MiFi Business. Excluding upfront non-recurring charges and transaction-related expenses, such disposition is expected to improve some of the key financial metrics associated with our results of operations. However, these expectations are subject to numerous assumptions, including, without limitation, projections of the future revenues and product margins of our ongoing businesses; projected acquisition and retention of customers of our ongoing businesses; anticipated personnel and manufacturing cost savings associated with the sale; and certain accounting adjustments that we expect to record in our financial statements in connection with the disposition.</w:t>
      </w:r>
    </w:p>
    <w:p>
      <w:pPr>
        <w:spacing w:after="0" w:line="13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cannot provide any assurances with respect to the accuracy of the assumptions on which our financial expectations or guidance are based. Any failure to realize the financial benefits we currently anticipate from the sale could have a material adverse impact on our future operating results and financial condition and could materially and adversely affect the trading price or trading volume of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the products and services that we offer is rapidly evolving and highly competitive. We may be unable to compete effectively.</w:t>
      </w:r>
    </w:p>
    <w:p>
      <w:pPr>
        <w:spacing w:after="0" w:line="10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market for the products and services that we offer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ind w:right="20"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IoT wireless solutions. Our current competitors include:</w:t>
      </w:r>
    </w:p>
    <w:p>
      <w:pPr>
        <w:spacing w:after="0" w:line="6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fleet management SaaS and services providers, such as Fleetmatics, MiX Telematics and Cartrack;</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Samsung, Franklin Wireless and NetGear;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handset manufacturers, such as HTC, Apple and Samsung.</w:t>
      </w:r>
    </w:p>
    <w:p>
      <w:pPr>
        <w:spacing w:after="0" w:line="27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market for fleet management solutions and the markets for telemetry and tracking solutions are all highly fragmented and competitive, with low barriers to entry. If we do not compete effectively, our operating results may be harmed.</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market for fleet management solutions and the markets for telemetry and tracking solutions are all highly fragmented, consisting of a significant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 based mapping, tracking and turn-by-turn directions that could be expanded or further developed to more directly compete with our fleet management solutions. In addition, wireless carriers, such as Verizon Wireless, have begun to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as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71" w:lineRule="exact"/>
        <w:rPr>
          <w:sz w:val="20"/>
          <w:szCs w:val="20"/>
          <w:color w:val="auto"/>
        </w:rPr>
      </w:pPr>
    </w:p>
    <w:p>
      <w:pPr>
        <w:ind w:right="260" w:firstLine="392"/>
        <w:spacing w:after="0" w:line="293" w:lineRule="auto"/>
        <w:rPr>
          <w:sz w:val="20"/>
          <w:szCs w:val="20"/>
          <w:color w:val="auto"/>
        </w:rPr>
      </w:pPr>
      <w:r>
        <w:rPr>
          <w:rFonts w:ascii="Arial" w:cs="Arial" w:eastAsia="Arial" w:hAnsi="Arial"/>
          <w:sz w:val="16"/>
          <w:szCs w:val="16"/>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143"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3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Until we complete the sale of our MiFi Business, we will continue to depend upon Verizon Wireless for a substantial portion of our revenues, and our business would be negatively affected by an adverse change in our dealings with this customer.</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Historically, as a result of the significant revenues associated with our MiFi Business, sales to Verizon Wireless accounted for 54%, 54% and 52% of our consolidated net revenues for the years ended December 31, 2016, 2015 and 2014, respectively. Until we complete the sale of our MiFi Business, we expect that Verizon Wireless will continue to account for a substantial portion of our net revenues, and any impairment of our relationship with Verizon Wireless would adversely affect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and efficiently attract, sell to and retain SMB customers, our operating results would be adversely affected.</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market and sell our telematics and telemetry solutions in significant part to small and medium-sized businesses (“SMBs”). SMB customers are challenging to reach, acquire and retain in a cost-effective manner. To grow our revenue, we must add new customers, sell additional functionality to existing customers and encourage existing customers to renew their subscriptions. Selling to and retaining SMB customers is more difficult than selling to and retaining enterprise customers because SMB customers generally:</w:t>
      </w:r>
    </w:p>
    <w:p>
      <w:pPr>
        <w:spacing w:after="0" w:line="7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high failure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often more price sensitive;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difficult to reach with targeted sales campaigns;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higher churn rates in part because of the scale of their businesses and the ease of switching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less revenue per customer and per transaction.</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If we are unable to market and sell our solutions to SMBs with competitive pricing and in a cost-effective manner, our ability to grow our revenue and maintain and grow our profitability will be harmed.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22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generally license our solutions pursuant to customer agreements with an initial term of 36 months for fleet management customers and 24 months for telemetry subscription service customers. However, our customers have no obligation to renew these agreements after their initial term expires.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which is particularly common for SMB customers, or an economic downturn in their industry. A significant increase in our churn rate would have an adverse effect on our business, financial condition, and operating results.</w:t>
      </w:r>
    </w:p>
    <w:p>
      <w:pPr>
        <w:spacing w:after="0" w:line="220"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such as integration with fuel cards and GPS navigation devices, or introduce or acquire new solutions on a timely basis to keep pace with technological developments both within our industry and in related industries, and to remain compliant with any regulations mandated by federal agencies, such as the Federal Motor Carrier Safety Administration, or state-mandated or foreign government regulations as they pertain to our subscribers.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implements new technologies before we are able to implement them or better anticipates the innovation and integration opportunities in related industries, those competitors may be able to provide more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effective or cheaper solutions than ours.</w:t>
      </w:r>
    </w:p>
    <w:p>
      <w:pPr>
        <w:spacing w:after="0" w:line="27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Another part of our growth strategy is to sell additional subscriptions to existing customers as their fleet sizes increase. We cannot be assured that our customers’ fleet sizes will continue to increase. A significant decrease in our ability to sell existing customers additional functionality or subscriptions could have an adverse effect on our business, financial condition, and operating results.</w:t>
      </w:r>
    </w:p>
    <w:p>
      <w:pPr>
        <w:spacing w:after="0" w:line="1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Loss of, or a significant reduction in subscriptions from, one or more enterprise or government customers could adversely affect our revenue and profitability.</w:t>
      </w:r>
    </w:p>
    <w:p>
      <w:pPr>
        <w:spacing w:after="0" w:line="3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number of subscriptions from, our enterprise and government customers is likely to change over time. If we lose one or more large enterprise or government customers, or if we experience a significant reduction in subscriptions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Adverse economic conditions or reduced spending on information technology solutions, particularly by SMBs, may adversely impact our revenue and profitability.</w:t>
      </w:r>
    </w:p>
    <w:p>
      <w:pPr>
        <w:spacing w:after="0" w:line="62"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Furthermore, many of our solutions are designed for SMBs, which frequently have limited budgets and may be more likely to be significantly affected by economic downturns and other macroeconomic factors affecting spending behavior than larger enterprises or government customers. SMB customers may choose to spend the limited funds that they have on items other than our solutions and may experience higher failure and bankruptcy rates, which would negatively affect the overall demand for our products and increase customer attrition, which could cause our revenue to decline.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success of our business depends, in part, on the capacity, affordability, reliability and prevalence of wireless data networks provided by wireless telecommunications operators and on which our IoT hardware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6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certain of our products and services. For example, in South Africa, which is currently the largest market for our products and services,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insurance companies' continued practice in the South African and certain other markets of:</w:t>
      </w:r>
    </w:p>
    <w:p>
      <w:pPr>
        <w:spacing w:after="0" w:line="13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27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If any of these policies or practices change, revenues from sale of our products and services could decline, which would materially and adversely affect our business, results of operations and financial condition.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b w:val="1"/>
          <w:bCs w:val="1"/>
          <w:i w:val="1"/>
          <w:iCs w:val="1"/>
          <w:color w:val="231F20"/>
        </w:rPr>
        <w:t>Reduction in regulation in certain markets may adversely impact demand for certain of our solutions by reducing the necessity for, or desirability of, our solutions.</w:t>
      </w:r>
    </w:p>
    <w:p>
      <w:pPr>
        <w:spacing w:after="0" w:line="22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6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currently outsource the manufacturing of many of our products to companies including Inventec Appliances Corporation and AsiaTelco Technologies Co. In addition, in 2016 we sold portions of our IoT modules business to Telit,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subscription.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significantly increase.</w:t>
      </w:r>
    </w:p>
    <w:p>
      <w:pPr>
        <w:spacing w:after="0" w:line="1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Because we outsource the manufacturing of so many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2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2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services use hardware and software from various third parties, some of which are procured from single suppliers. For example, some of our vehicle tracking and fleet management solutions rely on telecommunications modules procured from Telit and our MiFi mobile hotspots rely substantially on chipsets from Qualcomm. From time to time, certain components used</w:t>
      </w:r>
    </w:p>
    <w:p>
      <w:pPr>
        <w:sectPr>
          <w:pgSz w:w="11900" w:h="16838" w:orient="portrait"/>
          <w:cols w:equalWidth="0" w:num="1">
            <w:col w:w="11420"/>
          </w:cols>
          <w:pgMar w:left="240" w:top="5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30" w:right="239" w:bottom="1440" w:gutter="0" w:footer="0" w:header="0"/>
          <w:type w:val="continuous"/>
        </w:sectPr>
      </w:pPr>
    </w:p>
    <w:bookmarkStart w:id="22" w:name="page23"/>
    <w:bookmarkEnd w:id="22"/>
    <w:p>
      <w:pPr>
        <w:ind w:right="220"/>
        <w:spacing w:after="0" w:line="293" w:lineRule="auto"/>
        <w:rPr>
          <w:sz w:val="20"/>
          <w:szCs w:val="20"/>
          <w:color w:val="auto"/>
        </w:rPr>
      </w:pPr>
      <w:r>
        <w:rPr>
          <w:rFonts w:ascii="Arial" w:cs="Arial" w:eastAsia="Arial" w:hAnsi="Arial"/>
          <w:sz w:val="16"/>
          <w:szCs w:val="16"/>
          <w:color w:val="auto"/>
        </w:rPr>
        <w:t>in our products or certain products used in our solutions have been in short supply or their anticipated commercial introduction has been delayed or their availability has been subsequently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rely on software and other intellectual property licensed from third parties to develop and offer our solutions, including mapping software and data required to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3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6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76" w:right="2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23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host our solutions and serve our South African customers from our network servers, which are located at our data center facilities in South Africa. In other geographies, 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except in South Africa where we manage our own disaster recovery system at an offsite facility.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62"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uptime,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100"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fleet management and telemetry solutions, our reputation, business, results of operations and financial condition could be harmed.</w:t>
      </w:r>
    </w:p>
    <w:p>
      <w:pPr>
        <w:spacing w:after="0" w:line="13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protecting the networks that access our services.</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98" w:lineRule="exact"/>
        <w:rPr>
          <w:sz w:val="20"/>
          <w:szCs w:val="20"/>
          <w:color w:val="auto"/>
        </w:rPr>
      </w:pPr>
    </w:p>
    <w:p>
      <w:pPr>
        <w:ind w:right="160" w:firstLine="392"/>
        <w:spacing w:after="0" w:line="342" w:lineRule="auto"/>
        <w:rPr>
          <w:sz w:val="20"/>
          <w:szCs w:val="20"/>
          <w:color w:val="auto"/>
        </w:rPr>
      </w:pPr>
      <w:r>
        <w:rPr>
          <w:rFonts w:ascii="Arial" w:cs="Arial" w:eastAsia="Arial" w:hAnsi="Arial"/>
          <w:sz w:val="16"/>
          <w:szCs w:val="16"/>
          <w:color w:val="auto"/>
        </w:rPr>
        <w:t>Our largest subsidiary, Ctrack, is headquartered in South Africa and conducts business in over 50 countries. Most of our employees are located outside the United States, and international revenue represents a significant percentage of our worldwide revenue. The risks inherent in global operations include:</w:t>
      </w:r>
    </w:p>
    <w:p>
      <w:pPr>
        <w:spacing w:after="0" w:line="1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44"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 Further,</w:t>
      </w:r>
    </w:p>
    <w:p>
      <w:pPr>
        <w:sectPr>
          <w:pgSz w:w="11900" w:h="16838" w:orient="portrait"/>
          <w:cols w:equalWidth="0" w:num="1">
            <w:col w:w="11400"/>
          </w:cols>
          <w:pgMar w:left="240" w:top="476"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76" w:right="259" w:bottom="1440" w:gutter="0" w:footer="0" w:header="0"/>
          <w:type w:val="continuous"/>
        </w:sectPr>
      </w:pPr>
    </w:p>
    <w:bookmarkStart w:id="25" w:name="page26"/>
    <w:bookmarkEnd w:id="25"/>
    <w:p>
      <w:pPr>
        <w:ind w:right="20"/>
        <w:spacing w:after="0" w:line="259" w:lineRule="auto"/>
        <w:rPr>
          <w:sz w:val="20"/>
          <w:szCs w:val="20"/>
          <w:color w:val="auto"/>
        </w:rPr>
      </w:pPr>
      <w:r>
        <w:rPr>
          <w:rFonts w:ascii="Arial" w:cs="Arial" w:eastAsia="Arial" w:hAnsi="Arial"/>
          <w:sz w:val="18"/>
          <w:szCs w:val="18"/>
          <w:color w:val="auto"/>
        </w:rPr>
        <w:t>operating in international markets requires significant management attention and financial resources. Due to the additional uncertainties and risks of doing business in foreign jurisdictions, international acquisitions tend to entail risks and require additional oversight and management attention that are typically not attendant to acquisitions made within the United States. We cannot be certain that the investment and additional resources required to establish, acquire or integrate operations in other countries will produce desired levels of revenue or profitability.</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a result of weak or deteriorating economic conditions globally, or in certain jurisdictions where we have significant foreign operations such as South Africa,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3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116"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w:t>
      </w:r>
    </w:p>
    <w:p>
      <w:pPr>
        <w:spacing w:after="0" w:line="3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times, we may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14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81"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289"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2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operating results. Regulatory restrictions could impair our access to technologies needed to improve our solutions and may also limit or reduce the demand for our solutions outside of the United States.</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8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South African government, through the Broad-Based Black Economic Empowerment Act, No. 53 of 2003, and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1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required to comply with South African labor laws with respect to certain of our employees and face the risk of disruption from labor disputes in South Africa, which could result in additional operating costs.</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South African laws relating to labor that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24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93"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Ctrack markets its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if future laws and regulations limit our ability to use and share this data or our ability to store, process and share data with our clients over the Internet, demand for our solutions could decrease and our costs could increase. We might also have to limit the manner in which we collect information, the types of information that we collect, or the solutions we offer. Any of these could materially and adversely affect our business, results of operations and financial condition.</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over financial reporting, including remediating a known material weakness in our internal controls as of December 31, 2016, we may not be able to report our financial results timely and accurately, which could adversely affect investor confidence in the Company, and in turn, our results of operations and our stock price.</w:t>
      </w:r>
    </w:p>
    <w:p>
      <w:pPr>
        <w:spacing w:after="0" w:line="7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18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disclosed in more detail in Item 9A, Controls and Procedures in Part II of this report, we have identified a material weakness as of December 31, 2016, in our internal controls over financial reporting resulting from a lack of sufficient resources in key accounting and financial reporting roles within the organization necessary to prepare financial statements in time to meet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30" w:right="259" w:bottom="1440" w:gutter="0" w:footer="0" w:header="0"/>
        </w:sectPr>
      </w:pPr>
    </w:p>
    <w:bookmarkStart w:id="27" w:name="page28"/>
    <w:bookmarkEnd w:id="27"/>
    <w:p>
      <w:pPr>
        <w:ind w:right="20"/>
        <w:spacing w:after="0" w:line="293" w:lineRule="auto"/>
        <w:rPr>
          <w:sz w:val="20"/>
          <w:szCs w:val="20"/>
          <w:color w:val="auto"/>
        </w:rPr>
      </w:pPr>
      <w:r>
        <w:rPr>
          <w:rFonts w:ascii="Arial" w:cs="Arial" w:eastAsia="Arial" w:hAnsi="Arial"/>
          <w:sz w:val="16"/>
          <w:szCs w:val="16"/>
          <w:color w:val="auto"/>
        </w:rPr>
        <w:t>regulatory filing requirements. This lack of sufficient resources was the result of a significant number of unusual and one-time challenges to the Company’s personnel and financial reporting processes, including, but not limited to, implementing the Reorganization, preparing for the divestiture of the MiFi Business and closure of the Company’s accounting function in Eugene, Oregon. Due to this material weakness in our internal control over financial reporting, we have also concluded our disclosure controls and procedures were not effective as of December 31, 2016. Notwithstanding the material weakness that existed as of December 31, 2016, management has concluded that the consolidated financial statements included in this report present fairly, in all material respects, the financial position, results of operations and cash flows of the Company in accordance with U.S. generally accepted accounting principles (GAAP).</w:t>
      </w:r>
    </w:p>
    <w:p>
      <w:pPr>
        <w:spacing w:after="0" w:line="16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evaluating measures to remediate the material weakness by continuing to augment our existing resources with additional consultants or employees to assist in financial statement preparation and the analysis and recording of complex accounting transactions. Although we believe that this corrective step will enable management to conclude that the internal controls over our financial reporting are effective, we cannot provide assurance that these steps will be sufficient and we may be required to expend additional resources to remediate the material weakness. A failure to maintain effective internal controls could cause a delay in compliance with our reporting obligations, SEC rules and regulations or Section 404 of the Sarbanes 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2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62"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Our financial statements have been prepared in accordance with accounting principles generally accepted in the United States. The preparation of these financial statements requires us to make estimates and judgments about, among other things,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4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and particularly with respect to market prices and trading volumes of other high technology stocks; and our failure to meet market expectations.</w:t>
      </w:r>
    </w:p>
    <w:p>
      <w:pPr>
        <w:spacing w:after="0" w:line="242"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In addition, the stock market has from time to time experienced extreme price and volume fluctuations that were unrelated to the operating performance of particular companies. In the past, companies that have experienced volatility have sometimes subsequently become the subject of securities class action litigation. If litigation were instituted on this basis, it could result in substantial costs and a diversion of management’s attention and resources.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76" w:right="259" w:bottom="1440" w:gutter="0" w:footer="0" w:header="0"/>
        </w:sectPr>
      </w:pPr>
    </w:p>
    <w:bookmarkStart w:id="28" w:name="page29"/>
    <w:bookmarkEnd w:id="28"/>
    <w:p>
      <w:pPr>
        <w:ind w:right="38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7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2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2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116"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As of December 31, 2016, we had outstanding warrants to purchase 1,886,630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Inseego Notes may result in dilution to existing stockholders, lower prevailing market prices for our common stock or require a significant cash outlay.</w:t>
      </w:r>
    </w:p>
    <w:p>
      <w:pPr>
        <w:spacing w:after="0" w:line="62"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Prior to December 15, 2021, holders may convert their Inseego Notes only if certain conditions are met. On or after December 15, 2021, until close of business on the business day immediately preceding the maturity date, holders may convert their Inseego Notes at any time. The Inseego Notes are convertible into cash, shares of the Company’s common stock, or a combination thereof, at the election of the Company, and are initially convertible into 25,478,728 shares of the Company’s common stock, based on an initial conversion rate of 212.7660 shares of common stock per $1,000 principal amount of Inseego Notes (which is equivalent to an initial conversion price of $4.70 per share of common stock). The conversion rate is subject to adjustment if certain events occur, but in no event will the conversion rate exceed 387.5968 shares of common stock per $1,000 principal amount of Inseego Notes (which is equivalent to a conversion price of $2.58 per share of common stock). If we elect to settle conversions of the Inseego Notes with common stock, this may cause significant dilution to our existing stockholders. Any sales in the public market of the common stock issued upon such conversion could adversely affect prevailing market prices of our common stock. If we do not elect to settle conversion of the Inseego Notes solely with common stock, we would be required to settle a portion, or all, of our conversion obligation through the payment of cash, which could adversely affect our liquidity.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Inseego Indenture could delay or prevent an otherwise beneficial takeover or takeover attempt of us.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Certain provisions in the Inseego Indenture could make it more difficult or more expensive for a third party to acquire us. For example, if a takeover would constitute a fundamental change, holders of the Inseego Notes will have the right to require us to repurchase their Inseego Notes in cash. In addition, if a takeover constitutes a make-whole fundamental change (as defined in the Inseego Indenture), we may be required to increase the conversion rate for holders who convert their Inseego Notes in connection with such takeover. In either case, and in other cases, our obligations under the Inseego Notes and the Indenture could increase the cost of acquiring us or otherwise discourage a third party from acquiring us.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30" w:right="25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principal executive offices are located in San Diego, California where we lease approximately 41,000 square feet under an arrangement that expires in December 2019 and approximately 12,000 square feet under an arrangement that expires in June 2020. We also currently lease approximately 36,000 square feet in Eugene, Oregon under a lease arrangement that expires in January 2018,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3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20" w:firstLine="405"/>
        <w:spacing w:after="0" w:line="285" w:lineRule="auto"/>
        <w:rPr>
          <w:sz w:val="20"/>
          <w:szCs w:val="20"/>
          <w:color w:val="auto"/>
        </w:rPr>
      </w:pPr>
      <w:r>
        <w:rPr>
          <w:rFonts w:ascii="Arial" w:cs="Arial" w:eastAsia="Arial" w:hAnsi="Arial"/>
          <w:sz w:val="16"/>
          <w:szCs w:val="16"/>
          <w:color w:val="auto"/>
        </w:rPr>
        <w:t>On May 27, 2015, a patent infringement action was brought against Novatel Wireless, Inc. (“Novatel Wireless”) and its customers, AT&amp;T and Verizon Wireless, in the Southern District of Florida by Carucel Investments, L.P. (“Carucel”), a non-practicing entity (</w:t>
      </w:r>
      <w:r>
        <w:rPr>
          <w:rFonts w:ascii="Arial" w:cs="Arial" w:eastAsia="Arial" w:hAnsi="Arial"/>
          <w:sz w:val="16"/>
          <w:szCs w:val="16"/>
          <w:i w:val="1"/>
          <w:iCs w:val="1"/>
          <w:color w:val="auto"/>
        </w:rPr>
        <w:t>Carucel Investments, L.P. v. Novatel Wireless,</w:t>
      </w:r>
      <w:r>
        <w:rPr>
          <w:rFonts w:ascii="Arial" w:cs="Arial" w:eastAsia="Arial" w:hAnsi="Arial"/>
          <w:sz w:val="16"/>
          <w:szCs w:val="16"/>
          <w:color w:val="auto"/>
        </w:rPr>
        <w:t xml:space="preserve"> </w:t>
      </w:r>
      <w:r>
        <w:rPr>
          <w:rFonts w:ascii="Arial" w:cs="Arial" w:eastAsia="Arial" w:hAnsi="Arial"/>
          <w:sz w:val="16"/>
          <w:szCs w:val="16"/>
          <w:i w:val="1"/>
          <w:iCs w:val="1"/>
          <w:color w:val="auto"/>
        </w:rPr>
        <w:t>Inc., et al., U.S.D.C. S.D. Florida, Civil Action No. 0:15-cv-61116-BB</w:t>
      </w:r>
      <w:r>
        <w:rPr>
          <w:rFonts w:ascii="Arial" w:cs="Arial" w:eastAsia="Arial" w:hAnsi="Arial"/>
          <w:sz w:val="16"/>
          <w:szCs w:val="16"/>
          <w:color w:val="auto"/>
        </w:rPr>
        <w:t>). The complaint alleges that certain MiFi mobile hotspots manufactured by Novatel</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infringe claims of patents owned by Carucel. Venue in the case was subsequently transferred to the Southern District of California, and AT&amp;T was later dismissed as a defendant. The litigation is proceeding against Novatel Wireless and Verizon Wireless, and a jury trial is scheduled for April</w:t>
      </w:r>
    </w:p>
    <w:p>
      <w:pPr>
        <w:spacing w:after="0" w:line="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2017. Carucel is currently seeking royalty damages of approximately $43 million, and the Company has certain indemnification obligations with respect to Verizon Wireless. As this case has approached trial, over the past five months Carucel has significantly increased the amount of damages it is</w:t>
      </w:r>
    </w:p>
    <w:p>
      <w:pPr>
        <w:spacing w:after="0" w:line="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seeking. Novatel Wireless does not believe its MiFi mobile hotspot devices infringe any valid claim in Carucel’s patents, and does not believe that the damages sought in this case represent reasonable royalty amounts even if such infringement existed. Novatel Wireless has vigorously denied any liability. However, there can be no assurance as to the ultimate outcome of this litigation, and an adverse judgment could have a material adverse effect on our business, results of operations, financial condition and cash flows.</w:t>
      </w:r>
    </w:p>
    <w:p>
      <w:pPr>
        <w:spacing w:after="0" w:line="2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We are engaged in other legal actions arising in the ordinary course of our business. In general, while there can be no assurance, we believe that the ultimate outcome of these other legal actions will not have a material adverse effect on our business, results of operations, financial condition or cash flows.</w:t>
      </w:r>
    </w:p>
    <w:p>
      <w:pPr>
        <w:spacing w:after="0" w:line="23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 xml:space="preserve">The disclosure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Shares of our common stock are currently quoted and traded on The Nasdaq Global Select Market under the symbol “INSG” and, prior to November 9, 2016, were quoted on The Nasdaq Global Select Market under the symbol “MIFI”. The following table sets forth, for the periods indicated, the high and low sales prices of our common stock as reported by The Nasdaq Global Select Market.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780" w:type="dxa"/>
            <w:vAlign w:val="bottom"/>
          </w:tcPr>
          <w:p>
            <w:pPr>
              <w:jc w:val="right"/>
              <w:ind w:right="301"/>
              <w:spacing w:after="0"/>
              <w:rPr>
                <w:sz w:val="20"/>
                <w:szCs w:val="20"/>
                <w:color w:val="auto"/>
              </w:rPr>
            </w:pPr>
            <w:r>
              <w:rPr>
                <w:rFonts w:ascii="Arial" w:cs="Arial" w:eastAsia="Arial" w:hAnsi="Arial"/>
                <w:sz w:val="14"/>
                <w:szCs w:val="14"/>
                <w:b w:val="1"/>
                <w:bCs w:val="1"/>
                <w:color w:val="auto"/>
              </w:rPr>
              <w:t>Low</w:t>
            </w:r>
          </w:p>
        </w:tc>
      </w:tr>
      <w:tr>
        <w:trPr>
          <w:trHeight w:val="192"/>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0"/>
        </w:trPr>
        <w:tc>
          <w:tcPr>
            <w:tcW w:w="9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First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0.84</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Second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1.06</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Third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Fourth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2.22</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First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3.06</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Second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3.09</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Third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1.90</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Fourth quarter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w:t>
            </w:r>
          </w:p>
        </w:tc>
      </w:tr>
      <w:tr>
        <w:trPr>
          <w:trHeight w:val="33"/>
        </w:trPr>
        <w:tc>
          <w:tcPr>
            <w:tcW w:w="9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outstanding capital stock consists of a single class of common stock. As of March 23, 2017, there were approximately 48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Under the terms of our Revolver, we are prohibited from declaring or paying any cash dividends on our common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2011 and December 31, 2016 with the cumulative total return of (i) the Nasdaq Stock Market (U.S.) Index or the Nasdaq Composite Index and (ii) the Nasdaq Telecommunications Index, or the Nasdaq Telecom Index, over the same period. This graph assumes the investment of $100.00 on December 31, 2011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-5080</wp:posOffset>
            </wp:positionV>
            <wp:extent cx="5848985" cy="4124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4" w:right="25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2016, 2015 and 2014, and the consolidated balance sheet data at December 31, 2016 and 2015 are derived from our consolidated financial statements included elsewhere in this report. The selected consolidated statements of operations data for the years ended December 31, 2013 and 2012 and consolidated balance sheet data at December 31, 2014, 2013 and 2012 are derived from the audited consolidated financial statements not included in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372"/>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243,555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220,942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185,245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344,288</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167,227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161,989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148,198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266,759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271,845</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72,443</w:t>
            </w:r>
          </w:p>
        </w:tc>
        <w:tc>
          <w:tcPr>
            <w:tcW w:w="0" w:type="dxa"/>
            <w:vAlign w:val="bottom"/>
          </w:tcPr>
          <w:p>
            <w:pPr>
              <w:spacing w:after="0"/>
              <w:rPr>
                <w:sz w:val="1"/>
                <w:szCs w:val="1"/>
                <w:color w:val="auto"/>
              </w:rPr>
            </w:pPr>
          </w:p>
        </w:tc>
      </w:tr>
      <w:tr>
        <w:trPr>
          <w:trHeight w:val="231"/>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60,422</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29,782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20,899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13,792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20,898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27,501</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22,668</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of goodwill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49,521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Shareholder litigation loss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14,326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charges,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121,332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96,744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72,620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111,515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161,186</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(88,743)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Non-cash change in acquisition-related escrow</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(88,655)</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6"/>
                <w:shd w:val="clear" w:color="auto" w:fill="CCEEFF"/>
              </w:rPr>
              <w:t>Net loss</w:t>
            </w:r>
          </w:p>
        </w:tc>
        <w:tc>
          <w:tcPr>
            <w:tcW w:w="4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Inseego Corp.</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Recognition of beneficial conversion feature</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common shareholders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(89,266)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Net loss per share attributable to common shareholders: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53,911,270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52,767,230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37,958,846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33,947,935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32,852,053</w:t>
            </w:r>
          </w:p>
        </w:tc>
        <w:tc>
          <w:tcPr>
            <w:tcW w:w="0" w:type="dxa"/>
            <w:vAlign w:val="bottom"/>
          </w:tcPr>
          <w:p>
            <w:pPr>
              <w:spacing w:after="0"/>
              <w:rPr>
                <w:sz w:val="1"/>
                <w:szCs w:val="1"/>
                <w:color w:val="auto"/>
              </w:rPr>
            </w:pPr>
          </w:p>
        </w:tc>
      </w:tr>
      <w:tr>
        <w:trPr>
          <w:trHeight w:val="480"/>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372"/>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and cash equivalents and marketable securities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55,309</w:t>
            </w:r>
          </w:p>
        </w:tc>
        <w:tc>
          <w:tcPr>
            <w:tcW w:w="0" w:type="dxa"/>
            <w:vAlign w:val="bottom"/>
          </w:tcPr>
          <w:p>
            <w:pPr>
              <w:spacing w:after="0"/>
              <w:rPr>
                <w:sz w:val="1"/>
                <w:szCs w:val="1"/>
                <w:color w:val="auto"/>
              </w:rPr>
            </w:pPr>
          </w:p>
        </w:tc>
      </w:tr>
      <w:tr>
        <w:trPr>
          <w:trHeight w:val="224"/>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Working capital</w:t>
            </w: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6,070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29,397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67,199</w:t>
            </w:r>
          </w:p>
        </w:tc>
        <w:tc>
          <w:tcPr>
            <w:tcW w:w="0" w:type="dxa"/>
            <w:vAlign w:val="bottom"/>
          </w:tcPr>
          <w:p>
            <w:pPr>
              <w:spacing w:after="0"/>
              <w:rPr>
                <w:sz w:val="1"/>
                <w:szCs w:val="1"/>
                <w:color w:val="auto"/>
              </w:rPr>
            </w:pPr>
          </w:p>
        </w:tc>
      </w:tr>
      <w:tr>
        <w:trPr>
          <w:trHeight w:val="47"/>
        </w:trPr>
        <w:tc>
          <w:tcPr>
            <w:tcW w:w="56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158,716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161,531</w:t>
            </w:r>
          </w:p>
        </w:tc>
        <w:tc>
          <w:tcPr>
            <w:tcW w:w="0" w:type="dxa"/>
            <w:vAlign w:val="bottom"/>
          </w:tcPr>
          <w:p>
            <w:pPr>
              <w:spacing w:after="0"/>
              <w:rPr>
                <w:sz w:val="1"/>
                <w:szCs w:val="1"/>
                <w:color w:val="auto"/>
              </w:rPr>
            </w:pPr>
          </w:p>
        </w:tc>
      </w:tr>
      <w:tr>
        <w:trPr>
          <w:trHeight w:val="224"/>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Total long-term liabilities</w:t>
            </w: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114,066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104,078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47"/>
        </w:trPr>
        <w:tc>
          <w:tcPr>
            <w:tcW w:w="56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85,447</w:t>
            </w:r>
          </w:p>
        </w:tc>
        <w:tc>
          <w:tcPr>
            <w:tcW w:w="0" w:type="dxa"/>
            <w:vAlign w:val="bottom"/>
          </w:tcPr>
          <w:p>
            <w:pPr>
              <w:spacing w:after="0"/>
              <w:rPr>
                <w:sz w:val="1"/>
                <w:szCs w:val="1"/>
                <w:color w:val="auto"/>
              </w:rPr>
            </w:pPr>
          </w:p>
        </w:tc>
      </w:tr>
      <w:tr>
        <w:trPr>
          <w:trHeight w:val="47"/>
        </w:trPr>
        <w:tc>
          <w:tcPr>
            <w:tcW w:w="560" w:type="dxa"/>
            <w:vAlign w:val="bottom"/>
            <w:shd w:val="clear" w:color="auto" w:fill="CCEEFF"/>
          </w:tcPr>
          <w:p>
            <w:pPr>
              <w:spacing w:after="0"/>
              <w:rPr>
                <w:sz w:val="4"/>
                <w:szCs w:val="4"/>
                <w:color w:val="auto"/>
              </w:rPr>
            </w:pPr>
          </w:p>
        </w:tc>
        <w:tc>
          <w:tcPr>
            <w:tcW w:w="4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At December 31, 2013, includes restricted marketable securities.</w:t>
      </w:r>
    </w:p>
    <w:p>
      <w:pPr>
        <w:sectPr>
          <w:pgSz w:w="11900" w:h="16838" w:orient="portrait"/>
          <w:cols w:equalWidth="0" w:num="1">
            <w:col w:w="11420"/>
          </w:cols>
          <w:pgMar w:left="240" w:top="364"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4" w:right="239" w:bottom="1440" w:gutter="0" w:footer="0" w:header="0"/>
          <w:type w:val="continuous"/>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229" w:lineRule="exact"/>
        <w:rPr>
          <w:sz w:val="20"/>
          <w:szCs w:val="20"/>
          <w:color w:val="auto"/>
        </w:rPr>
      </w:pPr>
    </w:p>
    <w:p>
      <w:pPr>
        <w:ind w:right="40" w:firstLine="392"/>
        <w:spacing w:after="0" w:line="297" w:lineRule="auto"/>
        <w:rPr>
          <w:sz w:val="20"/>
          <w:szCs w:val="20"/>
          <w:color w:val="auto"/>
        </w:rPr>
      </w:pPr>
      <w:r>
        <w:rPr>
          <w:rFonts w:ascii="Arial" w:cs="Arial" w:eastAsia="Arial" w:hAnsi="Arial"/>
          <w:sz w:val="16"/>
          <w:szCs w:val="16"/>
          <w:color w:val="auto"/>
        </w:rPr>
        <w:t>We are a leading global provider of software-as-a-service (“SaaS”) and solutions for the Internet of Things (“IoT”). We sell telematics solutions globally under the Ctrack brand, including our fleet management, asset tracking and monitoring, stolen vehicle recovery and usage-based insurance platforms. We also sell connectivity solutions and device management services. Our products and solutions provide anywhere, anytime communications and analytics for consumers and businesses of all sizes, with approximately 620,000 global subscribers, including 432,000 subscribers for our Ctrack branded fleet management and vehicle telematics solutions and 188,000 subscribers for our connectivity and device management services.</w:t>
      </w:r>
    </w:p>
    <w:p>
      <w:pPr>
        <w:spacing w:after="0" w:line="212" w:lineRule="exact"/>
        <w:rPr>
          <w:sz w:val="20"/>
          <w:szCs w:val="20"/>
          <w:color w:val="auto"/>
        </w:rPr>
      </w:pPr>
    </w:p>
    <w:p>
      <w:pPr>
        <w:ind w:right="200" w:firstLine="392"/>
        <w:spacing w:after="0" w:line="259" w:lineRule="auto"/>
        <w:rPr>
          <w:sz w:val="20"/>
          <w:szCs w:val="20"/>
          <w:color w:val="auto"/>
        </w:rPr>
      </w:pPr>
      <w:r>
        <w:rPr>
          <w:rFonts w:ascii="Arial" w:cs="Arial" w:eastAsia="Arial" w:hAnsi="Arial"/>
          <w:sz w:val="18"/>
          <w:szCs w:val="18"/>
          <w:color w:val="auto"/>
        </w:rPr>
        <w:t>We have invented and reinvented ways in which the world stays connected and accesses information. With multiple first-to-market innovations and a strong and growing portfolio of hardware and software innovations for IoT, our companies have been advancing technology and driving industry transformation for over 30 years. It is this proven expertise and commitment to quality and innovation that makes us a preferred global partner of operators, distributors, system integrators, businesses and consumers.</w:t>
      </w:r>
    </w:p>
    <w:p>
      <w:pPr>
        <w:spacing w:after="0" w:line="241" w:lineRule="exact"/>
        <w:rPr>
          <w:sz w:val="20"/>
          <w:szCs w:val="20"/>
          <w:color w:val="auto"/>
        </w:rPr>
      </w:pPr>
    </w:p>
    <w:p>
      <w:pPr>
        <w:ind w:right="340" w:firstLine="392"/>
        <w:spacing w:after="0" w:line="302" w:lineRule="auto"/>
        <w:rPr>
          <w:sz w:val="20"/>
          <w:szCs w:val="20"/>
          <w:color w:val="auto"/>
        </w:rPr>
      </w:pPr>
      <w:r>
        <w:rPr>
          <w:rFonts w:ascii="Arial" w:cs="Arial" w:eastAsia="Arial" w:hAnsi="Arial"/>
          <w:sz w:val="16"/>
          <w:szCs w:val="16"/>
          <w:color w:val="auto"/>
        </w:rPr>
        <w:t>We sell SaaS, software and services solutions across multiple IoT vertical markets, including fleet management and vehicle telematics, usage-based insurance, stolen vehicle recovery, asset tracking and monitoring, business connectivity, and device management. Our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w:t>
      </w:r>
    </w:p>
    <w:p>
      <w:pPr>
        <w:spacing w:after="0" w:line="208" w:lineRule="exact"/>
        <w:rPr>
          <w:sz w:val="20"/>
          <w:szCs w:val="20"/>
          <w:color w:val="auto"/>
        </w:rPr>
      </w:pPr>
    </w:p>
    <w:p>
      <w:pPr>
        <w:ind w:right="80" w:firstLine="392"/>
        <w:spacing w:after="0" w:line="312" w:lineRule="auto"/>
        <w:rPr>
          <w:sz w:val="20"/>
          <w:szCs w:val="20"/>
          <w:color w:val="auto"/>
        </w:rPr>
      </w:pPr>
      <w:r>
        <w:rPr>
          <w:rFonts w:ascii="Arial" w:cs="Arial" w:eastAsia="Arial" w:hAnsi="Arial"/>
          <w:sz w:val="16"/>
          <w:szCs w:val="16"/>
          <w:color w:val="auto"/>
        </w:rPr>
        <w:t>Our SaaS delivery platforms include (i) our Ctrack platforms, which provide fleet, vehicle, asset and other SaaS telematics, (ii) our Crossroads™ platform, which provides easy IoT device management and service enablement and (iii) our Device Management Solutions (“DMS”), a hosted SaaS platform that helps organizations manage the selection, deployment, and spend of their wireless assets, saving money on personnel and telecom expenses.</w:t>
      </w:r>
    </w:p>
    <w:p>
      <w:pPr>
        <w:spacing w:after="0" w:line="201"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Our integrated telematics and mobile tracking hardware is predominantly sold as an enabler for our Ctrack SaaS delivery platforms. Our telematics and mobile tracking hardware devices collect and control critical vehicle data and driver behaviors, and can reliably deliver that information to the cloud, all managed by our services enablement platforms. Our wireless routers are sold both as stand-alone devices and as part of a bundled business connectivity solution, including our Crossroads platform and wireless connectivity services via our carrier partners.</w:t>
      </w:r>
    </w:p>
    <w:p>
      <w:pPr>
        <w:spacing w:after="0" w:line="241" w:lineRule="exact"/>
        <w:rPr>
          <w:sz w:val="20"/>
          <w:szCs w:val="20"/>
          <w:color w:val="auto"/>
        </w:rPr>
      </w:pPr>
    </w:p>
    <w:p>
      <w:pPr>
        <w:ind w:right="320" w:firstLine="392"/>
        <w:spacing w:after="0" w:line="257" w:lineRule="auto"/>
        <w:rPr>
          <w:sz w:val="20"/>
          <w:szCs w:val="20"/>
          <w:color w:val="auto"/>
        </w:rPr>
      </w:pPr>
      <w:r>
        <w:rPr>
          <w:rFonts w:ascii="Arial" w:cs="Arial" w:eastAsia="Arial" w:hAnsi="Arial"/>
          <w:sz w:val="18"/>
          <w:szCs w:val="18"/>
          <w:color w:val="auto"/>
        </w:rPr>
        <w:t>Our telematics customer base is comprised of wireless operators, distributors, OEMs and companies in various vertical markets. Fleet management customers include global enterprises such as BHP Billiton, Super Group, Mammoet, and Australia Post. Customers of our government, local council and municipality asset management platforms include Thames Water and the City of Ekurhuleni. Airport asset tracking customers include KLM Equipment Services and Hanover Airport. Usage-based insurances customers include Discovery Insure and Cross Country Insurance Consultants. Our largest vehicle tracking customer is the South African Police Service.</w:t>
      </w:r>
    </w:p>
    <w:p>
      <w:pPr>
        <w:spacing w:after="0" w:line="242"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telecom groups and installation partners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4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Inventec Appliances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6" w:right="239" w:bottom="1440" w:gutter="0" w:footer="0" w:header="0"/>
        </w:sectPr>
      </w:pPr>
    </w:p>
    <w:bookmarkStart w:id="34" w:name="page35"/>
    <w:bookmarkEnd w:id="34"/>
    <w:p>
      <w:pPr>
        <w:ind w:right="300"/>
        <w:spacing w:after="0" w:line="277" w:lineRule="auto"/>
        <w:rPr>
          <w:sz w:val="20"/>
          <w:szCs w:val="20"/>
          <w:color w:val="auto"/>
        </w:rPr>
      </w:pPr>
      <w:r>
        <w:rPr>
          <w:rFonts w:ascii="Arial" w:cs="Arial" w:eastAsia="Arial" w:hAnsi="Arial"/>
          <w:sz w:val="18"/>
          <w:szCs w:val="18"/>
          <w:color w:val="auto"/>
        </w:rPr>
        <w:t>Corporation and AsiaTelco Technologies Co. Under our manufacturing agreements, contract manufacturers provide us with services including component procurement, product manufacturing, final assembly, testing, quality control and fulfillment.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 and Divestiture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June 18, 2015, we entered into a transaction implementation agreement (the “TIA”) with DigiCore. Pursuant to the terms of the TIA, we acquired 100% of the issued and outstanding ordinary shares of DigiCore (with the exception of certain excluded shares, including treasury shares) for 4.40 South African Rand per ordinary share outstanding.</w:t>
      </w:r>
    </w:p>
    <w:p>
      <w:pPr>
        <w:spacing w:after="0" w:line="235"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252525"/>
        </w:rPr>
        <w:t xml:space="preserve">On October 5, 2015, the transaction was completed. </w:t>
      </w:r>
      <w:r>
        <w:rPr>
          <w:rFonts w:ascii="Arial" w:cs="Arial" w:eastAsia="Arial" w:hAnsi="Arial"/>
          <w:sz w:val="16"/>
          <w:szCs w:val="16"/>
          <w:color w:val="000000"/>
        </w:rPr>
        <w:t>The total preliminary purchase price was approximately $80.0 million and included (i) cash</w:t>
      </w:r>
      <w:r>
        <w:rPr>
          <w:rFonts w:ascii="Arial" w:cs="Arial" w:eastAsia="Arial" w:hAnsi="Arial"/>
          <w:sz w:val="16"/>
          <w:szCs w:val="16"/>
          <w:color w:val="252525"/>
        </w:rPr>
        <w:t xml:space="preserve"> </w:t>
      </w:r>
      <w:r>
        <w:rPr>
          <w:rFonts w:ascii="Arial" w:cs="Arial" w:eastAsia="Arial" w:hAnsi="Arial"/>
          <w:sz w:val="16"/>
          <w:szCs w:val="16"/>
          <w:color w:val="000000"/>
        </w:rPr>
        <w:t>consideration of $79.4 million for all of the outstanding ordinary shares of DigiCore and the purchase of in-the-money vested stock options held by Ctrack employees on the closing date and (ii) $0.6 million for the portion of the fair value of replacement equity awards issued to Ctrack employees that related to services performed prior to the closing date. Upon consummation of the acquisition, Ctrack became an indirect wholly-owned subsidiary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 (DBA Feeney Wireless)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March 27, 2015, we acquired all of the issued and outstanding shares of R.E.R. Enterprises, Inc. (“RER”) and its wholly-owned subsidiary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principal operating asset, FW. The total purchase price was approximately $24.8 million and included a cash payment at closing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$9.3 million, including $1.5 million which was placed into an escrow fund to serve as partial security for the indemnification obligations of RER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former shareholders, the Company’s assumption of $0.5 million in certain transaction-related expenses incurred by FW, and the future issuance of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valued at $15.0 million to RER’s former shareholders, which would have been payable in March 2016.</w:t>
      </w:r>
    </w:p>
    <w:p>
      <w:pPr>
        <w:spacing w:after="0" w:line="26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consideration of $24.8 million paid by the Company for FW did not include amounts, if any, payable under an earn-out arrangement pursuant to which we may have been required to pay up to an additional $25.0 million to the former shareholders of RER contingent upon FW’s achievement of certain financial targets for the years ending December 31, 2015, 2016, and 2017 (the “Earn-Out Arrangement”).</w:t>
      </w:r>
    </w:p>
    <w:p>
      <w:pPr>
        <w:spacing w:after="0" w:line="22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January 5, 2016, the Company and RER amended certain payment terms related to the Company’s acquisition of RER (the “RER Amendment”). Under the RER Amendment, the $1.5 million placed into escrow on the date of acquisition was released to RER and its former shareholders on January 8, 2016, and the $15.0 million that was payable in shares of our common stock in March 2016 will now be paid in five cash installments over a four-year period, beginning in March 2016. Under the RER Amendment, the Earn-Out Arrangement has been amended (the “Amended Earn-Out Arrangement”) as follows:</w:t>
      </w:r>
    </w:p>
    <w:p>
      <w:pPr>
        <w:spacing w:after="0" w:line="2" w:lineRule="exact"/>
        <w:rPr>
          <w:sz w:val="20"/>
          <w:szCs w:val="20"/>
          <w:color w:val="auto"/>
        </w:rPr>
      </w:pPr>
    </w:p>
    <w:p>
      <w:pPr>
        <w:ind w:right="160" w:firstLine="8"/>
        <w:spacing w:after="0" w:line="273"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amount earned under the Earn-Out Arrangement for the achievement of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we will issue to the former shareholders of RER approximately 2.9 million shares of our common stock in three equal installments over a three-year period, beginning in March 2017.</w:t>
      </w:r>
    </w:p>
    <w:p>
      <w:pPr>
        <w:spacing w:after="0" w:line="23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We recognized approximately $7.9 million in expense during the year ended December 31, 2016 in connection with the earn-out payment due to the former shareholders of RER in the form of 2.9 million shares of our common stock. As of December 31, 2016, the total amount earned pursuant to the Amended Earn-Out Arrangement was $14.0 million, $12.5 million of which remained outstanding as of December 31, 2016 and is included in accrued expenses and other current liabilities and in other long-term liabilities in the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Pending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Modules Business</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April 11, 2016, we signed a definitive asset purchase agreement with Telit Technologies (Cyprus) Limited and Telit Wireless Solutions, Inc. (collectively, “Telit”) pursuant to which we sold, and Telit acquired, certain hardware modules and related assets (the “Modules Business”) for an initial purchase price of $11.0 million in cash, which included $9.0 million that was paid to us on the closing date of the transaction, $1.0 million that would be paid to us in equal quarterly installments over a two-year period in connection with the provision by us of certain transition services and $1.0 million that would be paid to us following the satisfaction of certain conditions by us, including the assignment of specified contracts and the delivery of certain certifications and approvals. We also had the potential to receive an additional cash payment of approximately $3.8 million from Telit related to their purchase of module product inventory from us, $1.0 million of which would be paid to us in equal quarterly installments over the two-year period following the closing date in connection with the provision by us of certain</w:t>
      </w:r>
    </w:p>
    <w:p>
      <w:pPr>
        <w:sectPr>
          <w:pgSz w:w="11900" w:h="16838" w:orient="portrait"/>
          <w:cols w:equalWidth="0" w:num="1">
            <w:col w:w="11400"/>
          </w:cols>
          <w:pgMar w:left="240" w:top="476" w:right="25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76" w:right="259" w:bottom="1440" w:gutter="0" w:footer="0" w:header="0"/>
          <w:type w:val="continuous"/>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transition services. In addition to the above, we may have been entitled to receive a subsequent earn-out payment following the closing of the transaction if certain conditions are met.</w:t>
      </w:r>
    </w:p>
    <w:p>
      <w:pPr>
        <w:spacing w:after="0" w:line="22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On September 29, 2016, we entered into a Final Resolution Letter Agreement (the “Final Resolution”) with Telit. Per the Final Resolution, Telit agreed to pay us $2.1 million in full satisfaction of their payment obligations under certain sections of the original purchase agreement, including all installment payments, and we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0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year ended December 31, 2016, we recognized a gain of approximately $5.0 million in connection with the fulfillment of certain obligations pursuant to the asset purchase agreement, as amended, which is included in other income (expense), net, in the consolidated statements of operations. As of December 31, 2016, we recorded a liability of $0.5 million for the fair value of the remaining hardware and related assets due to Telit, which is included in accrued expenses and other current liabilities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On September 21, 2016, we entered into a Stock Purchase Agreement (the “Purchase Agreement”), by and among Inseego and Novatel Wireless, on the one hand, and T.C.L. Industries Holdings (H.K.) Limited and Jade Ocean Global Limited (collectively, the “Purchasers”) on the other hand. The Purchase Agreement relates to the pending sale of our subsidiary, Novatel Wireless, which includes the Company’s MiFi branded hotspots and USB modem product lines (the “MiFi Business”), to the Purchasers for $50.0 million in cash, subject to potential adjustment for Novatel Wireless’s working capital as of the closing date. The sale may not close until all of the closing conditions set forth in the Purchase Agreement have been satisfied. One of the closing conditions is the approval of the Committee on Foreign Investment in the United States (“CFIUS”). CFIUS has identified national security concerns relating to our sale of the MiFi Business to the Purchasers. In early February 2017, the Company and the Purchasers voluntarily withdrew and re-filed their notice to CFIUS in order to obtain additional time to provide further information to CFIUS and explore potential mitigation measures that may allow the transaction to proceed. In early March 2017, CFIUS provided a draft mitigation agreement which, if finalized, would allow CFIUS approval to be granted. Negotiations between CFIUS and the Purchasers regarding the final terms of such mitigation agreement remain ongoing.</w:t>
      </w:r>
    </w:p>
    <w:p>
      <w:pPr>
        <w:spacing w:after="0" w:line="22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order to facilitate our sale of Novatel Wireless, we completed an internal Reorganization in November 2016. The first step of the Reorganization was the formation of Inseego (formerly known as Vanilla Technologies, Inc.) as a direct, wholly owned subsidiary of Novatel Wireless. Inseego then formed Vanilla Merger Sub, Inc., a Delaware corporation and direct, wholly owned subsidiary of Inseego (“Merger Sub”). Merger Sub was formed solely for the purpose of effecting the Reorganization.</w:t>
      </w:r>
    </w:p>
    <w:p>
      <w:pPr>
        <w:spacing w:after="0" w:line="24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Novatel Wireless then contributed all of its assets and liabilities (other than the MiFi Business), including its equity interests in DigiCore, FW, Novatel Wireless Solutions, Inc., Enfora Comercio de Eletronicos LTDA and each of their direct and indirect subsidiaries, to Inseego.</w:t>
      </w:r>
    </w:p>
    <w:p>
      <w:pPr>
        <w:spacing w:after="0" w:line="2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Finally, Merger Sub was merged with and into Novatel Wireless, with Novatel Wireless surviving as a direct, wholly owned subsidiary of Inseego. Upon completion of the Reorganization, each share of Novatel Wireless common stock was automatically converted into a corresponding share of Inseego common stock, having the same rights and limitations as the corresponding share of Novatel Wireless common stock that was converted. Accordingly, at such time, Novatel Wireless’s former stockholders became stockholders of Inseego.</w:t>
      </w:r>
    </w:p>
    <w:p>
      <w:pPr>
        <w:spacing w:after="0" w:line="24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purpose and effect of the Reorganization was to separate the MiFi Business from the assets and liabilities associated with the Ctrack fleet and vehicle telematics solutions and stolen vehicle recovery and FW telemetry and connectivity solutions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22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do not provide separate segment reporting for our various lines of business. Our Chief Executive Officer, who is also our Chief Operating Decision Maker, evaluates the business as a single entity and reviews financial information and makes business decisions based on the overall results of the business. As such, the Company's operations constitute a single operating segment and one reportable segment.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22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largely by the global demand for SaaS solutions for telematics,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Ctrack fleet management, asset tracking and monitoring, stolen vehicle recovery, and usage-based insurance platforms. Our future net revenues will also be influenced by the demand in North America for our business connectivity solutions and device management services, as well as customer acceptance of our new products that address our markets and our ability to meet customer demand. Factors that could potentially affect customer demand for our products include the following:</w:t>
      </w:r>
    </w:p>
    <w:p>
      <w:pPr>
        <w:spacing w:after="0" w:line="2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We continue to develop and maintain strategic relationships with wireless industry leaders such as Verizon Wireless, T-Mobile, AT&amp;T, Sprint, Vodafone, MTN, Telstra and Optus. Through strategic relationships, we have been able to maintain market penetration by leveraging the resources of our channel partners, including their access to distribution resources, increased sales opportunities and market opportunities.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future net revenues will also be affected by the consummation of the sale of our Modules Business and the pending sale of our MiFi Business.</w:t>
      </w:r>
    </w:p>
    <w:p>
      <w:pPr>
        <w:spacing w:after="0" w:line="34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our cancellation of purchase orders, and costs related to outside services. Also included in cost of net revenues are costs related to inventory adjustments, including the FW and Ctrack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29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289"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Given our current cash position and recent losses, any additional acquisitions we make would likely involve issuing stock and/or borrowing additional funds in order to</w:t>
      </w:r>
    </w:p>
    <w:p>
      <w:pPr>
        <w:sectPr>
          <w:pgSz w:w="11900" w:h="16838" w:orient="portrait"/>
          <w:cols w:equalWidth="0" w:num="1">
            <w:col w:w="11400"/>
          </w:cols>
          <w:pgMar w:left="240" w:top="526" w:right="2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526" w:right="259" w:bottom="1440" w:gutter="0" w:footer="0" w:header="0"/>
          <w:type w:val="continuous"/>
        </w:sectPr>
      </w:pPr>
    </w:p>
    <w:bookmarkStart w:id="37" w:name="page38"/>
    <w:bookmarkEnd w:id="37"/>
    <w:p>
      <w:pPr>
        <w:ind w:right="40"/>
        <w:spacing w:after="0" w:line="277" w:lineRule="auto"/>
        <w:rPr>
          <w:sz w:val="20"/>
          <w:szCs w:val="20"/>
          <w:color w:val="auto"/>
        </w:rPr>
      </w:pPr>
      <w:r>
        <w:rPr>
          <w:rFonts w:ascii="Arial" w:cs="Arial" w:eastAsia="Arial" w:hAnsi="Arial"/>
          <w:sz w:val="18"/>
          <w:szCs w:val="18"/>
          <w:color w:val="auto"/>
        </w:rPr>
        <w:t>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consolidated statements of operations expressed as a percentage of net revenues for the periods indicated.</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2"/>
                <w:szCs w:val="22"/>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93"/>
        </w:trPr>
        <w:tc>
          <w:tcPr>
            <w:tcW w:w="7180" w:type="dxa"/>
            <w:vAlign w:val="bottom"/>
            <w:vMerge w:val="restart"/>
          </w:tcPr>
          <w:p>
            <w:pPr>
              <w:ind w:left="20"/>
              <w:spacing w:after="0"/>
              <w:rPr>
                <w:sz w:val="20"/>
                <w:szCs w:val="20"/>
                <w:color w:val="auto"/>
              </w:rPr>
            </w:pPr>
            <w:r>
              <w:rPr>
                <w:rFonts w:ascii="Arial" w:cs="Arial" w:eastAsia="Arial" w:hAnsi="Arial"/>
                <w:sz w:val="16"/>
                <w:szCs w:val="16"/>
                <w:color w:val="auto"/>
              </w:rPr>
              <w:t>Net revenues:</w:t>
            </w:r>
          </w:p>
        </w:tc>
        <w:tc>
          <w:tcPr>
            <w:tcW w:w="3180" w:type="dxa"/>
            <w:vAlign w:val="bottom"/>
            <w:gridSpan w:val="6"/>
          </w:tcPr>
          <w:p>
            <w:pPr>
              <w:jc w:val="center"/>
              <w:ind w:left="940"/>
              <w:spacing w:after="0"/>
              <w:rPr>
                <w:sz w:val="20"/>
                <w:szCs w:val="20"/>
                <w:color w:val="auto"/>
              </w:rPr>
            </w:pPr>
            <w:r>
              <w:rPr>
                <w:rFonts w:ascii="Arial" w:cs="Arial" w:eastAsia="Arial" w:hAnsi="Arial"/>
                <w:sz w:val="14"/>
                <w:szCs w:val="14"/>
                <w:b w:val="1"/>
                <w:bCs w:val="1"/>
                <w:color w:val="auto"/>
                <w:w w:val="90"/>
              </w:rPr>
              <w:t>(as a percent of net revenues)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1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92.0 %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99.3 %</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23.1</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net revenues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56.2</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7.7</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180" w:type="dxa"/>
            <w:vAlign w:val="bottom"/>
          </w:tcPr>
          <w:p>
            <w:pPr>
              <w:ind w:left="480"/>
              <w:spacing w:after="0"/>
              <w:rPr>
                <w:sz w:val="20"/>
                <w:szCs w:val="20"/>
                <w:color w:val="auto"/>
              </w:rPr>
            </w:pPr>
            <w:r>
              <w:rPr>
                <w:rFonts w:ascii="Arial" w:cs="Arial" w:eastAsia="Arial" w:hAnsi="Arial"/>
                <w:sz w:val="16"/>
                <w:szCs w:val="16"/>
                <w:color w:val="auto"/>
              </w:rPr>
              <w:t>Total cost of net revenues</w:t>
            </w:r>
          </w:p>
        </w:tc>
        <w:tc>
          <w:tcPr>
            <w:tcW w:w="1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68.7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Gross profit</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31.3</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12.6</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12.2</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purchased intangible assets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Shareholder litigation loss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7180" w:type="dxa"/>
            <w:vAlign w:val="bottom"/>
          </w:tcPr>
          <w:p>
            <w:pPr>
              <w:ind w:left="480"/>
              <w:spacing w:after="0"/>
              <w:rPr>
                <w:sz w:val="20"/>
                <w:szCs w:val="20"/>
                <w:color w:val="auto"/>
              </w:rPr>
            </w:pPr>
            <w:r>
              <w:rPr>
                <w:rFonts w:ascii="Arial" w:cs="Arial" w:eastAsia="Arial" w:hAnsi="Arial"/>
                <w:sz w:val="16"/>
                <w:szCs w:val="16"/>
                <w:color w:val="auto"/>
              </w:rPr>
              <w:t>Total operating costs and expenses</w:t>
            </w:r>
          </w:p>
        </w:tc>
        <w:tc>
          <w:tcPr>
            <w:tcW w:w="1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49.8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Non-cash change in acquisition-related escrow</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0.2</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(24.7)</w:t>
            </w: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0.2</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Inseego Corp.</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Recognition of beneficial conversion feature</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shareholders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2016 were $243.6 million, an increase of $22.6 million, or 10.2%,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2015.</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187,375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203,281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56,180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38,519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218.1 %</w:t>
            </w: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243,555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220,942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i w:val="1"/>
          <w:iCs w:val="1"/>
          <w:color w:val="auto"/>
        </w:rPr>
        <w:t xml:space="preserve">Hardware. </w:t>
      </w:r>
      <w:r>
        <w:rPr>
          <w:rFonts w:ascii="Arial" w:cs="Arial" w:eastAsia="Arial" w:hAnsi="Arial"/>
          <w:sz w:val="17"/>
          <w:szCs w:val="17"/>
          <w:color w:val="auto"/>
        </w:rPr>
        <w:t>The decrease in hardware net revenues is primarily a result of the divestiture of our Modules Business and our strategic focus on reducing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volume of our lower margin, standalone hardware sales, partially offset by the acquisition of Ctrack with its hardware net revenues.</w:t>
      </w:r>
    </w:p>
    <w:p>
      <w:pPr>
        <w:spacing w:after="0" w:line="255"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i w:val="1"/>
          <w:iCs w:val="1"/>
          <w:color w:val="auto"/>
        </w:rPr>
        <w:t xml:space="preserve">SaaS, Software and Services. </w:t>
      </w:r>
      <w:r>
        <w:rPr>
          <w:rFonts w:ascii="Arial" w:cs="Arial" w:eastAsia="Arial" w:hAnsi="Arial"/>
          <w:sz w:val="17"/>
          <w:szCs w:val="17"/>
          <w:color w:val="auto"/>
        </w:rPr>
        <w:t>The increase in SaaS, software and services net revenues is primarily a result of our acquisition of Ctrack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subscription-based solutions and our strategic focus on increasing our higher margin, SaaS, software and services revenues.</w:t>
      </w:r>
    </w:p>
    <w:p>
      <w:pPr>
        <w:spacing w:after="0" w:line="25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2016 was $167.2 million, or 68.7% of net revenues, compared to $162.0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73.3% of net revenues, for the same period in 2015.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4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136,936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18,751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129.4 %</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w:t>
            </w:r>
          </w:p>
        </w:tc>
        <w:tc>
          <w:tcPr>
            <w:tcW w:w="3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167,227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161,989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i w:val="1"/>
          <w:iCs w:val="1"/>
          <w:color w:val="auto"/>
        </w:rPr>
        <w:t xml:space="preserve">Hardware. </w:t>
      </w:r>
      <w:r>
        <w:rPr>
          <w:rFonts w:ascii="Arial" w:cs="Arial" w:eastAsia="Arial" w:hAnsi="Arial"/>
          <w:sz w:val="16"/>
          <w:szCs w:val="16"/>
          <w:color w:val="auto"/>
        </w:rPr>
        <w:t>The decrease in hardware cost of net revenues is primarily a result of the divestiture of our Modules Business and our strategic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the volume of our lower margin, standalone hardware sales, partially offset by the acquisition of Ctrack with its hardware cost of net revenues.</w:t>
      </w:r>
    </w:p>
    <w:p>
      <w:pPr>
        <w:spacing w:after="0" w:line="232"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i w:val="1"/>
          <w:iCs w:val="1"/>
          <w:color w:val="auto"/>
        </w:rPr>
        <w:t xml:space="preserve">SaaS, software and services. </w:t>
      </w:r>
      <w:r>
        <w:rPr>
          <w:rFonts w:ascii="Arial" w:cs="Arial" w:eastAsia="Arial" w:hAnsi="Arial"/>
          <w:sz w:val="16"/>
          <w:szCs w:val="16"/>
          <w:color w:val="auto"/>
        </w:rPr>
        <w:t>The increase in SaaS, software and services cost of net revenues is primarily a result of our acquisition of Ctrack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SaaS, software and services cost of net revenues and our strategic focus on increasing our higher margin, SaaS, software and services revenues.</w:t>
      </w:r>
    </w:p>
    <w:p>
      <w:pPr>
        <w:spacing w:after="0" w:line="23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i w:val="1"/>
          <w:iCs w:val="1"/>
          <w:color w:val="auto"/>
        </w:rPr>
        <w:t>Impairment of abandoned product line</w:t>
      </w:r>
      <w:r>
        <w:rPr>
          <w:rFonts w:ascii="Arial" w:cs="Arial" w:eastAsia="Arial" w:hAnsi="Arial"/>
          <w:sz w:val="18"/>
          <w:szCs w:val="18"/>
          <w:color w:val="auto"/>
        </w:rPr>
        <w:t>. The impairment of abandoned product line includes the write down of the value of certain Enfora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product lines the Company decided to abandon during the year ended December 31, 2016.</w:t>
      </w:r>
    </w:p>
    <w:p>
      <w:pPr>
        <w:spacing w:after="0" w:line="279"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2016 was $76.3 million, or a gross margin of 31.3%, compared to $59.0 million, or a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of 26.7%, for the same period in 2015. The increase in gross profit and gross margin was primarily due to the changes in net revenues and cost of net revenues as discussed above, as the Company sought to transition its revenue mix toward more highly profitable SaaS, software and services business.</w:t>
      </w:r>
    </w:p>
    <w:p>
      <w:pPr>
        <w:spacing w:after="0" w:line="25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for the year ended December 31, 2016 were $30.7 million, or 12.6%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compared to $35.4 million, or 16.0% of net revenues, for the same period in 2015. Research and development expenses decreased for the year ended December 31, 2016 as compared to the same period in 2015 as a result of our expense reduction activities in 2016, including headcount reductions, partially offset by our acquisition of Ctrack with its research and development expenses.</w:t>
      </w:r>
    </w:p>
    <w:p>
      <w:pPr>
        <w:spacing w:after="0" w:line="28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2016 were $29.8 million, or 12.2%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$20.9 million, or 9.5% of net revenues, for the same period in 2015. The increase was primarily due to our acquisition of Ctrack with its sales and marketing expenses, partially offset by the release of certain marketing development fund liabilities.</w:t>
      </w:r>
    </w:p>
    <w:p>
      <w:pPr>
        <w:sectPr>
          <w:pgSz w:w="11900" w:h="16838" w:orient="portrait"/>
          <w:cols w:equalWidth="0" w:num="1">
            <w:col w:w="11420"/>
          </w:cols>
          <w:pgMar w:left="240" w:top="526"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26" w:right="239" w:bottom="1440" w:gutter="0" w:footer="0" w:header="0"/>
          <w:type w:val="continuous"/>
        </w:sectPr>
      </w:pPr>
    </w:p>
    <w:bookmarkStart w:id="39" w:name="page40"/>
    <w:bookmarkEnd w:id="39"/>
    <w:p>
      <w:pPr>
        <w:ind w:firstLine="405"/>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2016 were $52.4 million, or 21.5%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$34.5 million, or 15.6% of net revenues, for the same period in 2015. General and administrative expenses increased for the year ended December 31, 2016 primarily as a result of the acquisitions of Ctrack and FW, including non-cash equity earn-out expense, as well as a legal settlement entered into during the year, partially offset by our cost containment initiatives and the lack of an all-employee retention bonus that was paid in 2015.</w:t>
      </w:r>
    </w:p>
    <w:p>
      <w:pPr>
        <w:spacing w:after="0" w:line="258" w:lineRule="exact"/>
        <w:rPr>
          <w:sz w:val="20"/>
          <w:szCs w:val="20"/>
          <w:color w:val="auto"/>
        </w:rPr>
      </w:pPr>
    </w:p>
    <w:p>
      <w:pPr>
        <w:jc w:val="both"/>
        <w:ind w:right="200" w:firstLine="405"/>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2016 and 2015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 million and $2.1 million, respectively. Amortization of purchased intangible assets for the year ended December 31, 2016 includes the amortization of intangible assets purchased through the acquisitions of Ctrack and FW.</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 xml:space="preserve">Impairment of purchased intangible assets. </w:t>
      </w:r>
      <w:r>
        <w:rPr>
          <w:rFonts w:ascii="Arial" w:cs="Arial" w:eastAsia="Arial" w:hAnsi="Arial"/>
          <w:sz w:val="17"/>
          <w:szCs w:val="17"/>
          <w:color w:val="auto"/>
        </w:rPr>
        <w:t>During the year ended December 31, 2016, we recorded an impairment loss of $2.6 million primarily</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to the developed technologies acquired through our acquisition of FW. We did not have an impairment loss during the year ended December 31, 2015.</w:t>
      </w:r>
    </w:p>
    <w:p>
      <w:pPr>
        <w:spacing w:after="0" w:line="342"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years ended December 31, 2016 and 2015 were $2.0 million and $3.8 million, respectively,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predominantly consisted of severance costs incurred in connection with the reduction of our workforce, as well as facility exit related costs.</w:t>
      </w:r>
    </w:p>
    <w:p>
      <w:pPr>
        <w:spacing w:after="0" w:line="232"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Non-cash change in acquisition-related escrow. </w:t>
      </w:r>
      <w:r>
        <w:rPr>
          <w:rFonts w:ascii="Arial" w:cs="Arial" w:eastAsia="Arial" w:hAnsi="Arial"/>
          <w:sz w:val="18"/>
          <w:szCs w:val="18"/>
          <w:color w:val="auto"/>
        </w:rPr>
        <w:t>During the year ended December 31, 2015, we recorded a non-cash loss of $8.3 million related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acquisition-related escrow account for the purchase of Ctrack due to the weakening of the South African Rand compared to the U.S. Dollar. We did not have an acquisition-related escrow account during the year ended December 31, 2016.</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year ended December 31, 2016 was $15.6 million, as compared to $7.2 million for the same period in</w:t>
      </w:r>
    </w:p>
    <w:p>
      <w:pPr>
        <w:spacing w:after="0" w:line="46"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2015. The increase in interest expense is primarily a result of the interest expense related to the $120.0 million of 5.50% convertible senior notes due 2020 that Novatel Wireless issued on June 10, 2015 (the “Novatel Wireless Notes”) and includes the amortization of the debt discount and debt issuance costs.</w:t>
      </w:r>
    </w:p>
    <w:p>
      <w:pPr>
        <w:spacing w:after="0" w:line="24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year ended December 31, 2016 was $0.4 million, as compared to other income,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for the same period in 2015. Other income, net, for the year ended December 31, 2016 primarily related to a $5.0 million gain recorded in connection with the sale of our Modules Business, partially offset by net foreign currency transaction losses, including unrealized foreign currency losses on outstanding intercompany loans that Ctrack has with certain of its subsidiaries, which are remeasured at each reporting period. Other income, net, for the year ended December 31, 2015 primarily consisted of unrealized foreign currency gains on outstanding intercompany loans that Ctrack has with certain of its subsidiaries.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Income tax provision. </w:t>
      </w:r>
      <w:r>
        <w:rPr>
          <w:rFonts w:ascii="Arial" w:cs="Arial" w:eastAsia="Arial" w:hAnsi="Arial"/>
          <w:sz w:val="16"/>
          <w:szCs w:val="16"/>
          <w:color w:val="auto"/>
        </w:rPr>
        <w:t>Income tax expense for the year ended December 31, 2016 was $0.4 million as compared to $0.2 million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effective tax rate for the year ended December 31, 2016 is different than the U.S. statutory rate primarily due to a valuation allowance recorded against additional tax assets generated during the year.</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(income) loss attributable to noncontrolling interests. </w:t>
      </w:r>
      <w:r>
        <w:rPr>
          <w:rFonts w:ascii="Arial" w:cs="Arial" w:eastAsia="Arial" w:hAnsi="Arial"/>
          <w:sz w:val="18"/>
          <w:szCs w:val="18"/>
          <w:color w:val="auto"/>
        </w:rPr>
        <w:t>Net income attributable to noncontrolling interests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$5,000 as compared to net loss attributable to noncontrolling interests of $8,000 for the same period in 2015.</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30"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$220.9 million during 2015, an increase of approximately $35.7 million or 19.3% compared to 2014.</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net revenues by our two product categories during the years ended December 31, 2015 and 2014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203,281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183,976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19,305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17,661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6"/>
                <w:szCs w:val="16"/>
                <w:color w:val="auto"/>
              </w:rPr>
              <w:t>16,392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1,291.7%</w:t>
            </w: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r>
      <w:tr>
        <w:trPr>
          <w:trHeight w:val="25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220,942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35,697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Hardware. </w:t>
      </w:r>
      <w:r>
        <w:rPr>
          <w:rFonts w:ascii="Arial" w:cs="Arial" w:eastAsia="Arial" w:hAnsi="Arial"/>
          <w:sz w:val="16"/>
          <w:szCs w:val="16"/>
          <w:color w:val="auto"/>
        </w:rPr>
        <w:t>The increase in hardware net revenues is primarily a result of the acquisitions of Ctrack and FW and their associated hardware net revenues.</w:t>
      </w:r>
    </w:p>
    <w:p>
      <w:pPr>
        <w:spacing w:after="0" w:line="35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net revenues is primarily a result of our acquisitions of Ctrack and FW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associated SaaS, software and services net revenues.</w:t>
      </w:r>
    </w:p>
    <w:p>
      <w:pPr>
        <w:spacing w:after="0" w:line="27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2015 was approximately $162.0 million, or 73.3%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$148.2 million, or 80.0% of net revenues in 2014.</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34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148,141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8,174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8,117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6"/>
              </w:rPr>
              <w:t>14,240.4%</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161,989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13,791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increase in hardware cost of net revenues is primarily a result of the acquisition of Ctrack and FW and their associated hardware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cost of net revenues is primarily a result of our acquisitions of Ctrack and FW</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associated SaaS, software and services cost of net revenues.</w:t>
      </w:r>
    </w:p>
    <w:p>
      <w:pPr>
        <w:spacing w:after="0" w:line="279"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2015 was approximately $59.0 million, or 26.7%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$37.0 million, or 20.0% of net revenues, in 2014. The increase in gross profit and gross margin was primarily due to the changes in net revenues and cost of net revenues as discussed above, as the Company acquired Ctrack and FW to transition its revenue mix toward more highly profitable SaaS, software and services business revenue.</w:t>
      </w:r>
    </w:p>
    <w:p>
      <w:pPr>
        <w:spacing w:after="0" w:line="29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2015 were approximately $35.4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16.0% of net revenues, compared to approximately $34.3 million, or 18.5% of net revenues, in 2014. Research and development expenses for the year ended December 31, 2015 increased as compared to the same period in 2014 primarily as a result of our acquisitions of Ctrack and FW, partially offset by our expense reduction activities in 2015, including headcount reductions.</w:t>
      </w:r>
    </w:p>
    <w:p>
      <w:pPr>
        <w:spacing w:after="0" w:line="29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2015 were approximately $20.9 million, or 9.5%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approximately $13.8 million, or 7.4% of net revenues, in 2014. Sales and marketing expenses increased as compared to the same period in 2014, primarily as a result of our acquisitions of Ctrack and FW.</w:t>
      </w:r>
    </w:p>
    <w:p>
      <w:pPr>
        <w:spacing w:after="0" w:line="28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year ended December 31, 2015 were approximately $34.5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15.6% of net revenues, compared to approximately $15.4 million, or 8.3% of net revenues, in 2014. General and administrative expenses for the year ended December 31, 2015 include acquisition-related charges, including professional, legal, due diligence and other related expenses, contingent earn-out expense, which is treated as compensation expense, and the general and administrative expenses of Ctrack and FW.</w:t>
      </w:r>
    </w:p>
    <w:p>
      <w:pPr>
        <w:sectPr>
          <w:pgSz w:w="11900" w:h="16838" w:orient="portrait"/>
          <w:cols w:equalWidth="0" w:num="1">
            <w:col w:w="11420"/>
          </w:cols>
          <w:pgMar w:left="240" w:top="526"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26" w:right="239" w:bottom="1440" w:gutter="0" w:footer="0" w:header="0"/>
          <w:type w:val="continuous"/>
        </w:sectPr>
      </w:pPr>
    </w:p>
    <w:bookmarkStart w:id="41" w:name="page42"/>
    <w:bookmarkEnd w:id="41"/>
    <w:p>
      <w:pPr>
        <w:jc w:val="both"/>
        <w:ind w:right="160" w:firstLine="432"/>
        <w:spacing w:after="0" w:line="261"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2015 and 2014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$2.1 million and $0.6 million, respectively. Amortization of purchased intangible assets for the year ended December 31, 2015 includes the amortization of intangible assets purchased through the acquisitions of Ctrack and FW for the period following their applicable dates of acquisition through December 31, 2015.</w:t>
      </w:r>
    </w:p>
    <w:p>
      <w:pPr>
        <w:spacing w:after="0" w:line="29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Shareholder litigation loss. </w:t>
      </w:r>
      <w:r>
        <w:rPr>
          <w:rFonts w:ascii="Arial" w:cs="Arial" w:eastAsia="Arial" w:hAnsi="Arial"/>
          <w:sz w:val="18"/>
          <w:szCs w:val="18"/>
          <w:color w:val="auto"/>
        </w:rPr>
        <w:t>The shareholder litigation loss for the year ended December 31, 2014 was approximately $0.8 million and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re Novatel Wireless Securities Litigation </w:t>
      </w:r>
      <w:r>
        <w:rPr>
          <w:rFonts w:ascii="Arial" w:cs="Arial" w:eastAsia="Arial" w:hAnsi="Arial"/>
          <w:sz w:val="18"/>
          <w:szCs w:val="18"/>
          <w:color w:val="auto"/>
        </w:rPr>
        <w:t>described in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in the accompanying consolidated financial statements.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shareholder litigation loss for the year ended December 31, 2015.</w:t>
      </w:r>
    </w:p>
    <w:p>
      <w:pPr>
        <w:spacing w:after="0" w:line="28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year ended December 31, 2015 were approximately $3.8 million as compared to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 million for the same period in 2014. Restructuring charges predominantly consisted of severance costs incurred in connection with the reduction of our workforce, as well as facility exit related costs.</w:t>
      </w:r>
    </w:p>
    <w:p>
      <w:pPr>
        <w:spacing w:after="0" w:line="28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b w:val="1"/>
          <w:bCs w:val="1"/>
          <w:i w:val="1"/>
          <w:iCs w:val="1"/>
          <w:color w:val="auto"/>
        </w:rPr>
        <w:t xml:space="preserve">Change in fair value of warrant liability. </w:t>
      </w:r>
      <w:r>
        <w:rPr>
          <w:rFonts w:ascii="Arial" w:cs="Arial" w:eastAsia="Arial" w:hAnsi="Arial"/>
          <w:sz w:val="17"/>
          <w:szCs w:val="17"/>
          <w:color w:val="auto"/>
        </w:rPr>
        <w:t>During the year ended December 31, 2014, we incurred a non-cash loss of $3.3 million related to the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 (as defined below) that we issued in connection with the financing transaction on September 8, 2014, primarily as a result of an increase in the market value of our common stock from September 8, 2014 to November 17, 2014, the date the 2014 Warrant was reclassified to additional paid-in-capital as it was no longer deemed a liability. We did not have a warrant liability during the year ended December 31, 2015.</w:t>
      </w:r>
    </w:p>
    <w:p>
      <w:pPr>
        <w:spacing w:after="0" w:line="28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year ended December 31, 2015 was $7.2 million as compared to $0.1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The increase in interest expense is primarily a result of the interest expense related to the Novatel Wireless Notes and includes the amortization of the debt discount and debt issuance costs.</w:t>
      </w:r>
    </w:p>
    <w:p>
      <w:pPr>
        <w:spacing w:after="0" w:line="28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year ended December 31, 2015 was $1.1 million as compared to other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for the same period in 2014. The increase in other income, net, is primarily a result of unrealized foreign currency gains on outstanding intercompany loans that Ctrack has with certain of its subsidiaries, partially offset by the effect of exchange rates on cash and cash equivalents during the period.</w:t>
      </w:r>
    </w:p>
    <w:p>
      <w:pPr>
        <w:spacing w:after="0" w:line="29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was approximately $0.2 million for the year ended December 31, 2015, as compared to $0.1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2014.</w:t>
      </w:r>
    </w:p>
    <w:p>
      <w:pPr>
        <w:spacing w:after="0" w:line="279" w:lineRule="exact"/>
        <w:rPr>
          <w:sz w:val="20"/>
          <w:szCs w:val="20"/>
          <w:color w:val="auto"/>
        </w:rPr>
      </w:pPr>
    </w:p>
    <w:p>
      <w:pPr>
        <w:ind w:right="660" w:firstLine="432"/>
        <w:spacing w:after="0" w:line="286" w:lineRule="auto"/>
        <w:rPr>
          <w:sz w:val="20"/>
          <w:szCs w:val="20"/>
          <w:color w:val="auto"/>
        </w:rPr>
      </w:pPr>
      <w:r>
        <w:rPr>
          <w:rFonts w:ascii="Arial" w:cs="Arial" w:eastAsia="Arial" w:hAnsi="Arial"/>
          <w:sz w:val="17"/>
          <w:szCs w:val="17"/>
          <w:b w:val="1"/>
          <w:bCs w:val="1"/>
          <w:i w:val="1"/>
          <w:iCs w:val="1"/>
          <w:color w:val="auto"/>
        </w:rPr>
        <w:t xml:space="preserve">Recognition of beneficial conversion feature. </w:t>
      </w:r>
      <w:r>
        <w:rPr>
          <w:rFonts w:ascii="Arial" w:cs="Arial" w:eastAsia="Arial" w:hAnsi="Arial"/>
          <w:sz w:val="17"/>
          <w:szCs w:val="17"/>
          <w:color w:val="auto"/>
        </w:rPr>
        <w:t>For the year ended December 31, 2014, we recognized the fair value of an embedded beneficial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feature for $0.4 million on the convertible Series C preferred shares issued in connection with the financing transaction that closed on September 8, 2014. We did not have an embedded beneficial conversion feature during the year ended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w:t>
      </w:r>
    </w:p>
    <w:p>
      <w:pPr>
        <w:spacing w:after="0" w:line="19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September 3, 2014, we entered into a purchase agreement (the “Purchase Agreement”) with HC2 Holdings 2, Inc., a Delaware corporation (the “Investor”), pursuant to which, on September 8, 2014, we sold to the Investor (i) 7,363,334 shares of our common stock, par value $0.001 per share, (ii) a warrant to purchase 4,117,647 shares of our common stock at an exercise price of $2.26 per share (the “2014 Warrant”) and (iii) 87,196 shares of our Series C Preferred Stock, all at a purchase price of (a) $1.75 per share of common stock plus, in each case, the related 2014 Warrant and (b) $17.50 per share of Series C Preferred Stock, for aggregate gross proceeds of approximately $14.4 million. On November 17, 2014, each share of Series C Preferred Stock then outstanding automatically converted into ten shares of common stock.</w:t>
      </w:r>
    </w:p>
    <w:p>
      <w:pPr>
        <w:spacing w:after="0" w:line="23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our common stock at an exercise price of $2.26 per share for total proceeds of $8.6 million.</w:t>
      </w:r>
    </w:p>
    <w:p>
      <w:pPr>
        <w:spacing w:after="0" w:line="2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March 26, 2015, in order to induce the Investor to exercise the 2014 Warrant for cash in connection with the acquisition of FW, we issued to the Investor a new warrant to purchase 1,593,583 shares of our common stock at an exercise price of $5.50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31, 2014, we entered into a senior secured revolving credit facility with Wells Fargo Bank, NA (the “Revolver”) in the amount of</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$25.0 million. Concurrently with the acquisition of FW, we amended the Revolver to include FW as a borrower and Loan Party, as defined by the agreement. On November 17, 2015, the Revolver was amended to increase the</w:t>
      </w:r>
    </w:p>
    <w:p>
      <w:pPr>
        <w:sectPr>
          <w:pgSz w:w="11900" w:h="16838" w:orient="portrait"/>
          <w:cols w:equalWidth="0" w:num="1">
            <w:col w:w="11380"/>
          </w:cols>
          <w:pgMar w:left="240" w:top="526" w:right="27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526" w:right="279" w:bottom="1440" w:gutter="0" w:footer="0" w:header="0"/>
          <w:type w:val="continuous"/>
        </w:sectPr>
      </w:pPr>
    </w:p>
    <w:bookmarkStart w:id="42" w:name="page43"/>
    <w:bookmarkEnd w:id="42"/>
    <w:p>
      <w:pPr>
        <w:ind w:right="220"/>
        <w:spacing w:after="0" w:line="276" w:lineRule="auto"/>
        <w:rPr>
          <w:sz w:val="20"/>
          <w:szCs w:val="20"/>
          <w:color w:val="auto"/>
        </w:rPr>
      </w:pPr>
      <w:r>
        <w:rPr>
          <w:rFonts w:ascii="Arial" w:cs="Arial" w:eastAsia="Arial" w:hAnsi="Arial"/>
          <w:sz w:val="17"/>
          <w:szCs w:val="17"/>
          <w:color w:val="auto"/>
        </w:rPr>
        <w:t>maximum borrowing capacity to $48.0 million.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available for letters of credit, $0.7 million of which was available for letters of credit at December 31, 2016. As of December 31, 2016, there was no outstanding balance on the Revolver and we had available borrowings of approximately $4.7 million.</w:t>
      </w:r>
    </w:p>
    <w:p>
      <w:pPr>
        <w:spacing w:after="0" w:line="22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20, 2017, subsequent to the balance sheet date, the Revolver was amended (the “Amendment”). The Amendment, made at the Company’s request, amended and updated the financial covenants with respect to liquidity requirements and EBITDA targets, among other things, in order to enable draw-downs by the Company from time to time. In exchange for such accommodations, the Amendment also decreased the aggregate amount available under the Revolver from $48.0 million to $10.0 million and increased the applicable margin to 4.00% when interest is based on the daily three month LIBOR rate and 1.5% when interest is based on the prime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June 10, 2015, Novatel Wireless issued $120.0 million of the Novatel Wireless Notes, which are governed by the terms of the Novatel Wireless Indenture among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3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January 9, 2017, subsequent to the balance sheet date, in connection with the settlement of an exchange offer and consent solicitation with respect to the Novatel Wireless Notes, the Company issued $119.8 million aggregate principal amount of 5.50% convertible senior notes due 2022 (the “Inseego Notes”). The Inseego Notes were issued in exchange for the $119.8 million aggregate principal amount of outstanding Novatel Wireless Notes that were validly tendered and accepted for exchange and subsequently canceled.</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119,750</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DigiCore has a mortgage bond with Absa Bank Limited in South Africa (“Absa”) that is secured by certain property of DigiCore. The mortgage bond has a ten year term, expiring in December 2018, and bears interest at the South Africa prime rate minus 1.75% (8.75% at December 31, 2016). At December 31, 2016, $0.6 million remained outstanding under the mortgage bond.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DigiCore has a secured banking facility with Absa, which had a maximum borrowing capacity of $1.7 million at December 31, 2016. The facility bears interest at the South Africa prime interest rate less 0.10% (10.40% at December 31, 2016) and is subject to renewal annually in April. At December 31, 2016, $1.7 million remained outstanding under this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in South Africa, which had a maximum borrowing capacity of $1.5 million at December 31, 2016. The facility bears interest at the South Africa prime interest rate plus 1.00% (11.50% at December 31, 2016), requires monthly interest and, in certain instances, minimum principal payments. The facility is subject to renewal annually in September. At December 31, 2016, $1.5 million remained outstanding under this facility.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Amendment</w:t>
      </w:r>
    </w:p>
    <w:p>
      <w:pPr>
        <w:spacing w:after="0" w:line="22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Pursuant to the RER Amendment, we are obligated to pay a total of $15.0 million in five cash installments over a four-year period, beginning in March 2016. We are also obligated to pay a total of approximately $6.1 million in cash over a four-year period, beginning in March 2016, related to the Amended Earn-Out Arrangement. As of the filing date of this report, the March 2017 cash installment has not been paid.</w:t>
      </w:r>
    </w:p>
    <w:p>
      <w:pPr>
        <w:sectPr>
          <w:pgSz w:w="11900" w:h="16838" w:orient="portrait"/>
          <w:cols w:equalWidth="0" w:num="1">
            <w:col w:w="11420"/>
          </w:cols>
          <w:pgMar w:left="240" w:top="476"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76" w:right="239" w:bottom="1440" w:gutter="0" w:footer="0" w:header="0"/>
          <w:type w:val="continuous"/>
        </w:sectPr>
      </w:pPr>
    </w:p>
    <w:bookmarkStart w:id="43" w:name="page44"/>
    <w:bookmarkEnd w:id="43"/>
    <w:p>
      <w:pPr>
        <w:ind w:firstLine="405"/>
        <w:spacing w:after="0" w:line="259" w:lineRule="auto"/>
        <w:rPr>
          <w:sz w:val="20"/>
          <w:szCs w:val="20"/>
          <w:color w:val="auto"/>
        </w:rPr>
      </w:pPr>
      <w:r>
        <w:rPr>
          <w:rFonts w:ascii="Arial" w:cs="Arial" w:eastAsia="Arial" w:hAnsi="Arial"/>
          <w:sz w:val="18"/>
          <w:szCs w:val="18"/>
          <w:color w:val="auto"/>
        </w:rPr>
        <w:t>We believe that our cash and cash equivalents and availability under our Revolver, together with anticipated cash flows from operations and proceeds from the completion of the pending sale of the MiFi Business, will be sufficient to meet these obligations. While our management believes that it is probable that the sale of the MiFi Business will be completed, see “</w:t>
      </w:r>
      <w:r>
        <w:rPr>
          <w:rFonts w:ascii="Arial" w:cs="Arial" w:eastAsia="Arial" w:hAnsi="Arial"/>
          <w:sz w:val="18"/>
          <w:szCs w:val="18"/>
          <w:i w:val="1"/>
          <w:iCs w:val="1"/>
          <w:color w:val="auto"/>
        </w:rPr>
        <w:t>Other Liquidity Needs</w:t>
      </w:r>
      <w:r>
        <w:rPr>
          <w:rFonts w:ascii="Arial" w:cs="Arial" w:eastAsia="Arial" w:hAnsi="Arial"/>
          <w:sz w:val="18"/>
          <w:szCs w:val="18"/>
          <w:color w:val="auto"/>
        </w:rPr>
        <w:t>” below for discussion of management’s plans if the sale of the MiFi Business is not completed as expected.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5,035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(97,087)</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119,167</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17,853</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$6.6 million for the year ended December 31, 2016 compared to $26.9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2015. Net cash used in operating activities for the year ended December 31, 2016 was primarily attributable to the net losses incurred during the period, partially offset by non-cash charges related to the acquisitions of Ctrack and FW, depreciation and amortization, including that of the debt discount and debt issuance costs, the impairment of certain product lines the Company decided to abandon and certain purchased intangible assets, the reversal of certain market development fund accruals and share-based compensation expense. Net cash used in operating activities for the year ended December 31, 2015 was primarily attributable to net losses in the period and the unfavorable working capital impacts, partially offset by non-cash charges related to the acquisitions of Ctrack and FW, depreciation and amortization, and share-based compensation expense.</w:t>
      </w:r>
    </w:p>
    <w:p>
      <w:pPr>
        <w:spacing w:after="0" w:line="275"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year ended December 31, 2016 was $5.0 million compared to $97.1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investing activities for the same period in 2015. Cash provided by investing activities during the year ended December 31, 2016 was primarily attributable to proceeds from the sale of our Modules Business, partially offset by payments made pursuant to the RER Amendment and additions to capitalized software development costs. Cash used in investing activities during the year ended December 31, 2015 was primarily attributable to our acquisitions of Ctrack and FW.</w:t>
      </w:r>
    </w:p>
    <w:p>
      <w:pPr>
        <w:spacing w:after="0" w:line="29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during the year ended December 31, 2016 was $1.3 million, compared to net cash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financing activities of $119.2 million for the same period in 2015. Net cash used in financing activities during the year ended December 31, 2016 was primarily attributable to net repayments of DigiCore bank facilities and capital lease obligations, partially offset by proceeds from stock option exercises and purchases under the employee stock purchase plan. Net cash provided by financing activities during the year ended December 31, 2015 was primarily attributable to gross proceeds from the issuance of the Novatel Wireless Notes and the exercise of the 2014 Warrant, partially offset by the payment of issuance costs related to the Novatel Wireless Notes, net repayments on our Revolver and the payoff of the FW assumed credit line and certain capital lease obligations.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2016, and the effect such obligations could have on our liquidity and cash flow in future periods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w w:val="91"/>
              </w:rPr>
              <w:t>Payments Due by Period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1 - 3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4 - 5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&gt; 5 Years</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Novatel Wireless Notes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143,100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123,300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DigiCore mortgage bond</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DigiCore bank facilities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RER Amendment and Amended Earn-Out Arrangement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15,823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7,886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4,475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r>
      <w:tr>
        <w:trPr>
          <w:trHeight w:val="24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172,599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19,384</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123,629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60" w:right="180" w:hanging="252"/>
        <w:spacing w:after="0" w:line="230" w:lineRule="auto"/>
        <w:tabs>
          <w:tab w:leader="none" w:pos="2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Represents the outstanding borrowings and contractually required interest payments to Novatel Wireless Note holders at December 31, 2016, assuming no repurchases or conversions of the Novatel Wireless Notes prior to June 15, 2020, the maturity date. On January 9, 2017, subsequent to the balance sheet date, the Company issued $119.8 million aggregate principal amount of Inseego Notes in exchange for the $119.8 million aggregate principal amount of outstanding Novatel Wireless Notes that were validly tendered and accepted for exchange and subsequently canceled.</w:t>
      </w:r>
    </w:p>
    <w:p>
      <w:pPr>
        <w:spacing w:after="0" w:line="46" w:lineRule="exact"/>
        <w:rPr>
          <w:rFonts w:ascii="Arial" w:cs="Arial" w:eastAsia="Arial" w:hAnsi="Arial"/>
          <w:sz w:val="22"/>
          <w:szCs w:val="22"/>
          <w:color w:val="auto"/>
          <w:vertAlign w:val="superscript"/>
        </w:rPr>
      </w:pPr>
    </w:p>
    <w:p>
      <w:pPr>
        <w:ind w:left="260" w:hanging="252"/>
        <w:spacing w:after="0"/>
        <w:tabs>
          <w:tab w:leader="none" w:pos="2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Assumes applicable foreign currency exchange rates at December 31, 2016 remain unchanged.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have recently incurred operating losses and had a net loss of $60.6 million during the year ended December 31, 2016. At December 31, 2016, we had available cash and cash equivalents totaling $9.9 million, working capital of $6.1 million and available borrowings under the Revolver of approximately $4.7 million.</w:t>
      </w:r>
    </w:p>
    <w:p>
      <w:pPr>
        <w:spacing w:after="0" w:line="2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availability under our Revolver, together with anticipated cash flows from operations and proceeds from the completion of the pending sale of the MiFi Business, will be sufficient to meet our working capital needs for the next twelve months following the filing date of this report.</w:t>
      </w:r>
    </w:p>
    <w:p>
      <w:pPr>
        <w:spacing w:after="0" w:line="247"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Our historical operating results, primarily those related to the MiFi Business, indicate that substantial doubt exists related to the Company’s ability to continue as a going concern. We believe that the closing of the sale of the MiFi Business is probable of occurring and mitigating the substantial doubt raised by our historical operating results and will satisfy our estimated liquidity needs for the twelve months following the filing date of this report. In the unlikely event that the sale of the MiFi Business does not close, we would require an alternative source of financing in order to divest the MiFi Business elsewhere or to otherwise streamline the MiFi Business as may be needed. In order to obtain such alternative financing, we must comply with certain requirements under the Revolver and the Inseego Indenture. We have had discussions with potential financing sources, and we believe that it is probable that such financing would be available to the Company based on terms that have been presented to the Company by financial sources.</w:t>
      </w:r>
    </w:p>
    <w:p>
      <w:pPr>
        <w:spacing w:after="0" w:line="22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cannot predict, with certainty, the outcome of the sale of the MiFi Business or any other activities to generate liquidity, including the availability of additional financing. If we are not able to generate additional liquidity through the mechanisms described above or through some combination of other actions, while not expected, we may not be able to access funds under our Revolver, and we may need to secure additional sources of funds, which may not be available on terms that are favorable to us, or at all. Additionally, a failure to generate additional liquidity could negatively impact our access to production, inventory or services that are important to the operation of our business.</w:t>
      </w:r>
    </w:p>
    <w:p>
      <w:pPr>
        <w:spacing w:after="0" w:line="242"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Additionally, 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also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and the Inseego Indenture. If additional funds are raised by the issuance of equity securities, our shareholders could experience dilution of their ownership interests and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ind w:right="60"/>
        <w:spacing w:after="0" w:line="259" w:lineRule="auto"/>
        <w:rPr>
          <w:sz w:val="20"/>
          <w:szCs w:val="20"/>
          <w:color w:val="auto"/>
        </w:rPr>
      </w:pPr>
      <w:r>
        <w:rPr>
          <w:rFonts w:ascii="Arial" w:cs="Arial" w:eastAsia="Arial" w:hAnsi="Arial"/>
          <w:sz w:val="18"/>
          <w:szCs w:val="18"/>
          <w:color w:val="auto"/>
        </w:rPr>
        <w:t>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12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generate revenues from the sale of wireless modems to wireless operators, OEM customers and value added resellers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In addition, we generate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recognize revenues from SaaS services pro-rata over the contract term.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record our hardware revenue associated with the agreed upon price on hardware sales, and accrue any estimated costs of post-delivery performance obligations, such as warranty obligations. We consider the four basic revenue recognition criteria discussed under Staff Accounting Bulletin No. 104 when assessing appropriate revenue recognition as follows: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#2 — Delivery has occurred;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#3 — Our price to the buyer must be fixed or determinable; and,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#4 — Collectability is reasonably assured.</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we have neither VSOE nor TPE, revenue has been based on our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process for determining BESP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BESPs for products, we may consider other factors as appropriate, including the pricing of competitive alternatives (if they exist) and product-specific business objectives.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6" w:name="page47"/>
    <w:bookmarkEnd w:id="46"/>
    <w:p>
      <w:pPr>
        <w:ind w:right="80" w:firstLine="405"/>
        <w:spacing w:after="0" w:line="277"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We provide SaaS subscriptions for our fleet and vehicle management solutions in which customers are provided with the ability to wirelessly communicate with monitoring devices installed in vehicles and other mobile assets via software applications hosted by us. The customer has the option to purchase the monitoring device or lease it over the term of the contract. If the customer purchases the monitoring device, we recognize the revenue at the time of purchase. If the customer chooses to lease the monitoring device, we recognize the revenue for the monitoring device over the term of the contract. The Company records such revenue in accordance with the Financial Accounting Standards Board (“FASB”)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as we have determined that they qualify as operating leases. We recognize revenues from SaaS services over the term of the contract.</w:t>
      </w:r>
    </w:p>
    <w:p>
      <w:pPr>
        <w:spacing w:after="0" w:line="16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of our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we use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7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When the customer’s fee includes a portion of charges that are paid to another party and we are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we collect from the customer and remit to the other party are considered pass through amounts and accordingly are not a component of net revenues or cost of net revenues.</w:t>
      </w:r>
    </w:p>
    <w:p>
      <w:pPr>
        <w:spacing w:after="0" w:line="10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 xml:space="preserve">Allowance for Doubtful Accounts Receivable. </w:t>
      </w:r>
      <w:r>
        <w:rPr>
          <w:rFonts w:ascii="Arial" w:cs="Arial" w:eastAsia="Arial" w:hAnsi="Arial"/>
          <w:sz w:val="18"/>
          <w:szCs w:val="18"/>
          <w:color w:val="auto"/>
        </w:rPr>
        <w:t>We provide an allowance for our accounts receivable for estimated losses that may result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3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5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When acquiring companies, we recognize separately from goodwill the assets acquired and the liabilities assumed at their acquisition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condensed consolidated statements of operations.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47" w:name="page48"/>
    <w:bookmarkEnd w:id="47"/>
    <w:p>
      <w:pPr>
        <w:ind w:right="80" w:firstLine="405"/>
        <w:spacing w:after="0" w:line="259" w:lineRule="auto"/>
        <w:rPr>
          <w:sz w:val="20"/>
          <w:szCs w:val="20"/>
          <w:color w:val="auto"/>
        </w:rPr>
      </w:pPr>
      <w:r>
        <w:rPr>
          <w:rFonts w:ascii="Arial" w:cs="Arial" w:eastAsia="Arial" w:hAnsi="Arial"/>
          <w:sz w:val="18"/>
          <w:szCs w:val="18"/>
          <w:color w:val="auto"/>
        </w:rPr>
        <w:t>Accounting for business combinations requires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management determines that a pre-acquisition contingency is probable in nature and estimable as of the acquisition date, we record our best estimate for such a contingency as a part of the preliminary fair value allocation. We continue to gather information for and evaluate pre-acquisition contingencies throughout the measurement period and if we make changes to the amounts recorded or if we identify additional pre-acquisition contingencies during the measurement period, such amounts will be included in the fair value allocation during the measurement period and, subsequently, in our results of operations.</w:t>
      </w:r>
    </w:p>
    <w:p>
      <w:pPr>
        <w:spacing w:after="0" w:line="15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23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Purchased Intangible Assets. </w:t>
      </w:r>
      <w:r>
        <w:rPr>
          <w:rFonts w:ascii="Arial" w:cs="Arial" w:eastAsia="Arial" w:hAnsi="Arial"/>
          <w:sz w:val="17"/>
          <w:szCs w:val="17"/>
          <w:color w:val="auto"/>
        </w:rPr>
        <w:t>In determining the fair value allocation for our acquisitions, we considered, among other factors, our intended uses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assets and the historical and estimated future demand for the acquired company's products and services. The estimated fair value of intangible assets was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20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Long-Lived Assets</w:t>
      </w:r>
      <w:r>
        <w:rPr>
          <w:rFonts w:ascii="Arial" w:cs="Arial" w:eastAsia="Arial" w:hAnsi="Arial"/>
          <w:sz w:val="17"/>
          <w:szCs w:val="17"/>
          <w:color w:val="auto"/>
        </w:rPr>
        <w:t>. We periodically evaluate the carrying value of the unamortized balances of our long-lived assets, including property, plant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rental assets and intangible assets, which requires us to make 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3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assessment includes comparing the carrying amounts of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long-lived asset balances and conduct formal tests on at least an annual basis or earlier when impairment indicators are present. We believe that the assumptions and estimates we used to value long-lived assets were appropriate based on the information available to management. The majority of our long-lived assets are being amortized or depreciated over approximately two to ten years. As most of these assets are associated with technology or trade conditions that may change rapidly; such changes could have an immediate impact on our impairment analysis.</w:t>
      </w:r>
    </w:p>
    <w:p>
      <w:pPr>
        <w:spacing w:after="0" w:line="139" w:lineRule="exact"/>
        <w:rPr>
          <w:sz w:val="20"/>
          <w:szCs w:val="20"/>
          <w:color w:val="auto"/>
        </w:rPr>
      </w:pPr>
    </w:p>
    <w:p>
      <w:pPr>
        <w:jc w:val="both"/>
        <w:ind w:right="360" w:firstLine="405"/>
        <w:spacing w:after="0" w:line="259" w:lineRule="auto"/>
        <w:rPr>
          <w:sz w:val="20"/>
          <w:szCs w:val="20"/>
          <w:color w:val="auto"/>
        </w:rPr>
      </w:pPr>
      <w:r>
        <w:rPr>
          <w:rFonts w:ascii="Arial" w:cs="Arial" w:eastAsia="Arial" w:hAnsi="Arial"/>
          <w:sz w:val="18"/>
          <w:szCs w:val="18"/>
          <w:i w:val="1"/>
          <w:iCs w:val="1"/>
          <w:color w:val="auto"/>
        </w:rPr>
        <w:t xml:space="preserve">Valuation of Goodwill. </w:t>
      </w:r>
      <w:r>
        <w:rPr>
          <w:rFonts w:ascii="Arial" w:cs="Arial" w:eastAsia="Arial" w:hAnsi="Arial"/>
          <w:sz w:val="18"/>
          <w:szCs w:val="18"/>
          <w:color w:val="auto"/>
        </w:rPr>
        <w:t>Our goodwill resulted from our acquisitions of FW and Ctrack during 2015. In accordance with the ASC 350,</w:t>
      </w:r>
      <w:r>
        <w:rPr>
          <w:rFonts w:ascii="Arial" w:cs="Arial" w:eastAsia="Arial" w:hAnsi="Arial"/>
          <w:sz w:val="18"/>
          <w:szCs w:val="18"/>
          <w:i w:val="1"/>
          <w:iCs w:val="1"/>
          <w:color w:val="auto"/>
        </w:rPr>
        <w:t xml:space="preserve"> Intangibles— Goodwill and Other</w:t>
      </w:r>
      <w:r>
        <w:rPr>
          <w:rFonts w:ascii="Arial" w:cs="Arial" w:eastAsia="Arial" w:hAnsi="Arial"/>
          <w:sz w:val="18"/>
          <w:szCs w:val="18"/>
          <w:color w:val="auto"/>
        </w:rPr>
        <w:t>, we will review goodwill for impairment at least annually at the beginning of the fourth quarter of each year, and more frequently if</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changes in circumstances occur that indicate a potential reduction in the fair value of the reporting unit to which the goodwill has been assigned below its carrying value.</w:t>
      </w:r>
    </w:p>
    <w:p>
      <w:pPr>
        <w:spacing w:after="0" w:line="133"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i w:val="1"/>
          <w:iCs w:val="1"/>
          <w:color w:val="auto"/>
        </w:rPr>
        <w:t xml:space="preserve">Convertible Debt. </w:t>
      </w:r>
      <w:r>
        <w:rPr>
          <w:rFonts w:ascii="Arial" w:cs="Arial" w:eastAsia="Arial" w:hAnsi="Arial"/>
          <w:sz w:val="18"/>
          <w:szCs w:val="18"/>
          <w:color w:val="auto"/>
        </w:rPr>
        <w:t>We account for convertible debt instruments that are settleable in cash upon conversion (including partial cash settlement) by</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separating the liability and equity components of the instruments in a manner that reflects our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48" w:name="page49"/>
    <w:bookmarkEnd w:id="48"/>
    <w:p>
      <w:pPr>
        <w:ind w:right="60"/>
        <w:spacing w:after="0" w:line="276" w:lineRule="auto"/>
        <w:rPr>
          <w:sz w:val="20"/>
          <w:szCs w:val="20"/>
          <w:color w:val="auto"/>
        </w:rPr>
      </w:pPr>
      <w:r>
        <w:rPr>
          <w:rFonts w:ascii="Arial" w:cs="Arial" w:eastAsia="Arial" w:hAnsi="Arial"/>
          <w:sz w:val="17"/>
          <w:szCs w:val="17"/>
          <w:color w:val="auto"/>
        </w:rPr>
        <w:t>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17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Upon issuance, we assign a value to the debt component equal to the estimated fair value of similar debt instruments without the conversion feature, which could result in our recording the debt instrument at a discount. If the debt instrument is recorded at a discount, we amortize the debt discount over the life of the debt instrument as additional non-cash interest expense utilizing the effective interest method.</w:t>
      </w:r>
    </w:p>
    <w:p>
      <w:pPr>
        <w:spacing w:after="0" w:line="15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Provision for Warranty Costs. </w:t>
      </w:r>
      <w:r>
        <w:rPr>
          <w:rFonts w:ascii="Arial" w:cs="Arial" w:eastAsia="Arial" w:hAnsi="Arial"/>
          <w:sz w:val="17"/>
          <w:szCs w:val="17"/>
          <w:color w:val="auto"/>
        </w:rPr>
        <w:t>We accrue warranty costs based on estimates of future warranty related replacement, repairs or rework of products. Our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policy generally provides between one and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4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3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We are currently involved in certain legal proceedings. We will record a loss when we determine information available prior to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0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have stock incentive plans under which stock options and restricted stock units have been granted to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members of our Board of Directors. We also have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5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stock on the date of the grant.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30" w:right="239" w:bottom="1440" w:gutter="0" w:footer="0" w:header="0"/>
        </w:sectPr>
      </w:pPr>
    </w:p>
    <w:bookmarkStart w:id="49" w:name="page50"/>
    <w:bookmarkEnd w:id="49"/>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2016, we had $9.9 million in cash and cash equivalents. Changes in market interest rates would not be expected to have a material impact on the fair value of our $35,000 in cash equivalents at December 31, 2016, as these consisted of money market funds with the value determined based on Level 1 inputs.</w:t>
      </w:r>
    </w:p>
    <w:p>
      <w:pPr>
        <w:spacing w:after="0" w:line="22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December 31, 2016, we do not hold any debt securities nor do we utilize derivative instruments or other financial contracts to manage our exposure to changes in interest rates in our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maintain our cash and cash equivalents and our marketable debt securities, which include various security holdings, types and maturities, with a number of financial institutions.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24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place our cash investments in instruments that meet credit quality standards specified in our investment policy guidelines at the time the investments are made. At December 31, 2016, we had cash and cash equivalents of $9.9 million, all of which are stated at fair value, including $35,000 in money market funds.</w:t>
      </w:r>
    </w:p>
    <w:p>
      <w:pPr>
        <w:spacing w:after="0" w:line="2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Foreign currency transaction exposure results primarily from intercompany transactions and transactions with customers or vendors denominated in currencies other than the functional currency of the legal entity in which the transaction is recorded by us. Assets and liabilities arising from such transactions are translated into the legal entity’s functional currency using the exchange rate in effect at the balance sheet date. Any gain or loss resulting from currency fluctuations is recorded as other income (expense) in our consolidated statements of operations, except for the non-cash change in acquisition-related escrow which is shown as a separate line item in our consolidated statements of operations. Net foreign currency transaction losses of approximately $3.6 million were recorded for the year ended December 31, 2016.</w:t>
      </w:r>
    </w:p>
    <w:p>
      <w:pPr>
        <w:spacing w:after="0" w:line="24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For the year ended December 31, 2016, approximately 26.4% of our revenues and approximately 35.2% of our operating expenses were generated by subsidiaries whose functional currency is not the U.S. Dollar and therefore are subject to foreign currency translation exposure. These foreign functional currencies consist of the South African Rand, Great British Pound, Euro, Malaysian Ringgit and Australian Dollar (collectively, the “Foreign Functional Currencies”). A 10% change in the value of the U.S. Dollar relative to the Foreign Functional Currencies during 2016 would have changed our revenue by approximately $6.4 million and our operating loss by approximately $0.4 million. A 10% change in the value of the U.S. Dollar relative to any of the other currencies in which we receive revenues or incur operating expenses would not have had a material impact on our foreign currency transaction gains or losses.</w:t>
      </w:r>
    </w:p>
    <w:p>
      <w:pPr>
        <w:spacing w:after="0" w:line="243"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Foreign currency translation exposure results from the translation of the financial statements of our subsidiaries whose functional currency is not the U.S. Dollar into U.S. Dollars for consolidated reporting purposes. The balance sheets of these subsidiaries are translated into U.S. Dollars using period end exchange rates and their income statements are translated into U.S. Dollars using the average exchange rate over the period. Resulting currency translation adjustments are recorded in accumulated other comprehensive income (loss) in our consolidated balance sheets. Net foreign currency translation gains of $7.1 million were recorded for the year ended December 31, 2016.</w:t>
      </w:r>
    </w:p>
    <w:p>
      <w:pPr>
        <w:spacing w:after="0" w:line="24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2016, approximately 54.9% of our assets and approximately 9.9% of our liabilities were subject to foreign currency translation exposure. A 10% change in the value of the U.S. Dollar relative to the Foreign Functional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color w:val="auto"/>
        </w:rPr>
        <w:t>Currencies or any of the other currencies in which our assets or liabilities are denominated would not have had a material impact on our net foreign currency translation gain or loss.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continuously monitors opportunities to reduce potential monetary risks that may arise from our foreign operations.</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and the Report of Independent Registered Public Accounting Firm appears in Part IV of this report.</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22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2016, the end of the period covered by this report. Based on the foregoing, our principal executive officer and principal financial and accounting officer concluded that our disclosure controls and procedures were not effective as of December 31, 2016 as a result of the material weakness in internal control over financial reporting described below.</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w:t>
      </w:r>
    </w:p>
    <w:p>
      <w:pPr>
        <w:ind w:right="2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312"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ineffective as of December 31, 2016 because of a material weakness existing as of such date resulting from a lack of sufficient resources in key accounting and financial reporting roles within the organization necessary to prepare financial statements in time to meet regulatory filing requirements. This lack of sufficient resources was the result of a significant number of unusual and one-time challenges to the Company’s personnel and financial reporting processes, including, but not limited to, implementing the Reorganization, preparing for the divestiture of the MiFi Business and closure of the Company’s accounting function in Eugene, Oregon.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1" w:name="page52"/>
    <w:bookmarkEnd w:id="51"/>
    <w:p>
      <w:pPr>
        <w:ind w:firstLine="405"/>
        <w:spacing w:after="0" w:line="279" w:lineRule="auto"/>
        <w:rPr>
          <w:sz w:val="20"/>
          <w:szCs w:val="20"/>
          <w:color w:val="auto"/>
        </w:rPr>
      </w:pPr>
      <w:r>
        <w:rPr>
          <w:rFonts w:ascii="Arial" w:cs="Arial" w:eastAsia="Arial" w:hAnsi="Arial"/>
          <w:sz w:val="17"/>
          <w:szCs w:val="17"/>
          <w:color w:val="auto"/>
        </w:rPr>
        <w:t>We are evaluating measures to remediate the material weakness by continuing to augment our existing resources with additional consultants or employees to assist in financial statement preparation and the analysis and recording of complex accounting transactions. Although we believe that this corrective step will enable management to conclude that the internal controls over our financial reporting are effective, we cannot provide assurance that these steps will be sufficient and we may be required to expend additional resources to remediate the material weakness.</w:t>
      </w:r>
    </w:p>
    <w:p>
      <w:pPr>
        <w:spacing w:after="0" w:line="280"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Mayer Hoffman McCann P.C., the independent registered public accounting firm that audited the consolidated financial statements included in this Annual Report on Form 10-K, has also audited our internal control over financial reporting as of December 31, 2016, as stated in their report which is included herein.</w:t>
      </w:r>
    </w:p>
    <w:p>
      <w:pPr>
        <w:spacing w:after="0" w:line="3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3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Inseego Corp.</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We have audited Inseego Corp.’s (the “Company”)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(2013 framework) (the COSO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Inseego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ineffective controls resulting from a lack of sufficient resources to prepare financial statements in time to meet regulatory filing requirements has been identified and included in management’s assessment.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Inseego Corp. as of December 31, 2016, and the related consolidated statements of operations, comprehensive loss, stockholders’ equity (deficit), and cash flows for the year then ended. The material weakness was considered in determining the nature, timing, and extent of audit tests applied in our audit of the 2016 consolidated financial statements, and this report does not affect our report dated March 31, 2017, which expressed an unqualified opinion on those consolidated financial statements.</w:t>
      </w:r>
    </w:p>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opinion, because of the effect of the aforementioned material weakness on the achievement of the objectives of the control criteria, Inseego Corp. has not maintained effective internal control over financial reporting as of December 31, 2016, based on the COSO criteria.</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MAYER HOFFMAN MCCANN P.C.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2017 Annual Meeting of Stockholders, which the Company intends to file with the SEC within 120 days of the end of the fiscal year end to which this report relates.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4" w:lineRule="exact"/>
        <w:rPr>
          <w:sz w:val="20"/>
          <w:szCs w:val="20"/>
          <w:color w:val="auto"/>
        </w:rPr>
      </w:pPr>
    </w:p>
    <w:p>
      <w:pPr>
        <w:ind w:left="980" w:right="240" w:hanging="559"/>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Mayer Hoffman McCann P.C., Independent Registered Public Accounting Firm, are included in Section IV of this report beginning on page F-1.</w:t>
      </w:r>
    </w:p>
    <w:p>
      <w:pPr>
        <w:spacing w:after="0" w:line="35" w:lineRule="exact"/>
        <w:rPr>
          <w:sz w:val="20"/>
          <w:szCs w:val="20"/>
          <w:color w:val="auto"/>
        </w:rPr>
      </w:pPr>
    </w:p>
    <w:p>
      <w:pPr>
        <w:ind w:left="980" w:right="420" w:hanging="559"/>
        <w:spacing w:after="0" w:line="277" w:lineRule="auto"/>
        <w:tabs>
          <w:tab w:leader="none" w:pos="960" w:val="left"/>
        </w:tabs>
        <w:rPr>
          <w:sz w:val="20"/>
          <w:szCs w:val="20"/>
          <w:color w:val="auto"/>
        </w:rPr>
      </w:pPr>
      <w:r>
        <w:rPr>
          <w:rFonts w:ascii="Arial" w:cs="Arial" w:eastAsia="Arial" w:hAnsi="Arial"/>
          <w:sz w:val="18"/>
          <w:szCs w:val="18"/>
          <w:color w:val="auto"/>
        </w:rPr>
        <w:t>(a)(2)</w:t>
        <w:tab/>
        <w:t>The following financial statement schedules for the years ended December 31, 2016, 2015 and 2014 should be read in conjunction with the consolidated financial statements, and related notes thereto.</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Schedule</w:t>
            </w:r>
          </w:p>
        </w:tc>
        <w:tc>
          <w:tcPr>
            <w:tcW w:w="3920" w:type="dxa"/>
            <w:vAlign w:val="bottom"/>
            <w:gridSpan w:val="3"/>
          </w:tcPr>
          <w:p>
            <w:pPr>
              <w:jc w:val="center"/>
              <w:ind w:left="3499"/>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120" w:type="dxa"/>
            <w:vAlign w:val="bottom"/>
            <w:gridSpan w:val="2"/>
          </w:tcPr>
          <w:p>
            <w:pPr>
              <w:spacing w:after="0"/>
              <w:rPr>
                <w:sz w:val="20"/>
                <w:szCs w:val="20"/>
                <w:color w:val="auto"/>
              </w:rPr>
            </w:pPr>
            <w:r>
              <w:rPr>
                <w:rFonts w:ascii="Arial" w:cs="Arial" w:eastAsia="Arial" w:hAnsi="Arial"/>
                <w:sz w:val="18"/>
                <w:szCs w:val="18"/>
                <w:color w:val="auto"/>
              </w:rPr>
              <w:t>Schedule II—Valuation and Qualifying Accounts</w:t>
            </w:r>
          </w:p>
        </w:tc>
        <w:tc>
          <w:tcPr>
            <w:tcW w:w="3920" w:type="dxa"/>
            <w:vAlign w:val="bottom"/>
            <w:gridSpan w:val="3"/>
          </w:tcPr>
          <w:p>
            <w:pPr>
              <w:jc w:val="center"/>
              <w:ind w:left="3499"/>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F-44</w:t>
              </w:r>
            </w:hyperlink>
          </w:p>
        </w:tc>
      </w:tr>
    </w:tbl>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Exhibit No.</w:t>
            </w:r>
          </w:p>
        </w:tc>
        <w:tc>
          <w:tcPr>
            <w:tcW w:w="101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344"/>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March 27, 2015, by and among Novatel Wireless, Inc., Duck Acquisition, Inc., R.E.R. Enterprises,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Inc., the stockholders of R.E.R. Enterprises, Inc. and Ethan Ralston, as the representative of the stockholders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2.1 to the Company’s Current Report on Form 8-K, filed April 1, 2015).</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Amendment No. 1 to Agreement and Plan of Merger, dated January 5, 2016, by and among Novatel Wireless, Inc., Duck Acquisition,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R.E.R. Enterprises, Inc., certain stockholders of R.E.R. Enterprises, Inc. and Ethan Ralston, as the representative of the R.E.R. stockholders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Current Report on Form 8-K, filed January 11,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Transaction Implementation Agreement, by and between Novatel Wireless, Inc. and DigiCore Holdings Limited, dated June 18, 2015</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Current Report on Form 8-K, filed on June 24, 2015).</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Asset Purchase Agreement, dated April 11, 2016, by and among Novatel Wireless, Inc. and Telit Technologies (Cyprus) Limited and Telit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Wireless Solutions, Inc. (incorporated by reference to Exhibit 2.5 to the Company’s Quarterly Report on Form 10-Q for the period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March 31, 2016, filed on May 10,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Final Resolution Letter Agreement, dated September 29, 2016, by and among Novatel Wireless, Inc. and Telit Technologies (Cyprus)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Limited and Telit Wireless Solutions, Inc. (incorporated by reference to Exhibit 2.5 to the Company’s Quarterly Report on Form 10-Q for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period ended September 30, 2016, filed on November 7,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Stock Purchase Agreement, dated as of September 21, 2016, among Vanilla Technologies, Inc., Novatel Wireless, Inc., T.C.L. Industries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Holdings (H.K.) Limited and Jade Ocean Global Limited (incorporated by reference to Exhibit 2.1 to the Company’s Current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8-K, filed September 22,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Agreement and Plan of Merger, dated as of November 7, 2016, among Vanilla Technologies, Inc., Novatel Wireless, Inc. and Vanilla</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Merger Sub, Inc. (incorporated by reference to Exhibit 2.1 to the Company’s Current Report on Form 8-K, filed November 9,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Current Report on Form 8-</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K, filed November 9,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Amended and Restated Bylaws of Inseego Corp. (incorporated by reference to Exhibit 3.2 to the Company’s Current Report on Form 8-K,</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November 9, 2016).</w:t>
            </w: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Form of Inseego Corp. Common Stock Certificate (incorporated by reference to Exhibit 4.1 to the Company’s Current Report on Form 8-K</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November 9, 2016).</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64" w:right="239" w:bottom="1440" w:gutter="0" w:footer="0" w:header="0"/>
          <w:type w:val="continuous"/>
        </w:sectPr>
      </w:pPr>
    </w:p>
    <w:bookmarkStart w:id="54" w:name="page55"/>
    <w:bookmarkEnd w:id="54"/>
    <w:p>
      <w:pPr>
        <w:spacing w:after="0"/>
        <w:tabs>
          <w:tab w:leader="none" w:pos="1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544" w:right="259" w:bottom="1440" w:gutter="0" w:footer="0" w:header="0"/>
        </w:sectPr>
      </w:pP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4.2</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Investors’ Rights Agreement, dated September 8, 2014, by and between Novatel Wireless, Inc. and HC2 Holdings 2, Inc. (incorporated by</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4.2 to the Company’s Current Report on Form 8-K, filed September 8, 2014).</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4.3</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Warrant to Purchase Common Stock issued to HC2 Holdings 2, Inc., dated September 8, 2014 (incorporated by reference to Exhibit 4.1 to</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September 8, 2014).</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4.4</w:t>
            </w:r>
          </w:p>
        </w:tc>
        <w:tc>
          <w:tcPr>
            <w:tcW w:w="10380" w:type="dxa"/>
            <w:vAlign w:val="bottom"/>
          </w:tcPr>
          <w:p>
            <w:pPr>
              <w:ind w:left="280"/>
              <w:spacing w:after="0"/>
              <w:rPr>
                <w:sz w:val="20"/>
                <w:szCs w:val="20"/>
                <w:color w:val="auto"/>
              </w:rPr>
            </w:pPr>
            <w:r>
              <w:rPr>
                <w:rFonts w:ascii="Arial" w:cs="Arial" w:eastAsia="Arial" w:hAnsi="Arial"/>
                <w:sz w:val="18"/>
                <w:szCs w:val="18"/>
                <w:color w:val="auto"/>
                <w:w w:val="94"/>
              </w:rPr>
              <w:t>Warrant to Purchase Common Stock issued to HC2 Holdings 2, Inc. on March 26, 2015 (incorporated by reference to Exhibit 4.1 to the</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April 1,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4.5</w:t>
            </w:r>
          </w:p>
        </w:tc>
        <w:tc>
          <w:tcPr>
            <w:tcW w:w="10380" w:type="dxa"/>
            <w:vAlign w:val="bottom"/>
          </w:tcPr>
          <w:p>
            <w:pPr>
              <w:ind w:left="280"/>
              <w:spacing w:after="0"/>
              <w:rPr>
                <w:sz w:val="20"/>
                <w:szCs w:val="20"/>
                <w:color w:val="auto"/>
              </w:rPr>
            </w:pPr>
            <w:r>
              <w:rPr>
                <w:rFonts w:ascii="Arial" w:cs="Arial" w:eastAsia="Arial" w:hAnsi="Arial"/>
                <w:sz w:val="18"/>
                <w:szCs w:val="18"/>
                <w:color w:val="auto"/>
                <w:w w:val="96"/>
              </w:rPr>
              <w:t>Indenture, dated January 9, 2017, between Inseego Corp. and Wilmington Trust, National Association, as Trustee (incorporated by</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4.2 to the Company’s Current Report on Form 8-K, filed January 10, 2017).</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4.6</w:t>
            </w:r>
          </w:p>
        </w:tc>
        <w:tc>
          <w:tcPr>
            <w:tcW w:w="10380" w:type="dxa"/>
            <w:vAlign w:val="bottom"/>
          </w:tcPr>
          <w:p>
            <w:pPr>
              <w:ind w:left="280"/>
              <w:spacing w:after="0"/>
              <w:rPr>
                <w:sz w:val="20"/>
                <w:szCs w:val="20"/>
                <w:color w:val="auto"/>
              </w:rPr>
            </w:pPr>
            <w:r>
              <w:rPr>
                <w:rFonts w:ascii="Arial" w:cs="Arial" w:eastAsia="Arial" w:hAnsi="Arial"/>
                <w:sz w:val="18"/>
                <w:szCs w:val="18"/>
                <w:color w:val="auto"/>
                <w:w w:val="95"/>
              </w:rPr>
              <w:t>Form of Inseego Corp.’s 5.50% Convertible Senior Note due 2022 (incorporated by reference to Exhibit 4.2 to the Company’s Current</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Report on Form 8-K, filed January 10, 2017).</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4.7</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Indenture, dated June 10, 2015, between Novatel Wireless, Inc. and Wilmington Trust, National Association, as Trustee (incorporated by</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4.1 to the Company’s Current Report on Form 8-K, filed June 10,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4.8</w:t>
            </w:r>
          </w:p>
        </w:tc>
        <w:tc>
          <w:tcPr>
            <w:tcW w:w="10380" w:type="dxa"/>
            <w:vAlign w:val="bottom"/>
          </w:tcPr>
          <w:p>
            <w:pPr>
              <w:ind w:left="280"/>
              <w:spacing w:after="0"/>
              <w:rPr>
                <w:sz w:val="20"/>
                <w:szCs w:val="20"/>
                <w:color w:val="auto"/>
              </w:rPr>
            </w:pPr>
            <w:r>
              <w:rPr>
                <w:rFonts w:ascii="Arial" w:cs="Arial" w:eastAsia="Arial" w:hAnsi="Arial"/>
                <w:sz w:val="18"/>
                <w:szCs w:val="18"/>
                <w:color w:val="auto"/>
                <w:w w:val="95"/>
              </w:rPr>
              <w:t>First Supplemental Indenture, dated November 8, 2016, among Novatel Wireless, Inc., Inseego Corp. and Wilmington Trust, National</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Association, as Trustee (incorporated by reference to Exhibit 4.2 to the Company’s Current Report on Form 8-K, filed November 9, 2016).</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5"/>
              </w:rPr>
              <w:t>4.9</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Second Supplemental Indenture, dated January 6, 2017, between Novatel Wireless, Inc. and Wilmington Trust, National Association, as</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Trustee (incorporated by reference to Exhibit 4.1 to the Company’s Current Report on Form 8-K, filed January 10, 2017).</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4.10</w:t>
            </w:r>
          </w:p>
        </w:tc>
        <w:tc>
          <w:tcPr>
            <w:tcW w:w="10380" w:type="dxa"/>
            <w:vAlign w:val="bottom"/>
          </w:tcPr>
          <w:p>
            <w:pPr>
              <w:ind w:left="280"/>
              <w:spacing w:after="0"/>
              <w:rPr>
                <w:sz w:val="20"/>
                <w:szCs w:val="20"/>
                <w:color w:val="auto"/>
              </w:rPr>
            </w:pPr>
            <w:r>
              <w:rPr>
                <w:rFonts w:ascii="Arial" w:cs="Arial" w:eastAsia="Arial" w:hAnsi="Arial"/>
                <w:sz w:val="18"/>
                <w:szCs w:val="18"/>
                <w:color w:val="auto"/>
                <w:w w:val="95"/>
              </w:rPr>
              <w:t>Form of Novatel Wireless, Inc.’s 5.50% Convertible Senior Note due 2020 (incorporated by reference to Exhibit 4.2 to the Company’s</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Current Report on Form 8-K, filed June 10,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10.1</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Credit and Security Agreement, dated as of October 31, 2014, by and among Novatel Wireless, Inc., Enfora, Inc. and Feeney Wireless,</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8"/>
              </w:rPr>
              <w:t>LLC, as Borrowers, R.E.R. Enterprises, Inc. and Feeney Wireless IC-DISC, Inc., as Guarantors, and Wells Fargo Bank, National</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Association, as Lender, as amended through June 11, 2015 (incorporated by reference to Exhibit 10.7 to the Company’s Quarterly Report</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on Form 10-Q for the period ended June 30, 2015, filed August 7,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10.2</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Fifth Amendment to Credit and Security Agreement, dated October 5, 2015, by and among Novatel Wireless, Inc., Enfora, Inc., Feeney</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Wireless, LLC and Wells Fargo Bank, National Association (incorporated by reference to Exhibit 10.1 to the Company’s Quarterly Report</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on Form 10-Q for the period ended September 30, 2015, filed on November 9,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10.3</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Sixth Amendment to Credit and Security Agreement, dated as of November 17, 2015, by and among Novatel Wireless, Inc., Enfora, Inc.</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and Feeney Wireless, as Borrowers, R.E.R. Enterprises, Inc. and Feeney Wireless IC-DISC, Inc., as Guarantors, and Wells Fargo Bank,</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National Association, as Lender (incorporated by reference to Exhibit 10.1 to the Company’s Current Report on Form 8-K, filed November</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18, 2015).</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10.4</w:t>
            </w: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Seventh Amendment to Credit and Security Agreement, dated as of January 5, 2016, by and among Novatel Wireless, Inc., Enfora, Inc.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Feeney Wireless, LLC, as Borrowers, R.E.R. Enterprises, Inc. and Feeney Wireless IC-DISC, Inc., as Guarantors, and Wells Fargo Bank,</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National Association, as Lender (incorporated by reference to Exhibit 10.1 to the Company’s Current Report on Form 8-K, filed January 11,</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2016).</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10.5</w:t>
            </w: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Eighth Amendment to Credit and Security Agreement, dated as of June 29, 2016, by and among Novatel Wireless, Inc., Enfora, Inc.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Feeney Wireless, LLC, as Borrowers, R.E.R. Enterprises, Inc. and Feeney Wireless IC-DISC, Inc., as Guarantors, and Wells Fargo Bank,</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National Association, as Lender (incorporated by reference to Exhibit 10.1 to the Company’s Quarterly Report on Form 10-Q for the period</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ended September 30, 2016, filed November 7, 2016).</w:t>
            </w:r>
          </w:p>
        </w:tc>
      </w:tr>
      <w:tr>
        <w:trPr>
          <w:trHeight w:val="377"/>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10.6</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Ninth Amendment to Credit and Security Agreement, dated as of September 28, 2016, by and among Novatel Wireless, Inc., Enfora, Inc.</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3"/>
              </w:rPr>
              <w:t>and Feeney Wireless, LLC, as Borrowers, R.E.R. Enterprises, Inc. and Feeney Wireless IC-DISC, Inc., as Guarantors, and Wells Fargo</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Bank, National Association, as Lender (incorporated by reference to Exhibit 10.2 to the Company’s Quarterly Report on Form 10-Q for the</w:t>
            </w:r>
          </w:p>
        </w:tc>
      </w:tr>
      <w:tr>
        <w:trPr>
          <w:trHeight w:val="230"/>
        </w:trPr>
        <w:tc>
          <w:tcPr>
            <w:tcW w:w="60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period ended September 30, 2016, filed November 7,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420" w:top="544" w:right="259" w:bottom="1440" w:gutter="0" w:footer="0" w:header="0"/>
          <w:type w:val="continuous"/>
        </w:sectPr>
      </w:pPr>
    </w:p>
    <w:bookmarkStart w:id="55" w:name="page56"/>
    <w:bookmarkEnd w:id="55"/>
    <w:p>
      <w:pPr>
        <w:spacing w:after="0"/>
        <w:tabs>
          <w:tab w:leader="none" w:pos="1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544" w:right="279" w:bottom="1440" w:gutter="0" w:footer="0" w:header="0"/>
        </w:sectPr>
      </w:pP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1"/>
              </w:rPr>
              <w:t>10.7</w:t>
            </w:r>
          </w:p>
        </w:tc>
        <w:tc>
          <w:tcPr>
            <w:tcW w:w="10320" w:type="dxa"/>
            <w:vAlign w:val="bottom"/>
          </w:tcPr>
          <w:p>
            <w:pPr>
              <w:ind w:left="240"/>
              <w:spacing w:after="0"/>
              <w:rPr>
                <w:sz w:val="20"/>
                <w:szCs w:val="20"/>
                <w:color w:val="auto"/>
              </w:rPr>
            </w:pPr>
            <w:r>
              <w:rPr>
                <w:rFonts w:ascii="Arial" w:cs="Arial" w:eastAsia="Arial" w:hAnsi="Arial"/>
                <w:sz w:val="18"/>
                <w:szCs w:val="18"/>
                <w:color w:val="auto"/>
                <w:w w:val="91"/>
              </w:rPr>
              <w:t>Joinder and Tenth Amendment to Credit and Security Agreement, dated as of September 28, 2016, by and among Inseego Corp., Novatel</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Wireless, Inc., Enfora, Inc. and Feeney Wireless, LLC, as Borrowers, R.E.R. Enterprises, Inc. and Feeney Wireless IC-DISC, Inc., as</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2"/>
              </w:rPr>
              <w:t>Guarantors, and Wells Fargo Bank, National Association, as Lender (incorporated by reference to Exhibit 10.2 to the Company’s Current</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Report on Form 8-K, filed November 9, 2016).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7"/>
              </w:rPr>
              <w:t>10.8**</w:t>
            </w:r>
          </w:p>
        </w:tc>
        <w:tc>
          <w:tcPr>
            <w:tcW w:w="10320" w:type="dxa"/>
            <w:vAlign w:val="bottom"/>
          </w:tcPr>
          <w:p>
            <w:pPr>
              <w:ind w:left="240"/>
              <w:spacing w:after="0"/>
              <w:rPr>
                <w:sz w:val="20"/>
                <w:szCs w:val="20"/>
                <w:color w:val="auto"/>
              </w:rPr>
            </w:pPr>
            <w:r>
              <w:rPr>
                <w:rFonts w:ascii="Arial" w:cs="Arial" w:eastAsia="Arial" w:hAnsi="Arial"/>
                <w:sz w:val="18"/>
                <w:szCs w:val="18"/>
                <w:color w:val="auto"/>
                <w:w w:val="90"/>
              </w:rPr>
              <w:t>Eleventh Amendment to Credit and Security Agreement, dated as of December 27, 2016, by and among Novatel Wireless, Inc., Enfora, Inc.</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and Feeney Wireless, LLC, as Borrowers, R.E.R. Enterprises, Inc. and Feeney Wireless IC-DISC, Inc., as Guarantors, and Wells Fargo</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Bank, National Association, as Lender.</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5"/>
              </w:rPr>
              <w:t>10.9*</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Amended and Restated Novatel Wireless, Inc. 2000 Stock Incentive Plan (“2000 Plan”) (incorporated by reference to Exhibit 10.1 to the</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Company’s Quarterly Report on Form 10-Q for the period ended June 30, 2007, filed August 9, 2007).</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10.10*</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Form of Executive Officer Stock Option Agreement under the 2000 Plan (incorporated by reference to Exhibit 10.3 to the Company’s</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2005, filed March 16,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10.11*</w:t>
            </w:r>
          </w:p>
        </w:tc>
        <w:tc>
          <w:tcPr>
            <w:tcW w:w="10320" w:type="dxa"/>
            <w:vAlign w:val="bottom"/>
          </w:tcPr>
          <w:p>
            <w:pPr>
              <w:ind w:left="240"/>
              <w:spacing w:after="0"/>
              <w:rPr>
                <w:sz w:val="20"/>
                <w:szCs w:val="20"/>
                <w:color w:val="auto"/>
              </w:rPr>
            </w:pPr>
            <w:r>
              <w:rPr>
                <w:rFonts w:ascii="Arial" w:cs="Arial" w:eastAsia="Arial" w:hAnsi="Arial"/>
                <w:sz w:val="18"/>
                <w:szCs w:val="18"/>
                <w:color w:val="auto"/>
                <w:w w:val="91"/>
              </w:rPr>
              <w:t>Form of Director Stock Option Agreement under the 2000 Plan (incorporated by reference to Exhibit 10.4 to the Company’s Annual Report</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on Form 10-K for the year ended December 31, 2005, filed March 16,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10.12*</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Form of Amendment of Stock Option Agreements, dated July 20, 2006, by and between the Company and Optionee with respect to the</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0"/>
              </w:rPr>
              <w:t>2000 Plan (incorporated by reference to Exhibit 10.3 to the Company’s Quarterly Report on Form 10-Q for the period ended September 30,</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2006, filed November 9,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10.13*</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Form of Amendment of Stock Option Agreements, dated July 20, 2006, by and between the Company and Optionee with respect to the</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6"/>
              </w:rPr>
              <w:t>2000 Plan and grants made pursuant thereto in 2004 and subsequently (incorporated by reference to Exhibit 10.4 to the Company’s</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Quarterly Report on Form 10-Q for the period ended September 30, 2006, filed November 9,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10.14*</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Amended and Restated Novatel Wireless, Inc. 2000 Employee Stock Purchase Plan (incorporated by reference to Appendix A to the</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Company’s Proxy Statement on Schedule 14A filed April 30, 2013).</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10.15*</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Form of Restricted Share Award Agreement for restricted stock granted to non-employee directors (incorporated by reference to Exhibit</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10.10 to the Company’s Quarterly Report on Form 10-Q for the period ended June 30, 2006, filed August 9,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10.16*</w:t>
            </w:r>
          </w:p>
        </w:tc>
        <w:tc>
          <w:tcPr>
            <w:tcW w:w="10320" w:type="dxa"/>
            <w:vAlign w:val="bottom"/>
          </w:tcPr>
          <w:p>
            <w:pPr>
              <w:ind w:left="240"/>
              <w:spacing w:after="0"/>
              <w:rPr>
                <w:sz w:val="20"/>
                <w:szCs w:val="20"/>
                <w:color w:val="auto"/>
              </w:rPr>
            </w:pPr>
            <w:r>
              <w:rPr>
                <w:rFonts w:ascii="Arial" w:cs="Arial" w:eastAsia="Arial" w:hAnsi="Arial"/>
                <w:sz w:val="18"/>
                <w:szCs w:val="18"/>
                <w:color w:val="auto"/>
                <w:w w:val="91"/>
              </w:rPr>
              <w:t>Form of Restricted Share Award Agreement for restricted stock granted to executive officers (incorporated by reference to Exhibit 10.11 to</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10.17*</w:t>
            </w:r>
          </w:p>
        </w:tc>
        <w:tc>
          <w:tcPr>
            <w:tcW w:w="10320" w:type="dxa"/>
            <w:vAlign w:val="bottom"/>
          </w:tcPr>
          <w:p>
            <w:pPr>
              <w:ind w:left="240"/>
              <w:spacing w:after="0"/>
              <w:rPr>
                <w:sz w:val="20"/>
                <w:szCs w:val="20"/>
                <w:color w:val="auto"/>
              </w:rPr>
            </w:pPr>
            <w:r>
              <w:rPr>
                <w:rFonts w:ascii="Arial" w:cs="Arial" w:eastAsia="Arial" w:hAnsi="Arial"/>
                <w:sz w:val="18"/>
                <w:szCs w:val="18"/>
                <w:color w:val="auto"/>
                <w:w w:val="97"/>
              </w:rPr>
              <w:t>Form of Indemnification Agreement (incorporated by reference to Exhibit 10.2 to the Company’s Current Report on Form 8-K, filed</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November 6, 2014).</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10.18*</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Offer Letter, dated November 2, 2014, by and between Novatel Wireless, Inc. and Alex Mashinsky (incorporated by reference to Exhibit</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10.3 to the Company’s Current Report on Form 8-K, filed November 6, 2014).</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10.19*</w:t>
            </w:r>
          </w:p>
        </w:tc>
        <w:tc>
          <w:tcPr>
            <w:tcW w:w="10320" w:type="dxa"/>
            <w:vAlign w:val="bottom"/>
          </w:tcPr>
          <w:p>
            <w:pPr>
              <w:ind w:left="240"/>
              <w:spacing w:after="0"/>
              <w:rPr>
                <w:sz w:val="20"/>
                <w:szCs w:val="20"/>
                <w:color w:val="auto"/>
              </w:rPr>
            </w:pPr>
            <w:r>
              <w:rPr>
                <w:rFonts w:ascii="Arial" w:cs="Arial" w:eastAsia="Arial" w:hAnsi="Arial"/>
                <w:sz w:val="18"/>
                <w:szCs w:val="18"/>
                <w:color w:val="auto"/>
                <w:w w:val="90"/>
              </w:rPr>
              <w:t>Offer Letter, effective September 2, 2014, by and between the Company and Michael Newman (incorporated by reference to Exhibit 10.1 to</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the Company’s Current Report on Form 8-K, filed September 4, 2014).</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10.20*</w:t>
            </w:r>
          </w:p>
        </w:tc>
        <w:tc>
          <w:tcPr>
            <w:tcW w:w="10320" w:type="dxa"/>
            <w:vAlign w:val="bottom"/>
          </w:tcPr>
          <w:p>
            <w:pPr>
              <w:ind w:left="240"/>
              <w:spacing w:after="0"/>
              <w:rPr>
                <w:sz w:val="20"/>
                <w:szCs w:val="20"/>
                <w:color w:val="auto"/>
              </w:rPr>
            </w:pPr>
            <w:r>
              <w:rPr>
                <w:rFonts w:ascii="Arial" w:cs="Arial" w:eastAsia="Arial" w:hAnsi="Arial"/>
                <w:sz w:val="18"/>
                <w:szCs w:val="18"/>
                <w:color w:val="auto"/>
                <w:w w:val="93"/>
              </w:rPr>
              <w:t>Amended and Restated Change in Control and Severance Agreement, dated April 22, 2015, by and between the Company and Michael</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Newman (incorporated by reference to Exhibit 10.3 to the Company’s Current Report on Form 8-K, filed on April 23, 2015).</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10.21*</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Offer Letter, dated April 17, 2015, by and between the Company and Dr. Slim Souissi (incorporated by reference to Exhibit 10.1 to the</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April 23, 2015).</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10.22*</w:t>
            </w:r>
          </w:p>
        </w:tc>
        <w:tc>
          <w:tcPr>
            <w:tcW w:w="10320" w:type="dxa"/>
            <w:vAlign w:val="bottom"/>
          </w:tcPr>
          <w:p>
            <w:pPr>
              <w:ind w:left="240"/>
              <w:spacing w:after="0"/>
              <w:rPr>
                <w:sz w:val="20"/>
                <w:szCs w:val="20"/>
                <w:color w:val="auto"/>
              </w:rPr>
            </w:pPr>
            <w:r>
              <w:rPr>
                <w:rFonts w:ascii="Arial" w:cs="Arial" w:eastAsia="Arial" w:hAnsi="Arial"/>
                <w:sz w:val="18"/>
                <w:szCs w:val="18"/>
                <w:color w:val="auto"/>
                <w:w w:val="92"/>
              </w:rPr>
              <w:t>Change in Control and Severance Agreement, dated April 17, 2015, by and between the Company and Dr. Slim Souissi (incorporated by</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reference to Exhibit 10.2 to the Company’s Current Report on Form 8-K, filed on April 23, 2015).</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10.23*</w:t>
            </w:r>
          </w:p>
        </w:tc>
        <w:tc>
          <w:tcPr>
            <w:tcW w:w="10320" w:type="dxa"/>
            <w:vAlign w:val="bottom"/>
          </w:tcPr>
          <w:p>
            <w:pPr>
              <w:ind w:left="240"/>
              <w:spacing w:after="0"/>
              <w:rPr>
                <w:sz w:val="20"/>
                <w:szCs w:val="20"/>
                <w:color w:val="auto"/>
              </w:rPr>
            </w:pPr>
            <w:r>
              <w:rPr>
                <w:rFonts w:ascii="Arial" w:cs="Arial" w:eastAsia="Arial" w:hAnsi="Arial"/>
                <w:sz w:val="18"/>
                <w:szCs w:val="18"/>
                <w:color w:val="auto"/>
                <w:w w:val="90"/>
              </w:rPr>
              <w:t>Change in Control and Severance Agreement, dated April 13, 2015, by and between Novatel Wireless, Inc. and Stephen Sek (incorporated</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by reference to Exhibit 10.4 to the Company’s Quarterly Report on Form 10-Q for the period ended June 30, 2015, filed on August 10,</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2015).</w:t>
            </w:r>
          </w:p>
        </w:tc>
      </w:tr>
      <w:tr>
        <w:trPr>
          <w:trHeight w:val="377"/>
        </w:trPr>
        <w:tc>
          <w:tcPr>
            <w:tcW w:w="720" w:type="dxa"/>
            <w:vAlign w:val="bottom"/>
          </w:tcPr>
          <w:p>
            <w:pPr>
              <w:jc w:val="center"/>
              <w:ind w:right="150"/>
              <w:spacing w:after="0"/>
              <w:rPr>
                <w:sz w:val="20"/>
                <w:szCs w:val="20"/>
                <w:color w:val="auto"/>
              </w:rPr>
            </w:pPr>
            <w:r>
              <w:rPr>
                <w:rFonts w:ascii="Arial" w:cs="Arial" w:eastAsia="Arial" w:hAnsi="Arial"/>
                <w:sz w:val="18"/>
                <w:szCs w:val="18"/>
                <w:color w:val="auto"/>
                <w:w w:val="92"/>
              </w:rPr>
              <w:t>10.24*</w:t>
            </w:r>
          </w:p>
        </w:tc>
        <w:tc>
          <w:tcPr>
            <w:tcW w:w="10320" w:type="dxa"/>
            <w:vAlign w:val="bottom"/>
          </w:tcPr>
          <w:p>
            <w:pPr>
              <w:ind w:left="240"/>
              <w:spacing w:after="0"/>
              <w:rPr>
                <w:sz w:val="20"/>
                <w:szCs w:val="20"/>
                <w:color w:val="auto"/>
              </w:rPr>
            </w:pPr>
            <w:r>
              <w:rPr>
                <w:rFonts w:ascii="Arial" w:cs="Arial" w:eastAsia="Arial" w:hAnsi="Arial"/>
                <w:sz w:val="18"/>
                <w:szCs w:val="18"/>
                <w:color w:val="auto"/>
                <w:w w:val="91"/>
              </w:rPr>
              <w:t>Change in Control and Severance Agreement, dated April 13, 2015, by and between Novatel Wireless, Inc. and John Carney (incorporated</w:t>
            </w:r>
          </w:p>
        </w:tc>
      </w:tr>
      <w:tr>
        <w:trPr>
          <w:trHeight w:val="216"/>
        </w:trPr>
        <w:tc>
          <w:tcPr>
            <w:tcW w:w="7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by reference to Exhibit 10.4 to the Company’s Quarterly Report on Form 10-Q for the period ended June 30, 2015, filed on August 10,</w:t>
            </w:r>
          </w:p>
        </w:tc>
      </w:tr>
      <w:tr>
        <w:trPr>
          <w:trHeight w:val="230"/>
        </w:trPr>
        <w:tc>
          <w:tcPr>
            <w:tcW w:w="7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2015).</w:t>
            </w:r>
          </w:p>
        </w:tc>
      </w:tr>
    </w:tbl>
    <w:p>
      <w:pPr>
        <w:spacing w:after="0" w:line="200" w:lineRule="exact"/>
        <w:rPr>
          <w:sz w:val="20"/>
          <w:szCs w:val="20"/>
          <w:color w:val="auto"/>
        </w:rPr>
      </w:pPr>
    </w:p>
    <w:p>
      <w:pPr>
        <w:sectPr>
          <w:pgSz w:w="11900" w:h="16838" w:orient="portrait"/>
          <w:cols w:equalWidth="0" w:num="1">
            <w:col w:w="11200"/>
          </w:cols>
          <w:pgMar w:left="420" w:top="544" w:right="279" w:bottom="1440" w:gutter="0" w:footer="0" w:header="0"/>
          <w:type w:val="continuous"/>
        </w:sectPr>
      </w:pPr>
    </w:p>
    <w:p>
      <w:pPr>
        <w:spacing w:after="0" w:line="5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00"/>
          </w:cols>
          <w:pgMar w:left="420" w:top="544" w:right="27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101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140" w:type="dxa"/>
            <w:vAlign w:val="bottom"/>
            <w:tcBorders>
              <w:bottom w:val="single" w:sz="8" w:color="auto"/>
            </w:tcBorders>
          </w:tcPr>
          <w:p>
            <w:pPr>
              <w:spacing w:after="0"/>
              <w:rPr>
                <w:sz w:val="2"/>
                <w:szCs w:val="2"/>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Change in Control and Severance Agreement, dated May 7, 2015, by and between Novatel Wireless, Inc. and Lance Bridges (incorporated</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by reference to Exhibit 10.4 to the Company’s Quarterly Report on Form 10-Q for the period ended June 30, 2015, filed on August 10,</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2015).</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10.26*</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Offer Letter, dated December 11, 2015, by and between the Company and Sue Swenson (incorporated by reference from the Company’s</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 December 31, 2015, filed March 14, 2016).</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Corporate Bonus Plan, effective April 1, 2015 (incorporated by reference to Exhibit 10.3 to the Company’s Current Report on Form 8-K,</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April 1, 2015).</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10.28*</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2016 Corporate Bonus Plan for Novatel Wireless, Inc. Employees (incorporated by reference to Exhibit 4.1 to the Company’s Quarterly</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Report on Form 10-Q for the period ended March 31, 2016, filed on May 10, 2016).</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10.29*</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Amended and Restated Novatel Wireless, Inc. 2009 Omnibus Incentive Compensation Plan (incorporated by reference to Exhibit 10.1 to</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the Company’s Current Report on Form 8-K, filed on June 20, 2016).</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Novatel Wireless, Inc. 2015 Incentive Compensation Plan (incorporated by reference to Exhibit 4.3 to the Company’s Registration</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Statement on Form S-8, filed on October 1, 2015).</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Nonstatutory Stock Option Agreement under the Novatel Wireless, Inc. 2015 Incentive Compensation Plan (incorporated by</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4.4 to the Company’s Registration Statement on Form S-8, filed on October 1, 2015).</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10.32</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Contribution Agreement, dated November 8, 2016, by and between Novatel Wireless, Inc. and Inseego Corp. (incorporated by reference to</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the Company’s Current Report on Form 8-K, filed on November 9, 2016).</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Subsidiaries of Inseego Corp.</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 (Mayer Hoffman McCann P.C.).</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 (Ernst &amp; Young LLP).</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Power of Attorney (See signature page).</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Sarbanes-Oxley</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377"/>
        </w:trPr>
        <w:tc>
          <w:tcPr>
            <w:tcW w:w="1120" w:type="dxa"/>
            <w:vAlign w:val="bottom"/>
          </w:tcPr>
          <w:p>
            <w:pPr>
              <w:jc w:val="cente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The following financial statements and footnotes from the Inseego Corp. Annual Report on Form 10-K for the year ended December 31,</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2016 formatted in eXtensible Business Reporting Language (XBRL): (i) Consolidated Balance Sheets; (ii) Consolidated Statements of</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Operations; (iii) Consolidated Statements of Comprehensive Loss; (iv) Consolidated Statements of Stockholders’ Equity; (v) Consolidated</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Statements of Cash Flows; and (vi) the Notes to Consolidated Financial Statements.</w:t>
            </w:r>
          </w:p>
        </w:tc>
      </w:tr>
    </w:tbl>
    <w:p>
      <w:pPr>
        <w:spacing w:after="0" w:line="161" w:lineRule="exact"/>
        <w:rPr>
          <w:sz w:val="20"/>
          <w:szCs w:val="20"/>
          <w:color w:val="auto"/>
        </w:rPr>
      </w:pPr>
    </w:p>
    <w:p>
      <w:pPr>
        <w:ind w:left="1300" w:hanging="77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85" w:lineRule="exact"/>
        <w:rPr>
          <w:sz w:val="20"/>
          <w:szCs w:val="20"/>
          <w:color w:val="auto"/>
        </w:rPr>
      </w:pPr>
    </w:p>
    <w:p>
      <w:pPr>
        <w:ind w:left="1300" w:hanging="82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44"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March 31, 2017</w:t>
      </w:r>
      <w:r>
        <w:rPr>
          <w:sz w:val="20"/>
          <w:szCs w:val="20"/>
          <w:color w:val="auto"/>
        </w:rPr>
        <w:tab/>
      </w:r>
      <w:r>
        <w:rPr>
          <w:rFonts w:ascii="Arial" w:cs="Arial" w:eastAsia="Arial" w:hAnsi="Arial"/>
          <w:sz w:val="16"/>
          <w:szCs w:val="16"/>
          <w:color w:val="auto"/>
        </w:rPr>
        <w:t>INSEEGO CORP.</w:t>
      </w:r>
    </w:p>
    <w:p>
      <w:pPr>
        <w:spacing w:after="0" w:line="185" w:lineRule="exact"/>
        <w:rPr>
          <w:sz w:val="20"/>
          <w:szCs w:val="20"/>
          <w:color w:val="auto"/>
        </w:rPr>
      </w:pPr>
    </w:p>
    <w:p>
      <w:pPr>
        <w:ind w:left="666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S</w:t>
      </w:r>
      <w:r>
        <w:rPr>
          <w:rFonts w:ascii="Arial" w:cs="Arial" w:eastAsia="Arial" w:hAnsi="Arial"/>
          <w:sz w:val="14"/>
          <w:szCs w:val="14"/>
          <w:color w:val="auto"/>
        </w:rPr>
        <w:t>UE</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56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Sue Swenson</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Sue Swenson and Michael Newman, or either of them, as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40" w:type="dxa"/>
            <w:vAlign w:val="bottom"/>
          </w:tcPr>
          <w:p>
            <w:pPr>
              <w:spacing w:after="0"/>
              <w:rPr>
                <w:sz w:val="14"/>
                <w:szCs w:val="14"/>
                <w:color w:val="auto"/>
              </w:rPr>
            </w:pPr>
          </w:p>
        </w:tc>
        <w:tc>
          <w:tcPr>
            <w:tcW w:w="5780" w:type="dxa"/>
            <w:vAlign w:val="bottom"/>
            <w:gridSpan w:val="3"/>
          </w:tcPr>
          <w:p>
            <w:pPr>
              <w:ind w:left="3220"/>
              <w:spacing w:after="0"/>
              <w:rPr>
                <w:sz w:val="20"/>
                <w:szCs w:val="20"/>
                <w:color w:val="auto"/>
              </w:rPr>
            </w:pPr>
            <w:r>
              <w:rPr>
                <w:rFonts w:ascii="Arial" w:cs="Arial" w:eastAsia="Arial" w:hAnsi="Arial"/>
                <w:sz w:val="14"/>
                <w:szCs w:val="14"/>
                <w:b w:val="1"/>
                <w:bCs w:val="1"/>
                <w:color w:val="auto"/>
              </w:rPr>
              <w:t>Title</w:t>
            </w:r>
          </w:p>
        </w:tc>
        <w:tc>
          <w:tcPr>
            <w:tcW w:w="2420" w:type="dxa"/>
            <w:vAlign w:val="bottom"/>
            <w:gridSpan w:val="3"/>
          </w:tcPr>
          <w:p>
            <w:pPr>
              <w:jc w:val="center"/>
              <w:ind w:left="1193"/>
              <w:spacing w:after="0"/>
              <w:rPr>
                <w:sz w:val="20"/>
                <w:szCs w:val="20"/>
                <w:color w:val="auto"/>
              </w:rPr>
            </w:pPr>
            <w:r>
              <w:rPr>
                <w:rFonts w:ascii="Arial" w:cs="Arial" w:eastAsia="Arial" w:hAnsi="Arial"/>
                <w:sz w:val="14"/>
                <w:szCs w:val="14"/>
                <w:b w:val="1"/>
                <w:bCs w:val="1"/>
                <w:color w:val="auto"/>
                <w:w w:val="98"/>
              </w:rPr>
              <w:t>Date</w:t>
            </w:r>
          </w:p>
        </w:tc>
      </w:tr>
      <w:tr>
        <w:trPr>
          <w:trHeight w:val="249"/>
        </w:trPr>
        <w:tc>
          <w:tcPr>
            <w:tcW w:w="1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ind w:left="128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top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 xml:space="preserve">/s/ </w:t>
            </w:r>
            <w:r>
              <w:rPr>
                <w:rFonts w:ascii="Arial" w:cs="Arial" w:eastAsia="Arial" w:hAnsi="Arial"/>
                <w:sz w:val="18"/>
                <w:szCs w:val="18"/>
                <w:color w:val="auto"/>
                <w:w w:val="94"/>
              </w:rPr>
              <w:t>S</w:t>
            </w:r>
            <w:r>
              <w:rPr>
                <w:rFonts w:ascii="Arial" w:cs="Arial" w:eastAsia="Arial" w:hAnsi="Arial"/>
                <w:sz w:val="14"/>
                <w:szCs w:val="14"/>
                <w:color w:val="auto"/>
                <w:w w:val="94"/>
              </w:rPr>
              <w:t>UE</w:t>
            </w:r>
            <w:r>
              <w:rPr>
                <w:rFonts w:ascii="Arial" w:cs="Arial" w:eastAsia="Arial" w:hAnsi="Arial"/>
                <w:sz w:val="18"/>
                <w:szCs w:val="18"/>
                <w:i w:val="1"/>
                <w:iCs w:val="1"/>
                <w:color w:val="auto"/>
                <w:w w:val="94"/>
              </w:rPr>
              <w:t xml:space="preserve"> </w:t>
            </w:r>
            <w:r>
              <w:rPr>
                <w:rFonts w:ascii="Arial" w:cs="Arial" w:eastAsia="Arial" w:hAnsi="Arial"/>
                <w:sz w:val="18"/>
                <w:szCs w:val="18"/>
                <w:color w:val="auto"/>
                <w:w w:val="94"/>
              </w:rPr>
              <w:t>S</w:t>
            </w:r>
            <w:r>
              <w:rPr>
                <w:rFonts w:ascii="Arial" w:cs="Arial" w:eastAsia="Arial" w:hAnsi="Arial"/>
                <w:sz w:val="14"/>
                <w:szCs w:val="14"/>
                <w:color w:val="auto"/>
                <w:w w:val="94"/>
              </w:rPr>
              <w:t>WENSON</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Sue Swenson</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2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EWMAN</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Michael Newman</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 xml:space="preserve">/s/ </w:t>
            </w:r>
            <w:r>
              <w:rPr>
                <w:rFonts w:ascii="Arial" w:cs="Arial" w:eastAsia="Arial" w:hAnsi="Arial"/>
                <w:sz w:val="18"/>
                <w:szCs w:val="18"/>
                <w:color w:val="auto"/>
                <w:w w:val="96"/>
              </w:rPr>
              <w:t>P</w:t>
            </w:r>
            <w:r>
              <w:rPr>
                <w:rFonts w:ascii="Arial" w:cs="Arial" w:eastAsia="Arial" w:hAnsi="Arial"/>
                <w:sz w:val="14"/>
                <w:szCs w:val="14"/>
                <w:color w:val="auto"/>
                <w:w w:val="96"/>
              </w:rPr>
              <w:t>HILIP</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F</w:t>
            </w:r>
            <w:r>
              <w:rPr>
                <w:rFonts w:ascii="Arial" w:cs="Arial" w:eastAsia="Arial" w:hAnsi="Arial"/>
                <w:sz w:val="14"/>
                <w:szCs w:val="14"/>
                <w:color w:val="auto"/>
                <w:w w:val="96"/>
              </w:rPr>
              <w:t>ALCONE</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Philip Falcone</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 xml:space="preserve">/s/ </w:t>
            </w: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i w:val="1"/>
                <w:iCs w:val="1"/>
                <w:color w:val="auto"/>
                <w:w w:val="97"/>
              </w:rPr>
              <w:t xml:space="preserve"> </w:t>
            </w:r>
            <w:r>
              <w:rPr>
                <w:rFonts w:ascii="Arial" w:cs="Arial" w:eastAsia="Arial" w:hAnsi="Arial"/>
                <w:sz w:val="18"/>
                <w:szCs w:val="18"/>
                <w:color w:val="auto"/>
                <w:w w:val="97"/>
              </w:rPr>
              <w:t>L</w:t>
            </w:r>
            <w:r>
              <w:rPr>
                <w:rFonts w:ascii="Arial" w:cs="Arial" w:eastAsia="Arial" w:hAnsi="Arial"/>
                <w:sz w:val="14"/>
                <w:szCs w:val="14"/>
                <w:color w:val="auto"/>
                <w:w w:val="97"/>
              </w:rPr>
              <w:t>EDWITH</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James Ledwith</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 xml:space="preserve">/s/ </w:t>
            </w: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i w:val="1"/>
                <w:iCs w:val="1"/>
                <w:color w:val="auto"/>
                <w:w w:val="93"/>
              </w:rPr>
              <w:t xml:space="preserve"> </w:t>
            </w:r>
            <w:r>
              <w:rPr>
                <w:rFonts w:ascii="Arial" w:cs="Arial" w:eastAsia="Arial" w:hAnsi="Arial"/>
                <w:sz w:val="18"/>
                <w:szCs w:val="18"/>
                <w:color w:val="auto"/>
                <w:w w:val="93"/>
              </w:rPr>
              <w:t>P</w:t>
            </w:r>
            <w:r>
              <w:rPr>
                <w:rFonts w:ascii="Arial" w:cs="Arial" w:eastAsia="Arial" w:hAnsi="Arial"/>
                <w:sz w:val="14"/>
                <w:szCs w:val="14"/>
                <w:color w:val="auto"/>
                <w:w w:val="93"/>
              </w:rPr>
              <w:t>ONS</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Pons</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 xml:space="preserve">/s/ </w:t>
            </w: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W</w:t>
            </w:r>
            <w:r>
              <w:rPr>
                <w:rFonts w:ascii="Arial" w:cs="Arial" w:eastAsia="Arial" w:hAnsi="Arial"/>
                <w:sz w:val="14"/>
                <w:szCs w:val="14"/>
                <w:color w:val="auto"/>
                <w:w w:val="96"/>
              </w:rPr>
              <w:t>ERNER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31, 2017</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David Werner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2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ind w:left="274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0" w:type="dxa"/>
            <w:vAlign w:val="bottom"/>
            <w:shd w:val="clear" w:color="auto" w:fill="CCEEFF"/>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Reports of Independent Registered Public Accounting Firms</w:t>
              </w:r>
            </w:hyperlink>
          </w:p>
        </w:tc>
        <w:tc>
          <w:tcPr>
            <w:tcW w:w="6420" w:type="dxa"/>
            <w:vAlign w:val="bottom"/>
            <w:shd w:val="clear" w:color="auto" w:fill="CCEEFF"/>
          </w:tcPr>
          <w:p>
            <w:pPr>
              <w:ind w:left="5660"/>
              <w:spacing w:after="0"/>
              <w:rPr>
                <w:rFonts w:ascii="Arial" w:cs="Arial" w:eastAsia="Arial" w:hAnsi="Arial"/>
                <w:sz w:val="18"/>
                <w:szCs w:val="18"/>
                <w:color w:val="0000EE"/>
              </w:rPr>
            </w:pPr>
            <w:hyperlink w:anchor="page60">
              <w:r>
                <w:rPr>
                  <w:rFonts w:ascii="Arial" w:cs="Arial" w:eastAsia="Arial" w:hAnsi="Arial"/>
                  <w:sz w:val="18"/>
                  <w:szCs w:val="18"/>
                  <w:color w:val="0000EE"/>
                </w:rPr>
                <w:t>F-2</w:t>
              </w:r>
            </w:hyperlink>
          </w:p>
        </w:tc>
      </w:tr>
      <w:tr>
        <w:trPr>
          <w:trHeight w:val="243"/>
        </w:trPr>
        <w:tc>
          <w:tcPr>
            <w:tcW w:w="5000" w:type="dxa"/>
            <w:vAlign w:val="bottom"/>
          </w:tcPr>
          <w:p>
            <w:pPr>
              <w:ind w:left="40"/>
              <w:spacing w:after="0"/>
              <w:rPr>
                <w:rFonts w:ascii="Arial" w:cs="Arial" w:eastAsia="Arial" w:hAnsi="Arial"/>
                <w:sz w:val="18"/>
                <w:szCs w:val="18"/>
                <w:color w:val="auto"/>
              </w:rPr>
            </w:pPr>
            <w:hyperlink w:anchor="page62">
              <w:r>
                <w:rPr>
                  <w:rFonts w:ascii="Arial" w:cs="Arial" w:eastAsia="Arial" w:hAnsi="Arial"/>
                  <w:sz w:val="18"/>
                  <w:szCs w:val="18"/>
                  <w:color w:val="auto"/>
                </w:rPr>
                <w:t>Consolidated Balance Sheets</w:t>
              </w:r>
            </w:hyperlink>
          </w:p>
        </w:tc>
        <w:tc>
          <w:tcPr>
            <w:tcW w:w="6420" w:type="dxa"/>
            <w:vAlign w:val="bottom"/>
          </w:tcPr>
          <w:p>
            <w:pPr>
              <w:ind w:left="5660"/>
              <w:spacing w:after="0"/>
              <w:rPr>
                <w:rFonts w:ascii="Arial" w:cs="Arial" w:eastAsia="Arial" w:hAnsi="Arial"/>
                <w:sz w:val="18"/>
                <w:szCs w:val="18"/>
                <w:color w:val="0000EE"/>
              </w:rPr>
            </w:pPr>
            <w:hyperlink w:anchor="page62">
              <w:r>
                <w:rPr>
                  <w:rFonts w:ascii="Arial" w:cs="Arial" w:eastAsia="Arial" w:hAnsi="Arial"/>
                  <w:sz w:val="18"/>
                  <w:szCs w:val="18"/>
                  <w:color w:val="0000EE"/>
                </w:rPr>
                <w:t>F-4</w:t>
              </w:r>
            </w:hyperlink>
          </w:p>
        </w:tc>
      </w:tr>
      <w:tr>
        <w:trPr>
          <w:trHeight w:val="27"/>
        </w:trPr>
        <w:tc>
          <w:tcPr>
            <w:tcW w:w="50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Operations</w:t>
            </w:r>
          </w:p>
        </w:tc>
        <w:tc>
          <w:tcPr>
            <w:tcW w:w="6420" w:type="dxa"/>
            <w:vAlign w:val="bottom"/>
            <w:tcBorders>
              <w:bottom w:val="single" w:sz="8" w:color="CCEEFF"/>
            </w:tcBorders>
            <w:shd w:val="clear" w:color="auto" w:fill="CCEEFF"/>
          </w:tcPr>
          <w:p>
            <w:pPr>
              <w:ind w:left="5660"/>
              <w:spacing w:after="0"/>
              <w:rPr>
                <w:rFonts w:ascii="Arial" w:cs="Arial" w:eastAsia="Arial" w:hAnsi="Arial"/>
                <w:sz w:val="18"/>
                <w:szCs w:val="18"/>
                <w:color w:val="0000EE"/>
              </w:rPr>
            </w:pPr>
            <w:hyperlink w:anchor="page63">
              <w:r>
                <w:rPr>
                  <w:rFonts w:ascii="Arial" w:cs="Arial" w:eastAsia="Arial" w:hAnsi="Arial"/>
                  <w:sz w:val="18"/>
                  <w:szCs w:val="18"/>
                  <w:color w:val="0000EE"/>
                </w:rPr>
                <w:t>F-5</w:t>
              </w:r>
            </w:hyperlink>
          </w:p>
        </w:tc>
      </w:tr>
      <w:tr>
        <w:trPr>
          <w:trHeight w:val="243"/>
        </w:trPr>
        <w:tc>
          <w:tcPr>
            <w:tcW w:w="5000" w:type="dxa"/>
            <w:vAlign w:val="bottom"/>
          </w:tcPr>
          <w:p>
            <w:pPr>
              <w:ind w:left="40"/>
              <w:spacing w:after="0"/>
              <w:rPr>
                <w:rFonts w:ascii="Arial" w:cs="Arial" w:eastAsia="Arial" w:hAnsi="Arial"/>
                <w:sz w:val="18"/>
                <w:szCs w:val="18"/>
                <w:color w:val="auto"/>
              </w:rPr>
            </w:pPr>
            <w:hyperlink w:anchor="page64">
              <w:r>
                <w:rPr>
                  <w:rFonts w:ascii="Arial" w:cs="Arial" w:eastAsia="Arial" w:hAnsi="Arial"/>
                  <w:sz w:val="18"/>
                  <w:szCs w:val="18"/>
                  <w:color w:val="auto"/>
                </w:rPr>
                <w:t>Consolidated Statements of Comprehensive Loss</w:t>
              </w:r>
            </w:hyperlink>
          </w:p>
        </w:tc>
        <w:tc>
          <w:tcPr>
            <w:tcW w:w="6420" w:type="dxa"/>
            <w:vAlign w:val="bottom"/>
          </w:tcPr>
          <w:p>
            <w:pPr>
              <w:ind w:left="5660"/>
              <w:spacing w:after="0"/>
              <w:rPr>
                <w:rFonts w:ascii="Arial" w:cs="Arial" w:eastAsia="Arial" w:hAnsi="Arial"/>
                <w:sz w:val="18"/>
                <w:szCs w:val="18"/>
                <w:color w:val="0000EE"/>
              </w:rPr>
            </w:pPr>
            <w:hyperlink w:anchor="page64">
              <w:r>
                <w:rPr>
                  <w:rFonts w:ascii="Arial" w:cs="Arial" w:eastAsia="Arial" w:hAnsi="Arial"/>
                  <w:sz w:val="18"/>
                  <w:szCs w:val="18"/>
                  <w:color w:val="0000EE"/>
                </w:rPr>
                <w:t>F-6</w:t>
              </w:r>
            </w:hyperlink>
          </w:p>
        </w:tc>
      </w:tr>
      <w:tr>
        <w:trPr>
          <w:trHeight w:val="27"/>
        </w:trPr>
        <w:tc>
          <w:tcPr>
            <w:tcW w:w="50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65">
              <w:r>
                <w:rPr>
                  <w:rFonts w:ascii="Arial" w:cs="Arial" w:eastAsia="Arial" w:hAnsi="Arial"/>
                  <w:sz w:val="18"/>
                  <w:szCs w:val="18"/>
                  <w:color w:val="auto"/>
                </w:rPr>
                <w:t xml:space="preserve">Consolidated Statements of Stockholders’ Equity </w:t>
              </w:r>
            </w:hyperlink>
            <w:r>
              <w:rPr>
                <w:rFonts w:ascii="Arial" w:cs="Arial" w:eastAsia="Arial" w:hAnsi="Arial"/>
                <w:sz w:val="18"/>
                <w:szCs w:val="18"/>
                <w:color w:val="auto"/>
              </w:rPr>
              <w:t>(Deficit)</w:t>
            </w:r>
          </w:p>
        </w:tc>
        <w:tc>
          <w:tcPr>
            <w:tcW w:w="6420" w:type="dxa"/>
            <w:vAlign w:val="bottom"/>
            <w:tcBorders>
              <w:bottom w:val="single" w:sz="8" w:color="CCEEFF"/>
            </w:tcBorders>
            <w:shd w:val="clear" w:color="auto" w:fill="CCEEFF"/>
          </w:tcPr>
          <w:p>
            <w:pPr>
              <w:ind w:left="5660"/>
              <w:spacing w:after="0"/>
              <w:rPr>
                <w:rFonts w:ascii="Arial" w:cs="Arial" w:eastAsia="Arial" w:hAnsi="Arial"/>
                <w:sz w:val="18"/>
                <w:szCs w:val="18"/>
                <w:color w:val="0000EE"/>
              </w:rPr>
            </w:pPr>
            <w:hyperlink w:anchor="page65">
              <w:r>
                <w:rPr>
                  <w:rFonts w:ascii="Arial" w:cs="Arial" w:eastAsia="Arial" w:hAnsi="Arial"/>
                  <w:sz w:val="18"/>
                  <w:szCs w:val="18"/>
                  <w:color w:val="0000EE"/>
                </w:rPr>
                <w:t>F-7</w:t>
              </w:r>
            </w:hyperlink>
          </w:p>
        </w:tc>
      </w:tr>
      <w:tr>
        <w:trPr>
          <w:trHeight w:val="243"/>
        </w:trPr>
        <w:tc>
          <w:tcPr>
            <w:tcW w:w="5000" w:type="dxa"/>
            <w:vAlign w:val="bottom"/>
          </w:tcPr>
          <w:p>
            <w:pPr>
              <w:ind w:left="40"/>
              <w:spacing w:after="0"/>
              <w:rPr>
                <w:rFonts w:ascii="Arial" w:cs="Arial" w:eastAsia="Arial" w:hAnsi="Arial"/>
                <w:sz w:val="18"/>
                <w:szCs w:val="18"/>
                <w:color w:val="auto"/>
              </w:rPr>
            </w:pPr>
            <w:hyperlink w:anchor="page66">
              <w:r>
                <w:rPr>
                  <w:rFonts w:ascii="Arial" w:cs="Arial" w:eastAsia="Arial" w:hAnsi="Arial"/>
                  <w:sz w:val="18"/>
                  <w:szCs w:val="18"/>
                  <w:color w:val="auto"/>
                </w:rPr>
                <w:t>Consolidated Statements of Cash Flows</w:t>
              </w:r>
            </w:hyperlink>
          </w:p>
        </w:tc>
        <w:tc>
          <w:tcPr>
            <w:tcW w:w="6420" w:type="dxa"/>
            <w:vAlign w:val="bottom"/>
          </w:tcPr>
          <w:p>
            <w:pPr>
              <w:ind w:left="5660"/>
              <w:spacing w:after="0"/>
              <w:rPr>
                <w:rFonts w:ascii="Arial" w:cs="Arial" w:eastAsia="Arial" w:hAnsi="Arial"/>
                <w:sz w:val="18"/>
                <w:szCs w:val="18"/>
                <w:color w:val="0000EE"/>
              </w:rPr>
            </w:pPr>
            <w:hyperlink w:anchor="page66">
              <w:r>
                <w:rPr>
                  <w:rFonts w:ascii="Arial" w:cs="Arial" w:eastAsia="Arial" w:hAnsi="Arial"/>
                  <w:sz w:val="18"/>
                  <w:szCs w:val="18"/>
                  <w:color w:val="0000EE"/>
                </w:rPr>
                <w:t>F-8</w:t>
              </w:r>
            </w:hyperlink>
          </w:p>
        </w:tc>
      </w:tr>
      <w:tr>
        <w:trPr>
          <w:trHeight w:val="27"/>
        </w:trPr>
        <w:tc>
          <w:tcPr>
            <w:tcW w:w="50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Notes to Consolidated Financial Statements</w:t>
              </w:r>
            </w:hyperlink>
          </w:p>
        </w:tc>
        <w:tc>
          <w:tcPr>
            <w:tcW w:w="6420" w:type="dxa"/>
            <w:vAlign w:val="bottom"/>
            <w:tcBorders>
              <w:bottom w:val="single" w:sz="8" w:color="CCEEFF"/>
            </w:tcBorders>
            <w:shd w:val="clear" w:color="auto" w:fill="CCEEFF"/>
          </w:tcPr>
          <w:p>
            <w:pPr>
              <w:ind w:left="5660"/>
              <w:spacing w:after="0"/>
              <w:rPr>
                <w:rFonts w:ascii="Arial" w:cs="Arial" w:eastAsia="Arial" w:hAnsi="Arial"/>
                <w:sz w:val="18"/>
                <w:szCs w:val="18"/>
                <w:color w:val="0000EE"/>
              </w:rPr>
            </w:pPr>
            <w:hyperlink w:anchor="page68">
              <w:r>
                <w:rPr>
                  <w:rFonts w:ascii="Arial" w:cs="Arial" w:eastAsia="Arial" w:hAnsi="Arial"/>
                  <w:sz w:val="18"/>
                  <w:szCs w:val="18"/>
                  <w:color w:val="0000EE"/>
                </w:rPr>
                <w:t>F-9</w:t>
              </w:r>
            </w:hyperlink>
          </w:p>
        </w:tc>
      </w:tr>
      <w:tr>
        <w:trPr>
          <w:trHeight w:val="243"/>
        </w:trPr>
        <w:tc>
          <w:tcPr>
            <w:tcW w:w="5000" w:type="dxa"/>
            <w:vAlign w:val="bottom"/>
          </w:tcPr>
          <w:p>
            <w:pPr>
              <w:ind w:left="40"/>
              <w:spacing w:after="0"/>
              <w:rPr>
                <w:rFonts w:ascii="Arial" w:cs="Arial" w:eastAsia="Arial" w:hAnsi="Arial"/>
                <w:sz w:val="18"/>
                <w:szCs w:val="18"/>
                <w:color w:val="auto"/>
              </w:rPr>
            </w:pPr>
            <w:hyperlink w:anchor="page103">
              <w:r>
                <w:rPr>
                  <w:rFonts w:ascii="Arial" w:cs="Arial" w:eastAsia="Arial" w:hAnsi="Arial"/>
                  <w:sz w:val="18"/>
                  <w:szCs w:val="18"/>
                  <w:color w:val="auto"/>
                </w:rPr>
                <w:t>Schedule II: Valuation and Qualifying Accounts</w:t>
              </w:r>
            </w:hyperlink>
          </w:p>
        </w:tc>
        <w:tc>
          <w:tcPr>
            <w:tcW w:w="6420" w:type="dxa"/>
            <w:vAlign w:val="bottom"/>
          </w:tcPr>
          <w:p>
            <w:pPr>
              <w:ind w:left="5660"/>
              <w:spacing w:after="0"/>
              <w:rPr>
                <w:rFonts w:ascii="Arial" w:cs="Arial" w:eastAsia="Arial" w:hAnsi="Arial"/>
                <w:sz w:val="18"/>
                <w:szCs w:val="18"/>
                <w:color w:val="0000EE"/>
              </w:rPr>
            </w:pPr>
            <w:hyperlink w:anchor="page103">
              <w:r>
                <w:rPr>
                  <w:rFonts w:ascii="Arial" w:cs="Arial" w:eastAsia="Arial" w:hAnsi="Arial"/>
                  <w:sz w:val="18"/>
                  <w:szCs w:val="18"/>
                  <w:color w:val="0000EE"/>
                </w:rPr>
                <w:t>F-44</w:t>
              </w:r>
            </w:hyperlink>
          </w:p>
        </w:tc>
      </w:tr>
      <w:tr>
        <w:trPr>
          <w:trHeight w:val="486"/>
        </w:trPr>
        <w:tc>
          <w:tcPr>
            <w:tcW w:w="5000" w:type="dxa"/>
            <w:vAlign w:val="bottom"/>
          </w:tcPr>
          <w:p>
            <w:pPr>
              <w:spacing w:after="0"/>
              <w:rPr>
                <w:sz w:val="24"/>
                <w:szCs w:val="24"/>
                <w:color w:val="auto"/>
              </w:rPr>
            </w:pPr>
          </w:p>
        </w:tc>
        <w:tc>
          <w:tcPr>
            <w:tcW w:w="6420" w:type="dxa"/>
            <w:vAlign w:val="bottom"/>
          </w:tcPr>
          <w:p>
            <w:pPr>
              <w:ind w:left="58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364" w:right="239" w:bottom="1440" w:gutter="0" w:footer="0" w:header="0"/>
        </w:sectPr>
      </w:pPr>
    </w:p>
    <w:bookmarkStart w:id="59" w:name="page60"/>
    <w:bookmarkEnd w:id="59"/>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Inseego Corp.</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 of Inseego Corp. as of December 31, 2016, and the related consolidated statements of operations, comprehensive loss, stockholders’ equity (deficit), and cash flows for the year then ended.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Inseego Corp. at December 31, 2016, and the consolidated results of its operations and its cash flows for the year then ended,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Inseego Corp.’s internal control over financial reporting as of December 31, 2016, based on criteria established in Internal Control - Integrated Framework issued by the Committee of Sponsoring Organizations of the Treadway Commission (2013 framework), and our report dated March 31, 2017, expressed an adverse opinion on the effectiveness of Inseego Corp.’s internal control over financial reporting.</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MAYER HOFFMAN MCCANN P.C.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364"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 (predecessor issuer to Inseego Corp.)</w:t>
      </w:r>
    </w:p>
    <w:p>
      <w:pPr>
        <w:spacing w:after="0" w:line="21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audited the accompanying consolidated balance sheet of Novatel Wireless, Inc. as of December 31, 2015, and the related consolidated statements of operations, comprehensive loss, stockholders’ equity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Novatel Wireless, Inc. at December 31, 2015, and the consolidated results of its operations and its cash flows for each of the two years in the period ended December 31, 2015, in conformity with U.S. generally accepted accounting principles.</w:t>
      </w:r>
    </w:p>
    <w:p>
      <w:pPr>
        <w:spacing w:after="0" w:line="20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364"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388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 for doubtful accounts of $1,660 and $601, respectively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22,203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35,263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31,142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55,837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6,039</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68,447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110,976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34,428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29,520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158,716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198,753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 (DEFICIT)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35,286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27,897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25,613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62,377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64,212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90,908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82,461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4,439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18,142</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176,443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168,290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rPr>
              <w:t>Common stock, par value $0.001; 150,000,000 shares authorized, 54,372,080 and 53,165,024 shares issued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600"/>
              <w:spacing w:after="0"/>
              <w:rPr>
                <w:sz w:val="20"/>
                <w:szCs w:val="20"/>
                <w:color w:val="auto"/>
              </w:rPr>
            </w:pPr>
            <w:r>
              <w:rPr>
                <w:rFonts w:ascii="Arial" w:cs="Arial" w:eastAsia="Arial" w:hAnsi="Arial"/>
                <w:sz w:val="16"/>
                <w:szCs w:val="16"/>
                <w:color w:val="auto"/>
              </w:rPr>
              <w:t>outstanding,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507,616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502,337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(524,024)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(463,451)</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 (deficit) attributable to Inseego Corp.</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(17,763)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 (deficit)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(17,727)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stockholders’ equity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158,716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198,753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183,976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56,180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17,661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243,555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185,245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148,141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167,227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161,989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148,198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37,047</w:t>
            </w:r>
          </w:p>
        </w:tc>
        <w:tc>
          <w:tcPr>
            <w:tcW w:w="0" w:type="dxa"/>
            <w:vAlign w:val="bottom"/>
          </w:tcPr>
          <w:p>
            <w:pPr>
              <w:spacing w:after="0"/>
              <w:rPr>
                <w:sz w:val="1"/>
                <w:szCs w:val="1"/>
                <w:color w:val="auto"/>
              </w:rPr>
            </w:pP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34,314</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29,782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20,899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13,792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purchased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Shareholder litigation loss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7,760</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121,332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96,744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72,620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change in acquisition-related escrow</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Recognition of beneficial conversion feature</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Net loss per share attributable to common shareholders: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53,911,270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52,767,230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37,958,846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gain (loss):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Unrealized loss on marketable securities, net of tax</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(39,234)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6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10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900" w:type="dxa"/>
            <w:vAlign w:val="bottom"/>
          </w:tcPr>
          <w:p>
            <w:pPr>
              <w:jc w:val="center"/>
              <w:ind w:right="49"/>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2013</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34,097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441,368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44,916</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(39,229)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(39,229)</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Unrealized loss on marketable securities,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vesting of restricted stock</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units and stock issued under employee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litigation settlement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 with</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financing transaction, net of issuance costs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in connection with the</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conversion of Series C preferred stock</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Beneficial conversion feature of convertible Series C</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Reclassification of warrant liability</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8,219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2014</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45,742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466,665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30,546</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(8,507)</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Noncontrolling interest acquired in Ctrack acquisition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vesting of restricted stock</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units and stock issued under employee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Exercise of a portion of 2014 Warrant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for retention bonus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Discount on convertible senior notes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38,305</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w w:val="99"/>
              </w:rPr>
              <w:t>Fair value of DigiCore replacement options granted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 of treasury stock</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53,165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502,337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30,463</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(60,568)</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7,098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Exercise of stock options, vesting of restricted stock</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units and stock issued under employee stock</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Taxes withheld on net settled vesting of restricted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54,372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507,616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(524,024)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(17,727)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850" w:right="239" w:bottom="1440" w:gutter="0" w:footer="0" w:header="0"/>
          <w:type w:val="continuous"/>
        </w:sectPr>
      </w:pPr>
    </w:p>
    <w:bookmarkStart w:id="65" w:name="page66"/>
    <w:bookmarkEnd w:id="65"/>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r>
      <w:tr>
        <w:trPr>
          <w:trHeight w:val="216"/>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7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82"/>
                <w:shd w:val="clear" w:color="auto" w:fill="CCEEFF"/>
              </w:rPr>
              <w:t>Net loss</w:t>
            </w:r>
          </w:p>
        </w:tc>
        <w:tc>
          <w:tcPr>
            <w:tcW w:w="67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(39,229)</w:t>
            </w:r>
          </w:p>
        </w:tc>
      </w:tr>
      <w:tr>
        <w:trPr>
          <w:trHeight w:val="68"/>
        </w:trPr>
        <w:tc>
          <w:tcPr>
            <w:tcW w:w="720" w:type="dxa"/>
            <w:vAlign w:val="bottom"/>
            <w:shd w:val="clear" w:color="auto" w:fill="CCEEFF"/>
          </w:tcPr>
          <w:p>
            <w:pPr>
              <w:spacing w:after="0"/>
              <w:rPr>
                <w:sz w:val="5"/>
                <w:szCs w:val="5"/>
                <w:color w:val="auto"/>
              </w:rPr>
            </w:pPr>
          </w:p>
        </w:tc>
        <w:tc>
          <w:tcPr>
            <w:tcW w:w="67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7,408</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Amortization of acquisition-related inventory step-up</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Loss on impairment of 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Provision for bad debts, net of recoveries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86</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Loss on impairment of abandoned product line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Provision for excess and obsolete inventory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3,382</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6,350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3,588</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Amortization of debt discount and debt issuance costs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Gain on divestiture and sale of other assets, net of 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3,280</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Non-cash change in acquisition-related escrow</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8,286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87</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Non-cash equity earn-out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Reversal of market development fund accrual</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Changes in assets and liabilities, net of effects from acquisitions and divestiture: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4,760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15,688</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(13,392)</w:t>
            </w: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2,683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(2,403)</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10,036</w:t>
            </w: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Accrued expenses, income taxes, and other</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(4,798)</w:t>
            </w:r>
          </w:p>
        </w:tc>
      </w:tr>
      <w:tr>
        <w:trPr>
          <w:trHeight w:val="55"/>
        </w:trPr>
        <w:tc>
          <w:tcPr>
            <w:tcW w:w="720" w:type="dxa"/>
            <w:vAlign w:val="bottom"/>
            <w:tcBorders>
              <w:bottom w:val="single" w:sz="8" w:color="CCEEFF"/>
            </w:tcBorders>
          </w:tcPr>
          <w:p>
            <w:pPr>
              <w:spacing w:after="0"/>
              <w:rPr>
                <w:sz w:val="4"/>
                <w:szCs w:val="4"/>
                <w:color w:val="auto"/>
              </w:rPr>
            </w:pPr>
          </w:p>
        </w:tc>
        <w:tc>
          <w:tcPr>
            <w:tcW w:w="67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(16,267)</w:t>
            </w:r>
          </w:p>
        </w:tc>
      </w:tr>
      <w:tr>
        <w:trPr>
          <w:trHeight w:val="209"/>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Acquisition-related escrow</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(85,991)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the sale of divested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Purchases of intangible assets and additions to capitalized software development costs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the sale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Marketable securities maturities / sales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23,975</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(97,087)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20,432</w:t>
            </w:r>
          </w:p>
        </w:tc>
      </w:tr>
      <w:tr>
        <w:trPr>
          <w:trHeight w:val="41"/>
        </w:trPr>
        <w:tc>
          <w:tcPr>
            <w:tcW w:w="720" w:type="dxa"/>
            <w:vAlign w:val="bottom"/>
            <w:tcBorders>
              <w:bottom w:val="single" w:sz="8" w:color="CCEEFF"/>
            </w:tcBorders>
          </w:tcPr>
          <w:p>
            <w:pPr>
              <w:spacing w:after="0"/>
              <w:rPr>
                <w:sz w:val="3"/>
                <w:szCs w:val="3"/>
                <w:color w:val="auto"/>
              </w:rPr>
            </w:pPr>
          </w:p>
        </w:tc>
        <w:tc>
          <w:tcPr>
            <w:tcW w:w="67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Gross proceeds from the issuance of convertible senior notes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Payment of issuance costs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Proceeds from the exercise of warrant to purchase common stock</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8,644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Net borrowings from (repayments of) DigiCore bank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borrowings from (repayments of) revolving credit facility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5,158</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Payoff of acquisition-related assumed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Proceeds from the issuance of Series C preferred stock and common stock, net of issuance costs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14,163</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Principal repayments of 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Repayment of litigation settlement note payable, including interest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(5,026)</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4"/>
              </w:rPr>
              <w:t>Proceeds from stock option exercises and employee stock purchase plan, net of taxes paid on vested restricted stock units</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1,007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119,167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10,908</w:t>
            </w:r>
          </w:p>
        </w:tc>
      </w:tr>
      <w:tr>
        <w:trPr>
          <w:trHeight w:val="41"/>
        </w:trPr>
        <w:tc>
          <w:tcPr>
            <w:tcW w:w="720" w:type="dxa"/>
            <w:vAlign w:val="bottom"/>
          </w:tcPr>
          <w:p>
            <w:pPr>
              <w:spacing w:after="0"/>
              <w:rPr>
                <w:sz w:val="3"/>
                <w:szCs w:val="3"/>
                <w:color w:val="auto"/>
              </w:rPr>
            </w:pPr>
          </w:p>
        </w:tc>
        <w:tc>
          <w:tcPr>
            <w:tcW w:w="6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decrease in cash and cash equivalents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14,942</w:t>
            </w:r>
          </w:p>
        </w:tc>
      </w:tr>
      <w:tr>
        <w:trPr>
          <w:trHeight w:val="41"/>
        </w:trPr>
        <w:tc>
          <w:tcPr>
            <w:tcW w:w="720" w:type="dxa"/>
            <w:vAlign w:val="bottom"/>
          </w:tcPr>
          <w:p>
            <w:pPr>
              <w:spacing w:after="0"/>
              <w:rPr>
                <w:sz w:val="3"/>
                <w:szCs w:val="3"/>
                <w:color w:val="auto"/>
              </w:rPr>
            </w:pPr>
          </w:p>
        </w:tc>
        <w:tc>
          <w:tcPr>
            <w:tcW w:w="6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2,911</w:t>
            </w:r>
          </w:p>
        </w:tc>
      </w:tr>
      <w:tr>
        <w:trPr>
          <w:trHeight w:val="30"/>
        </w:trPr>
        <w:tc>
          <w:tcPr>
            <w:tcW w:w="7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845" w:right="239" w:bottom="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9,894</w:t>
            </w:r>
          </w:p>
        </w:tc>
        <w:tc>
          <w:tcPr>
            <w:tcW w:w="100" w:type="dxa"/>
            <w:vAlign w:val="bottom"/>
          </w:tcPr>
          <w:p>
            <w:pPr>
              <w:spacing w:after="0"/>
              <w:rPr>
                <w:sz w:val="14"/>
                <w:szCs w:val="14"/>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12,570</w:t>
            </w:r>
          </w:p>
        </w:tc>
        <w:tc>
          <w:tcPr>
            <w:tcW w:w="120" w:type="dxa"/>
            <w:vAlign w:val="bottom"/>
          </w:tcPr>
          <w:p>
            <w:pPr>
              <w:spacing w:after="0"/>
              <w:rPr>
                <w:sz w:val="14"/>
                <w:szCs w:val="14"/>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17,853</w:t>
            </w:r>
          </w:p>
        </w:tc>
      </w:tr>
      <w:tr>
        <w:trPr>
          <w:trHeight w:val="81"/>
        </w:trPr>
        <w:tc>
          <w:tcPr>
            <w:tcW w:w="74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18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68"/>
        </w:trPr>
        <w:tc>
          <w:tcPr>
            <w:tcW w:w="74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Cash paid during the year for:</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55"/>
        </w:trPr>
        <w:tc>
          <w:tcPr>
            <w:tcW w:w="7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Interest</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119</w:t>
            </w:r>
          </w:p>
        </w:tc>
      </w:tr>
      <w:tr>
        <w:trPr>
          <w:trHeight w:val="216"/>
        </w:trPr>
        <w:tc>
          <w:tcPr>
            <w:tcW w:w="7440" w:type="dxa"/>
            <w:vAlign w:val="bottom"/>
          </w:tcPr>
          <w:p>
            <w:pPr>
              <w:ind w:left="500"/>
              <w:spacing w:after="0"/>
              <w:rPr>
                <w:sz w:val="20"/>
                <w:szCs w:val="20"/>
                <w:color w:val="auto"/>
              </w:rPr>
            </w:pPr>
            <w:r>
              <w:rPr>
                <w:rFonts w:ascii="Arial" w:cs="Arial" w:eastAsia="Arial" w:hAnsi="Arial"/>
                <w:sz w:val="14"/>
                <w:szCs w:val="14"/>
                <w:color w:val="auto"/>
              </w:rPr>
              <w:t>Income taxes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8"/>
                <w:szCs w:val="18"/>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8"/>
                <w:szCs w:val="18"/>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108</w:t>
            </w:r>
          </w:p>
        </w:tc>
      </w:tr>
      <w:tr>
        <w:trPr>
          <w:trHeight w:val="55"/>
        </w:trPr>
        <w:tc>
          <w:tcPr>
            <w:tcW w:w="7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non-cash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Transfer of inventories to rental assets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5,568</w:t>
            </w:r>
          </w:p>
        </w:tc>
        <w:tc>
          <w:tcPr>
            <w:tcW w:w="100" w:type="dxa"/>
            <w:vAlign w:val="bottom"/>
          </w:tcPr>
          <w:p>
            <w:pPr>
              <w:spacing w:after="0"/>
              <w:rPr>
                <w:sz w:val="18"/>
                <w:szCs w:val="18"/>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8"/>
                <w:szCs w:val="18"/>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Issuance of common stock for litigation settlement</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5,000</w:t>
            </w: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Initial fair value of warrant liability recorded upon issuance of Series C preferred and common stock</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4,939</w:t>
            </w:r>
          </w:p>
        </w:tc>
      </w:tr>
      <w:tr>
        <w:trPr>
          <w:trHeight w:val="55"/>
        </w:trPr>
        <w:tc>
          <w:tcPr>
            <w:tcW w:w="7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1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conversion of Series C preferred stock</w:t>
            </w:r>
          </w:p>
        </w:tc>
        <w:tc>
          <w:tcPr>
            <w:tcW w:w="48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940</w:t>
            </w:r>
          </w:p>
        </w:tc>
      </w:tr>
      <w:tr>
        <w:trPr>
          <w:trHeight w:val="55"/>
        </w:trPr>
        <w:tc>
          <w:tcPr>
            <w:tcW w:w="74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2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jc w:val="both"/>
        <w:ind w:right="360" w:firstLine="405"/>
        <w:spacing w:after="0" w:line="312" w:lineRule="auto"/>
        <w:rPr>
          <w:sz w:val="20"/>
          <w:szCs w:val="20"/>
          <w:color w:val="auto"/>
        </w:rPr>
      </w:pPr>
      <w:r>
        <w:rPr>
          <w:rFonts w:ascii="Arial" w:cs="Arial" w:eastAsia="Arial" w:hAnsi="Arial"/>
          <w:sz w:val="16"/>
          <w:szCs w:val="16"/>
          <w:color w:val="auto"/>
        </w:rPr>
        <w:t>Inseego Corp. (the “Company” or “Inseego”) is a leading global provider of software-as-a-service (“SaaS”) and solutions for the Internet of Things (“IoT”). The Company sells telematics solutions globally under the Ctrack™ brand, including its fleet management, asset tracking and monitoring, stolen vehicle recovery and usage-based insurance platforms. The Company also sells connectivity solutions and device management services.</w:t>
      </w:r>
    </w:p>
    <w:p>
      <w:pPr>
        <w:spacing w:after="0" w:line="20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Inseego is a Delaware corporation formed in 2016 and is the successor to Novatel Wireless, Inc., a Delaware corporation formed in 1996 (“Novatel Wireless”), as a result of an internal reorganization that was completed in November 2016 (the “Reorganization”) to separate the Company’s MiFi branded hotspots and USB modem product lines (the “MiFi Business”) from the assets and liabilities associated with its Ctrack fleet and vehicle telematics solutions and its business connectivity and device management solutions (see Note 2). Upon completion of the Reorganization, Novatel Wireless became a wholly-owned subsidiary of Inseego and Novatel Wireless’s former stockholders became stockholders of Inseego, with shares of Inseego common stock trading on The NASDAQ Global Select Market under the trading symbol “INSG.”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has recently incurred operating losses and had a net loss attributable to common shareholders of $60.6 million during the year ended December 31, 2016. As of December 31, 2016, the Company had available cash and cash equivalents totaling $9.9 million, and working capital of $6.1 million. The Company’s ability to transition towards attaining profitable operations is dependent upon achieving a level of revenues adequate to support its cost structure. If events or circumstances occur such that the Company does not meet its operating plan as expected, the Company may be required to reduce planned research and development activities, incur additional restructuring charges or reduce other operating expenses which could have an adverse impact on its ability to achieve its intended business objectives. These additional reductions in expenditures, if required, could have an adverse impact on the Company’s ability to achieve certain of its business objectives. The Company’s management believes that its cash and cash equivalents and availability under its revolving credit facility, together with anticipated cash flows from operations and proceeds from the completion of the pending sale of the MiFi Business, will be sufficient to meet its working capital needs for the next twelve months following the filing date of this report.</w:t>
      </w:r>
    </w:p>
    <w:p>
      <w:pPr>
        <w:spacing w:after="0" w:line="22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Company’s historical operating results, primarily those related to the MiFi Business, indicate that substantial doubt exists related to the Company’s ability to continue as a going concern. The Company’s management believes that the closing of the sale of the MiFi Business is probable of occurring and mitigating the substantial doubt raised by the Company’s historical operating results and will satisfy its liquidity needs for the twelve months following the filing date of this report. In the unlikely event that the sale of the MiFi Business does not close, the Company would require an alternative source of financing to divest the MiFi Business elsewhere or to otherwise streamline the MiFi Business as may be needed. The Company has had discussions with potential financing sources, and the Company’s management believes that it is probable that such financing would be available to the Company based on terms that have been presented to the Company by financial sources.</w:t>
      </w:r>
    </w:p>
    <w:p>
      <w:pPr>
        <w:spacing w:after="0" w:line="23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cannot predict, with certainty, the outcome of the sale of the MiFi Business or any other activities to generate liquidity, including the availability of additional financing. If the Company is not able to generate additional liquidity through the mechanisms described above or through some combination of other actions, while not expected, the Company may not be able to access funds under its Revolver, and may need to secure additional sources of funds, which may or may not be available to the Company. Additionally, a failure to generate additional liquidity could negatively impact the Company’s access to production, inventory or services that are important to the operation of its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53"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The Company does not provide separate segment reporting for its various lines of business. The Chief Executive Officer, who is also the Chief Operating Decision Maker, evaluates the business as a single entity and reviews financial information and makes business decisions based on the overall results of the business. As such, the Company's operations constitute a single operating segment and one reportable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The Company’s cash and cash equivalents consist of money market funds. Cash and cash equivalents are recorded at market value, which approximates cost. Gains and losses associated with the Company’s foreign currency denominated demand deposits are recorded as a component of other income (expense), net,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its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11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23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initially stated at cost and depreciated using the straight-line method. Test equipment, computer equipment, purchased software, furniture and fixtures, product tooling and vehicles are depreciated over lives ranging from eighteen months to six years. Leasehold improvements are depreciated over the shorter of the related remaining lease period or useful life. Buildings are depreciated over 50 years. Land is not depreciated. Amortization of equipment under capital leases is included in depreciation expense.</w:t>
      </w:r>
    </w:p>
    <w:p>
      <w:pPr>
        <w:spacing w:after="0" w:line="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cost of rental assets, which represents fleet management and vehicle tracking solutions installed in customers’ vehicles where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553"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Software development costs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of the software (see Note 4).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Use Software</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property, plant and equipment and are amortized on a straight-line basis over the estimated useful life of the software, which is generally five years.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Intangible assets include purchased finite-lived and indefinite-lived intangible assets resulting from the acquisitions of DigiCore Holdings Limited (“DigiCore” or “Ctrack”), Feeney Wireless, LLC (“FW”) and Enfora, Inc. (“Enfora”), along with the costs of non-exclusive and perpetual worldwide software technology licenses and capitalized software developments costs. Finite-lived intangible assets are amortized on on a straight-line basis over the estimated useful lives of the assets (see Note 4).</w:t>
      </w:r>
    </w:p>
    <w:p>
      <w:pPr>
        <w:spacing w:after="0" w:line="7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Indefinite-lived assets, including goodwill, in-process research and development and in-process capitalized software development costs,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No impairment of indefinite-lived intangible assets was recognized during the years ended December 31, 2016, 2015 and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200" w:firstLine="432"/>
        <w:spacing w:after="0" w:line="287"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 ended December 31, 2016, the Company recorded an impairment loss related to long-lived assets of approximately $2.7 million, which is included in impairment of purchased intangibles and other income (expense), net, in the consolidated statements of operations. For the year ended December 31, 2015, the Company recorded an impairment loss related to long-lived assets of approximately $27,000, which is included in cost of net revenues in the consolidated statements of operations. No impairment of long-lived assets was recognized during the year ended December 31, 2014.</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553"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Company evaluates stock options, stock warrants and other contracts to determine if those contracts or embedded components of those contracts qualify as derivative financial instruments to be separately accounted for under the relevant sections of the Financial Accounting Standards Board (“FASB”) Accounting Standards Codification (“ASC”).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2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24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22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242"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117"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 xml:space="preserve">Gains or losses from divested operations and assets that do not qualify for treatment as discontinued operations under ASC 205-20,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Statements—Discontinued Operations</w:t>
      </w:r>
      <w:r>
        <w:rPr>
          <w:rFonts w:ascii="Arial" w:cs="Arial" w:eastAsia="Arial" w:hAnsi="Arial"/>
          <w:sz w:val="16"/>
          <w:szCs w:val="16"/>
          <w:color w:val="auto"/>
        </w:rPr>
        <w:t>, are recorded as other income (expense), net, in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24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Company is required to estimate future sublease income and future net operating expenses of the facilities, among other expenses. The most significant of these estimates relate to the timing and extent of future sublease income which reduce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55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are settleable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32"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Upon issuance,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During the year ended December 31, 2016, the Company generated a portion of its revenue from the sale of wireless modems to wireless operators, OEM customers and value added resellers and distributors. In addition, the Company generates revenue from the 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the Company will not recognize revenue until both title and risk of loss have transferred to the customer. Revenues from SaaS services are recognized pro-rata over the contract term. The Company records deferred revenue for cash payments received from customers in advance of when revenue recognition criteria are met. The Company has granted price protection to certain customers in accordance with the provisions of the respective contracts and tracks pricing and other terms offered to customers buying similar products to assess compliance with these provisions. The Company estimates the amount of price protection for current period product sales utilizing historical experience and information regarding customer inventory levels. To date, the Company has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the Company, or the fair value of the advertising benefit cannot be reliably estimated, such amounts are recorded as a reduction of revenue. The Company establishes a reserve for estimated product returns allowances in the period in which revenue is recognized. In estimating future product returns, the Company considers various factors, including its stated return policies and practices and historical trends.</w:t>
      </w:r>
    </w:p>
    <w:p>
      <w:pPr>
        <w:spacing w:after="0" w:line="19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of the Company’s revenues represent the sale of hardware with accompanied software that is essential to the functionality of the hardware. In such instances, the Company records revenue associated with the agreed upon price on hardware sales, and accrues any estimated costs of post-delivery performance obligations such as warranty obligations. The Company considers the four basic revenue recognition criteria when assessing appropriate revenue recognition as follows:</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#2 — Delivery has occurred;</w:t>
      </w:r>
    </w:p>
    <w:p>
      <w:pPr>
        <w:spacing w:after="0" w:line="63" w:lineRule="exact"/>
        <w:rPr>
          <w:sz w:val="20"/>
          <w:szCs w:val="20"/>
          <w:color w:val="auto"/>
        </w:rPr>
      </w:pPr>
    </w:p>
    <w:p>
      <w:pPr>
        <w:ind w:left="1320" w:right="4240"/>
        <w:spacing w:after="0" w:line="340" w:lineRule="auto"/>
        <w:rPr>
          <w:sz w:val="20"/>
          <w:szCs w:val="20"/>
          <w:color w:val="auto"/>
        </w:rPr>
      </w:pPr>
      <w:r>
        <w:rPr>
          <w:rFonts w:ascii="Arial" w:cs="Arial" w:eastAsia="Arial" w:hAnsi="Arial"/>
          <w:sz w:val="18"/>
          <w:szCs w:val="18"/>
          <w:color w:val="auto"/>
        </w:rPr>
        <w:t>Criterion #3 — The seller’s price to the buyer must be fixed or determinable; and Criterion #4 — Collectability is reasonably assured.</w:t>
      </w:r>
    </w:p>
    <w:p>
      <w:pPr>
        <w:spacing w:after="0" w:line="62"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For multiple element arrangements, total consideration received from customers is allocated to the elements. This may include hardware, leased elements, non-essential software elements and/or essential software, based on a relative selling price. The accounting guidance establishes a hierarchy to determine the selling price to be used for allocating revenue to deliverables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553"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follows: (i) vendors specific objective evidence (“VSOE”), (ii) third party evidence (“TPE”), and (iii) best estimate of selling price (“BESP”).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29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Company’s process for determining its BESP for deliverables without VSOE or TPE considers multiple factors that may vary depending upon the unique facts and circumstances related to each deliverable. The Company’s prices are determined based upon cost to produce the products, expected order quantities, acceptance in the marketplace and internal pricing parameters. In addition, when developing BESPs for products the Company may consider other factors as appropriate including the pricing of competitive alternatives if they exist, and product-specific business objectives.</w:t>
      </w:r>
    </w:p>
    <w:p>
      <w:pPr>
        <w:spacing w:after="0" w:line="262" w:lineRule="exact"/>
        <w:rPr>
          <w:sz w:val="20"/>
          <w:szCs w:val="20"/>
          <w:color w:val="auto"/>
        </w:rPr>
      </w:pPr>
    </w:p>
    <w:p>
      <w:pPr>
        <w:ind w:right="820" w:firstLine="432"/>
        <w:spacing w:after="0" w:line="342" w:lineRule="auto"/>
        <w:rPr>
          <w:sz w:val="20"/>
          <w:szCs w:val="20"/>
          <w:color w:val="auto"/>
        </w:rPr>
      </w:pPr>
      <w:r>
        <w:rPr>
          <w:rFonts w:ascii="Arial" w:cs="Arial" w:eastAsia="Arial" w:hAnsi="Arial"/>
          <w:sz w:val="16"/>
          <w:szCs w:val="16"/>
          <w:color w:val="auto"/>
        </w:rPr>
        <w:t>The Company accounts for nonessential software licenses and related post contract support (“PCS”) under multiple element arrangements by recognizing revenue for such arrangements ratably over the term of the PCS as it has not established VSOE for the PCS element.</w:t>
      </w:r>
    </w:p>
    <w:p>
      <w:pPr>
        <w:spacing w:after="0" w:line="23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The Company provides SaaS subscriptions for its fleet management and vehicle finance applications in which customers are provided with the ability to wirelessly communicate with monitoring devices installed in vehicles and other mobile assets via software applications hosted by the Company. The customer has the option to purchase the monitoring device or lease it over the term of the contract. If the customer purchases the monitoring device, the Company recognizes the revenue at the time of purchase. If the customer chooses to lease the monitoring device, the Company recognizes the revenue for the monitoring device over the term of the contract, which is generally three years. The Company records such revenue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as it has determined that they qualify as operating leases. The Company recognizes revenues from SaaS services over the term of the contract.</w:t>
      </w:r>
    </w:p>
    <w:p>
      <w:pPr>
        <w:spacing w:after="0" w:line="21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Certain of the Company’s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the Company uses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the customer’s fee includes a portion of charges that are paid to another party and the Company is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are collected from the customer by the Company and remitted to the other party are considered pass through amounts and accordingly are not a component of net revenues or cost of net revenues.</w:t>
      </w:r>
    </w:p>
    <w:p>
      <w:pPr>
        <w:spacing w:after="0" w:line="30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 occasionally enters into transactions where it provides consideration to its customers in the form of credits for certain raw materials received that are used in the finished goods purchased by the same customer. The Company accounts for such credits to customers as a reduction of net revenues because it is unable to demonstrate the receipt of a benefit that is identifiable and sufficiently separable from the revenue transaction and reasonably estimate the fair value of the benefit identified. Significant management judgment and estimates must be used to determine the fair value of the benefit received in any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Warranty Costs</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accrues warranty costs based on estimates of future warranty related replacement, repairs or rework of products. The Company’s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cost to replace or repair products under warranty. The warranty provision for the Company’s products is determined by using a financial model to estimate future warranty costs. The Company’s financial model takes into consideration actual product failure rates;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553"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estimated replacement, repair or rework expenses; and potential risks associated with its different products. The risk levels, warranty cost information and failure rates used within this model are reviewed throughout the year and updated, if and when, these inputs change.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 on these transactions that result from foreign currency changes in the period in which they occur as foreign currency transaction gain (loss), which is recorded as other income (expense), net,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243"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ind w:right="120"/>
        <w:spacing w:after="0" w:line="261" w:lineRule="auto"/>
        <w:rPr>
          <w:sz w:val="20"/>
          <w:szCs w:val="20"/>
          <w:color w:val="auto"/>
        </w:rPr>
      </w:pPr>
      <w:r>
        <w:rPr>
          <w:rFonts w:ascii="Arial" w:cs="Arial" w:eastAsia="Arial" w:hAnsi="Arial"/>
          <w:sz w:val="18"/>
          <w:szCs w:val="18"/>
          <w:color w:val="auto"/>
        </w:rPr>
        <w:t>Uncertain tax positions are recognized in the first subsequent financial reporting period in which that threshold is met or from changes in circumstances such as the expiration of applicable statutes of limitations.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 has granted stock options to employees and restricted stock units. The Company also has an employee stock purchase plan (“ESPP”) for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the Company’s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553"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employee stock purchase rights under the Company’s ESPP, the Company utilizes historical volatility in order to estimate the expected volatility assumption of the Black-Scholes model.</w:t>
      </w:r>
    </w:p>
    <w:p>
      <w:pPr>
        <w:spacing w:after="0" w:line="21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expected term of stock options granted is estimated using historical experience. The risk-free interest rate assumption is based on observed interest rates appropriate for the expected terms of the Company’s stock options and employee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historical forfeiture rates related to each category of award.</w:t>
      </w:r>
    </w:p>
    <w:p>
      <w:pPr>
        <w:spacing w:after="0" w:line="22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2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117"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 For all periods presented, there is no difference in the number of shares used to calculate basic and diluted shares outstanding due to the Company’s net loss position.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24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Company’s financial instruments consist principally of cash and cash equivalents, short-term investments and long-term debt. The Company’s cash and cash equivalents consist of its investments in money market funds. From time to time, the Company may utilize foreign exchange forward contracts. These contracts are valued using pricing models that take into account the currency rates as of the balance sheet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Comprehensive loss consists of net earnings, foreign currency translation adjustments and unrealized gains and losses on available-for-sale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23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w:t>
      </w:r>
      <w:r>
        <w:rPr>
          <w:rFonts w:ascii="Arial" w:cs="Arial" w:eastAsia="Arial" w:hAnsi="Arial"/>
          <w:sz w:val="18"/>
          <w:szCs w:val="18"/>
          <w:i w:val="1"/>
          <w:iCs w:val="1"/>
          <w:color w:val="252525"/>
        </w:rPr>
        <w:t>—</w:t>
      </w:r>
      <w:r>
        <w:rPr>
          <w:rFonts w:ascii="Arial" w:cs="Arial" w:eastAsia="Arial" w:hAnsi="Arial"/>
          <w:sz w:val="18"/>
          <w:szCs w:val="18"/>
          <w:i w:val="1"/>
          <w:iCs w:val="1"/>
          <w:color w:val="auto"/>
        </w:rPr>
        <w:t>Goodwill and Other (Topic 350): Simplifying the Test</w:t>
      </w:r>
      <w:r>
        <w:rPr>
          <w:rFonts w:ascii="Arial" w:cs="Arial" w:eastAsia="Arial" w:hAnsi="Arial"/>
          <w:sz w:val="18"/>
          <w:szCs w:val="18"/>
          <w:color w:val="auto"/>
        </w:rPr>
        <w:t xml:space="preserve"> </w:t>
      </w:r>
      <w:r>
        <w:rPr>
          <w:rFonts w:ascii="Arial" w:cs="Arial" w:eastAsia="Arial" w:hAnsi="Arial"/>
          <w:sz w:val="18"/>
          <w:szCs w:val="18"/>
          <w:i w:val="1"/>
          <w:iCs w:val="1"/>
          <w:color w:val="auto"/>
        </w:rPr>
        <w:t>for Goodwill Impairment</w:t>
      </w:r>
      <w:r>
        <w:rPr>
          <w:rFonts w:ascii="Arial" w:cs="Arial" w:eastAsia="Arial" w:hAnsi="Arial"/>
          <w:sz w:val="18"/>
          <w:szCs w:val="18"/>
          <w:color w:val="auto"/>
        </w:rPr>
        <w:t>, which simplifies the measurement of goodwill by eliminating the</w:t>
      </w:r>
    </w:p>
    <w:p>
      <w:pPr>
        <w:sectPr>
          <w:pgSz w:w="11900" w:h="16838" w:orient="portrait"/>
          <w:cols w:equalWidth="0" w:num="1">
            <w:col w:w="11360"/>
          </w:cols>
          <w:pgMar w:left="240" w:top="553" w:right="299" w:bottom="1440"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360"/>
          </w:cols>
          <w:pgMar w:left="240" w:top="553" w:right="29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fiscal years beginning after December 15, 2019. Early adoption is permitted. The Company is currently assessing the impact of this guidance.</w:t>
      </w:r>
    </w:p>
    <w:p>
      <w:pPr>
        <w:spacing w:after="0" w:line="24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clarifies how companies present and classify certain cash receipts and cash payments in the statement of cash flows. This guidance is effective for fiscal years beginning after December 15, 2017, including interim periods within those fiscal years. Early adoption is permitted. The Company is currently assessing the impact of this guidance.</w:t>
      </w:r>
    </w:p>
    <w:p>
      <w:pPr>
        <w:spacing w:after="0" w:line="24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w:t>
      </w:r>
      <w:r>
        <w:rPr>
          <w:rFonts w:ascii="Arial" w:cs="Arial" w:eastAsia="Arial" w:hAnsi="Arial"/>
          <w:sz w:val="16"/>
          <w:szCs w:val="16"/>
          <w:i w:val="1"/>
          <w:iCs w:val="1"/>
          <w:color w:val="252525"/>
        </w:rPr>
        <w:t>—</w:t>
      </w:r>
      <w:r>
        <w:rPr>
          <w:rFonts w:ascii="Arial" w:cs="Arial" w:eastAsia="Arial" w:hAnsi="Arial"/>
          <w:sz w:val="16"/>
          <w:szCs w:val="16"/>
          <w:i w:val="1"/>
          <w:iCs w:val="1"/>
          <w:color w:val="auto"/>
        </w:rPr>
        <w:t>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requires measurement and recognition of expected credit losses for financial assets held. This guidance is effective for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periods beginning after December 15, 2019. Early adoption is permitted. The Company is currently assessing the impact of this guidance.</w:t>
      </w:r>
    </w:p>
    <w:p>
      <w:pPr>
        <w:spacing w:after="0" w:line="20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prospectively for interim and annual periods beginning after December 15, 2016. Early adoption is permitted. The Company is currently assessing the impact of this guidance.</w:t>
      </w:r>
    </w:p>
    <w:p>
      <w:pPr>
        <w:spacing w:after="0" w:line="24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3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Adjustments </w:t>
      </w:r>
      <w:r>
        <w:rPr>
          <w:rFonts w:ascii="Arial" w:cs="Arial" w:eastAsia="Arial" w:hAnsi="Arial"/>
          <w:sz w:val="17"/>
          <w:szCs w:val="17"/>
          <w:color w:val="auto"/>
        </w:rPr>
        <w:t>(“ASU 2015-16”), which eliminates the requirement for an acquirer to retrospectively adjust provisional amounts recorded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reflect new information about the facts and circumstances that existed as of the acquisition date and that, if known, would have affected the measurement or recognition of amounts initially recognized. As an alternative, the update requires that an acquirer recognize adjustments to provisional amounts that are identified during the measurement period in the reporting period in which the adjustment amounts are determined. The update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Company implemented this guidance during the first quarter of 2016. This guidance did not have a material impact on the Company’s consolidated financial statements upon adoption.</w:t>
      </w:r>
    </w:p>
    <w:p>
      <w:pPr>
        <w:spacing w:after="0" w:line="23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w:t>
      </w:r>
      <w:r>
        <w:rPr>
          <w:rFonts w:ascii="Arial" w:cs="Arial" w:eastAsia="Arial" w:hAnsi="Arial"/>
          <w:sz w:val="16"/>
          <w:szCs w:val="16"/>
          <w:i w:val="1"/>
          <w:iCs w:val="1"/>
          <w:color w:val="252525"/>
        </w:rPr>
        <w:t>—</w:t>
      </w:r>
      <w:r>
        <w:rPr>
          <w:rFonts w:ascii="Arial" w:cs="Arial" w:eastAsia="Arial" w:hAnsi="Arial"/>
          <w:sz w:val="16"/>
          <w:szCs w:val="16"/>
          <w:i w:val="1"/>
          <w:iCs w:val="1"/>
          <w:color w:val="auto"/>
        </w:rPr>
        <w:t>Goodwill and Other</w:t>
      </w:r>
      <w:r>
        <w:rPr>
          <w:rFonts w:ascii="Arial" w:cs="Arial" w:eastAsia="Arial" w:hAnsi="Arial"/>
          <w:sz w:val="16"/>
          <w:szCs w:val="16"/>
          <w:i w:val="1"/>
          <w:iCs w:val="1"/>
          <w:color w:val="252525"/>
        </w:rPr>
        <w:t>—</w:t>
      </w:r>
      <w:r>
        <w:rPr>
          <w:rFonts w:ascii="Arial" w:cs="Arial" w:eastAsia="Arial" w:hAnsi="Arial"/>
          <w:sz w:val="16"/>
          <w:szCs w:val="16"/>
          <w:i w:val="1"/>
          <w:iCs w:val="1"/>
          <w:color w:val="auto"/>
        </w:rPr>
        <w:t>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Under this standard, if a cloud computing arrangement includes a software license, the software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the arrangement should be accounted for consistent with the acquisition of other software licenses. If a cloud computing arrangement does not include a software license, the arrangement should be accounted for as a service contract. The Company implemented this guidance during the first quarter of 2016. This guidance did not have a material impact on the Company’s consolidated financial statements upon adoption.</w:t>
      </w:r>
    </w:p>
    <w:p>
      <w:pPr>
        <w:spacing w:after="0" w:line="21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provides guidance for revenue recognition. The new standard will require revenue recognized to represent the transfer of promised goods or services to customers in an amount that reflects the consideration the company expects to receive in exchange for those goods or services. The standard also requires new, expanded disclosures regarding revenue recognition. In August 2015, the FASB issued ASU 2015-14, </w:t>
      </w:r>
      <w:r>
        <w:rPr>
          <w:rFonts w:ascii="Arial" w:cs="Arial" w:eastAsia="Arial" w:hAnsi="Arial"/>
          <w:sz w:val="18"/>
          <w:szCs w:val="18"/>
          <w:i w:val="1"/>
          <w:iCs w:val="1"/>
          <w:color w:val="auto"/>
        </w:rPr>
        <w:t>Revenue from Contracts with Customers: Deferral of Effective Date</w:t>
      </w:r>
      <w:r>
        <w:rPr>
          <w:rFonts w:ascii="Arial" w:cs="Arial" w:eastAsia="Arial" w:hAnsi="Arial"/>
          <w:sz w:val="18"/>
          <w:szCs w:val="18"/>
          <w:color w:val="auto"/>
        </w:rPr>
        <w:t>, which deferred the effective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55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date of adoption of ASU 2014-09 to interim and annual reporting periods beginning after December 15, 2017. Early adoption is permitted but not before the original effective date of December 15, 2016. In April 2016, the FASB issued ASU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Obligations and Licensing</w:t>
      </w:r>
      <w:r>
        <w:rPr>
          <w:rFonts w:ascii="Arial" w:cs="Arial" w:eastAsia="Arial" w:hAnsi="Arial"/>
          <w:sz w:val="16"/>
          <w:szCs w:val="16"/>
          <w:color w:val="auto"/>
        </w:rPr>
        <w:t>, which clarifies aspects of ASU 2014-09 pertaining to the identification of performance obligations and the licensing</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guidance, while retaining the related principles for those areas.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w:t>
      </w:r>
    </w:p>
    <w:p>
      <w:pPr>
        <w:spacing w:after="0" w:line="221"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Company is evaluating the impact of the new standard on its accounting policies, processes and systems. The Company has assigned internal resources, is in the process of engaging a third-party service provider and has a preliminary project plan to finalize the evaluation and complete the implementation.</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preliminarily identified potential impacts to the timing of revenue recognition and the amortization period of costs to obtain contracts. The Company’s decision on the adoption method will be based on various factors including the significance of the impact of the new standard on the Company’s financial results and system capabilities. The Company has not yet completed the evaluation of these impacts and the adoption method has not been determined.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DigiCore Holdings Limited (DBA Ctrack)</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June 18, 2015, the Company entered into a transaction implementation agreement (the “TIA”) with DigiCore. Pursuant to the terms of the TIA, the Company acquired 100% of the issued and outstanding ordinary shares of DigiCore (with the exception of certain excluded shares, including treasury shares) for 4.40 South African Rand per ordinary share outstanding on October 5, 2015, with the total consideration not to exceed 1,094,223,363 South African Rand (the “Maximum Consideration”), which amount was placed into escrow upon signing of the TIA. Upon consummation of the acquisition, DigiCore became an indirect wholly-owned subsidiary of the Company.</w:t>
      </w:r>
    </w:p>
    <w:p>
      <w:pPr>
        <w:spacing w:after="0" w:line="29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From the date of execution of the TIA through the date the transaction closed, the Maximum Consideration Amount placed into escrow experienced a non-cash loss of $8.3 million due to the weakening of the South African Rand against the U.S. Dollar. This amount is included in non-cash change in acquisition-related escrow in the consolidated statement of operations.</w:t>
      </w:r>
    </w:p>
    <w:p>
      <w:pPr>
        <w:spacing w:after="0" w:line="289"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Upon the closing of the transaction, holders of unvested in-the-money DigiCore stock options received stock options to purchase shares of the Company’s common stock as replacement awards.</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year ended December 31, 2015, the Company incurred $1.7 million in costs and expenses related to the Company’s acquisition of Ctrack that are included in general and administrative expenses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3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purchase price was approximately $80.0 million and included a cash payment for all of the outstanding ordinary shares of DigiCore and the purchase of in-the-money vested stock options held by Ctrack employees on the closing date of the transaction and the portion of the fair value of replacement equity awards issued to Ctrack employees that related to services performed prior to the date the transaction closed.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Ctrack acquisition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8"/>
              </w:rPr>
              <w:t>Year Ended December</w:t>
            </w:r>
          </w:p>
        </w:tc>
      </w:tr>
      <w:tr>
        <w:trPr>
          <w:trHeight w:val="192"/>
        </w:trPr>
        <w:tc>
          <w:tcPr>
            <w:tcW w:w="9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31, 2015</w:t>
            </w:r>
          </w:p>
        </w:tc>
      </w:tr>
      <w:tr>
        <w:trPr>
          <w:trHeight w:val="23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79,365</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Fair value of replacement equity awards issued to Ctrack employees for preacquisition services</w:t>
            </w:r>
          </w:p>
        </w:tc>
        <w:tc>
          <w:tcPr>
            <w:tcW w:w="32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623</w:t>
            </w:r>
          </w:p>
        </w:tc>
      </w:tr>
      <w:tr>
        <w:trPr>
          <w:trHeight w:val="33"/>
        </w:trPr>
        <w:tc>
          <w:tcPr>
            <w:tcW w:w="9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purchase price</w:t>
            </w: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79,988</w:t>
            </w:r>
          </w:p>
        </w:tc>
      </w:tr>
      <w:tr>
        <w:trPr>
          <w:trHeight w:val="20"/>
        </w:trPr>
        <w:tc>
          <w:tcPr>
            <w:tcW w:w="9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553"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7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Goodwill resulting from this acquisition is largely attributable to the experienced workforce of Ctrack and synergies expected to arise after the integration of Ctrack’s products and operations into those of the Company. Goodwill resulting from this acquisition is not deductible for tax purposes. Identifiable intangible assets acquired as part of the acquisition included finite-lived intangible assets for developed technologies, customer relationships and trade names, which are being amortized using the straight-line method over their estimated useful lives, as well as indefinite-lived intangible assets. Liabilities assumed from DigiCore included a mortgage bond and capital lease obligations.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October 5,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15,052</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5,924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5,695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Bank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(7,446)</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79,988</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intangible assets acquired in connection with the Ctrack acquisition (dollars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68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14,030</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44"/>
        </w:trPr>
        <w:tc>
          <w:tcPr>
            <w:tcW w:w="868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28,270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R.E.R. Enterprises, Inc. (DBA Feeney Wireless)</w:t>
      </w:r>
    </w:p>
    <w:p>
      <w:pPr>
        <w:spacing w:after="0" w:line="171"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On March 27, 2015, the Company acquired all of the issued and outstanding shares of RER and its wholly-owned subsidiary and principal operating asset, FW, an Oregon limited liability company, which develops and sells IoT solutions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0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connection with the acquisition, the Company incurred $0.9 million in total costs and expenses, which are included in general and administrative expenses in the consolidated statements of operations for the year ended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553"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The total purchase price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 $15.0 million, which would have been payable in March 2016.</w:t>
      </w:r>
    </w:p>
    <w:p>
      <w:pPr>
        <w:spacing w:after="0" w:line="187" w:lineRule="exact"/>
        <w:rPr>
          <w:sz w:val="20"/>
          <w:szCs w:val="20"/>
          <w:color w:val="auto"/>
        </w:rPr>
      </w:pPr>
    </w:p>
    <w:p>
      <w:pPr>
        <w:ind w:right="180" w:firstLine="392"/>
        <w:spacing w:after="0" w:line="257" w:lineRule="auto"/>
        <w:rPr>
          <w:sz w:val="20"/>
          <w:szCs w:val="20"/>
          <w:color w:val="auto"/>
        </w:rPr>
      </w:pPr>
      <w:r>
        <w:rPr>
          <w:rFonts w:ascii="Arial" w:cs="Arial" w:eastAsia="Arial" w:hAnsi="Arial"/>
          <w:sz w:val="18"/>
          <w:szCs w:val="18"/>
          <w:color w:val="auto"/>
        </w:rPr>
        <w:t>The total consideration of $24.8 million does not include amounts, if any, payable under an earn-out arrangement under which the Company may have been required to pay up to an additional $25.0 million to the former shareholders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9,268</w:t>
            </w:r>
          </w:p>
        </w:tc>
      </w:tr>
      <w:tr>
        <w:trPr>
          <w:trHeight w:val="237"/>
        </w:trPr>
        <w:tc>
          <w:tcPr>
            <w:tcW w:w="10040" w:type="dxa"/>
            <w:vAlign w:val="bottom"/>
          </w:tcPr>
          <w:p>
            <w:pPr>
              <w:ind w:left="20"/>
              <w:spacing w:after="0"/>
              <w:rPr>
                <w:sz w:val="20"/>
                <w:szCs w:val="20"/>
                <w:color w:val="auto"/>
              </w:rPr>
            </w:pPr>
            <w:r>
              <w:rPr>
                <w:rFonts w:ascii="Arial" w:cs="Arial" w:eastAsia="Arial" w:hAnsi="Arial"/>
                <w:sz w:val="16"/>
                <w:szCs w:val="16"/>
                <w:color w:val="auto"/>
              </w:rPr>
              <w:t>Future issuance of common stock</w:t>
            </w: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assumed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44"/>
        </w:trPr>
        <w:tc>
          <w:tcPr>
            <w:tcW w:w="10040" w:type="dxa"/>
            <w:vAlign w:val="bottom"/>
          </w:tcPr>
          <w:p>
            <w:pPr>
              <w:ind w:left="360"/>
              <w:spacing w:after="0"/>
              <w:rPr>
                <w:sz w:val="20"/>
                <w:szCs w:val="20"/>
                <w:color w:val="auto"/>
              </w:rPr>
            </w:pPr>
            <w:r>
              <w:rPr>
                <w:rFonts w:ascii="Arial" w:cs="Arial" w:eastAsia="Arial" w:hAnsi="Arial"/>
                <w:sz w:val="16"/>
                <w:szCs w:val="16"/>
                <w:color w:val="auto"/>
              </w:rPr>
              <w:t>Total purchase price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24,777</w:t>
            </w:r>
          </w:p>
        </w:tc>
      </w:tr>
      <w:tr>
        <w:trPr>
          <w:trHeight w:val="20"/>
        </w:trPr>
        <w:tc>
          <w:tcPr>
            <w:tcW w:w="10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January 5, 2016, the Company and RER amended certain payment terms. Under the amended agreements, the $1.5 million placed into escrow on the date of acquisition was released to RER and its former shareholders on January 8, 2016, and the $15.0 million that was payable in shares of the Company’s common stock in March 2016 will now be paid in five cash installments over a four-year period, beginning in March 2016. In addition, the Earn-Out Arrangement has been amended (the “Amended Earn-Out Arrangement”) as follows: (a) any amount earned under the Earn-Out Arrangement for the achievement of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the Company will issue to the former shareholders of RER approximately 2.9 million shares of the Company’s common stock in three equal installments over a three-year period, beginning in March 2017.</w:t>
      </w:r>
    </w:p>
    <w:p>
      <w:pPr>
        <w:spacing w:after="0" w:line="233" w:lineRule="exact"/>
        <w:rPr>
          <w:sz w:val="20"/>
          <w:szCs w:val="20"/>
          <w:color w:val="auto"/>
        </w:rPr>
      </w:pPr>
    </w:p>
    <w:p>
      <w:pPr>
        <w:ind w:firstLine="392"/>
        <w:spacing w:after="0" w:line="279" w:lineRule="auto"/>
        <w:rPr>
          <w:sz w:val="20"/>
          <w:szCs w:val="20"/>
          <w:color w:val="auto"/>
        </w:rPr>
      </w:pPr>
      <w:r>
        <w:rPr>
          <w:rFonts w:ascii="Arial" w:cs="Arial" w:eastAsia="Arial" w:hAnsi="Arial"/>
          <w:sz w:val="17"/>
          <w:szCs w:val="17"/>
          <w:color w:val="auto"/>
        </w:rPr>
        <w:t>The Company recognized approximately $7.9 million in expense during the year ended December 31, 2016 in connection with the earn-out payment due to the former shareholders of RER in the form of shares of the Company’s common stock. As of December 31, 2016, the total amount earned pursuant to the Amended Earn-Out Arrangement was $14.0 million, $12.5 million of which remained outstanding as of December 31, 2016 and is included in accrued expenses and other current liabilities and in other long-term liabilities in the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90" w:lineRule="exact"/>
        <w:rPr>
          <w:sz w:val="20"/>
          <w:szCs w:val="20"/>
          <w:color w:val="auto"/>
        </w:rPr>
      </w:pPr>
    </w:p>
    <w:p>
      <w:pPr>
        <w:ind w:right="4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deductible for tax purposes. Identifiable intangible assets acquired as part of the acquisition included 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55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March 27, 2015</w:t>
            </w:r>
          </w:p>
        </w:tc>
      </w:tr>
      <w:tr>
        <w:trPr>
          <w:trHeight w:val="236"/>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18,880</w:t>
            </w:r>
          </w:p>
        </w:tc>
      </w:tr>
      <w:tr>
        <w:trPr>
          <w:trHeight w:val="270"/>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3,949</w:t>
            </w: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0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Deferred revenues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Capital lease obligations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00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
        </w:trPr>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bl>
    <w:p>
      <w:pPr>
        <w:spacing w:after="0" w:line="98" w:lineRule="exact"/>
        <w:rPr>
          <w:sz w:val="20"/>
          <w:szCs w:val="20"/>
          <w:color w:val="auto"/>
        </w:rPr>
      </w:pPr>
    </w:p>
    <w:p>
      <w:pPr>
        <w:ind w:left="260" w:right="20" w:hanging="252"/>
        <w:spacing w:after="0" w:line="233"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Reflects measurement-period adjustments recorded by the Company in accordance with ASU 2015-16. During the year ended December 31, 2016, the Company recorded a measurement-period adjustment to the allocation of fair value resulting in a $0.2 million increase to accrued and other liabilities and a corresponding $0.2 million increase to goodwill.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FW acquisition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70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70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year ended December 31, 2016, the Company recorded an impairment loss related to developed technologies acquired in connection with the FW acquisition of approximately $2.6 million, which is included in impairment of purchased intangibles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Summary</w:t>
      </w:r>
    </w:p>
    <w:p>
      <w:pPr>
        <w:spacing w:after="0" w:line="90"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unaudited consolidated pro forma results for the years ended December 31, 2016 and 2015 are set forth in the table below (in thousands). These pro forma consolidated results combine the results of operations of the Company, Ctrack and FW as though Ctrack and FW had been acquired as of January 1, 2015 and include amortization charges for the acquired intangibles for both acquisitions and interest expense related to the Company’s borrowings to finance the Ctrack acquisition. The pro forma financial information is presented for informational purposes only and is not necessarily indicative of the results of operations that would have been achieved if the acquisitions had taken place at the beginning of 2015.</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243,555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276,115</w:t>
            </w:r>
          </w:p>
        </w:tc>
      </w:tr>
      <w:tr>
        <w:trPr>
          <w:trHeight w:val="224"/>
        </w:trPr>
        <w:tc>
          <w:tcPr>
            <w:tcW w:w="8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(60,568)</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(48,105)</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553"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and Pending Divestitures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Modules Business</w:t>
      </w:r>
    </w:p>
    <w:p>
      <w:pPr>
        <w:spacing w:after="0" w:line="27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for an initial purchase price of $11.0 million in cash, which included $9.0 million that was paid to the Company on the closing date of the transaction, $1.0 million that would be paid to the Company in equal quarterly installments over a two-year period in connection with the provision by the Company of certain transition services and</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 million that would be paid to the Company following the satisfaction of certain conditions by the Company, including the assignment of specified contracts and the delivery of certain certifications and approvals. The Company also had the potential to receive an additional cash payment of approximately $3.8 million from Telit related to their purchase of module product inventory from the Company, $1.0 million of which would be paid to the Company in equal quarterly installments over the two-year period following the closing date in connection with the provision by the Company of certain transition services. In addition to the above, the Company may have been entitled to receive a subsequent earn-out payment following the closing of the transaction if certain conditions were met.</w:t>
      </w:r>
    </w:p>
    <w:p>
      <w:pPr>
        <w:spacing w:after="0" w:line="24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September 29, 2016, the Company entered into a Final Resolution Letter Agreement (the “Final Resolution”) with Telit. Per the Final Resolution, Telit agreed to pay the Company $2.1 million in full satisfaction of their payment obligations under certain sections of the original purchase agreement, including all installment payments, and the Company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4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During the year ended December 31, 2016, the Company recognized a gain of approximately $5.0 million in connection with the fulfillment of certain obligations pursuant to the asset purchase agreement, as amended, which is included in other income (expense), net, in the consolidated statements of operations. As of December 31, 2016, the Company recorded a liability of $0.5 million for the fair value of the remaining hardware and related assets due to Telit, which is included in accrued expenses and other current liabilities in the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 Business</w:t>
      </w:r>
    </w:p>
    <w:p>
      <w:pPr>
        <w:spacing w:after="0" w:line="171" w:lineRule="exact"/>
        <w:rPr>
          <w:sz w:val="20"/>
          <w:szCs w:val="20"/>
          <w:color w:val="auto"/>
        </w:rPr>
      </w:pPr>
    </w:p>
    <w:p>
      <w:pPr>
        <w:ind w:right="120" w:firstLine="392"/>
        <w:spacing w:after="0" w:line="288" w:lineRule="auto"/>
        <w:rPr>
          <w:sz w:val="20"/>
          <w:szCs w:val="20"/>
          <w:color w:val="auto"/>
        </w:rPr>
      </w:pPr>
      <w:r>
        <w:rPr>
          <w:rFonts w:ascii="Arial" w:cs="Arial" w:eastAsia="Arial" w:hAnsi="Arial"/>
          <w:sz w:val="16"/>
          <w:szCs w:val="16"/>
          <w:color w:val="auto"/>
        </w:rPr>
        <w:t>On September 21, 2016, the Company entered into a Stock Purchase Agreement (the “Purchase Agreement”), by and among Inseego and Novatel Wireless, on the one hand, and T.C.L. Industries Holdings (H.K.) Limited and Jade Ocean Global Limited (collectively, the “Purchasers”) on the other hand. The Purchase Agreement relates to the pending sale of the Company’s subsidiary, Novatel Wireless, which includes the Company’s MiFi branded hotspots and USB modem product lines (the “MiFi Business”), to the Purchasers for $50.0 million in cash, subject to potential adjustment for Novatel Wireless’s working capital as of the closing date. The sale may not close until all of the closing conditions set forth in the Purchase Agreement have been satisfied. One of the closing conditions is the approval of the Committee on Foreign Investment in the United States (“CFIUS”). CFIUS has identified national security concerns relating to the Company’s sale of the MiFi Business to the Purchasers. In early February 2017, the Company and the Purchasers voluntarily withdrew and re-filed their notice to CFIUS in order to obtain additional time to provide further information to CFIUS and explore potential mitigation measures that may allow the transaction to proceed. In early March 2017, CFIUS provided a draft mitigation agreement which, if finalized, would allow CFIUS approval to be granted. Negotiations between CFIUS and the Purchasers regarding the final terms of such mitigation agreement remain ongoing.</w:t>
      </w:r>
    </w:p>
    <w:p>
      <w:pPr>
        <w:spacing w:after="0" w:line="88" w:lineRule="exact"/>
        <w:rPr>
          <w:sz w:val="20"/>
          <w:szCs w:val="20"/>
          <w:color w:val="auto"/>
        </w:rPr>
      </w:pPr>
    </w:p>
    <w:p>
      <w:pPr>
        <w:ind w:right="420" w:firstLine="392"/>
        <w:spacing w:after="0" w:line="259" w:lineRule="auto"/>
        <w:rPr>
          <w:sz w:val="20"/>
          <w:szCs w:val="20"/>
          <w:color w:val="auto"/>
        </w:rPr>
      </w:pPr>
      <w:r>
        <w:rPr>
          <w:rFonts w:ascii="Arial" w:cs="Arial" w:eastAsia="Arial" w:hAnsi="Arial"/>
          <w:sz w:val="18"/>
          <w:szCs w:val="18"/>
          <w:color w:val="auto"/>
        </w:rPr>
        <w:t>In order to facilitate the sale of Novatel Wireless, the Company completed an internal Reorganization in November 2016. The first step of the Reorganization was the formation of Inseego (formerly known as Vanilla Technologies, Inc.) as a direct, wholly owned subsidiary of Novatel Wireless. Inseego then formed Vanilla Merger Sub, Inc., a Delaware corporation and direct, wholly owned subsidiary of Inseego (“Merger Sub”). Merger Sub was formed solely for the purpose of effecting the Reorganization.</w:t>
      </w:r>
    </w:p>
    <w:p>
      <w:pPr>
        <w:spacing w:after="0" w:line="106"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Novatel Wireless then contributed all of its assets and liabilities (other than the MiFi Business), including its equity interests in DigiCore, FW, Novatel Wireless Solutions, Inc., Enfora Comercio de Eletronicos LTDA and each of their direct and indirect subsidiaries, to Inseego.</w:t>
      </w:r>
    </w:p>
    <w:p>
      <w:pPr>
        <w:spacing w:after="0" w:line="8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Finally, Merger Sub was merged with and into Novatel Wireless, with Novatel Wireless surviving as a direct, wholly owned subsidiary of Inseego. Upon completion of the Reorganization, each share of Novatel Wireless common stock was automatically converted into a corresponding share of Inseego common stock, having the same rights and limitations as the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553"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corresponding share of Novatel Wireless common stock that was converted. Accordingly, at such time, Novatel Wireless’s former stockholders became stockholders of Inseego.</w:t>
      </w:r>
    </w:p>
    <w:p>
      <w:pPr>
        <w:spacing w:after="0" w:line="8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purpose and effect of the Reorganization was to separate the MiFi Business from the assets and liabilities associated with the Ctrack fleet and vehicle telematics solutions and stolen vehicle recovery and FW telemetry and connectivity solutions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acquired certain short-term investments in trading securities through its acquisition of Ctrack. The Company recognized a gain of approximately $0.2 million and $0.1 million on such securities during the years ended December 31, 2016 and 2015, respectively, which is included in other income (expense), net,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19,277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47,094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3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11,865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8,743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31,142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55,837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2,084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47,243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Computer equipment and purchased software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11,399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tooling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2,151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3,664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33,424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71,644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 and amortization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(62,832)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2016, the Company had vehicles and equipment under capital leases of $1.8 million, net of accumulated amortization of $1.1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2015, the Company had vehicles and equipment under capital leases of $1.5 million, net of accumulated amortization of $0.2 million.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assets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11,115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7,189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6,155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553"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equipment under capital leases, and rental assets was $7.8 million, $5.0 million and $6.3 million for the years ended December 31, 2016, 2015 and 2014,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4,406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2,805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1,836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5,274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Divestiture-related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5,516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25,613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warranty obligations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warranty obligations at beginning of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Additions charged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Deductions from liability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Effect of change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warranty obligations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68" w:lineRule="exact"/>
        <w:rPr>
          <w:sz w:val="20"/>
          <w:szCs w:val="20"/>
          <w:color w:val="auto"/>
        </w:rPr>
      </w:pPr>
    </w:p>
    <w:p>
      <w:pPr>
        <w:spacing w:after="0"/>
        <w:tabs>
          <w:tab w:leader="none" w:pos="880" w:val="left"/>
          <w:tab w:leader="none" w:pos="136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932</w:t>
        <w:tab/>
        <w:t>$</w:t>
      </w:r>
      <w:r>
        <w:rPr>
          <w:sz w:val="20"/>
          <w:szCs w:val="20"/>
          <w:color w:val="auto"/>
        </w:rPr>
        <w:tab/>
      </w:r>
      <w:r>
        <w:rPr>
          <w:rFonts w:ascii="Arial" w:cs="Arial" w:eastAsia="Arial" w:hAnsi="Arial"/>
          <w:sz w:val="15"/>
          <w:szCs w:val="15"/>
          <w:color w:val="auto"/>
        </w:rPr>
        <w:t>1,196</w:t>
      </w:r>
    </w:p>
    <w:p>
      <w:pPr>
        <w:spacing w:after="0" w:line="86"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821</w:t>
      </w:r>
      <w:r>
        <w:rPr>
          <w:sz w:val="20"/>
          <w:szCs w:val="20"/>
          <w:color w:val="auto"/>
        </w:rPr>
        <w:tab/>
      </w:r>
      <w:r>
        <w:rPr>
          <w:rFonts w:ascii="Arial" w:cs="Arial" w:eastAsia="Arial" w:hAnsi="Arial"/>
          <w:sz w:val="16"/>
          <w:szCs w:val="16"/>
          <w:color w:val="auto"/>
        </w:rPr>
        <w:t>1,090</w:t>
      </w:r>
    </w:p>
    <w:p>
      <w:pPr>
        <w:spacing w:after="0" w:line="86" w:lineRule="exact"/>
        <w:rPr>
          <w:sz w:val="20"/>
          <w:szCs w:val="20"/>
          <w:color w:val="auto"/>
        </w:rPr>
      </w:pPr>
    </w:p>
    <w:p>
      <w:pPr>
        <w:jc w:val="both"/>
        <w:ind w:left="720"/>
        <w:spacing w:after="0"/>
        <w:tabs>
          <w:tab w:leader="none" w:pos="2060" w:val="left"/>
        </w:tabs>
        <w:rPr>
          <w:sz w:val="20"/>
          <w:szCs w:val="20"/>
          <w:color w:val="auto"/>
        </w:rPr>
      </w:pPr>
      <w:r>
        <w:rPr>
          <w:rFonts w:ascii="Arial" w:cs="Arial" w:eastAsia="Arial" w:hAnsi="Arial"/>
          <w:sz w:val="16"/>
          <w:szCs w:val="16"/>
          <w:color w:val="auto"/>
        </w:rPr>
        <w:t>(1,262)</w:t>
      </w:r>
      <w:r>
        <w:rPr>
          <w:sz w:val="20"/>
          <w:szCs w:val="20"/>
          <w:color w:val="auto"/>
        </w:rPr>
        <w:tab/>
      </w:r>
      <w:r>
        <w:rPr>
          <w:rFonts w:ascii="Arial" w:cs="Arial" w:eastAsia="Arial" w:hAnsi="Arial"/>
          <w:sz w:val="16"/>
          <w:szCs w:val="16"/>
          <w:color w:val="auto"/>
        </w:rPr>
        <w:t>(1,354)</w:t>
      </w:r>
    </w:p>
    <w:p>
      <w:pPr>
        <w:spacing w:after="0" w:line="86" w:lineRule="exact"/>
        <w:rPr>
          <w:sz w:val="20"/>
          <w:szCs w:val="20"/>
          <w:color w:val="auto"/>
        </w:rPr>
      </w:pPr>
    </w:p>
    <w:p>
      <w:pPr>
        <w:ind w:left="2320" w:hanging="1389"/>
        <w:spacing w:after="0"/>
        <w:tabs>
          <w:tab w:leader="none" w:pos="2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spacing w:after="0"/>
        <w:tabs>
          <w:tab w:leader="none" w:pos="880" w:val="left"/>
          <w:tab w:leader="none" w:pos="1360" w:val="left"/>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480</w:t>
        <w:tab/>
        <w:t>$</w:t>
      </w:r>
      <w:r>
        <w:rPr>
          <w:sz w:val="20"/>
          <w:szCs w:val="20"/>
          <w:color w:val="auto"/>
        </w:rPr>
        <w:tab/>
      </w:r>
      <w:r>
        <w:rPr>
          <w:rFonts w:ascii="Arial" w:cs="Arial" w:eastAsia="Arial" w:hAnsi="Arial"/>
          <w:sz w:val="15"/>
          <w:szCs w:val="15"/>
          <w:color w:val="auto"/>
        </w:rPr>
        <w:t>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53" w:right="239"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Acquisition of Ctrack</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29,273</w:t>
            </w:r>
          </w:p>
        </w:tc>
      </w:tr>
      <w:tr>
        <w:trPr>
          <w:trHeight w:val="33"/>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Acquisition of FW</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3,754</w:t>
            </w:r>
          </w:p>
        </w:tc>
      </w:tr>
      <w:tr>
        <w:trPr>
          <w:trHeight w:val="224"/>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(3,507)</w:t>
            </w:r>
          </w:p>
        </w:tc>
      </w:tr>
      <w:tr>
        <w:trPr>
          <w:trHeight w:val="33"/>
        </w:trPr>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29,520</w:t>
            </w:r>
          </w:p>
        </w:tc>
      </w:tr>
      <w:tr>
        <w:trPr>
          <w:trHeight w:val="257"/>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Ctrack adjustment</w:t>
            </w:r>
            <w:r>
              <w:rPr>
                <w:rFonts w:ascii="Arial" w:cs="Arial" w:eastAsia="Arial" w:hAnsi="Arial"/>
                <w:sz w:val="21"/>
                <w:szCs w:val="21"/>
                <w:color w:val="auto"/>
                <w:vertAlign w:val="superscript"/>
              </w:rPr>
              <w:t>(1)</w:t>
            </w:r>
          </w:p>
        </w:tc>
        <w:tc>
          <w:tcPr>
            <w:tcW w:w="38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1,236</w:t>
            </w:r>
          </w:p>
        </w:tc>
      </w:tr>
      <w:tr>
        <w:trPr>
          <w:trHeight w:val="237"/>
        </w:trPr>
        <w:tc>
          <w:tcPr>
            <w:tcW w:w="10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FW adjustment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r>
      <w:tr>
        <w:trPr>
          <w:trHeight w:val="224"/>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3,477</w:t>
            </w:r>
          </w:p>
        </w:tc>
      </w:tr>
      <w:tr>
        <w:trPr>
          <w:trHeight w:val="33"/>
        </w:trPr>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34,428</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260" w:right="120" w:hanging="252"/>
        <w:spacing w:after="0" w:line="233" w:lineRule="auto"/>
        <w:tabs>
          <w:tab w:leader="none" w:pos="26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2016, the Company identified the need for an immaterial adjustment in the recording of net assets and goodwill in the accounting for the acquisition of Ctrack. As a result, the Company has recorded an adjustment during the year ended December 31, 2016 that increased goodwill and decreased accounts receivable. There was no change in reported cash flows in any period related to this adjustment.</w:t>
      </w:r>
    </w:p>
    <w:p>
      <w:pPr>
        <w:sectPr>
          <w:pgSz w:w="11900" w:h="16838" w:orient="portrait"/>
          <w:cols w:equalWidth="0" w:num="1">
            <w:col w:w="11420"/>
          </w:cols>
          <w:pgMar w:left="240" w:top="553" w:right="239" w:bottom="1440" w:gutter="0" w:footer="0" w:header="0"/>
          <w:type w:val="continuous"/>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553"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10,205</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23,043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16,138</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10,053</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57,743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39,747</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40,283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gridSpan w:val="5"/>
            <w:vMerge w:val="restart"/>
          </w:tcPr>
          <w:p>
            <w:pPr>
              <w:ind w:left="58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11,758</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21,267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16,884</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11,292</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58,449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41,069</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research and development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43,089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year ended December 31, 2016, in-process research and development acquired in connection with the FW acquisition was completed and reclassified to developed technologies where it is being amortized over its estimated useful life.</w:t>
      </w:r>
    </w:p>
    <w:p>
      <w:pPr>
        <w:spacing w:after="0" w:line="27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Amortization expense for the years ended December 31, 2016, 2015 and 2014 was approximately $6.2 million, $3.3 million and $1.0 million, respectively, including approximately $0.3 million and $25,000 related to capitalized software development costs for the years ended December 31, 2016 and 2015, respectively. The Company did not have amortization expense related to capitalized software development costs for the year ended December 31, 2014.</w:t>
      </w:r>
    </w:p>
    <w:p>
      <w:pPr>
        <w:spacing w:after="0" w:line="255"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During the year ended December 31, 2016, the Company recorded an impairment loss on intangible assets of approximately $2.7 million, which is included in impairment of purchased intangibles and other income (expense), net, in the consolidated statements of operations.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553"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6,451</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6,336</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6,251</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6,046</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9,782</w:t>
            </w:r>
          </w:p>
        </w:tc>
      </w:tr>
      <w:tr>
        <w:trPr>
          <w:trHeight w:val="33"/>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39,747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0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6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2016.</w:t>
      </w:r>
    </w:p>
    <w:p>
      <w:pPr>
        <w:spacing w:after="0" w:line="12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Assets:</w:t>
            </w:r>
          </w:p>
        </w:tc>
        <w:tc>
          <w:tcPr>
            <w:tcW w:w="4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4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4"/>
        </w:trPr>
        <w:tc>
          <w:tcPr>
            <w:tcW w:w="374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43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40" w:type="dxa"/>
            <w:vAlign w:val="bottom"/>
          </w:tcPr>
          <w:p>
            <w:pPr>
              <w:spacing w:after="0"/>
              <w:rPr>
                <w:sz w:val="24"/>
                <w:szCs w:val="24"/>
                <w:color w:val="auto"/>
              </w:rPr>
            </w:pPr>
          </w:p>
        </w:tc>
        <w:tc>
          <w:tcPr>
            <w:tcW w:w="4540" w:type="dxa"/>
            <w:vAlign w:val="bottom"/>
            <w:gridSpan w:val="2"/>
          </w:tcPr>
          <w:p>
            <w:pPr>
              <w:jc w:val="right"/>
              <w:ind w:right="2400"/>
              <w:spacing w:after="0"/>
              <w:rPr>
                <w:sz w:val="20"/>
                <w:szCs w:val="20"/>
                <w:color w:val="auto"/>
              </w:rPr>
            </w:pPr>
            <w:r>
              <w:rPr>
                <w:rFonts w:ascii="Arial" w:cs="Arial" w:eastAsia="Arial" w:hAnsi="Arial"/>
                <w:sz w:val="18"/>
                <w:szCs w:val="18"/>
                <w:color w:val="auto"/>
              </w:rPr>
              <w:t>F-26</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53"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2015, the Company had no outstanding foreign currency exchange forward contracts.</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years ended December 31, 2016 and 2015, the Company recorded net foreign currency transaction losses and gains, respectively, of approximately $3.6 million and $1.1 million, net of the non-cash change in acquisition-related escrow, respectively, primarily related to outstanding intercompany loans that Ctrack has with certain of its subsidiaries, which are remeasured at each reporting period and payable upon demand. During the year ended December 31, 2014 the Company recorded net foreign currency transaction losses of approximately $0.2 million, primarily related to foreign currency losses on foreign currency denominated bank accounts.</w:t>
      </w:r>
    </w:p>
    <w:p>
      <w:pPr>
        <w:spacing w:after="0" w:line="80" w:lineRule="exact"/>
        <w:rPr>
          <w:sz w:val="20"/>
          <w:szCs w:val="20"/>
          <w:color w:val="auto"/>
        </w:rPr>
      </w:pPr>
    </w:p>
    <w:p>
      <w:pPr>
        <w:ind w:right="20" w:firstLine="432"/>
        <w:spacing w:after="0" w:line="438" w:lineRule="auto"/>
        <w:rPr>
          <w:sz w:val="20"/>
          <w:szCs w:val="20"/>
          <w:color w:val="auto"/>
        </w:rPr>
      </w:pPr>
      <w:r>
        <w:rPr>
          <w:rFonts w:ascii="Arial" w:cs="Arial" w:eastAsia="Arial" w:hAnsi="Arial"/>
          <w:sz w:val="18"/>
          <w:szCs w:val="18"/>
          <w:color w:val="auto"/>
        </w:rPr>
        <w:t xml:space="preserve">All recorded gains and losses on foreign currency transactions are recorded in other income (expense), net, in the consolidated statements of operations. </w:t>
      </w:r>
      <w:r>
        <w:rPr>
          <w:rFonts w:ascii="Arial" w:cs="Arial" w:eastAsia="Arial" w:hAnsi="Arial"/>
          <w:sz w:val="18"/>
          <w:szCs w:val="18"/>
          <w:b w:val="1"/>
          <w:bCs w:val="1"/>
          <w:i w:val="1"/>
          <w:iCs w:val="1"/>
          <w:color w:val="auto"/>
        </w:rPr>
        <w:t>Other Financial Instruments</w:t>
      </w:r>
    </w:p>
    <w:p>
      <w:pPr>
        <w:spacing w:after="0" w:line="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June 10, 2015, the Company issued $120.0 million of 5.50% convertible senior notes due 2020 (the “Novatel Wireless Notes”) (see Note 6). The Company carries the Novatel Wireless Notes at amortized cost. The debt and equity components of the Novatel Wireless Notes were measured using Level 3 inputs and are not measured on a recurring basis. The fair value of the liability component, which approximates the carrying value, of the Novatel Wireless Notes was $90.9 million and $82.5 million as of December 31, 2016 and 2015, respectively. On January 9, 2017, $119.8 million of the Novatel Wireless Notes were exchanged for newly issued 5.50% convertible senior notes due 2022 (the “Inseego Notes”) (see Note 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DigiCore has a secured banking facility with Absa Bank Limited in South Africa (“Absa”), which had a maximum borrowing capacity of $1.7 million at December 31, 2016. The facility bears interest at the South Africa prime interest rate less 0.10% (10.40% at December 31, 2016) and is subject to renewal annually in April. At December 31, 2016 and 2015, $1.7 million and $1.5 million, respectively, was outstanding under this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Limited in South Africa, which had a maximum borrowing capacity of $1.5 million at December 31, 2016. The facility bears interest at the South Africa prime interest rate plus 1.00% (11.50% at December 31, 2016), requires monthly interest and, in certain instances, minimum principal payments. The facility is subject to renewal annually in September. At December 31, 2016 and 2015, $1.5 million and $1.8 million, respectively, was outstanding under this facility.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31, 2014, the Company and one of its subsidiaries entered into a five-year senior secured revolving credit facility in the amount of $25.0 million (the “Revolver”) with Wells Fargo Bank, NA, as lender. Concurrently with the acquisition of FW, the Company amended the Revolver to include FW as a borrower and Loan Party, as defined by the agreement. On November 17, 2015, the Revolver was amended to increase the maximum borrowing capacity to $48.0 million.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553"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 $0.7 million of which was available for letters of credit at December 31, 2016.</w:t>
      </w:r>
    </w:p>
    <w:p>
      <w:pPr>
        <w:spacing w:after="0" w:line="24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3.00% to 3.50%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20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was no outstanding balance on the Revolver at December 31, 2016 and 2015. As of December 31, 2016, the Company had available borrowings of approximately $4.7 million and was in compliance with all financial covenants contained in the credit agreement.</w:t>
      </w:r>
    </w:p>
    <w:p>
      <w:pPr>
        <w:spacing w:after="0" w:line="22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20, 2017, subsequent to the balance sheet date, the Revolver was amended (the “Amendment”). The Amendment, made at the Company’s request, amended and updated the financial covenants with respect to the liquidity requirements and EBITDA targets, among other things, in order to enable draw-downs by the Company from time to time. In exchange for such accommodations, the Amendment also decreased the aggregate amount available under the Revolver from $48.0 million to $10.0 million and increased the applicable margin to 4.00% when interest is based on the daily three month LIBOR rate and 1.5% when interest is based on the prime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9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June 10, 2015, Novatel Wireless issued $120.0 million aggregate principal amount of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Novatel Wireless Notes are governed by the terms of an indenture, dated June 10, 2015 (the “Novatel Wireless Indenture”), entered into between Novatel Wireless, as issuer, Inseego Corp. and Wilmington Trust, National Association, as trustee (the “Trustee”).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rate of 200.0000 shares of common stock per $1,000 principal amount of the Novatel Wireless Notes, which corresponds to an initial conversion price of $5.00 per share of the Company’s common stock.</w:t>
      </w:r>
    </w:p>
    <w:p>
      <w:pPr>
        <w:spacing w:after="0" w:line="232"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conversion rate is subject to adjustment from time to time upon the occurrence of certain events, including, but not limited to, the issuance of stock dividends and payment of cash dividends. At any time prior to the close of business on the business day immediately preceding December 15, 2019, holders may convert their Novatel Wireless Notes at their option only under the following circumstances:</w:t>
      </w:r>
    </w:p>
    <w:p>
      <w:pPr>
        <w:spacing w:after="0" w:line="181" w:lineRule="exact"/>
        <w:rPr>
          <w:sz w:val="20"/>
          <w:szCs w:val="20"/>
          <w:color w:val="auto"/>
        </w:rPr>
      </w:pPr>
    </w:p>
    <w:p>
      <w:pPr>
        <w:ind w:left="580" w:hanging="329"/>
        <w:spacing w:after="0" w:line="25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ended on September 30, 2015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each applicable trading day;</w:t>
      </w:r>
    </w:p>
    <w:p>
      <w:pPr>
        <w:spacing w:after="0" w:line="186" w:lineRule="exact"/>
        <w:rPr>
          <w:rFonts w:ascii="Arial" w:cs="Arial" w:eastAsia="Arial" w:hAnsi="Arial"/>
          <w:sz w:val="18"/>
          <w:szCs w:val="18"/>
          <w:color w:val="auto"/>
        </w:rPr>
      </w:pPr>
    </w:p>
    <w:p>
      <w:pPr>
        <w:ind w:left="580" w:right="200" w:hanging="329"/>
        <w:spacing w:after="0" w:line="28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Novatel Wireless Notes for each trading day of the Measurement Period was less than 98% of the product of the last reported sale price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Novatel Wireless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has called the Novatel Wireless Notes for redemption.</w:t>
      </w:r>
    </w:p>
    <w:p>
      <w:pPr>
        <w:spacing w:after="0" w:line="27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or after December 15, 2019, the holders may convert any of their Novatel Wireless Notes at any time prior to the close of business on the business day immediately preceding the maturity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may redeem all or a portion of the Novatel Wireless Notes at its option on or after June 15, 2018 if the last</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553"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Novatel Wireless Notes to be redeemed, plus any accrued and unpaid interest on such Novatel Wireless Notes, subject to the right of holders as of the close of business on an interest record date to receive the related interest. In addition, if the Company calls the Novatel Wireless Notes for redemption, a “make-whole fundamental change” (as defined in the Novatel Wireless Indenture) will be deemed to occur. As a result, the Company will, in certain circumstances, increase the conversion rate for holders who convert their Novatel Wireless Notes in connection with such redemption.</w:t>
      </w:r>
    </w:p>
    <w:p>
      <w:pPr>
        <w:spacing w:after="0" w:line="28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No “sinking fund” is provided for the Novatel Wireless Notes, which means that the Company is not required to periodically redeem or retire the Novatel Wireless Notes. If the Company undergoes a “fundamental change” (as defined in the Novatel Wireless Indenture), subject to certain conditions, holders may require the Company to repurchase for cash all or part of their Novatel Wireless Notes in principal amounts of $1,000, or an integral multiple of $1,000 in excess thereof. The fundamental change repurchase price will be equal to 100% of the principal amount of the Novatel Wireless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Novatel Wireless Notes in connection with such fundamental change.</w:t>
      </w:r>
    </w:p>
    <w:p>
      <w:pPr>
        <w:spacing w:after="0" w:line="30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Novatel Wireless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Novatel Wireless Notes, by notice to the Company and the Trustee, may declare the principal and accrued and unpaid interest on the outstanding Novatel Wireless Notes to be immediately due and payable. Upon the occurrence of certain events of bankruptcy, insolvency or reorganization involving the Company, 100% of the principal and accrued and unpaid interest of the Novatel Wireless Notes will automatically become immediately due and payable. Notwithstanding the foregoing, the Novatel Wireless Indenture provides that, to the extent the Company elects and for up to 60 days, the sole remedy for an event of default relating to certain failures by the Company to comply with certain reporting covenants consists exclusively of the right to receive special interest on the Novatel Wireless Notes at a rate equal to 0.50% per annum on the principal amount of the outstanding Novatel Wireless Notes.</w:t>
      </w:r>
    </w:p>
    <w:p>
      <w:pPr>
        <w:spacing w:after="0" w:line="274"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In accordance with accounting guidance for debt with conversion and other options, the Company separately accounts for the liability and equity components of the Novatel Wireless Notes by allocating the proceeds between the liability component and the embedded conversion option, or equity component, due to its ability to settle the Novatel Wireless Notes in cash, common stock, or a combination of cash and common stock, at the Company’s option. The carrying amount of the liability component was calculated by measuring the fair value of a similar instrument that does not have an associated convertible feature. The allocation was performed in a manner that reflected the Company’s non-convertible debt borrowing rate for similar debt. The equity component of the Novatel Wireless Notes was recognized as a debt discount and represents the difference between the aggregate proceeds from the issuance of the Novatel Wireless Notes and the fair value of the liability of the Novatel Wireless Notes on the date of issuance. The excess of the aggregate principal amount of the liability component over its carrying amount, or debt discount, is amortized to interest expense using the effective interest method over five years, or the life of the Novatel Wireless Notes. The equity component is not remeasured as long as it continues to meet the conditions for equity classification.</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Novatel Wireless Notes consisted of the following at December 31, 2016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16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r>
      <w:tr>
        <w:trPr>
          <w:trHeight w:val="224"/>
        </w:trPr>
        <w:tc>
          <w:tcPr>
            <w:tcW w:w="10160" w:type="dxa"/>
            <w:vAlign w:val="bottom"/>
          </w:tcPr>
          <w:p>
            <w:pPr>
              <w:ind w:left="280"/>
              <w:spacing w:after="0"/>
              <w:rPr>
                <w:sz w:val="20"/>
                <w:szCs w:val="20"/>
                <w:color w:val="auto"/>
              </w:rPr>
            </w:pPr>
            <w:r>
              <w:rPr>
                <w:rFonts w:ascii="Arial" w:cs="Arial" w:eastAsia="Arial" w:hAnsi="Arial"/>
                <w:sz w:val="16"/>
                <w:szCs w:val="16"/>
                <w:color w:val="auto"/>
              </w:rPr>
              <w:t>Less: unamortized debt discount and debt issuance costs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(29,092)</w:t>
            </w:r>
          </w:p>
        </w:tc>
      </w:tr>
      <w:tr>
        <w:trPr>
          <w:trHeight w:val="33"/>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90,908</w:t>
            </w: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38,305</w:t>
            </w: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connection with the issuance of the Novatel Wireless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553"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component on the unaudited condensed consolidated balance sheet. The portion allocated to the liability component is amortized to interest expense over the expected life of the Novatel Wireless Notes using the effective interest method.</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determined the expected life of the debt was equal to the five-year term of the Novatel Wireless Notes. The effective interest rate on the liability component was 16.55% for the year ended December 31, 2016. The following table sets forth total interest expense recognized related to the Novatel Wireless Notes during the year ended December 31, 2016 (in thousands):</w:t>
      </w:r>
    </w:p>
    <w:p>
      <w:pPr>
        <w:spacing w:after="0" w:line="11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r>
      <w:tr>
        <w:trPr>
          <w:trHeight w:val="23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3,667</w:t>
            </w:r>
          </w:p>
        </w:tc>
      </w:tr>
      <w:tr>
        <w:trPr>
          <w:trHeight w:val="237"/>
        </w:trPr>
        <w:tc>
          <w:tcPr>
            <w:tcW w:w="87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7,920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4,400</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r>
      <w:tr>
        <w:trPr>
          <w:trHeight w:val="244"/>
        </w:trPr>
        <w:tc>
          <w:tcPr>
            <w:tcW w:w="878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15,047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8,359</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January 9, 2017, subsequent to the balance sheet date, in connection with the settlement of an exchange offer and consent solicitation with respect to the Novatel Wireless Notes, the Company issued approximately $119.8 million aggregate principal amount of the Inseego Notes. The Inseego Notes were issued in exchange for the approximately $119.8 million aggregate principal amount of outstanding Novatel Wireless Notes that were validly tendered and accepted for exchange and subsequently canceled. The Inseego Notes, and the common stock issuable upon conversion of such notes, were registered under the Securities Act of 1933, as amended, pursuant to a Registration Statement on Form S-4 (No. 333-214966) which was filed with the SEC on December 7, 2016 and declared effective by the SEC on January 4, 2017.</w:t>
      </w:r>
    </w:p>
    <w:p>
      <w:pPr>
        <w:spacing w:after="0" w:line="2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Inseego Notes are governed by the terms of an indenture, dated January 9, 2017,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9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Inseego Notes are subject to repurchase by the Company at the option of the holders on June 15, 2020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74"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During the year ended December 31, 2016, the Company incurred approximately $1.1 million in connection with the issuance of the Inseego Notes, which is included in general and administrative expenses in the consolidated statements of operations.</w:t>
      </w:r>
    </w:p>
    <w:p>
      <w:pPr>
        <w:spacing w:after="0" w:line="2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Following the settlement of the exchange offer and consent solicitation, approximately $0.2 million aggregate principal amount of Novatel Wireless Notes remain outstanding. In connection with the exchange offer and consent solicitation, the Novatel Wireless Indenture and the Novatel Wireless Notes were amended to, among other things, eliminate certain events of default and substantially all of the restrictive covenants in the Novatel Wireless Indenture and the Novatel Wireless Notes,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Indenture, as amended, also provides that the form of settlement of any conversions of the Novatel Wireless Notes will be elected by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DigiCore has a mortgage bond with Absa that is secured by certain property of DigiCore. The mortgage bond has a ten year term, expiring in December 2018, and bears interest at the South Africa prime rate minus 1.75% (8.75% at December 31, 2016). At December 31, 2016 and 2015, $0.6 million and $0.7 million, respectively, remained outstanding under the mortgage bond.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553"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2016, the minimum calendar year principal payments and maturities of long-term debt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2018</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347</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120,000</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120,585</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before income taxes for the years ended December 31, 2016, 2015 and 2014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(51,265)</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(39,513)</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408</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for the years ended December 31, 2016, 2015 and 2014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4"/>
              </w:rPr>
              <w:t>Year Ended December 31,</w:t>
            </w:r>
          </w:p>
        </w:tc>
        <w:tc>
          <w:tcPr>
            <w:tcW w:w="940" w:type="dxa"/>
            <w:vAlign w:val="bottom"/>
            <w:tcBorders>
              <w:bottom w:val="single" w:sz="8" w:color="auto"/>
            </w:tcBorders>
          </w:tcPr>
          <w:p>
            <w:pPr>
              <w:spacing w:after="0"/>
              <w:rPr>
                <w:sz w:val="16"/>
                <w:szCs w:val="16"/>
                <w:color w:val="auto"/>
              </w:rPr>
            </w:pPr>
          </w:p>
        </w:tc>
      </w:tr>
      <w:tr>
        <w:trPr>
          <w:trHeight w:val="263"/>
        </w:trPr>
        <w:tc>
          <w:tcPr>
            <w:tcW w:w="7400" w:type="dxa"/>
            <w:vAlign w:val="bottom"/>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10"/>
        </w:trPr>
        <w:tc>
          <w:tcPr>
            <w:tcW w:w="7400" w:type="dxa"/>
            <w:vAlign w:val="bottom"/>
          </w:tcPr>
          <w:p>
            <w:pPr>
              <w:ind w:left="40"/>
              <w:spacing w:after="0"/>
              <w:rPr>
                <w:sz w:val="20"/>
                <w:szCs w:val="20"/>
                <w:color w:val="auto"/>
              </w:rPr>
            </w:pPr>
            <w:r>
              <w:rPr>
                <w:rFonts w:ascii="Arial" w:cs="Arial" w:eastAsia="Arial" w:hAnsi="Arial"/>
                <w:sz w:val="16"/>
                <w:szCs w:val="16"/>
                <w:color w:val="auto"/>
              </w:rPr>
              <w:t>Current: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60"/>
        </w:trPr>
        <w:tc>
          <w:tcPr>
            <w:tcW w:w="7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State</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w:t>
            </w:r>
          </w:p>
        </w:tc>
      </w:tr>
      <w:tr>
        <w:trPr>
          <w:trHeight w:val="33"/>
        </w:trPr>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r>
      <w:tr>
        <w:trPr>
          <w:trHeight w:val="217"/>
        </w:trPr>
        <w:tc>
          <w:tcPr>
            <w:tcW w:w="7400" w:type="dxa"/>
            <w:vAlign w:val="bottom"/>
          </w:tcPr>
          <w:p>
            <w:pPr>
              <w:ind w:left="40"/>
              <w:spacing w:after="0"/>
              <w:rPr>
                <w:sz w:val="20"/>
                <w:szCs w:val="20"/>
                <w:color w:val="auto"/>
              </w:rPr>
            </w:pPr>
            <w:r>
              <w:rPr>
                <w:rFonts w:ascii="Arial" w:cs="Arial" w:eastAsia="Arial" w:hAnsi="Arial"/>
                <w:sz w:val="16"/>
                <w:szCs w:val="16"/>
                <w:color w:val="auto"/>
              </w:rPr>
              <w:t>Total current</w:t>
            </w: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r>
      <w:tr>
        <w:trPr>
          <w:trHeight w:val="33"/>
        </w:trPr>
        <w:tc>
          <w:tcPr>
            <w:tcW w:w="7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74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Federal</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Foreign</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87</w:t>
            </w:r>
          </w:p>
        </w:tc>
      </w:tr>
      <w:tr>
        <w:trPr>
          <w:trHeight w:val="33"/>
        </w:trPr>
        <w:tc>
          <w:tcPr>
            <w:tcW w:w="7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r>
      <w:tr>
        <w:trPr>
          <w:trHeight w:val="217"/>
        </w:trPr>
        <w:tc>
          <w:tcPr>
            <w:tcW w:w="7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r>
      <w:tr>
        <w:trPr>
          <w:trHeight w:val="33"/>
        </w:trPr>
        <w:tc>
          <w:tcPr>
            <w:tcW w:w="7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553"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3"/>
        </w:trPr>
        <w:tc>
          <w:tcPr>
            <w:tcW w:w="8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3,455</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1,576</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5,613</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Net operating loss and tax credit carryforwards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105,143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96,848</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1,685</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1,407</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110,584</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(12,207)</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Purchased intangible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(6,868)</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(19,075)</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(114,419)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(94,984)</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liabilities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2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29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2015, the Company recognized a full valuation allowance against all of its U.S.-based and some foreign-based deferred tax assets.</w:t>
      </w:r>
    </w:p>
    <w:p>
      <w:pPr>
        <w:spacing w:after="0" w:line="27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At December 31, 2016 and 2015, the Company recognized valuation allowances of $19.3 million and $15.4 million, respectively, related to its deferred tax assets created in those respective years. As a result, no net income tax benefits resulted in the Company’s statements for operations from the operating losses created during those years.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553"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34% in 2016, 2015 and 2014 to loss before income taxes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benefit, at statutory rate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(20,463)</w:t>
            </w:r>
          </w:p>
        </w:tc>
        <w:tc>
          <w:tcPr>
            <w:tcW w:w="48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State benefit, net of federal benefit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15,389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11,316</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Beneficial conversion feature</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163</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credits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2,402</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Uncertain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Change in state apportionment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44"/>
        </w:trPr>
        <w:tc>
          <w:tcPr>
            <w:tcW w:w="7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At December 31, 2016, the Company has U.S. federal net operating loss carryforwards of approximately $239.3 million. Federal net operating loss carryforwards expire at various dates from 2029 through 2036. The Company has California net operating loss carryforwards of approximately $40.6 million, which expire at various dates from 2017 through 2036. The Company has Oregon net operating loss carryforwards of approximately $2.5 million, which begin to expire at various dates from 2030 through 2031. The Company has foreign net operating losses of approximately $35.7 million. Foreign net operating losses have no expiration date. The Company has California and Oregon research and development tax credit carryforwards of approximately $6.2 million and $0.1 million, respectively. The California tax credits have no expiration date. The Oregon tax credits begin to expire in 2020. The Company also has federal research and development tax credit carryforwards of approximately $4.8 million. The federal tax credits expire at various dates from 2027 through 2036.</w:t>
      </w:r>
    </w:p>
    <w:p>
      <w:pPr>
        <w:spacing w:after="0" w:line="30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The analysis was performed for the period through September 15, 2016. The analysis did not identify any events of cumulative change in ownership during the review period. The Company will continue monitoring any future changes in stock ownership.</w:t>
      </w:r>
    </w:p>
    <w:p>
      <w:pPr>
        <w:spacing w:after="0" w:line="29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2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2016 and 2015. At December 31, 2016 and 2015, the Company did not have interest expense related to uncertain tax positions or a liability for unrecognized tax benefits. The Company does not expect changes to its uncertain tax position in the next twelve months.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55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35,500</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204</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 and lapses in statutes of limitations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9920" w:type="dxa"/>
            <w:vAlign w:val="bottom"/>
          </w:tcPr>
          <w:p>
            <w:pPr>
              <w:ind w:left="40"/>
              <w:spacing w:after="0"/>
              <w:rPr>
                <w:sz w:val="20"/>
                <w:szCs w:val="20"/>
                <w:color w:val="auto"/>
              </w:rPr>
            </w:pPr>
            <w:r>
              <w:rPr>
                <w:rFonts w:ascii="Arial" w:cs="Arial" w:eastAsia="Arial" w:hAnsi="Arial"/>
                <w:sz w:val="16"/>
                <w:szCs w:val="16"/>
                <w:color w:val="auto"/>
              </w:rPr>
              <w:t>Balance at December 31, 2014</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35,643</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r>
      <w:tr>
        <w:trPr>
          <w:trHeight w:val="217"/>
        </w:trPr>
        <w:tc>
          <w:tcPr>
            <w:tcW w:w="9920" w:type="dxa"/>
            <w:vAlign w:val="bottom"/>
          </w:tcPr>
          <w:p>
            <w:pPr>
              <w:ind w:left="40"/>
              <w:spacing w:after="0"/>
              <w:rPr>
                <w:sz w:val="20"/>
                <w:szCs w:val="20"/>
                <w:color w:val="auto"/>
              </w:rPr>
            </w:pPr>
            <w:r>
              <w:rPr>
                <w:rFonts w:ascii="Arial" w:cs="Arial" w:eastAsia="Arial" w:hAnsi="Arial"/>
                <w:sz w:val="16"/>
                <w:szCs w:val="16"/>
                <w:color w:val="auto"/>
              </w:rPr>
              <w:t>Balance at December 31, 2015</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35,803</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r>
      <w:tr>
        <w:trPr>
          <w:trHeight w:val="244"/>
        </w:trPr>
        <w:tc>
          <w:tcPr>
            <w:tcW w:w="992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36,291</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2016.</w:t>
      </w:r>
    </w:p>
    <w:p>
      <w:pPr>
        <w:spacing w:after="0" w:line="11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2015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No preferred shares are currently issued or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2016 and 2015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7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warrants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1,886,630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1,886,630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 options outstanding</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6,356,203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6,084,836</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2,975,800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960,203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issuance pursuant to Novatel Wireless Notes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30,000,000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92"/>
              </w:rPr>
              <w:t>30,000,000</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of awards under the 2015 Incentive Compensation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1,332,035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1,074,602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future grants of awards under the 2009 Omnibus Incentive Compensation Plan</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3,871,666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3,956,060</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under the 2000 Employee Stock Purchase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89,676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879,241</w:t>
            </w: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 shares of common stock reserved for issuance</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46,512,010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2"/>
              </w:rPr>
              <w:t>44,841,572</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2016, the Company granted awards under the Amended and Restated 2009 Omnibus Incentive Compensation Plan (the “2009 Plan”). The Compensation Committee of the Board of Directors administers the plans.</w:t>
      </w:r>
    </w:p>
    <w:p>
      <w:pPr>
        <w:spacing w:after="0" w:line="27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Under the 2015 Incentive Compensation Plan (the “2015 Plan”) and the 2009 Plan, a maximum of 4,000,000 shares and 15,323,000 shares, respectively,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553"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years ended December 31, 2016, 2015 and 2014, the following table presents total share-based compensation expense in each functional line item on the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4"/>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654</w:t>
            </w:r>
          </w:p>
        </w:tc>
      </w:tr>
      <w:tr>
        <w:trPr>
          <w:trHeight w:val="33"/>
        </w:trPr>
        <w:tc>
          <w:tcPr>
            <w:tcW w:w="7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2,778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2,963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1,384</w:t>
            </w:r>
          </w:p>
        </w:tc>
      </w:tr>
      <w:tr>
        <w:trPr>
          <w:trHeight w:val="33"/>
        </w:trPr>
        <w:tc>
          <w:tcPr>
            <w:tcW w:w="7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w:t>
            </w:r>
          </w:p>
        </w:tc>
      </w:tr>
      <w:tr>
        <w:trPr>
          <w:trHeight w:val="244"/>
        </w:trPr>
        <w:tc>
          <w:tcPr>
            <w:tcW w:w="7400" w:type="dxa"/>
            <w:vAlign w:val="bottom"/>
          </w:tcPr>
          <w:p>
            <w:pPr>
              <w:ind w:left="28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4,588</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3,588</w:t>
            </w:r>
          </w:p>
        </w:tc>
      </w:tr>
      <w:tr>
        <w:trPr>
          <w:trHeight w:val="20"/>
        </w:trPr>
        <w:tc>
          <w:tcPr>
            <w:tcW w:w="7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11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connection with the acquisition of FW, the Company granted inducement stock options to FW employees to acquire an aggregate of 323,000 shares of the Company’s common stock under the 2009 Plan. The inducement awards became effective upon the closing of the acquisition. These stock options granted to FW employees have an exercise price of $4.65 per share. The options have a ten-year term and will vest over a four-year period. In the event of termination of employment, all unvested options will terminate.</w:t>
      </w:r>
    </w:p>
    <w:p>
      <w:pPr>
        <w:spacing w:after="0" w:line="13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connection with the acquisition of Ctrack, the Company assumed a number of employee stock options granted to both executive and non-executive employees of Ctrack. Under the 2015 Plan, the Company granted stock options to employees of Ctrack to replace the stock options previously granted by DigiCore (the “Replacement Options”). The Company adjusted the exercise price and number of shares originally granted by DigiCore in order to preserve the intrinsic value and stock-exercise ratio of such awards. For Replacement Options granted to executives, the vesting schedule was reset to four years and the expiration date was extended to ten years from the date of acquisition. For Replacement Options granted to non-executives, the vesting schedule remain unchanged and the expiration date was extended to ten years from the date of acquisition.</w:t>
      </w:r>
    </w:p>
    <w:p>
      <w:pPr>
        <w:spacing w:after="0" w:line="12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a result of the Company granting Replacement Options at an exercise price that preserved the value of the options, these options were valued as in-the-money options. Due to limitations in the Black-Scholes model related to in-the-money options, the Company elected to value the options using the Hull-White I lattice model. The inherent advantage of a lattice model relative to the Black-Scholes model is that option exercises are modeled as being dependent on the evolution of the stock price and not solely on the amount of time that has passed since the grant date. The Hull-White I lattice model uses the same assumptions as the Black-Scholes model except it replaces the expected term with the suboptimal exercise factor and includes an additional assumption regarding the post-vesting termination rate.</w:t>
      </w:r>
    </w:p>
    <w:p>
      <w:pPr>
        <w:spacing w:after="0" w:line="139"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Under the 2015 Plan, the Company also granted additional bonus stock options to Ctrack executives with a exercise price equal to the market price on the date of grant, a four-year vesting schedule, and an expiration date that occurs ten years from the acquisition date. The fair value of these options was determined using the Black-Scholes valuation model. No other shares have been granted under the 2015 Plan.</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the weighted-average assumptions used in the Hull-White I valuation model and the Black-Scholes valuation model by the Company in calculating the fair value of each Replacement Option and executive bonus stock option, respectively, granted under the 2015 Plan for the year ended December 31, 2015:</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Hull-White I</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Non-executive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Black-Scholes</w:t>
            </w: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5.0</w:t>
            </w:r>
          </w:p>
        </w:tc>
      </w:tr>
      <w:tr>
        <w:trPr>
          <w:trHeight w:val="33"/>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Suboptimal exercise factor</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Post-vesting termination rate</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n/a</w:t>
            </w: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553" w:right="2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 under the 2009 Plan:</w:t>
      </w:r>
    </w:p>
    <w:p>
      <w:pPr>
        <w:spacing w:after="0" w:line="10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23495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r>
      <w:tr>
        <w:trPr>
          <w:trHeight w:val="236"/>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20" w:type="dxa"/>
            <w:vAlign w:val="bottom"/>
            <w:tcBorders>
              <w:bottom w:val="single" w:sz="8" w:color="CCEEFF"/>
            </w:tcBorders>
            <w:gridSpan w:val="3"/>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4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814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4.6</w:t>
            </w:r>
          </w:p>
        </w:tc>
      </w:tr>
    </w:tbl>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weighted-average fair value of stock option awards granted under all plans during the years ended December 31, 2016, 2015 and 2014 was $1.05, $1.63 and $1.48, respectively.</w:t>
      </w:r>
    </w:p>
    <w:p>
      <w:pPr>
        <w:spacing w:after="0" w:line="3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under all plans for the years ended December 31, 2016 and 2015 (dollars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3,064,880</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6,656,737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(273,005)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(3,363,776)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6,084,836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1,051,550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(701,799)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6,356,203</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and Expected to Vest — December 31, 2016</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5,729,553</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 December 31, 2016</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2,461,614</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total intrinsic value of stock options exercised to purchase common stock during the years ended December 31, 2016, 2015 and 2014 was approximately $0.1 million, $0.9 million and $0.1 million, respectively. As of December 31, 2016, total unrecognized share-based compensation expense related to non-vested stock options was $4.1 million, which is expected to be recognized over a weighted-average period of approximately 2.6 years. The Company recognized approximately $2.2 million, $3.2 million and $0.8 million of share-based compensation expense related to the vesting of stock option awards during the years ended December 31, 2016, 2015 and 2014,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the 2015 Plan and the 2009 Plan, the Company may issue RSUs that, upon satisfaction of vesting conditions, allow for employees and non-employee directors to receive common stock. Issuances of such awards reduce common stock available under the 2015 Plan and 2009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553"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under all plans for the year ended December 31, 2016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960,203</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2,914,000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(461,866)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(436,537)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2,975,800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During the years ended December 31, 2015 and 2014, the weighted-average grant-date fair value of RSUs granted was $4.55 (net of immediately vesting RSUs granted as payment to the Company’s U.S. employees for their retention bonus in the third quarter of 2015) and $2.16, respectively. During the years ended December 31, 2016, 2015 and 2014, the total fair value of shares vested was $0.9 million, $3.1 million (net of immediately vesting RSUs granted as payment to the Company’s U.S. employees for their retention bonus in the third quarter of 2015) and $3.0 million, respectively.</w:t>
      </w:r>
    </w:p>
    <w:p>
      <w:pPr>
        <w:spacing w:after="0" w:line="10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December 31, 2016, there was $3.1 million of unrecognized share-based compensation expense related to non-vested RSUs, which is expected to be recognized over a weighted-average period of 2.7 years. The Company recognized approximately $2.0 million, $2.8 million and $2.9 million of share-based compensation expense related to the vesting of RSUs during the years ended December 31, 2016, 2015 and 2014,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4,074,000 shares of common stock may be purchased by eligible employees.</w:t>
      </w:r>
    </w:p>
    <w:p>
      <w:pPr>
        <w:spacing w:after="0" w:line="11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Company terminated the ESPP in 2012 due to a lack of available shares but subsequently reinstated the ESPP in August 2014. During the years ended December 31, 2016, 2015 and 2014, the Company issued 789,565 shares, 506,100 shares and 114,791 shares, respectively, under the ESPP. The Company recognized approximately $0.4 million, $0.4 million and $0.1 million of share-based compensation expense related to the ESPP during the years ended December 31, 2016, 2015 and 2014,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Basic earnings per share (“EPS”) excludes dilution and is computed by dividing net income (loss) attributable to common shareholders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53,911,270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52,767,230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37,958,846</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 attributable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the years ended December 31, 2016, 2015 and 2014 the computation of diluted EPS excluded 11,218,633 shares, 8,931,669 shares and 8,810,706 shares, respectively, related to warrants, stock options and RSUs as their effect would have been anti-dilutive.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53"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Securities Purchase Agreement and Warrant Issues</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the Company’s common stock at an exercise price of $2.26 per share (the “2014 Warrant”) and (iii) 87,196 shares of the Company’s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 (collectively, the “Financing”).</w:t>
      </w:r>
    </w:p>
    <w:p>
      <w:pPr>
        <w:spacing w:after="0" w:line="23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Due to insufficient authorized shares to satisfy the exercise of the instrument in full at the time of issuance, the Company determined that the instrument should be treated as a derivative instrument as of September 30, 2014. Liability classification was required because share settlement was not within the control of the Company and the 2014 Warrant was not considered to be “indexed to the company’s own stock” and therefore did not qualify for the exemptions provided by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xml:space="preserve"> (“ASC 815”). As such the warrants were recorded at fair value with any changes in fair value being recognized in earnings.</w:t>
      </w:r>
    </w:p>
    <w:p>
      <w:pPr>
        <w:spacing w:after="0" w:line="24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November 17, 2014 (the “Approval Date”), at a Special Meeting of the Stockholders, the Company received stockholder approval to increase the number of authorized shares of the Company’s common stock. With this approval, the Company had a sufficient amount of authorized shares to satisfy the exercise of the instrument in full. As a result, the Company performed a final re-measurement of the 2014 Warrant to fair value and then reclassified the fair value to additional paid-in capital.</w:t>
      </w:r>
    </w:p>
    <w:p>
      <w:pPr>
        <w:spacing w:after="0" w:line="29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Because the 2014 Warrant had no comparable market data to determine fair value, the Company hired an independent valuation firm to assist with the valuation of the 2014 Warrant at the measurement date and as of the Approval Date. The primary factors used to determine the fair value included: (i) the fair value of the Company’s common stock; (ii) the volatility of the Company’s common stock; (iii) the risk free interest rate; (iv) the estimated likelihood and timing of exercise; and (v) the estimated likelihood and timing of a future financing arrangement. Increases in the market value of the Company’s common stock and volatility, which have the most impact on the fair value of the 2014 Warrant, would cause the fair value of the 2014 Warrant to change. While classified as a liability, the 2014 Warrant was measured at fair value on a recurring basis and any unrealized losses were recognized in earnings as other expense. During the year ended December 31, 2014, the Company recorded a change in fair value of $3.3 million related to the 2014 Warrant, primarily as a result of an increase in the market value of the Company’s common stock.</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change to the fair value of the 2014 Warrant during the year ended December 31, 2014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8, 2014 (Transaction Date)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Change in fair value</w:t>
            </w: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3,280</w:t>
            </w:r>
          </w:p>
        </w:tc>
      </w:tr>
      <w:tr>
        <w:trPr>
          <w:trHeight w:val="47"/>
        </w:trPr>
        <w:tc>
          <w:tcPr>
            <w:tcW w:w="99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November 17, 2014 (Approval Date)</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8,219</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Reclassification to additional paid-in-capital</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(8,219)</w:t>
            </w:r>
          </w:p>
        </w:tc>
      </w:tr>
      <w:tr>
        <w:trPr>
          <w:trHeight w:val="47"/>
        </w:trPr>
        <w:tc>
          <w:tcPr>
            <w:tcW w:w="99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2014</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the Company’s common stock at an exercise price of $2.26 per share for total proceeds of $8.6 million.</w:t>
      </w:r>
    </w:p>
    <w:p>
      <w:pPr>
        <w:spacing w:after="0" w:line="27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On March 26, 2015, in order to induce the Investor to exercise the 2014 Warrant for cash in connection with the acquisition of FW, the Company issued to the Investor a new warrant (the “2015 Warrant”) to purchase 1,593,583 shares of the Company’s common stock at an exercise price of $5.50 per share.</w:t>
      </w:r>
    </w:p>
    <w:p>
      <w:pPr>
        <w:spacing w:after="0" w:line="23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2015 Warrant will be exercisable into shares of the Company’s common stock during the period commencing on September 26, 2015 and ending on March 26, 2020, the expiration date of the 2015 Warrant. The 2015 Warrant will generally only be exercisable on a cash basis; provided, however, that the 2015 Warrant may be exercised on a cashless basis if and only if a registration statement relating to the issuance of the shares underlying the 2015 Warrant is not then effective or an exemption from registration is not available for the resale of such shares. The 2015 Warrant may be exercised by surrendering to the Company the certificate evidencing the 2015 Warrant to be exercised with the accompanying exercise notice, appropriately completed, duly signed and delivered, together with cash payment of the exercise price, if applicable.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553"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Company reviewed the terms of the 2015 Warrant to determine whether or not it met the criteria of a derivative instrument under ASC 815.</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Pursuant to this guidance, the Company has determined that the 2015 Warrant does not require liability accounting and has classified the warrant as equity.</w:t>
      </w:r>
    </w:p>
    <w:p>
      <w:pPr>
        <w:spacing w:after="0" w:line="34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Because the 2015 Warrant has no comparable market data to determine fair value, the Company hired an independent valuation firm to assist with the valuation of the 2015 Warrant at March 26, 2015, the issuance date of the warrant. The primary factors used to determine the fair value include: (i) the fair value of the Company’s common stock; (ii) the volatility of the Company’s common stock; (iii) the risk free interest rate and (iv) the estimated likelihood and timing of exercise.</w:t>
      </w:r>
    </w:p>
    <w:p>
      <w:pPr>
        <w:spacing w:after="0" w:line="295"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2015 Warrant was issued in connection with the cash exercise of the 2014 Warrant, and accordingly, the fair value of the 2015 Warrant of $3.5 million was considered cost of capital and netted against the $8.6 million aggregate proceeds received from the exercise of the 2014 Warrant.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Redeemable Convertible Series C Preferred Stock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connection with the Financing the Company issued 87,196 shares of Series C Preferred Stock at $17.50 per share, initially convertible, subject to adjustments, into 871,960 shares of common stock.</w:t>
      </w:r>
    </w:p>
    <w:p>
      <w:pPr>
        <w:spacing w:after="0" w:line="2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November 17, 2014, at a Special Meeting of the Stockholders, the Company received stockholder approval to increase the number of authorized shares of the Company’s common stock from 50,000,000 shares to 100,000,000 shares and each share of Series C Preferred Stock then outstanding automatically converted into ten shares of common stock. Upon conversion, the Company reclassified the Series C Preferred Stock out of mezzanine equity into permanent equity and recognized a beneficial conversion feature (“BCF”) of $0.4 million in equity due to the resolution of the contingent BCF embedded within the Series C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 has vehicles and equipment under capital leases that were assumed through its acquisitions of Ctrack. The future minimum payments under capital leases were as follows at December 31,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2018</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509</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Total minimum capital lease payments</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1,967</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representing interest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Present value of net minimum capital lease payments</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1,732</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7"/>
        </w:trPr>
        <w:tc>
          <w:tcPr>
            <w:tcW w:w="9920" w:type="dxa"/>
            <w:vAlign w:val="bottom"/>
          </w:tcPr>
          <w:p>
            <w:pPr>
              <w:ind w:left="40"/>
              <w:spacing w:after="0"/>
              <w:rPr>
                <w:sz w:val="20"/>
                <w:szCs w:val="20"/>
                <w:color w:val="auto"/>
              </w:rPr>
            </w:pPr>
            <w:r>
              <w:rPr>
                <w:rFonts w:ascii="Arial" w:cs="Arial" w:eastAsia="Arial" w:hAnsi="Arial"/>
                <w:sz w:val="16"/>
                <w:szCs w:val="16"/>
                <w:color w:val="auto"/>
              </w:rPr>
              <w:t>Long-term portion</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1,267</w:t>
            </w:r>
          </w:p>
        </w:tc>
      </w:tr>
      <w:tr>
        <w:trPr>
          <w:trHeight w:val="33"/>
        </w:trPr>
        <w:tc>
          <w:tcPr>
            <w:tcW w:w="9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leases its office space and certain equipment under non-cancellable operating leases with various terms through 2020.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During the years ended December 31, 2016, 2015 and 2014, rent expense under operating leases was $4.1 million, $3.3 million and $3.0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553" w:right="2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9920" w:type="dxa"/>
            <w:vAlign w:val="bottom"/>
          </w:tcPr>
          <w:p>
            <w:pPr>
              <w:jc w:val="right"/>
              <w:ind w:right="3416"/>
              <w:spacing w:after="0"/>
              <w:rPr>
                <w:sz w:val="20"/>
                <w:szCs w:val="20"/>
                <w:color w:val="auto"/>
              </w:rPr>
            </w:pPr>
            <w:r>
              <w:rPr>
                <w:rFonts w:ascii="Arial" w:cs="Arial" w:eastAsia="Arial" w:hAnsi="Arial"/>
                <w:sz w:val="18"/>
                <w:szCs w:val="18"/>
                <w:b w:val="1"/>
                <w:bCs w:val="1"/>
                <w:color w:val="auto"/>
              </w:rPr>
              <w:t>INSEEGO CORP.</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920" w:type="dxa"/>
            <w:vAlign w:val="bottom"/>
          </w:tcPr>
          <w:p>
            <w:pPr>
              <w:jc w:val="right"/>
              <w:ind w:right="1756"/>
              <w:spacing w:after="0"/>
              <w:rPr>
                <w:sz w:val="20"/>
                <w:szCs w:val="20"/>
                <w:color w:val="auto"/>
              </w:rPr>
            </w:pPr>
            <w:r>
              <w:rPr>
                <w:rFonts w:ascii="Arial" w:cs="Arial" w:eastAsia="Arial" w:hAnsi="Arial"/>
                <w:sz w:val="18"/>
                <w:szCs w:val="18"/>
                <w:b w:val="1"/>
                <w:bCs w:val="1"/>
                <w:color w:val="auto"/>
              </w:rPr>
              <w:t>NOTES TO CONSOLIDATED FINANCIAL STATEMENTS</w:t>
            </w: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567"/>
        </w:trPr>
        <w:tc>
          <w:tcPr>
            <w:tcW w:w="9920" w:type="dxa"/>
            <w:vAlign w:val="bottom"/>
          </w:tcPr>
          <w:p>
            <w:pPr>
              <w:jc w:val="right"/>
              <w:ind w:right="396"/>
              <w:spacing w:after="0"/>
              <w:rPr>
                <w:sz w:val="20"/>
                <w:szCs w:val="20"/>
                <w:color w:val="auto"/>
              </w:rPr>
            </w:pPr>
            <w:r>
              <w:rPr>
                <w:rFonts w:ascii="Arial" w:cs="Arial" w:eastAsia="Arial" w:hAnsi="Arial"/>
                <w:sz w:val="18"/>
                <w:szCs w:val="18"/>
                <w:color w:val="auto"/>
                <w:w w:val="94"/>
              </w:rPr>
              <w:t>The future minimum payments under non-cancellable operating leases were as follows at December 31, 2016 (in thousands):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37"/>
        </w:trPr>
        <w:tc>
          <w:tcPr>
            <w:tcW w:w="9920" w:type="dxa"/>
            <w:vAlign w:val="bottom"/>
            <w:tcBorders>
              <w:bottom w:val="single" w:sz="8" w:color="CCEEFF"/>
            </w:tcBorders>
            <w:shd w:val="clear" w:color="auto" w:fill="CCEEFF"/>
          </w:tcPr>
          <w:p>
            <w:pPr>
              <w:jc w:val="right"/>
              <w:ind w:right="9476"/>
              <w:spacing w:after="0"/>
              <w:rPr>
                <w:sz w:val="20"/>
                <w:szCs w:val="20"/>
                <w:color w:val="auto"/>
              </w:rPr>
            </w:pPr>
            <w:r>
              <w:rPr>
                <w:rFonts w:ascii="Arial" w:cs="Arial" w:eastAsia="Arial" w:hAnsi="Arial"/>
                <w:sz w:val="16"/>
                <w:szCs w:val="16"/>
                <w:color w:val="auto"/>
                <w:w w:val="95"/>
              </w:rPr>
              <w:t>2017</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3,082</w:t>
            </w:r>
          </w:p>
        </w:tc>
      </w:tr>
      <w:tr>
        <w:trPr>
          <w:trHeight w:val="224"/>
        </w:trPr>
        <w:tc>
          <w:tcPr>
            <w:tcW w:w="9920" w:type="dxa"/>
            <w:vAlign w:val="bottom"/>
          </w:tcPr>
          <w:p>
            <w:pPr>
              <w:jc w:val="right"/>
              <w:ind w:right="9476"/>
              <w:spacing w:after="0"/>
              <w:rPr>
                <w:sz w:val="20"/>
                <w:szCs w:val="20"/>
                <w:color w:val="auto"/>
              </w:rPr>
            </w:pPr>
            <w:r>
              <w:rPr>
                <w:rFonts w:ascii="Arial" w:cs="Arial" w:eastAsia="Arial" w:hAnsi="Arial"/>
                <w:sz w:val="16"/>
                <w:szCs w:val="16"/>
                <w:color w:val="auto"/>
                <w:w w:val="95"/>
              </w:rPr>
              <w:t>2018</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2,469</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jc w:val="right"/>
              <w:ind w:right="9476"/>
              <w:spacing w:after="0"/>
              <w:rPr>
                <w:sz w:val="20"/>
                <w:szCs w:val="20"/>
                <w:color w:val="auto"/>
              </w:rPr>
            </w:pPr>
            <w:r>
              <w:rPr>
                <w:rFonts w:ascii="Arial" w:cs="Arial" w:eastAsia="Arial" w:hAnsi="Arial"/>
                <w:sz w:val="16"/>
                <w:szCs w:val="16"/>
                <w:color w:val="auto"/>
                <w:w w:val="95"/>
              </w:rPr>
              <w:t>2019</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w:t>
            </w:r>
          </w:p>
        </w:tc>
      </w:tr>
      <w:tr>
        <w:trPr>
          <w:trHeight w:val="224"/>
        </w:trPr>
        <w:tc>
          <w:tcPr>
            <w:tcW w:w="9920" w:type="dxa"/>
            <w:vAlign w:val="bottom"/>
          </w:tcPr>
          <w:p>
            <w:pPr>
              <w:jc w:val="right"/>
              <w:ind w:right="9476"/>
              <w:spacing w:after="0"/>
              <w:rPr>
                <w:sz w:val="20"/>
                <w:szCs w:val="20"/>
                <w:color w:val="auto"/>
              </w:rPr>
            </w:pPr>
            <w:r>
              <w:rPr>
                <w:rFonts w:ascii="Arial" w:cs="Arial" w:eastAsia="Arial" w:hAnsi="Arial"/>
                <w:sz w:val="16"/>
                <w:szCs w:val="16"/>
                <w:color w:val="auto"/>
                <w:w w:val="95"/>
              </w:rPr>
              <w:t>2020</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329</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jc w:val="right"/>
              <w:ind w:right="9236"/>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Matters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Company’s turnaround efforts, and to retain and encourage employees to assist the Company with its efforts,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an all-employee retention bonus plan in 2014 (“2014 Retention Bonus Plan”) based on achieving certain financial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targets. The financial metrics had to be met for two consecutive quarter periods during the three quarter periods ending March 31, 2015.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Company accrued approximately $5.5 million of the maximum total target bonus expense based on the Company’s financial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December 31, 2014 and the assessment of the probability of the achievement of the remaining metrics in March 31, 2015.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expense of approximately $10.7 million was recognized over the requisite service period, $5.2 million of which was recognized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In the third quarter of 2015, the Company paid U.S. employees their bonuses with 2,158,436 net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Non-U.S. employees receive cash bonus payments.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is currently named as a defendant or co-defendant in some patent infringement lawsuits in the United States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 other than those discussed below.</w:t>
      </w:r>
    </w:p>
    <w:p>
      <w:pPr>
        <w:spacing w:after="0" w:line="13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was filed on behalf of persons who purchased the Company’s common stock between February 27, 2007 and September 15, 2008.</w:t>
      </w:r>
    </w:p>
    <w:p>
      <w:pPr>
        <w:spacing w:after="0" w:line="100"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June 23, 2014, the Court entered its judgment approving a final settlement agreement with respect to the Litigation. The settlement agreement does not admit any liability, and the Company and the individual defendants continue to deny any and all liability. Under the terms of the settlement agreement, the plaintiff class agreed to settle all claims asserted in the Litigation and granted the defendants and released parties a full and complete release in exchange for</w:t>
      </w:r>
    </w:p>
    <w:p>
      <w:pPr>
        <w:ind w:right="160" w:firstLine="8"/>
        <w:spacing w:after="0" w:line="254"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cash payment of $6.0 million to the plaintiff’s class, approximately $1.7 million of which was to be funded by the Company’s insurers, (ii) the issuance of unrestricted and freely tradable shares of the Company’s stock with an aggregate value of $5.0 million and (iii) the issuance of a $5.0 million secured promissory note, which such note shall have a 30-month maturity, carrying interest at 5% per annum, payable quarterly, and being secured by the accounts receivable of the Company.</w:t>
      </w:r>
    </w:p>
    <w:p>
      <w:pPr>
        <w:spacing w:after="0" w:line="13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1, 2014, the Company and the individual defendants filed a motion to amend the judgment entered on June 23, 2014, specifically requesting the Court to amend the effective date of such judgment to June 20, 2014, the date the court held the final approval hearing. The Court granted this motion on July 8, 2014, and the judgment date was deemed entered on June 20, 2014.</w:t>
      </w:r>
    </w:p>
    <w:p>
      <w:pPr>
        <w:spacing w:after="0" w:line="12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July 8, 2014, the Company funded the cash portion of the settlement with $4.3 million of Company cash and $1.7 million previously funded into escrow by the Company’s insurers. On July 17, 2014, the Company issued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553"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2,407,318 unrestricted shares of the Company’s common stock to the class members in satisfaction of the $5.0 million stock payment. The Company also issued a $5.0 million secured promissory note on July 8, 2014, which was paid off by the Company during the fourth quarter of 2014.</w:t>
      </w:r>
    </w:p>
    <w:p>
      <w:pPr>
        <w:spacing w:after="0" w:line="7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On November 17, 2014, the Court granted Plaintiff’s motion to enforce the Settlement and the Court agreed with the Plaintiffs to use an intra-day trading price of the Company’s stock for valuation purposes and not the closing price, and accordingly, the Company owed $0.8 million which was paid by the Company on December 16,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there were no further liabilities accrued in connection with the Litigation.</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On May 27, 2015, a patent infringement action was brought against Novatel Wireless and its customers, AT&amp;T and Verizon Wireless, in the Southern District of Florida by Carucel Investments, L.P. (“Carucel”), a non-practicing entity (</w:t>
      </w:r>
      <w:r>
        <w:rPr>
          <w:rFonts w:ascii="Arial" w:cs="Arial" w:eastAsia="Arial" w:hAnsi="Arial"/>
          <w:sz w:val="16"/>
          <w:szCs w:val="16"/>
          <w:i w:val="1"/>
          <w:iCs w:val="1"/>
          <w:color w:val="auto"/>
        </w:rPr>
        <w:t>Carucel Investments, L.P. v. Novatel Wireless, Inc., et al., U.S.D.C. S.D.</w:t>
      </w:r>
      <w:r>
        <w:rPr>
          <w:rFonts w:ascii="Arial" w:cs="Arial" w:eastAsia="Arial" w:hAnsi="Arial"/>
          <w:sz w:val="16"/>
          <w:szCs w:val="16"/>
          <w:color w:val="auto"/>
        </w:rPr>
        <w:t xml:space="preserve"> </w:t>
      </w:r>
      <w:r>
        <w:rPr>
          <w:rFonts w:ascii="Arial" w:cs="Arial" w:eastAsia="Arial" w:hAnsi="Arial"/>
          <w:sz w:val="16"/>
          <w:szCs w:val="16"/>
          <w:i w:val="1"/>
          <w:iCs w:val="1"/>
          <w:color w:val="auto"/>
        </w:rPr>
        <w:t>Florida, Civil Action No. 0:15-cv-61116-BB</w:t>
      </w:r>
      <w:r>
        <w:rPr>
          <w:rFonts w:ascii="Arial" w:cs="Arial" w:eastAsia="Arial" w:hAnsi="Arial"/>
          <w:sz w:val="16"/>
          <w:szCs w:val="16"/>
          <w:color w:val="auto"/>
        </w:rPr>
        <w:t>). The complaint alleges that certain MiFi mobile hotspots manufactured by Novatel Wireless infringe claims of</w:t>
      </w:r>
      <w:r>
        <w:rPr>
          <w:rFonts w:ascii="Arial" w:cs="Arial" w:eastAsia="Arial" w:hAnsi="Arial"/>
          <w:sz w:val="16"/>
          <w:szCs w:val="16"/>
          <w:i w:val="1"/>
          <w:iCs w:val="1"/>
          <w:color w:val="auto"/>
        </w:rPr>
        <w:t xml:space="preserve"> </w:t>
      </w:r>
      <w:r>
        <w:rPr>
          <w:rFonts w:ascii="Arial" w:cs="Arial" w:eastAsia="Arial" w:hAnsi="Arial"/>
          <w:sz w:val="16"/>
          <w:szCs w:val="16"/>
          <w:color w:val="auto"/>
        </w:rPr>
        <w:t>patents owned by Carucel. Venue in the case was subsequently transferred to the Court, and AT&amp;T was later dismissed as a defendant. The litigation is proceeding against Novatel Wireless and Verizon Wireless, and a jury trial is scheduled for April 2017. Carucel is currently seeking royalty damages of approximately $43 million, and the Company has certain indemnification obligations with respect to Verizon Wireless. As this case has approached trial, over the past five months Carucel has significantly increased the amount of damages it is seeking. Novatel Wireless does not believe its MiFi mobile hotspot devices infringe any valid claim in Carucel’s patents, and does not believe that the damages sought in this case represent reasonable royalty amounts even if such infringement existed. Novatel Wireless has vigorously denied any liability. However, there can be no assurance as to the ultimate outcome of this litigation, and an adverse judgment could have a material adverse effect on our business, results of operations, financial condition and cash flows. The Company determined that a loss is neither probable nor estimable and therefore a liability related to this case has not been recorded.</w:t>
      </w:r>
    </w:p>
    <w:p>
      <w:pPr>
        <w:spacing w:after="0" w:line="200" w:lineRule="exact"/>
        <w:rPr>
          <w:sz w:val="20"/>
          <w:szCs w:val="20"/>
          <w:color w:val="auto"/>
        </w:rPr>
      </w:pPr>
    </w:p>
    <w:p>
      <w:pPr>
        <w:ind w:right="140" w:firstLine="392"/>
        <w:spacing w:after="0" w:line="257" w:lineRule="auto"/>
        <w:rPr>
          <w:sz w:val="20"/>
          <w:szCs w:val="20"/>
          <w:color w:val="auto"/>
        </w:rPr>
      </w:pPr>
      <w:r>
        <w:rPr>
          <w:rFonts w:ascii="Arial" w:cs="Arial" w:eastAsia="Arial" w:hAnsi="Arial"/>
          <w:sz w:val="18"/>
          <w:szCs w:val="18"/>
          <w:color w:val="auto"/>
        </w:rPr>
        <w:t>On September 26, 2016, the Company settled a breach of contract claim alleging that the Company had failed to pay certain royalties on hardware products sold by its subsidiary, Enfora, Inc. Under the terms of the settlement agreement, the Company is required to pay an aggregate settlement amount of $2.8 million, $2.1 million of which remained outstanding as of December 31, 2016 and is included in accrued expenses and other current liabilities and in other long-term liabilities in the consolidated balance sheets, and is payable in eight equal quarterly installments. The contract underlying the claim has now been terminated.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and Concentrations of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71,564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112,424</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63,693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60,580</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23,459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25,749</w:t>
            </w:r>
          </w:p>
        </w:tc>
      </w:tr>
      <w:tr>
        <w:trPr>
          <w:trHeight w:val="217"/>
        </w:trPr>
        <w:tc>
          <w:tcPr>
            <w:tcW w:w="878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158,716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198,753</w:t>
            </w: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net revenues based on shipping destination: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r>
      <w:tr>
        <w:trPr>
          <w:trHeight w:val="23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16.6</w:t>
            </w:r>
          </w:p>
        </w:tc>
        <w:tc>
          <w:tcPr>
            <w:tcW w:w="1420" w:type="dxa"/>
            <w:vAlign w:val="bottom"/>
            <w:gridSpan w:val="3"/>
          </w:tcPr>
          <w:p>
            <w:pPr>
              <w:jc w:val="right"/>
              <w:ind w:right="83"/>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w:t>
            </w:r>
          </w:p>
        </w:tc>
        <w:tc>
          <w:tcPr>
            <w:tcW w:w="142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w:t>
            </w:r>
          </w:p>
        </w:tc>
      </w:tr>
      <w:tr>
        <w:trPr>
          <w:trHeight w:val="217"/>
        </w:trPr>
        <w:tc>
          <w:tcPr>
            <w:tcW w:w="72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553"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For the years ended December 31, 2016, 2015 and 2014, one customer accounted for 53.9%, 53.6% and 51.6% of net revenues, respectively. At December 31, 2016 and 2015, one customer accounted for 42.8% and 17.4% of total accounts receivable,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Savings Plan</w:t>
      </w:r>
    </w:p>
    <w:p>
      <w:pPr>
        <w:spacing w:after="0" w:line="17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The Company suspended the employer matching program on August 1, 2014. Effective January 1, 2016, the Company reinstated the employer matching program and matches 50% of the first 6% of an employee’s designated deferral of their eligible compensation. Employees may make discretionary contributions to the Plan subject to Internal Revenue Service limitations. Employer matching contributions under the Plan amounted to approximately $0.6 million and $0.6 million for the years ended December 31, 2016 and 2014, respectively. Employer matching contributions vested over a two-year period prior to January 1, 2016 and vest immediately beginning January 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September 2013, the Company commenced certain restructuring initiatives including the closure of the Company’s development site in Calgary, Canada, and the consolidation of certain supply chain management activities (the “2013 Initiatives”). The 2013 Initiatives cost a total of approximately $6.6 million and were completed in December 2016.</w:t>
      </w:r>
    </w:p>
    <w:p>
      <w:pPr>
        <w:spacing w:after="0" w:line="23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August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which included, among other actions, the replacement of the former Chief Executive Officer (collectively, the “2015 Initiatives”). The Company continued these initiatives in 2016 with a reduction-in-force and the completion of the closure of its facility in Richardson, TX. The 2015 Initiatives are expected to cost a total of approximately $5.0 million and be completed when the Richardson, TX lease expires in June 2020.</w:t>
      </w:r>
    </w:p>
    <w:p>
      <w:pPr>
        <w:spacing w:after="0" w:line="24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April 2016, the Company commenced certain restructuring initiatives to consolidate the operations of Ctrack with those of the Company, including the closure of the Company’s manufacturing operations in Durban, South Africa resulting in a reduction-in-force. In July 2016, the Company commenced certain restructuring initiatives intended to improve its strategic focus on its most profitable business lines while de-prioritizing certain hardware-only product lines to non-carrier customers, including a reduction-in-force (collectively with the Durban facility closure, the “2016 Initiatives”). The 2016 Initiatives cost a total of approximately $1.0 million and were completed in December 2016.</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year ended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6"/>
                <w:szCs w:val="16"/>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to Date</w:t>
            </w:r>
          </w:p>
        </w:tc>
        <w:tc>
          <w:tcPr>
            <w:tcW w:w="0" w:type="dxa"/>
            <w:vAlign w:val="bottom"/>
          </w:tcPr>
          <w:p>
            <w:pPr>
              <w:spacing w:after="0"/>
              <w:rPr>
                <w:sz w:val="1"/>
                <w:szCs w:val="1"/>
                <w:color w:val="auto"/>
              </w:rPr>
            </w:pPr>
          </w:p>
        </w:tc>
      </w:tr>
      <w:tr>
        <w:trPr>
          <w:trHeight w:val="203"/>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2013 Initiatives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3,986</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588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Initiatives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44"/>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1,730</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1,043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12,570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553"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balance of the restructuring liability at December 31, 2016 consists of approximately $0.8 million included in accrued expenses and other current liabilities in the consolidated balance sheet and approximately $0.2 million included in long-term liabilities in the consolidated balance sheet.</w:t>
      </w:r>
    </w:p>
    <w:p>
      <w:pPr>
        <w:spacing w:after="0" w:line="93"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color w:val="auto"/>
        </w:rPr>
        <w:t xml:space="preserve">In the fourth quarter of 2016, the Company wrote down the value of certain inventory by approximately $11.5 million related to the abandonment of certain Enfora product lines that management decided to exit. The Company accounted for the adjustment in accordance with the ASC 330, </w:t>
      </w:r>
      <w:r>
        <w:rPr>
          <w:rFonts w:ascii="Arial" w:cs="Arial" w:eastAsia="Arial" w:hAnsi="Arial"/>
          <w:sz w:val="16"/>
          <w:szCs w:val="16"/>
          <w:i w:val="1"/>
          <w:iCs w:val="1"/>
          <w:color w:val="auto"/>
        </w:rPr>
        <w:t>Inventory</w:t>
      </w:r>
      <w:r>
        <w:rPr>
          <w:rFonts w:ascii="Arial" w:cs="Arial" w:eastAsia="Arial" w:hAnsi="Arial"/>
          <w:sz w:val="16"/>
          <w:szCs w:val="16"/>
          <w:color w:val="auto"/>
        </w:rPr>
        <w:t>, and included the adjustment in impairment of abandoned product line within cost of net revenues in the consolidated statements of operations</w:t>
      </w:r>
      <w:r>
        <w:rPr>
          <w:rFonts w:ascii="Arial" w:cs="Arial" w:eastAsia="Arial" w:hAnsi="Arial"/>
          <w:sz w:val="16"/>
          <w:szCs w:val="16"/>
          <w:i w:val="1"/>
          <w:iCs w:val="1"/>
          <w:color w:val="auto"/>
        </w:rPr>
        <w:t>.</w:t>
      </w:r>
    </w:p>
    <w:p>
      <w:pPr>
        <w:spacing w:after="0" w:line="93"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In February 2017, subsequent to the balance sheet date, the Company commenced certain restructuring initiatives intended to continue to improve its strategic focus on its most profitable business lines and consolidate operations of its subsidiaries with those of the Company, including a reduction-in-force (the “2017 Initiative”). The 2017 Initiative is expected to cost a total of approximately $0.9 million and be completed in September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2016</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18"/>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66,944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52,919</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23,238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22,924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8,983</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(27,401)</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and diluted net loss per share attributable to common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594"/>
        </w:trPr>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2015</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85"/>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53,494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51,667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54,267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61,514</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12,634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16,528</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(14,393)</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and diluted net loss per share attributable to common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46990</wp:posOffset>
            </wp:positionV>
            <wp:extent cx="45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52" w:lineRule="exact"/>
        <w:rPr>
          <w:sz w:val="20"/>
          <w:szCs w:val="20"/>
          <w:color w:val="auto"/>
        </w:rPr>
      </w:pPr>
    </w:p>
    <w:p>
      <w:pPr>
        <w:ind w:left="260" w:right="320" w:hanging="252"/>
        <w:spacing w:after="0" w:line="217" w:lineRule="auto"/>
        <w:tabs>
          <w:tab w:leader="none" w:pos="2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Net revenues for the second and third quarter of 2015 have been retrospectively revised by $3.1 million and $0.3 million, respectively, to correct an immaterial error of certain contra revenue, previously reported within costs of net revenues, as a decrease to net revenues.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553"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INSEEGO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Beginning</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Additions Charged to</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Effect of Change in</w:t>
            </w:r>
          </w:p>
        </w:tc>
        <w:tc>
          <w:tcPr>
            <w:tcW w:w="120" w:type="dxa"/>
            <w:vAlign w:val="bottom"/>
          </w:tcPr>
          <w:p>
            <w:pPr>
              <w:spacing w:after="0"/>
              <w:rPr>
                <w:sz w:val="14"/>
                <w:szCs w:val="14"/>
                <w:color w:val="auto"/>
              </w:rPr>
            </w:pPr>
          </w:p>
        </w:tc>
        <w:tc>
          <w:tcPr>
            <w:tcW w:w="12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Year</w:t>
            </w: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Exchange Rates</w:t>
            </w:r>
          </w:p>
        </w:tc>
        <w:tc>
          <w:tcPr>
            <w:tcW w:w="120" w:type="dxa"/>
            <w:vAlign w:val="bottom"/>
          </w:tcPr>
          <w:p>
            <w:pPr>
              <w:spacing w:after="0"/>
              <w:rPr>
                <w:sz w:val="16"/>
                <w:szCs w:val="16"/>
                <w:color w:val="auto"/>
              </w:rPr>
            </w:pPr>
          </w:p>
        </w:tc>
        <w:tc>
          <w:tcPr>
            <w:tcW w:w="1240" w:type="dxa"/>
            <w:vAlign w:val="bottom"/>
          </w:tcPr>
          <w:p>
            <w:pPr>
              <w:jc w:val="right"/>
              <w:ind w:right="46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2016</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December 31, 2015</w:t>
            </w:r>
          </w:p>
        </w:tc>
        <w:tc>
          <w:tcPr>
            <w:tcW w:w="30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Reserve for Excess and Obsolete Inventory:</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14,039</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December 31, 2015</w:t>
            </w:r>
          </w:p>
        </w:tc>
        <w:tc>
          <w:tcPr>
            <w:tcW w:w="30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5,468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Deferred Tax Asset Valuation Allowance: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114,419</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December 31, 2015</w:t>
            </w:r>
          </w:p>
        </w:tc>
        <w:tc>
          <w:tcPr>
            <w:tcW w:w="30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90,774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17,903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94,984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December 31, 2014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90,774</w:t>
            </w:r>
          </w:p>
        </w:tc>
        <w:tc>
          <w:tcPr>
            <w:tcW w:w="0" w:type="dxa"/>
            <w:vAlign w:val="bottom"/>
          </w:tcPr>
          <w:p>
            <w:pPr>
              <w:spacing w:after="0"/>
              <w:rPr>
                <w:sz w:val="1"/>
                <w:szCs w:val="1"/>
                <w:color w:val="auto"/>
              </w:rPr>
            </w:pPr>
          </w:p>
        </w:tc>
      </w:tr>
      <w:tr>
        <w:trPr>
          <w:trHeight w:val="41"/>
        </w:trPr>
        <w:tc>
          <w:tcPr>
            <w:tcW w:w="4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95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ELEVENTH AMENDMENT TO CREDIT AND SECURITY AGREEMENT AND CONSENT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THIS ELEVENTH AMENDMENT TO CREDIT AND SECURITY AGREEMENT AND CONSENT </w:t>
      </w:r>
      <w:r>
        <w:rPr>
          <w:rFonts w:ascii="Arial" w:cs="Arial" w:eastAsia="Arial" w:hAnsi="Arial"/>
          <w:sz w:val="22"/>
          <w:szCs w:val="22"/>
          <w:color w:val="auto"/>
        </w:rPr>
        <w:t>(this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dated as of December 27, 2016, is entered into by and among </w:t>
      </w:r>
      <w:r>
        <w:rPr>
          <w:rFonts w:ascii="Arial" w:cs="Arial" w:eastAsia="Arial" w:hAnsi="Arial"/>
          <w:sz w:val="21"/>
          <w:szCs w:val="21"/>
          <w:b w:val="1"/>
          <w:bCs w:val="1"/>
          <w:color w:val="auto"/>
        </w:rPr>
        <w:t>NOVATEL WIRELESS, INC.</w:t>
      </w:r>
      <w:r>
        <w:rPr>
          <w:rFonts w:ascii="Arial" w:cs="Arial" w:eastAsia="Arial" w:hAnsi="Arial"/>
          <w:sz w:val="21"/>
          <w:szCs w:val="21"/>
          <w:color w:val="auto"/>
        </w:rPr>
        <w:t>, a Delaware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corporation (“</w:t>
      </w:r>
      <w:r>
        <w:rPr>
          <w:rFonts w:ascii="Arial" w:cs="Arial" w:eastAsia="Arial" w:hAnsi="Arial"/>
          <w:sz w:val="21"/>
          <w:szCs w:val="21"/>
          <w:u w:val="single" w:color="auto"/>
          <w:color w:val="auto"/>
        </w:rPr>
        <w:t>Novatel</w:t>
      </w:r>
      <w:r>
        <w:rPr>
          <w:rFonts w:ascii="Arial" w:cs="Arial" w:eastAsia="Arial" w:hAnsi="Arial"/>
          <w:sz w:val="21"/>
          <w:szCs w:val="21"/>
          <w:color w:val="auto"/>
        </w:rPr>
        <w:t xml:space="preserve">”), </w:t>
      </w:r>
      <w:r>
        <w:rPr>
          <w:rFonts w:ascii="Arial" w:cs="Arial" w:eastAsia="Arial" w:hAnsi="Arial"/>
          <w:sz w:val="21"/>
          <w:szCs w:val="21"/>
          <w:b w:val="1"/>
          <w:bCs w:val="1"/>
          <w:color w:val="auto"/>
        </w:rPr>
        <w:t>ENFORA,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Enfora</w:t>
      </w:r>
      <w:r>
        <w:rPr>
          <w:rFonts w:ascii="Arial" w:cs="Arial" w:eastAsia="Arial" w:hAnsi="Arial"/>
          <w:sz w:val="21"/>
          <w:szCs w:val="21"/>
          <w:color w:val="auto"/>
        </w:rPr>
        <w:t xml:space="preserve">”), and </w:t>
      </w:r>
      <w:r>
        <w:rPr>
          <w:rFonts w:ascii="Arial" w:cs="Arial" w:eastAsia="Arial" w:hAnsi="Arial"/>
          <w:sz w:val="21"/>
          <w:szCs w:val="21"/>
          <w:b w:val="1"/>
          <w:bCs w:val="1"/>
          <w:color w:val="auto"/>
        </w:rPr>
        <w:t>FEENEY WIRELESS, LLC</w:t>
      </w:r>
      <w:r>
        <w:rPr>
          <w:rFonts w:ascii="Arial" w:cs="Arial" w:eastAsia="Arial" w:hAnsi="Arial"/>
          <w:sz w:val="21"/>
          <w:szCs w:val="21"/>
          <w:color w:val="auto"/>
        </w:rPr>
        <w:t>, an Oregon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limited liability company (“</w:t>
      </w:r>
      <w:r>
        <w:rPr>
          <w:rFonts w:ascii="Arial" w:cs="Arial" w:eastAsia="Arial" w:hAnsi="Arial"/>
          <w:sz w:val="19"/>
          <w:szCs w:val="19"/>
          <w:u w:val="single" w:color="auto"/>
          <w:color w:val="auto"/>
        </w:rPr>
        <w:t>Feeney Wireless</w:t>
      </w:r>
      <w:r>
        <w:rPr>
          <w:rFonts w:ascii="Arial" w:cs="Arial" w:eastAsia="Arial" w:hAnsi="Arial"/>
          <w:sz w:val="19"/>
          <w:szCs w:val="19"/>
          <w:color w:val="auto"/>
        </w:rPr>
        <w:t>”; Novatel, Enfora and Feeney Wireless are sometimes referred to in this Amendment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R.E.R. ENTERPRISES, INC.</w:t>
      </w:r>
      <w:r>
        <w:rPr>
          <w:rFonts w:ascii="Arial" w:cs="Arial" w:eastAsia="Arial" w:hAnsi="Arial"/>
          <w:sz w:val="19"/>
          <w:szCs w:val="19"/>
          <w:color w:val="auto"/>
        </w:rPr>
        <w:t>, an Oregon corporation (“</w:t>
      </w:r>
      <w:r>
        <w:rPr>
          <w:rFonts w:ascii="Arial" w:cs="Arial" w:eastAsia="Arial" w:hAnsi="Arial"/>
          <w:sz w:val="19"/>
          <w:szCs w:val="19"/>
          <w:u w:val="single" w:color="auto"/>
          <w:color w:val="auto"/>
        </w:rPr>
        <w:t>RER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Enterprises</w:t>
      </w:r>
      <w:r>
        <w:rPr>
          <w:rFonts w:ascii="Arial" w:cs="Arial" w:eastAsia="Arial" w:hAnsi="Arial"/>
          <w:sz w:val="21"/>
          <w:szCs w:val="21"/>
          <w:color w:val="auto"/>
        </w:rPr>
        <w:t xml:space="preserve">”), and </w:t>
      </w:r>
      <w:r>
        <w:rPr>
          <w:rFonts w:ascii="Arial" w:cs="Arial" w:eastAsia="Arial" w:hAnsi="Arial"/>
          <w:sz w:val="21"/>
          <w:szCs w:val="21"/>
          <w:b w:val="1"/>
          <w:bCs w:val="1"/>
          <w:color w:val="auto"/>
        </w:rPr>
        <w:t>FEENEY WIRELESS IC-DISC,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Feeney Wireless IC-DISC</w:t>
      </w:r>
      <w:r>
        <w:rPr>
          <w:rFonts w:ascii="Arial" w:cs="Arial" w:eastAsia="Arial" w:hAnsi="Arial"/>
          <w:sz w:val="21"/>
          <w:szCs w:val="21"/>
          <w:color w:val="auto"/>
        </w:rPr>
        <w:t xml:space="preserve">”), </w:t>
      </w:r>
      <w:r>
        <w:rPr>
          <w:rFonts w:ascii="Arial" w:cs="Arial" w:eastAsia="Arial" w:hAnsi="Arial"/>
          <w:sz w:val="21"/>
          <w:szCs w:val="21"/>
          <w:b w:val="1"/>
          <w:bCs w:val="1"/>
          <w:color w:val="auto"/>
        </w:rPr>
        <w:t>INSEEGO</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CORP. </w:t>
      </w:r>
      <w:r>
        <w:rPr>
          <w:rFonts w:ascii="Arial" w:cs="Arial" w:eastAsia="Arial" w:hAnsi="Arial"/>
          <w:sz w:val="19"/>
          <w:szCs w:val="19"/>
          <w:color w:val="auto"/>
        </w:rPr>
        <w:t>(f/k/a VANILLA TECHNOLOGIES, INC.), a Delaware corporation (“</w:t>
      </w:r>
      <w:r>
        <w:rPr>
          <w:rFonts w:ascii="Arial" w:cs="Arial" w:eastAsia="Arial" w:hAnsi="Arial"/>
          <w:sz w:val="19"/>
          <w:szCs w:val="19"/>
          <w:u w:val="single" w:color="auto"/>
          <w:color w:val="auto"/>
        </w:rPr>
        <w:t>Inseego</w:t>
      </w:r>
      <w:r>
        <w:rPr>
          <w:rFonts w:ascii="Arial" w:cs="Arial" w:eastAsia="Arial" w:hAnsi="Arial"/>
          <w:sz w:val="19"/>
          <w:szCs w:val="19"/>
          <w:color w:val="auto"/>
        </w:rPr>
        <w:t>”; RER Enterprises, Feeney Wireless IC-</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DISC and Inseego are sometimes referred to in this Amendment individually as a “</w:t>
      </w:r>
      <w:r>
        <w:rPr>
          <w:rFonts w:ascii="Arial" w:cs="Arial" w:eastAsia="Arial" w:hAnsi="Arial"/>
          <w:sz w:val="22"/>
          <w:szCs w:val="22"/>
          <w:u w:val="single" w:color="auto"/>
          <w:color w:val="auto"/>
        </w:rPr>
        <w:t>Guarantor</w:t>
      </w:r>
      <w:r>
        <w:rPr>
          <w:rFonts w:ascii="Arial" w:cs="Arial" w:eastAsia="Arial" w:hAnsi="Arial"/>
          <w:sz w:val="22"/>
          <w:szCs w:val="22"/>
          <w:color w:val="auto"/>
        </w:rPr>
        <w:t>” and collectively as the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and </w:t>
      </w:r>
      <w:r>
        <w:rPr>
          <w:rFonts w:ascii="Arial" w:cs="Arial" w:eastAsia="Arial" w:hAnsi="Arial"/>
          <w:sz w:val="21"/>
          <w:szCs w:val="21"/>
          <w:b w:val="1"/>
          <w:bCs w:val="1"/>
          <w:color w:val="auto"/>
        </w:rPr>
        <w:t>WELLS FARGO BANK, NATIONAL ASSOCIATION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Lender</w:t>
      </w:r>
      <w:r>
        <w:rPr>
          <w:rFonts w:ascii="Arial" w:cs="Arial" w:eastAsia="Arial" w:hAnsi="Arial"/>
          <w:sz w:val="21"/>
          <w:szCs w:val="21"/>
          <w:color w:val="auto"/>
        </w:rPr>
        <w:t>”). Borrowers and Guarantors are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sometimes individually referred to herein as a “</w:t>
      </w:r>
      <w:r>
        <w:rPr>
          <w:rFonts w:ascii="Arial" w:cs="Arial" w:eastAsia="Arial" w:hAnsi="Arial"/>
          <w:sz w:val="19"/>
          <w:szCs w:val="19"/>
          <w:u w:val="single" w:color="auto"/>
          <w:color w:val="auto"/>
        </w:rPr>
        <w:t>Loan Party</w:t>
      </w:r>
      <w:r>
        <w:rPr>
          <w:rFonts w:ascii="Arial" w:cs="Arial" w:eastAsia="Arial" w:hAnsi="Arial"/>
          <w:sz w:val="19"/>
          <w:szCs w:val="19"/>
          <w:color w:val="auto"/>
        </w:rPr>
        <w:t>” and collectively referred to herein as the “</w:t>
      </w:r>
      <w:r>
        <w:rPr>
          <w:rFonts w:ascii="Arial" w:cs="Arial" w:eastAsia="Arial" w:hAnsi="Arial"/>
          <w:sz w:val="19"/>
          <w:szCs w:val="19"/>
          <w:u w:val="single" w:color="auto"/>
          <w:color w:val="auto"/>
        </w:rPr>
        <w:t>Loan Parties</w:t>
      </w:r>
      <w:r>
        <w:rPr>
          <w:rFonts w:ascii="Arial" w:cs="Arial" w:eastAsia="Arial" w:hAnsi="Arial"/>
          <w:sz w:val="19"/>
          <w:szCs w:val="19"/>
          <w:color w:val="auto"/>
        </w:rPr>
        <w:t>”. Terms used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herein without definition shall have the meanings ascribed to them in the Credit Agreement defined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280" w:firstLine="656"/>
        <w:spacing w:after="0" w:line="278" w:lineRule="auto"/>
        <w:tabs>
          <w:tab w:leader="none" w:pos="1038"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Lender and the Loan Parties have previously entered into that certain Credit and Security Agreement dated as of October 31, 2014 (as amended, modified and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 has made certain loans and financial accommodations available to Borrowers.</w:t>
      </w:r>
    </w:p>
    <w:p>
      <w:pPr>
        <w:spacing w:after="0" w:line="160" w:lineRule="exact"/>
        <w:rPr>
          <w:rFonts w:ascii="Arial" w:cs="Arial" w:eastAsia="Arial" w:hAnsi="Arial"/>
          <w:sz w:val="21"/>
          <w:szCs w:val="21"/>
          <w:color w:val="auto"/>
        </w:rPr>
      </w:pPr>
    </w:p>
    <w:p>
      <w:pPr>
        <w:ind w:right="320" w:firstLine="656"/>
        <w:spacing w:after="0" w:line="307" w:lineRule="auto"/>
        <w:tabs>
          <w:tab w:leader="none" w:pos="102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Inseego and Novatel have entered into that certain Stock Purchase Agreement, dated as of September 21, 2016, with T.C.L. Industries Holdings (H.K.) Limited, a limited liability company formed under the laws of Hong Kong, and Jade Ocean Global Limited, a BVI Business Company formed under the laws of the British Virgin Islands (“</w:t>
      </w:r>
      <w:r>
        <w:rPr>
          <w:rFonts w:ascii="Arial" w:cs="Arial" w:eastAsia="Arial" w:hAnsi="Arial"/>
          <w:sz w:val="19"/>
          <w:szCs w:val="19"/>
          <w:u w:val="single" w:color="auto"/>
          <w:color w:val="auto"/>
        </w:rPr>
        <w:t>Purchaser</w:t>
      </w:r>
      <w:r>
        <w:rPr>
          <w:rFonts w:ascii="Arial" w:cs="Arial" w:eastAsia="Arial" w:hAnsi="Arial"/>
          <w:sz w:val="19"/>
          <w:szCs w:val="19"/>
          <w:color w:val="auto"/>
        </w:rPr>
        <w:t>”), pursuant to which Inseego intends to sell to Purchaser all of the issued and outstanding shares of common stock of Novatel (the “</w:t>
      </w:r>
      <w:r>
        <w:rPr>
          <w:rFonts w:ascii="Arial" w:cs="Arial" w:eastAsia="Arial" w:hAnsi="Arial"/>
          <w:sz w:val="19"/>
          <w:szCs w:val="19"/>
          <w:u w:val="single" w:color="auto"/>
          <w:color w:val="auto"/>
        </w:rPr>
        <w:t>Sale</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right="20" w:firstLine="656"/>
        <w:spacing w:after="0" w:line="320" w:lineRule="auto"/>
        <w:tabs>
          <w:tab w:leader="none" w:pos="1026" w:val="left"/>
        </w:tabs>
        <w:numPr>
          <w:ilvl w:val="0"/>
          <w:numId w:val="31"/>
        </w:numPr>
        <w:rPr>
          <w:rFonts w:ascii="Arial" w:cs="Arial" w:eastAsia="Arial" w:hAnsi="Arial"/>
          <w:sz w:val="19"/>
          <w:szCs w:val="19"/>
          <w:color w:val="auto"/>
        </w:rPr>
      </w:pPr>
      <w:r>
        <w:rPr>
          <w:rFonts w:ascii="Arial" w:cs="Arial" w:eastAsia="Arial" w:hAnsi="Arial"/>
          <w:sz w:val="19"/>
          <w:szCs w:val="19"/>
          <w:color w:val="auto"/>
        </w:rPr>
        <w:t>Borrowers and Guarantors have requested that the Lender (i) consent to the Sale, notwithstanding that such disposition is not permitted under the Credit Agreement, and (ii) amend the Credit Agreement as set forth herein, and Lender is willing provide such consent and to amend the Credit Agreement, in each case, on the terms and conditions set forth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0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16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Section 2.4(b)</w:t>
      </w:r>
      <w:r>
        <w:rPr>
          <w:rFonts w:ascii="Arial" w:cs="Arial" w:eastAsia="Arial" w:hAnsi="Arial"/>
          <w:sz w:val="22"/>
          <w:szCs w:val="22"/>
          <w:color w:val="auto"/>
        </w:rPr>
        <w:t xml:space="preserve"> of the Credit Agreement is hereby amended, with retroactive effect to October 31, 2016, to read in its entirety as follows:</w:t>
      </w:r>
    </w:p>
    <w:p>
      <w:pPr>
        <w:spacing w:after="0" w:line="115" w:lineRule="exact"/>
        <w:rPr>
          <w:sz w:val="20"/>
          <w:szCs w:val="20"/>
          <w:color w:val="auto"/>
        </w:rPr>
      </w:pPr>
    </w:p>
    <w:p>
      <w:pPr>
        <w:jc w:val="both"/>
        <w:ind w:left="660" w:right="40" w:firstLine="648"/>
        <w:spacing w:after="0" w:line="262"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Payments by Account Debtors</w:t>
      </w:r>
      <w:r>
        <w:rPr>
          <w:rFonts w:ascii="Arial" w:cs="Arial" w:eastAsia="Arial" w:hAnsi="Arial"/>
          <w:sz w:val="22"/>
          <w:szCs w:val="22"/>
          <w:color w:val="auto"/>
        </w:rPr>
        <w:t>. Other than during any period described in the next sentence, Borrowers shall deposit all payments from Account Debtors, insurance proceeds, and any other collections into the Collection Account, and, so long as no Event of Default is</w:t>
      </w:r>
    </w:p>
    <w:p>
      <w:pPr>
        <w:sectPr>
          <w:pgSz w:w="11900" w:h="16838" w:orient="portrait"/>
          <w:cols w:equalWidth="0" w:num="1">
            <w:col w:w="11420"/>
          </w:cols>
          <w:pgMar w:left="240" w:top="580" w:right="239" w:bottom="1440" w:gutter="0" w:footer="0" w:header="0"/>
        </w:sectPr>
      </w:pPr>
    </w:p>
    <w:bookmarkStart w:id="104" w:name="page105"/>
    <w:bookmarkEnd w:id="104"/>
    <w:p>
      <w:pPr>
        <w:ind w:left="660" w:right="120"/>
        <w:spacing w:after="0" w:line="287" w:lineRule="auto"/>
        <w:rPr>
          <w:sz w:val="20"/>
          <w:szCs w:val="20"/>
          <w:color w:val="auto"/>
        </w:rPr>
      </w:pPr>
      <w:r>
        <w:rPr>
          <w:rFonts w:ascii="Arial" w:cs="Arial" w:eastAsia="Arial" w:hAnsi="Arial"/>
          <w:sz w:val="19"/>
          <w:szCs w:val="19"/>
          <w:color w:val="auto"/>
        </w:rPr>
        <w:t>existing, such funds shall be transferred from the Collection Account to, and be maintained in, any other Deposit Accounts maintained with Lender or that are subject to Control Agreements as directed by Borrowers from time to time. At any time that Borrowers fail to maintain the Covenant Threshold for five or more consecutive Business Days (and continuing thereafter until such time as the Covenant Threshold is attained for not less than 60 consecutive days) or during the existence of an Event of Default, (i) Borrowers shall instruct all Account Debtors to thereafter make payments directly to the Collection Account (by wire transfer, ACH, or other means as Lender may direct from time to time), (ii) if any Borrower receives a payment of the Proceeds of Collateral directly, such Borrower will promptly deposit the payment or Proceeds into the Collection Account and any funds maintained in any Deposit Account by Borrower shall be promptly transferred to the Collection Account, (iii) until so deposited, such Borrower will hold all such payments and Proceeds in trust for Lender without commingling with other funds or property, and (iv) any collected and immediately available funds received in the Collection Account shall be applied by Lender to the outstanding Obligations (unless Lender is restricted or prohibited from doing so as a matter of law).”</w:t>
      </w:r>
    </w:p>
    <w:p>
      <w:pPr>
        <w:spacing w:after="0" w:line="200" w:lineRule="exact"/>
        <w:rPr>
          <w:sz w:val="20"/>
          <w:szCs w:val="20"/>
          <w:color w:val="auto"/>
        </w:rPr>
      </w:pPr>
    </w:p>
    <w:p>
      <w:pPr>
        <w:spacing w:after="0" w:line="38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Section 6.12(l)</w:t>
      </w:r>
      <w:r>
        <w:rPr>
          <w:rFonts w:ascii="Arial" w:cs="Arial" w:eastAsia="Arial" w:hAnsi="Arial"/>
          <w:sz w:val="22"/>
          <w:szCs w:val="22"/>
          <w:color w:val="auto"/>
        </w:rPr>
        <w:t xml:space="preserve"> of the Credit Agreement is hereby amended, with retroactive effect to October 31, 2016, to read in its entirety as follows:</w:t>
      </w:r>
    </w:p>
    <w:p>
      <w:pPr>
        <w:spacing w:after="0" w:line="277" w:lineRule="exact"/>
        <w:rPr>
          <w:sz w:val="20"/>
          <w:szCs w:val="20"/>
          <w:color w:val="auto"/>
        </w:rPr>
      </w:pPr>
    </w:p>
    <w:p>
      <w:pPr>
        <w:ind w:left="660" w:right="200" w:firstLine="648"/>
        <w:spacing w:after="0" w:line="289" w:lineRule="auto"/>
        <w:rPr>
          <w:sz w:val="20"/>
          <w:szCs w:val="20"/>
          <w:color w:val="auto"/>
        </w:rPr>
      </w:pPr>
      <w:r>
        <w:rPr>
          <w:rFonts w:ascii="Arial" w:cs="Arial" w:eastAsia="Arial" w:hAnsi="Arial"/>
          <w:sz w:val="19"/>
          <w:szCs w:val="19"/>
          <w:color w:val="auto"/>
        </w:rPr>
        <w:t xml:space="preserve">“(l) </w:t>
      </w:r>
      <w:r>
        <w:rPr>
          <w:rFonts w:ascii="Arial" w:cs="Arial" w:eastAsia="Arial" w:hAnsi="Arial"/>
          <w:sz w:val="19"/>
          <w:szCs w:val="19"/>
          <w:b w:val="1"/>
          <w:bCs w:val="1"/>
          <w:color w:val="auto"/>
        </w:rPr>
        <w:t>Deposit Accounts</w:t>
      </w:r>
      <w:r>
        <w:rPr>
          <w:rFonts w:ascii="Arial" w:cs="Arial" w:eastAsia="Arial" w:hAnsi="Arial"/>
          <w:sz w:val="19"/>
          <w:szCs w:val="19"/>
          <w:color w:val="auto"/>
        </w:rPr>
        <w:t xml:space="preserve">. At any time that Borrowers fail to maintain the Covenant Threshold for five or more consecutive Business Days (and continuing thereafter until such time as the Covenant Threshold is maintained for not less than 60 consecutive days) or during the existence of an Event of Default, unless Lender agrees otherwise in writing (in Lender’s sole discretion), each Loan Party agrees not to withdraw any funds from any Deposit Account pledged to Lender pursuant to this Agreement except for (x) any Deposit Accounts identified on </w:t>
      </w:r>
      <w:r>
        <w:rPr>
          <w:rFonts w:ascii="Arial" w:cs="Arial" w:eastAsia="Arial" w:hAnsi="Arial"/>
          <w:sz w:val="19"/>
          <w:szCs w:val="19"/>
          <w:u w:val="single" w:color="auto"/>
          <w:color w:val="auto"/>
        </w:rPr>
        <w:t>Schedule 5.15 to the Information Certificate</w:t>
      </w:r>
      <w:r>
        <w:rPr>
          <w:rFonts w:ascii="Arial" w:cs="Arial" w:eastAsia="Arial" w:hAnsi="Arial"/>
          <w:sz w:val="19"/>
          <w:szCs w:val="19"/>
          <w:color w:val="auto"/>
        </w:rPr>
        <w:t xml:space="preserve"> which are specifically and exclusively used for payroll, payroll taxes and other employee wage and benefit payments to or for employees of any Borrower or any Loan Party or any of their respective Subsidiaries, (y) so long as Lender has not commenced the exercise of any rights or remedies as a result of the occurrence of any Event of Default, the Designated Account, and (z) Borrowers may continue to comply with their obligations to transfer funds from their Bank of America accounts to the Lender accounts in accordance with </w:t>
      </w:r>
      <w:r>
        <w:rPr>
          <w:rFonts w:ascii="Arial" w:cs="Arial" w:eastAsia="Arial" w:hAnsi="Arial"/>
          <w:sz w:val="19"/>
          <w:szCs w:val="19"/>
          <w:u w:val="single" w:color="auto"/>
          <w:color w:val="auto"/>
        </w:rPr>
        <w:t>Section 6.12(j)(iii)</w:t>
      </w:r>
      <w:r>
        <w:rPr>
          <w:rFonts w:ascii="Arial" w:cs="Arial" w:eastAsia="Arial" w:hAnsi="Arial"/>
          <w:sz w:val="19"/>
          <w:szCs w:val="19"/>
          <w:color w:val="auto"/>
        </w:rPr>
        <w:t>.”</w:t>
      </w:r>
    </w:p>
    <w:p>
      <w:pPr>
        <w:spacing w:after="0" w:line="26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Section 7.7(a)(i) </w:t>
      </w:r>
      <w:r>
        <w:rPr>
          <w:rFonts w:ascii="Arial" w:cs="Arial" w:eastAsia="Arial" w:hAnsi="Arial"/>
          <w:sz w:val="19"/>
          <w:szCs w:val="19"/>
          <w:color w:val="auto"/>
        </w:rPr>
        <w:t>of the Credit Agreement is hereby amended to read in its entirety as follows:</w:t>
      </w:r>
    </w:p>
    <w:p>
      <w:pPr>
        <w:spacing w:after="0" w:line="328" w:lineRule="exact"/>
        <w:rPr>
          <w:sz w:val="20"/>
          <w:szCs w:val="20"/>
          <w:color w:val="auto"/>
        </w:rPr>
      </w:pPr>
    </w:p>
    <w:p>
      <w:pPr>
        <w:ind w:left="660" w:right="100" w:firstLine="648"/>
        <w:spacing w:after="0" w:line="248" w:lineRule="auto"/>
        <w:rPr>
          <w:sz w:val="20"/>
          <w:szCs w:val="20"/>
          <w:color w:val="auto"/>
        </w:rPr>
      </w:pPr>
      <w:r>
        <w:rPr>
          <w:rFonts w:ascii="Arial" w:cs="Arial" w:eastAsia="Arial" w:hAnsi="Arial"/>
          <w:sz w:val="22"/>
          <w:szCs w:val="22"/>
          <w:color w:val="auto"/>
        </w:rPr>
        <w:t xml:space="preserve">“(i) optionally prepay, redeem, defease, purchase, or otherwise acquire any Indebtedness of any Loan Party or any of its Subsidiaries, other than (A) the Obligations in accordance with this Agreement or a Bank Product Agreement, (B) Permitted Intercompany Advances and (C) the exchange of the Convertible Notes of Novatel Wireless for Convertible Notes of Inseego Corp., which shall be on substantially the same terms and conditions except to the extent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to the Eleventh Amendment.”</w:t>
      </w:r>
    </w:p>
    <w:p>
      <w:pPr>
        <w:spacing w:after="0" w:line="30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Section 7.7(b)(i)</w:t>
      </w:r>
      <w:r>
        <w:rPr>
          <w:rFonts w:ascii="Arial" w:cs="Arial" w:eastAsia="Arial" w:hAnsi="Arial"/>
          <w:sz w:val="22"/>
          <w:szCs w:val="22"/>
          <w:color w:val="auto"/>
        </w:rPr>
        <w:t xml:space="preserve"> of the Credit Agreement is hereby amended, with retroactive effect to November 8, 2016, to read in its entirety as follows:</w:t>
      </w:r>
    </w:p>
    <w:p>
      <w:pPr>
        <w:spacing w:after="0" w:line="283" w:lineRule="exact"/>
        <w:rPr>
          <w:sz w:val="20"/>
          <w:szCs w:val="20"/>
          <w:color w:val="auto"/>
        </w:rPr>
      </w:pPr>
    </w:p>
    <w:p>
      <w:pPr>
        <w:ind w:left="660" w:right="140"/>
        <w:spacing w:after="0" w:line="302" w:lineRule="auto"/>
        <w:rPr>
          <w:sz w:val="20"/>
          <w:szCs w:val="20"/>
          <w:color w:val="auto"/>
        </w:rPr>
      </w:pPr>
      <w:r>
        <w:rPr>
          <w:rFonts w:ascii="Arial" w:cs="Arial" w:eastAsia="Arial" w:hAnsi="Arial"/>
          <w:sz w:val="19"/>
          <w:szCs w:val="19"/>
          <w:color w:val="auto"/>
        </w:rPr>
        <w:t>“(i) any agreement, instrument, document, indenture or other writing evidencing or concerning Permitted Indebtedness other than (A) the Obligations in accordance with this Agreement or a Bank Product Agreement, (B) Permitted Intercompany Advances, (C) amendments to the conversion terms of the Convertible Notes of Novatel Wireless to provide for the conversion of such Convertible Notes into common stock of Inseego Corp. pursuant to the First Supplemental</w:t>
      </w:r>
    </w:p>
    <w:p>
      <w:pPr>
        <w:sectPr>
          <w:pgSz w:w="11900" w:h="16838" w:orient="portrait"/>
          <w:cols w:equalWidth="0" w:num="1">
            <w:col w:w="11420"/>
          </w:cols>
          <w:pgMar w:left="240" w:top="591" w:right="239" w:bottom="1440" w:gutter="0" w:footer="0" w:header="0"/>
        </w:sectPr>
      </w:pPr>
    </w:p>
    <w:bookmarkStart w:id="105" w:name="page106"/>
    <w:bookmarkEnd w:id="105"/>
    <w:p>
      <w:pPr>
        <w:ind w:left="660" w:right="200"/>
        <w:spacing w:after="0" w:line="253" w:lineRule="auto"/>
        <w:rPr>
          <w:sz w:val="20"/>
          <w:szCs w:val="20"/>
          <w:color w:val="auto"/>
        </w:rPr>
      </w:pPr>
      <w:r>
        <w:rPr>
          <w:rFonts w:ascii="Arial" w:cs="Arial" w:eastAsia="Arial" w:hAnsi="Arial"/>
          <w:sz w:val="22"/>
          <w:szCs w:val="22"/>
          <w:color w:val="auto"/>
        </w:rPr>
        <w:t xml:space="preserve">Indenture, dated November 8, 2016, among Inseego Corp., Novatel Wireless and Wilmington Trust, National Association, and (D) amendments to the Convertible Notes of Novatel Wireless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to the Eleventh Amendment.</w:t>
      </w:r>
    </w:p>
    <w:p>
      <w:pPr>
        <w:spacing w:after="0" w:line="29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 xml:space="preserve">The last paragraph of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the Credit Agreement is hereby amended, with retroactive effect to October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31, 2016, to read in its entirety as follows:</w:t>
      </w:r>
    </w:p>
    <w:p>
      <w:pPr>
        <w:spacing w:after="0" w:line="310" w:lineRule="exact"/>
        <w:rPr>
          <w:sz w:val="20"/>
          <w:szCs w:val="20"/>
          <w:color w:val="auto"/>
        </w:rPr>
      </w:pPr>
    </w:p>
    <w:p>
      <w:pPr>
        <w:ind w:left="660" w:right="20" w:firstLine="648"/>
        <w:spacing w:after="0" w:line="288" w:lineRule="auto"/>
        <w:rPr>
          <w:sz w:val="20"/>
          <w:szCs w:val="20"/>
          <w:color w:val="auto"/>
        </w:rPr>
      </w:pPr>
      <w:r>
        <w:rPr>
          <w:rFonts w:ascii="Arial" w:cs="Arial" w:eastAsia="Arial" w:hAnsi="Arial"/>
          <w:sz w:val="19"/>
          <w:szCs w:val="19"/>
          <w:color w:val="auto"/>
        </w:rPr>
        <w:t>“Notwithstanding the existence of the foregoing minimum EBITDA covenant, such covenant shall not be tested by Lender so long as (i) Borrowers maintain the Covenant Threshold at all times, and (ii) no Event of Default shall have occurred under this Agreement. If at any time Borrowers shall fail to maintain the Covenant Threshold or in the event any Event of Default shall have occurred, the foregoing minimum EBITDA covenant shall be tested for the most recent test date occurring prior to the earlier of the date that the Borrowers have failed to maintain the Covenant Threshold or the occurrence of an Event of Default and shall continue to be tested until Borrowers have attained the Covenant Threshold for a period of 60 consecutive days thereafter and no Event of Default exists (and, thereafter, if the Borrowers fail to maintain such minimum Covenant Threshold at any time or an Event of Default occurs, the EBITDA covenant shall again be tested in accordance with the foregoing). Borrowers shall report to Lender their EBITDA and Liquidity each month (with such reporting provided with the Compliance Certificate), regardless of whether the EBITDA is subject to being tested.”</w:t>
      </w:r>
    </w:p>
    <w:p>
      <w:pPr>
        <w:spacing w:after="0" w:line="106"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1.6 The table in the definition of “</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with retroactive effect to October 31, 2016, to read in its entirety as follows:</w:t>
      </w:r>
    </w:p>
    <w:p>
      <w:pPr>
        <w:spacing w:after="0" w:line="82" w:lineRule="exact"/>
        <w:rPr>
          <w:sz w:val="20"/>
          <w:szCs w:val="20"/>
          <w:color w:val="auto"/>
        </w:rPr>
      </w:pPr>
    </w:p>
    <w:tbl>
      <w:tblPr>
        <w:tblLayout w:type="fixed"/>
        <w:tblInd w:w="830" w:type="dxa"/>
        <w:tblCellMar>
          <w:top w:w="0" w:type="dxa"/>
          <w:left w:w="0" w:type="dxa"/>
          <w:bottom w:w="0" w:type="dxa"/>
          <w:right w:w="0" w:type="dxa"/>
        </w:tblCellMar>
      </w:tblPr>
      <w:tr>
        <w:trPr>
          <w:trHeight w:val="230"/>
        </w:trPr>
        <w:tc>
          <w:tcPr>
            <w:tcW w:w="300" w:type="dxa"/>
            <w:vAlign w:val="bottom"/>
            <w:tcBorders>
              <w:top w:val="single" w:sz="8" w:color="auto"/>
              <w:left w:val="single" w:sz="8" w:color="auto"/>
            </w:tcBorders>
          </w:tcPr>
          <w:p>
            <w:pPr>
              <w:spacing w:after="0"/>
              <w:rPr>
                <w:sz w:val="19"/>
                <w:szCs w:val="19"/>
                <w:color w:val="auto"/>
              </w:rPr>
            </w:pPr>
          </w:p>
        </w:tc>
        <w:tc>
          <w:tcPr>
            <w:tcW w:w="800" w:type="dxa"/>
            <w:vAlign w:val="bottom"/>
            <w:tcBorders>
              <w:top w:val="single" w:sz="8" w:color="auto"/>
              <w:right w:val="single" w:sz="8" w:color="auto"/>
            </w:tcBorders>
            <w:gridSpan w:val="2"/>
            <w:vMerge w:val="restart"/>
          </w:tcPr>
          <w:p>
            <w:pPr>
              <w:jc w:val="center"/>
              <w:ind w:right="340"/>
              <w:spacing w:after="0"/>
              <w:rPr>
                <w:sz w:val="20"/>
                <w:szCs w:val="20"/>
                <w:color w:val="auto"/>
              </w:rPr>
            </w:pPr>
            <w:r>
              <w:rPr>
                <w:rFonts w:ascii="Arial" w:cs="Arial" w:eastAsia="Arial" w:hAnsi="Arial"/>
                <w:sz w:val="20"/>
                <w:szCs w:val="20"/>
                <w:b w:val="1"/>
                <w:bCs w:val="1"/>
                <w:color w:val="auto"/>
                <w:w w:val="89"/>
              </w:rPr>
              <w:t>Level</w:t>
            </w:r>
          </w:p>
        </w:tc>
        <w:tc>
          <w:tcPr>
            <w:tcW w:w="2840" w:type="dxa"/>
            <w:vAlign w:val="bottom"/>
            <w:tcBorders>
              <w:top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b w:val="1"/>
                <w:bCs w:val="1"/>
                <w:color w:val="auto"/>
                <w:w w:val="95"/>
              </w:rPr>
              <w:t>Liquidity</w:t>
            </w:r>
          </w:p>
        </w:tc>
        <w:tc>
          <w:tcPr>
            <w:tcW w:w="240" w:type="dxa"/>
            <w:vAlign w:val="bottom"/>
            <w:tcBorders>
              <w:top w:val="single" w:sz="8" w:color="auto"/>
            </w:tcBorders>
          </w:tcPr>
          <w:p>
            <w:pPr>
              <w:spacing w:after="0"/>
              <w:rPr>
                <w:sz w:val="19"/>
                <w:szCs w:val="19"/>
                <w:color w:val="auto"/>
              </w:rPr>
            </w:pPr>
          </w:p>
        </w:tc>
        <w:tc>
          <w:tcPr>
            <w:tcW w:w="2900" w:type="dxa"/>
            <w:vAlign w:val="bottom"/>
            <w:tcBorders>
              <w:top w:val="single" w:sz="8" w:color="auto"/>
              <w:right w:val="single" w:sz="8" w:color="auto"/>
            </w:tcBorders>
            <w:gridSpan w:val="4"/>
          </w:tcPr>
          <w:p>
            <w:pPr>
              <w:jc w:val="center"/>
              <w:ind w:right="260"/>
              <w:spacing w:after="0"/>
              <w:rPr>
                <w:sz w:val="20"/>
                <w:szCs w:val="20"/>
                <w:color w:val="auto"/>
              </w:rPr>
            </w:pPr>
            <w:r>
              <w:rPr>
                <w:rFonts w:ascii="Arial" w:cs="Arial" w:eastAsia="Arial" w:hAnsi="Arial"/>
                <w:sz w:val="20"/>
                <w:szCs w:val="20"/>
                <w:b w:val="1"/>
                <w:bCs w:val="1"/>
                <w:color w:val="auto"/>
                <w:w w:val="88"/>
              </w:rPr>
              <w:t>When Interest Rate is based on</w:t>
            </w:r>
          </w:p>
        </w:tc>
        <w:tc>
          <w:tcPr>
            <w:tcW w:w="274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20"/>
                <w:szCs w:val="20"/>
                <w:b w:val="1"/>
                <w:bCs w:val="1"/>
                <w:color w:val="auto"/>
                <w:w w:val="88"/>
              </w:rPr>
              <w:t>When Interest Rate is based on</w:t>
            </w:r>
          </w:p>
        </w:tc>
        <w:tc>
          <w:tcPr>
            <w:tcW w:w="0" w:type="dxa"/>
            <w:vAlign w:val="bottom"/>
          </w:tcPr>
          <w:p>
            <w:pPr>
              <w:spacing w:after="0"/>
              <w:rPr>
                <w:sz w:val="1"/>
                <w:szCs w:val="1"/>
                <w:color w:val="auto"/>
              </w:rPr>
            </w:pPr>
          </w:p>
        </w:tc>
      </w:tr>
      <w:tr>
        <w:trPr>
          <w:trHeight w:val="210"/>
        </w:trPr>
        <w:tc>
          <w:tcPr>
            <w:tcW w:w="300" w:type="dxa"/>
            <w:vAlign w:val="bottom"/>
            <w:tcBorders>
              <w:left w:val="single" w:sz="8" w:color="auto"/>
            </w:tcBorders>
          </w:tcPr>
          <w:p>
            <w:pPr>
              <w:spacing w:after="0"/>
              <w:rPr>
                <w:sz w:val="18"/>
                <w:szCs w:val="18"/>
                <w:color w:val="auto"/>
              </w:rPr>
            </w:pPr>
          </w:p>
        </w:tc>
        <w:tc>
          <w:tcPr>
            <w:tcW w:w="800" w:type="dxa"/>
            <w:vAlign w:val="bottom"/>
            <w:tcBorders>
              <w:top w:val="single" w:sz="8" w:color="auto"/>
              <w:right w:val="single" w:sz="8" w:color="auto"/>
            </w:tcBorders>
            <w:gridSpan w:val="2"/>
            <w:vMerge w:val="continue"/>
          </w:tcPr>
          <w:p>
            <w:pPr>
              <w:spacing w:after="0"/>
              <w:rPr>
                <w:sz w:val="18"/>
                <w:szCs w:val="18"/>
                <w:color w:val="auto"/>
              </w:rPr>
            </w:pPr>
          </w:p>
        </w:tc>
        <w:tc>
          <w:tcPr>
            <w:tcW w:w="2840" w:type="dxa"/>
            <w:vAlign w:val="bottom"/>
            <w:tcBorders>
              <w:top w:val="single" w:sz="8" w:color="auto"/>
              <w:right w:val="single" w:sz="8" w:color="auto"/>
            </w:tcBorders>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96"/>
              </w:rPr>
              <w:t>Daily Three Month LIBOR</w:t>
            </w: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91"/>
              </w:rPr>
              <w:t>the Prime Rate</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2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00" w:type="dxa"/>
            <w:vAlign w:val="bottom"/>
            <w:tcBorders>
              <w:left w:val="single" w:sz="8" w:color="auto"/>
            </w:tcBorders>
          </w:tcPr>
          <w:p>
            <w:pPr>
              <w:spacing w:after="0"/>
              <w:rPr>
                <w:sz w:val="22"/>
                <w:szCs w:val="22"/>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20"/>
                <w:szCs w:val="20"/>
                <w:color w:val="auto"/>
              </w:rPr>
              <w:t>I</w:t>
            </w:r>
          </w:p>
        </w:tc>
        <w:tc>
          <w:tcPr>
            <w:tcW w:w="28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Less than the Covenant Threshold</w:t>
            </w:r>
          </w:p>
        </w:tc>
        <w:tc>
          <w:tcPr>
            <w:tcW w:w="2720" w:type="dxa"/>
            <w:vAlign w:val="bottom"/>
            <w:gridSpan w:val="3"/>
          </w:tcPr>
          <w:p>
            <w:pPr>
              <w:jc w:val="center"/>
              <w:ind w:left="281"/>
              <w:spacing w:after="0"/>
              <w:rPr>
                <w:sz w:val="20"/>
                <w:szCs w:val="20"/>
                <w:color w:val="auto"/>
              </w:rPr>
            </w:pPr>
            <w:r>
              <w:rPr>
                <w:rFonts w:ascii="Arial" w:cs="Arial" w:eastAsia="Arial" w:hAnsi="Arial"/>
                <w:sz w:val="20"/>
                <w:szCs w:val="20"/>
                <w:color w:val="auto"/>
                <w:w w:val="92"/>
              </w:rPr>
              <w:t>3.5%</w:t>
            </w:r>
          </w:p>
        </w:tc>
        <w:tc>
          <w:tcPr>
            <w:tcW w:w="1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20"/>
                <w:szCs w:val="20"/>
                <w:color w:val="auto"/>
              </w:rPr>
              <w:t>1.0%</w:t>
            </w:r>
          </w:p>
        </w:tc>
        <w:tc>
          <w:tcPr>
            <w:tcW w:w="68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Greater than or equal to the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20"/>
                <w:szCs w:val="20"/>
                <w:color w:val="auto"/>
              </w:rPr>
              <w:t>II</w:t>
            </w:r>
          </w:p>
        </w:tc>
        <w:tc>
          <w:tcPr>
            <w:tcW w:w="2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Covenant Threshold</w:t>
            </w:r>
          </w:p>
        </w:tc>
        <w:tc>
          <w:tcPr>
            <w:tcW w:w="2720" w:type="dxa"/>
            <w:vAlign w:val="bottom"/>
            <w:gridSpan w:val="3"/>
          </w:tcPr>
          <w:p>
            <w:pPr>
              <w:jc w:val="center"/>
              <w:ind w:left="281"/>
              <w:spacing w:after="0"/>
              <w:rPr>
                <w:sz w:val="20"/>
                <w:szCs w:val="20"/>
                <w:color w:val="auto"/>
              </w:rPr>
            </w:pPr>
            <w:r>
              <w:rPr>
                <w:rFonts w:ascii="Arial" w:cs="Arial" w:eastAsia="Arial" w:hAnsi="Arial"/>
                <w:sz w:val="20"/>
                <w:szCs w:val="20"/>
                <w:color w:val="auto"/>
                <w:w w:val="92"/>
              </w:rPr>
              <w:t>3.0%</w:t>
            </w:r>
          </w:p>
        </w:tc>
        <w:tc>
          <w:tcPr>
            <w:tcW w:w="1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980" w:type="dxa"/>
            <w:vAlign w:val="bottom"/>
            <w:gridSpan w:val="3"/>
          </w:tcPr>
          <w:p>
            <w:pPr>
              <w:jc w:val="right"/>
              <w:ind w:right="380"/>
              <w:spacing w:after="0"/>
              <w:rPr>
                <w:sz w:val="20"/>
                <w:szCs w:val="20"/>
                <w:color w:val="auto"/>
              </w:rPr>
            </w:pPr>
            <w:r>
              <w:rPr>
                <w:rFonts w:ascii="Arial" w:cs="Arial" w:eastAsia="Arial" w:hAnsi="Arial"/>
                <w:sz w:val="20"/>
                <w:szCs w:val="20"/>
                <w:color w:val="auto"/>
              </w:rPr>
              <w:t>0.50%</w:t>
            </w:r>
          </w:p>
        </w:tc>
        <w:tc>
          <w:tcPr>
            <w:tcW w:w="6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1.7 The definition of “</w:t>
      </w:r>
      <w:r>
        <w:rPr>
          <w:rFonts w:ascii="Arial" w:cs="Arial" w:eastAsia="Arial" w:hAnsi="Arial"/>
          <w:sz w:val="22"/>
          <w:szCs w:val="22"/>
          <w:u w:val="single" w:color="auto"/>
          <w:color w:val="auto"/>
        </w:rPr>
        <w:t>Convertible Note Documents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121" w:lineRule="exact"/>
        <w:rPr>
          <w:sz w:val="20"/>
          <w:szCs w:val="20"/>
          <w:color w:val="auto"/>
        </w:rPr>
      </w:pPr>
    </w:p>
    <w:p>
      <w:pPr>
        <w:ind w:left="660" w:right="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Note Documents</w:t>
      </w:r>
      <w:r>
        <w:rPr>
          <w:rFonts w:ascii="Arial" w:cs="Arial" w:eastAsia="Arial" w:hAnsi="Arial"/>
          <w:sz w:val="22"/>
          <w:szCs w:val="22"/>
          <w:color w:val="auto"/>
        </w:rPr>
        <w:t xml:space="preserve">” means the Convertible Notes, the Indenture dated on or about June 10, 2015 between Novatel Wireless, Inc. and Wilmington Trust, National Association, as trustee, and all other documents related thereto and executed in connection therewith, as such may after the Tenth Amendment Date be assigned to or exchanged for Convertible Notes of Inseego Corp., which shall be on substantially the same terms and conditions except to the extent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to the Eleventh Amendment.”</w:t>
      </w:r>
    </w:p>
    <w:p>
      <w:pPr>
        <w:spacing w:after="0" w:line="354"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1.8 The definition of “</w:t>
      </w:r>
      <w:r>
        <w:rPr>
          <w:rFonts w:ascii="Arial" w:cs="Arial" w:eastAsia="Arial" w:hAnsi="Arial"/>
          <w:sz w:val="22"/>
          <w:szCs w:val="22"/>
          <w:u w:val="single" w:color="auto"/>
          <w:color w:val="auto"/>
        </w:rPr>
        <w:t>Convertible Notes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121"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Notes</w:t>
      </w:r>
      <w:r>
        <w:rPr>
          <w:rFonts w:ascii="Arial" w:cs="Arial" w:eastAsia="Arial" w:hAnsi="Arial"/>
          <w:sz w:val="22"/>
          <w:szCs w:val="22"/>
          <w:color w:val="auto"/>
        </w:rPr>
        <w:t xml:space="preserve">” means Novatel Wireless, Inc.’s 5.50% Convertible Senior Notes Due 2020 as described in the Private Placement Memorandum, as such may after the Tenth Amendment Date be assigned to or exchanged for convertible notes of Inseego Corp. which shall be on substantially the same terms and conditions except to the extent set forth on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attached to the Eleventh Amendment.”</w:t>
      </w:r>
    </w:p>
    <w:p>
      <w:pPr>
        <w:sectPr>
          <w:pgSz w:w="11900" w:h="16838" w:orient="portrait"/>
          <w:cols w:equalWidth="0" w:num="1">
            <w:col w:w="11420"/>
          </w:cols>
          <w:pgMar w:left="240" w:top="753" w:right="239" w:bottom="1440" w:gutter="0" w:footer="0" w:header="0"/>
        </w:sectPr>
      </w:pPr>
    </w:p>
    <w:bookmarkStart w:id="106" w:name="page107"/>
    <w:bookmarkEnd w:id="106"/>
    <w:p>
      <w:pPr>
        <w:ind w:left="660"/>
        <w:spacing w:after="0"/>
        <w:tabs>
          <w:tab w:leader="none" w:pos="156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The new defined term “</w:t>
      </w:r>
      <w:r>
        <w:rPr>
          <w:rFonts w:ascii="Arial" w:cs="Arial" w:eastAsia="Arial" w:hAnsi="Arial"/>
          <w:sz w:val="19"/>
          <w:szCs w:val="19"/>
          <w:u w:val="single" w:color="auto"/>
          <w:color w:val="auto"/>
        </w:rPr>
        <w:t>Covenant Threshold</w:t>
      </w:r>
      <w:r>
        <w:rPr>
          <w:rFonts w:ascii="Arial" w:cs="Arial" w:eastAsia="Arial" w:hAnsi="Arial"/>
          <w:sz w:val="19"/>
          <w:szCs w:val="19"/>
          <w:color w:val="auto"/>
        </w:rPr>
        <w:t>” is hereby added, with retroactive effect to October 31, 2016,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w:t>
      </w:r>
    </w:p>
    <w:p>
      <w:pPr>
        <w:spacing w:after="0" w:line="148" w:lineRule="exact"/>
        <w:rPr>
          <w:sz w:val="20"/>
          <w:szCs w:val="20"/>
          <w:color w:val="auto"/>
        </w:rPr>
      </w:pPr>
    </w:p>
    <w:p>
      <w:pPr>
        <w:jc w:val="both"/>
        <w:ind w:left="660" w:right="4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Threshold</w:t>
      </w:r>
      <w:r>
        <w:rPr>
          <w:rFonts w:ascii="Arial" w:cs="Arial" w:eastAsia="Arial" w:hAnsi="Arial"/>
          <w:sz w:val="22"/>
          <w:szCs w:val="22"/>
          <w:color w:val="auto"/>
        </w:rPr>
        <w:t xml:space="preserve">” means Liquidity of not less than $5,000,000;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so long as no Advances are outstanding as of any date of determination, the amount included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the definition of Liquidity in order to calculate such Liquidity shall be at least $2,000,000 as of such date.”</w:t>
      </w:r>
    </w:p>
    <w:p>
      <w:pPr>
        <w:spacing w:after="0" w:line="34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1.10 The new defined term “</w:t>
      </w:r>
      <w:r>
        <w:rPr>
          <w:rFonts w:ascii="Arial" w:cs="Arial" w:eastAsia="Arial" w:hAnsi="Arial"/>
          <w:sz w:val="22"/>
          <w:szCs w:val="22"/>
          <w:u w:val="single" w:color="auto"/>
          <w:color w:val="auto"/>
        </w:rPr>
        <w:t>Eleventh Amendment</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w:t>
      </w:r>
    </w:p>
    <w:p>
      <w:pPr>
        <w:spacing w:after="0" w:line="121" w:lineRule="exact"/>
        <w:rPr>
          <w:sz w:val="20"/>
          <w:szCs w:val="20"/>
          <w:color w:val="auto"/>
        </w:rPr>
      </w:pPr>
    </w:p>
    <w:p>
      <w:pPr>
        <w:ind w:left="660"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Eleventh Amendment</w:t>
      </w:r>
      <w:r>
        <w:rPr>
          <w:rFonts w:ascii="Arial" w:cs="Arial" w:eastAsia="Arial" w:hAnsi="Arial"/>
          <w:sz w:val="22"/>
          <w:szCs w:val="22"/>
          <w:color w:val="auto"/>
        </w:rPr>
        <w:t>” means that certain Eleventh Amendment to Credit and Security Agreement and Consent, dated as of December 27, 2016, among Lender, Borrowers and Guarantors.”</w:t>
      </w:r>
    </w:p>
    <w:p>
      <w:pPr>
        <w:spacing w:after="0" w:line="337"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in its entirety as follows:</w:t>
      </w:r>
    </w:p>
    <w:p>
      <w:pPr>
        <w:spacing w:after="0" w:line="121"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21"/>
          <w:szCs w:val="21"/>
          <w:color w:val="auto"/>
        </w:rPr>
        <w:t xml:space="preserve">“(q) the unsecured Indebtedness of Novatel Wireless, Inc. or Inseego Corp., as applicable, incurred pursuant to and in accordance with the Convertible Note Documents in an aggregate principal amount not to exceed $125,000,000; </w:t>
      </w:r>
      <w:r>
        <w:rPr>
          <w:rFonts w:ascii="Arial" w:cs="Arial" w:eastAsia="Arial" w:hAnsi="Arial"/>
          <w:sz w:val="21"/>
          <w:szCs w:val="21"/>
          <w:u w:val="single" w:color="auto"/>
          <w:color w:val="auto"/>
        </w:rPr>
        <w:t>provided</w:t>
      </w:r>
      <w:r>
        <w:rPr>
          <w:rFonts w:ascii="Arial" w:cs="Arial" w:eastAsia="Arial" w:hAnsi="Arial"/>
          <w:sz w:val="21"/>
          <w:szCs w:val="21"/>
          <w:color w:val="auto"/>
        </w:rPr>
        <w:t>, that neither Novatel Wireless, Inc. nor Inseego Corp., as applicable, shall redeem, repurchase or satisfy any conversion obligation under any Convertible Note in cash (or partially in cash), other than with respect to cash paid in lieu of fractional shares, unless (i) no Default or Event of Default has occurred and is continuing or would result from such cash payment and (ii) Borrowers shall have Excess Availability in an amount equal to or greater than $10,000,000 on a proforma basis for the 60day period both immediately preceding the date of such cash payment and immediately after giving effect to any such cash payment; and”</w:t>
      </w:r>
    </w:p>
    <w:p>
      <w:pPr>
        <w:spacing w:after="0" w:line="346"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in the fourth row of </w:t>
      </w:r>
      <w:r>
        <w:rPr>
          <w:rFonts w:ascii="Arial" w:cs="Arial" w:eastAsia="Arial" w:hAnsi="Arial"/>
          <w:sz w:val="22"/>
          <w:szCs w:val="22"/>
          <w:u w:val="single" w:color="auto"/>
          <w:color w:val="auto"/>
        </w:rPr>
        <w:t>Schedule 2.12</w:t>
      </w:r>
      <w:r>
        <w:rPr>
          <w:rFonts w:ascii="Arial" w:cs="Arial" w:eastAsia="Arial" w:hAnsi="Arial"/>
          <w:sz w:val="22"/>
          <w:szCs w:val="22"/>
          <w:color w:val="auto"/>
        </w:rPr>
        <w:t xml:space="preserve"> to the Credit Agreement is hereby amended, with retroactive effect to October 31, 2016, to read in its entirety as follows:</w:t>
      </w:r>
    </w:p>
    <w:p>
      <w:pPr>
        <w:spacing w:after="0" w:line="121" w:lineRule="exact"/>
        <w:rPr>
          <w:sz w:val="20"/>
          <w:szCs w:val="20"/>
          <w:color w:val="auto"/>
        </w:rPr>
      </w:pPr>
    </w:p>
    <w:p>
      <w:pPr>
        <w:ind w:left="660"/>
        <w:spacing w:after="0" w:line="286"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Collateral Exam Fees, Costs and Expenses</w:t>
      </w:r>
      <w:r>
        <w:rPr>
          <w:rFonts w:ascii="Arial" w:cs="Arial" w:eastAsia="Arial" w:hAnsi="Arial"/>
          <w:sz w:val="19"/>
          <w:szCs w:val="19"/>
          <w:color w:val="auto"/>
        </w:rPr>
        <w:t xml:space="preserve">. Lender’s fees, costs and expenses in connection with any collateral exams or inspections conducted by or on behalf of Lender at the current rates established from time to time by Lender as its fee for collateral exams or inspections (which fees are currently $1,080 per day per collateral examiner), together with all actual out-of-pocket costs and expenses incurred in conducting any collateral exam or inspection;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 so long as no Default or Event of Default shall have occurred and be continuing and Borrowers maintain the Covenant Threshold at all times, Borrowers shall be obligated to reimburse Lender for fees, costs and expenses related for not more than two (2) such collateral exams and inspections in any twelve-month period, and (ii) if Borrowers fail to maintain the Covenant Threshold at any time, but so long as no Default or Event of Default shall have occurred and be continuing, Borrowers shall be obligated to reimburse Lender for fees, costs and expenses related for not more than four (4) such collateral exams and inspections in any twelve-month period. Furthermore, so long as no Default or Event of Default shall have occurred and be continuing, Borrowers shall not be obligated to reimburse Lender for fees, costs and expenses that exceed in the aggregate $10,000 for any single collateral exam (but such cap shall not apply to collateral exams conducted prior to the Closing Date or in connection with the Merger). In addition (and not subject to the foregoing 2 or 4 collateral exam and inspection limit), Borrowers shall be obligated to reimburse Lender for all fees, costs and expenses related to any collateral</w:t>
      </w:r>
    </w:p>
    <w:p>
      <w:pPr>
        <w:sectPr>
          <w:pgSz w:w="11900" w:h="16838" w:orient="portrait"/>
          <w:cols w:equalWidth="0" w:num="1">
            <w:col w:w="11420"/>
          </w:cols>
          <w:pgMar w:left="240" w:top="753" w:right="239" w:bottom="1440" w:gutter="0" w:footer="0" w:header="0"/>
        </w:sectPr>
      </w:pPr>
    </w:p>
    <w:bookmarkStart w:id="107" w:name="page108"/>
    <w:bookmarkEnd w:id="107"/>
    <w:p>
      <w:pPr>
        <w:ind w:left="660" w:right="700"/>
        <w:spacing w:after="0" w:line="263" w:lineRule="auto"/>
        <w:rPr>
          <w:sz w:val="20"/>
          <w:szCs w:val="20"/>
          <w:color w:val="auto"/>
        </w:rPr>
      </w:pPr>
      <w:r>
        <w:rPr>
          <w:rFonts w:ascii="Arial" w:cs="Arial" w:eastAsia="Arial" w:hAnsi="Arial"/>
          <w:sz w:val="22"/>
          <w:szCs w:val="22"/>
          <w:color w:val="auto"/>
        </w:rPr>
        <w:t>exams or inspections obtained prior to the Closing Date or in connection with the Merger. Applicable fees related to electronic collateral reporting will also be charged.”</w:t>
      </w:r>
    </w:p>
    <w:p>
      <w:pPr>
        <w:spacing w:after="0" w:line="33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 xml:space="preserve">The last paragraph of </w:t>
      </w:r>
      <w:r>
        <w:rPr>
          <w:rFonts w:ascii="Arial" w:cs="Arial" w:eastAsia="Arial" w:hAnsi="Arial"/>
          <w:sz w:val="19"/>
          <w:szCs w:val="19"/>
          <w:u w:val="single" w:color="auto"/>
          <w:color w:val="auto"/>
        </w:rPr>
        <w:t>Schedule 6.2</w:t>
      </w:r>
      <w:r>
        <w:rPr>
          <w:rFonts w:ascii="Arial" w:cs="Arial" w:eastAsia="Arial" w:hAnsi="Arial"/>
          <w:sz w:val="19"/>
          <w:szCs w:val="19"/>
          <w:color w:val="auto"/>
        </w:rPr>
        <w:t xml:space="preserve"> to the Credit Agreement is hereby amended, with retroactive effect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October 31, 2016, to read in its entirety as follows:</w:t>
      </w:r>
    </w:p>
    <w:p>
      <w:pPr>
        <w:spacing w:after="0" w:line="148" w:lineRule="exact"/>
        <w:rPr>
          <w:sz w:val="20"/>
          <w:szCs w:val="20"/>
          <w:color w:val="auto"/>
        </w:rPr>
      </w:pPr>
    </w:p>
    <w:p>
      <w:pPr>
        <w:ind w:left="660" w:right="40"/>
        <w:spacing w:after="0" w:line="302"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Schedule 6.2</w:t>
      </w:r>
      <w:r>
        <w:rPr>
          <w:rFonts w:ascii="Arial" w:cs="Arial" w:eastAsia="Arial" w:hAnsi="Arial"/>
          <w:sz w:val="19"/>
          <w:szCs w:val="19"/>
          <w:color w:val="auto"/>
        </w:rPr>
        <w:t>, “Weekly Reporting Period” means each period (a) commencing on any day that Borrowers fail to maintain the Covenant Threshold for any five (5) consecutive Business Day period or an Event of Default occurs, and (b) continuing until Borrowers attain the Covenant Threshold at all times and no Event of Default has existed for 30 consecutive calendar days (for both the Liquidity and no Event of Default requirements).”</w:t>
      </w:r>
    </w:p>
    <w:p>
      <w:pPr>
        <w:spacing w:after="0" w:line="305" w:lineRule="exact"/>
        <w:rPr>
          <w:sz w:val="20"/>
          <w:szCs w:val="20"/>
          <w:color w:val="auto"/>
        </w:rPr>
      </w:pPr>
    </w:p>
    <w:p>
      <w:pPr>
        <w:ind w:right="80" w:firstLine="8"/>
        <w:spacing w:after="0" w:line="261" w:lineRule="auto"/>
        <w:tabs>
          <w:tab w:leader="none" w:pos="81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Consent</w:t>
      </w:r>
      <w:r>
        <w:rPr>
          <w:rFonts w:ascii="Arial" w:cs="Arial" w:eastAsia="Arial" w:hAnsi="Arial"/>
          <w:sz w:val="21"/>
          <w:szCs w:val="21"/>
          <w:color w:val="auto"/>
        </w:rPr>
        <w:t xml:space="preserve">. Upon satisfaction of the conditions precedent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of this Amendment and notwithstanding any restrictions in the Credit Agreement, Lender hereby consents to the Sale so long as (i) the Sale is consummated on or prior to February 28, 2017, (ii) concurrently with the consummation of the Sale, all Obligations are paid in full in cash and Lender’s obligations to provide additional credit under the Credit Agreement are terminated, and (iii) the Loan Parties have executed a payoff letter, in form and substance reasonably satisfactory to Lender, which shall include a release of claims substantially in the form of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of this Amendment.</w:t>
      </w:r>
    </w:p>
    <w:p>
      <w:pPr>
        <w:spacing w:after="0" w:line="125" w:lineRule="exact"/>
        <w:rPr>
          <w:rFonts w:ascii="Arial" w:cs="Arial" w:eastAsia="Arial" w:hAnsi="Arial"/>
          <w:sz w:val="21"/>
          <w:szCs w:val="21"/>
          <w:color w:val="auto"/>
        </w:rPr>
      </w:pPr>
    </w:p>
    <w:p>
      <w:pPr>
        <w:ind w:left="820" w:hanging="812"/>
        <w:spacing w:after="0"/>
        <w:tabs>
          <w:tab w:leader="none" w:pos="82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 Fee</w:t>
      </w:r>
      <w:r>
        <w:rPr>
          <w:rFonts w:ascii="Arial" w:cs="Arial" w:eastAsia="Arial" w:hAnsi="Arial"/>
          <w:sz w:val="22"/>
          <w:szCs w:val="22"/>
          <w:color w:val="auto"/>
        </w:rPr>
        <w:t>. Intentionally Omitted.</w:t>
      </w:r>
    </w:p>
    <w:p>
      <w:pPr>
        <w:spacing w:after="0" w:line="165" w:lineRule="exact"/>
        <w:rPr>
          <w:rFonts w:ascii="Arial" w:cs="Arial" w:eastAsia="Arial" w:hAnsi="Arial"/>
          <w:sz w:val="22"/>
          <w:szCs w:val="22"/>
          <w:color w:val="auto"/>
        </w:rPr>
      </w:pPr>
    </w:p>
    <w:p>
      <w:pPr>
        <w:ind w:right="340" w:firstLine="8"/>
        <w:spacing w:after="0" w:line="263" w:lineRule="auto"/>
        <w:tabs>
          <w:tab w:leader="none" w:pos="81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This Amendment shall be effective upon Lender’s receipt of the following items, in form and content acceptable to the Lender:</w:t>
      </w:r>
    </w:p>
    <w:p>
      <w:pPr>
        <w:spacing w:after="0" w:line="1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This Amendment, duly executed in a sufficient number of counterparts for distribution to all parties;</w:t>
      </w:r>
    </w:p>
    <w:p>
      <w:pPr>
        <w:spacing w:after="0" w:line="166"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4.2 The representations and warranties set forth in this Amendment must be true and correct in all material respects (except that such materiality qualifier shall not be applicable to any representations and warranties that already are qualified or modified by materiality in the text thereof); and</w:t>
      </w:r>
    </w:p>
    <w:p>
      <w:pPr>
        <w:spacing w:after="0" w:line="13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4.3 All other documents and legal matters in connection with the transactions contemplated by this Amendment shall have been delivered or executed or recorded, as reasonably required by the Lender.</w:t>
      </w:r>
    </w:p>
    <w:p>
      <w:pPr>
        <w:spacing w:after="0" w:line="121"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represents and warrants as follows:</w:t>
      </w:r>
    </w:p>
    <w:p>
      <w:pPr>
        <w:spacing w:after="0" w:line="166" w:lineRule="exact"/>
        <w:rPr>
          <w:sz w:val="20"/>
          <w:szCs w:val="20"/>
          <w:color w:val="auto"/>
        </w:rPr>
      </w:pPr>
    </w:p>
    <w:p>
      <w:pPr>
        <w:ind w:right="320" w:firstLine="648"/>
        <w:spacing w:after="0" w:line="29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Authority</w:t>
      </w:r>
      <w:r>
        <w:rPr>
          <w:rFonts w:ascii="Arial" w:cs="Arial" w:eastAsia="Arial" w:hAnsi="Arial"/>
          <w:sz w:val="19"/>
          <w:szCs w:val="19"/>
          <w:color w:val="auto"/>
        </w:rPr>
        <w:t>. Each Loan Party has the requisite corporate or limited liability company, as applicable, power and authority to execute and deliver this Amendment, and to perform its obligations hereunder and under the Loan Documents (as amended or modified hereby) to which it is a party. The execution, delivery and performance by the Loan Parties of this Amendment have been duly approved by all necessary corporate or limited liability company, as applicable, action and no other corporate or limited liability company, as applicable, proceedings are necessary to consummate such transactions.</w:t>
      </w:r>
    </w:p>
    <w:p>
      <w:pPr>
        <w:spacing w:after="0" w:line="9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Enforceability</w:t>
      </w:r>
      <w:r>
        <w:rPr>
          <w:rFonts w:ascii="Arial" w:cs="Arial" w:eastAsia="Arial" w:hAnsi="Arial"/>
          <w:sz w:val="22"/>
          <w:szCs w:val="22"/>
          <w:color w:val="auto"/>
        </w:rPr>
        <w:t>. This Amendment has been duly executed and delivered by the Loan Parties. This Amendment and each Loan Document (as amended or modified hereby) is the legal, valid and binding obligation of each Loan Party, enforceable against each Loan Party in accordance with its terms, except as enforcement may be limited by equitable principles or by bankruptcy, insolvency, reorganization, moratorium, or similar laws relating to or limiting creditors’ rights generally, and is in full force and effect.</w:t>
      </w:r>
    </w:p>
    <w:p>
      <w:pPr>
        <w:spacing w:after="0" w:line="138"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contained in each Loan Document (other than any such representations or warranties that, by their terms, are specifically</w:t>
      </w:r>
    </w:p>
    <w:p>
      <w:pPr>
        <w:sectPr>
          <w:pgSz w:w="11900" w:h="16838" w:orient="portrait"/>
          <w:cols w:equalWidth="0" w:num="1">
            <w:col w:w="11380"/>
          </w:cols>
          <w:pgMar w:left="240" w:top="753" w:right="279" w:bottom="1440" w:gutter="0" w:footer="0" w:header="0"/>
        </w:sectPr>
      </w:pPr>
    </w:p>
    <w:bookmarkStart w:id="108" w:name="page109"/>
    <w:bookmarkEnd w:id="108"/>
    <w:p>
      <w:pPr>
        <w:ind w:right="520"/>
        <w:spacing w:after="0" w:line="263" w:lineRule="auto"/>
        <w:rPr>
          <w:sz w:val="20"/>
          <w:szCs w:val="20"/>
          <w:color w:val="auto"/>
        </w:rPr>
      </w:pPr>
      <w:r>
        <w:rPr>
          <w:rFonts w:ascii="Arial" w:cs="Arial" w:eastAsia="Arial" w:hAnsi="Arial"/>
          <w:sz w:val="22"/>
          <w:szCs w:val="22"/>
          <w:color w:val="auto"/>
        </w:rPr>
        <w:t>made as of a date other than the date hereof) are true and correct in all material respects on and as of the date hereof as though made on and as of the date hereof.</w:t>
      </w:r>
    </w:p>
    <w:p>
      <w:pPr>
        <w:spacing w:after="0" w:line="12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Due Execution</w:t>
      </w:r>
      <w:r>
        <w:rPr>
          <w:rFonts w:ascii="Arial" w:cs="Arial" w:eastAsia="Arial" w:hAnsi="Arial"/>
          <w:sz w:val="22"/>
          <w:szCs w:val="22"/>
          <w:color w:val="auto"/>
        </w:rPr>
        <w:t>. The execution, delivery and performance of this Amendment are within the corporate or limited liability company, as applicable, power of each Loan Party, have been duly authorized by all necessary action, have received all necessary governmental approval, if any, and do not contravene any law or any contractual restrictions binding on any Loan Party except to the extent that any such contravention could not individually or in the aggregate reasonably be expected to cause a Material Adverse Change.</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No Default</w:t>
      </w:r>
      <w:r>
        <w:rPr>
          <w:rFonts w:ascii="Arial" w:cs="Arial" w:eastAsia="Arial" w:hAnsi="Arial"/>
          <w:sz w:val="22"/>
          <w:szCs w:val="22"/>
          <w:color w:val="auto"/>
        </w:rPr>
        <w:t>. Upon the effectiveness of this Amendment, no event has occurred and is continuing that constitutes a Default or an Event of Default.</w:t>
      </w:r>
    </w:p>
    <w:p>
      <w:pPr>
        <w:spacing w:after="0" w:line="121" w:lineRule="exact"/>
        <w:rPr>
          <w:sz w:val="20"/>
          <w:szCs w:val="20"/>
          <w:color w:val="auto"/>
        </w:rPr>
      </w:pPr>
    </w:p>
    <w:p>
      <w:pPr>
        <w:jc w:val="both"/>
        <w:ind w:right="60" w:firstLine="8"/>
        <w:spacing w:after="0" w:line="302" w:lineRule="auto"/>
        <w:tabs>
          <w:tab w:leader="none" w:pos="81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Except as otherwise expressly provided herein, the execution of this Amendment and the acceptance of all other agreements and instruments related hereto shall not be deemed to be a waiver of any Default or Event of Default under the Credit Agreement or a waiver of any breach, default or event of default under any other Loan Document or other document held by Lender, whether or not known to Lender and whether or not existing on the date of this Amendment.</w:t>
      </w:r>
    </w:p>
    <w:p>
      <w:pPr>
        <w:spacing w:after="0" w:line="88" w:lineRule="exact"/>
        <w:rPr>
          <w:rFonts w:ascii="Arial" w:cs="Arial" w:eastAsia="Arial" w:hAnsi="Arial"/>
          <w:sz w:val="19"/>
          <w:szCs w:val="19"/>
          <w:color w:val="auto"/>
        </w:rPr>
      </w:pPr>
    </w:p>
    <w:p>
      <w:pPr>
        <w:ind w:right="40" w:firstLine="8"/>
        <w:spacing w:after="0" w:line="288" w:lineRule="auto"/>
        <w:tabs>
          <w:tab w:leader="none" w:pos="81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Each of the Loan Parties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the Loan Parties have had, now 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Loan Parties in executing this release that the same shall be effective as a bar to each and every claim, demand and cause of action specified and in furtherance of this intention the Loan Parties each waives and relinquishes all rights and benefits under Section 1542 of the Civil Code of the State of California, which provides:</w:t>
      </w:r>
    </w:p>
    <w:p>
      <w:pPr>
        <w:spacing w:after="0" w:line="106"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351"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 additional facts.</w:t>
      </w:r>
    </w:p>
    <w:p>
      <w:pPr>
        <w:spacing w:after="0" w:line="348" w:lineRule="exact"/>
        <w:rPr>
          <w:sz w:val="20"/>
          <w:szCs w:val="20"/>
          <w:color w:val="auto"/>
        </w:rPr>
      </w:pPr>
    </w:p>
    <w:p>
      <w:pPr>
        <w:ind w:right="100" w:firstLine="8"/>
        <w:spacing w:after="0" w:line="294" w:lineRule="auto"/>
        <w:tabs>
          <w:tab w:leader="none" w:pos="81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Borrowers hereby reaffirm their agreement under the Credit Agreement to pay or reimburse Lender on demand for all Lender Expenses incurred by Lender in connection with the Loan Documents. Without limiting the generality of the foregoing, Borrowers specifically agree to pay all reasonable and documented (to the extent such documentation is reasonably requested by Borrowers) out-of-pocket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w:t>
      </w:r>
    </w:p>
    <w:p>
      <w:pPr>
        <w:sectPr>
          <w:pgSz w:w="11900" w:h="16838" w:orient="portrait"/>
          <w:cols w:equalWidth="0" w:num="1">
            <w:col w:w="11420"/>
          </w:cols>
          <w:pgMar w:left="240" w:top="753" w:right="239" w:bottom="1440" w:gutter="0" w:footer="0" w:header="0"/>
        </w:sectPr>
      </w:pPr>
    </w:p>
    <w:bookmarkStart w:id="109" w:name="page110"/>
    <w:bookmarkEnd w:id="109"/>
    <w:p>
      <w:pPr>
        <w:ind w:right="60"/>
        <w:spacing w:after="0" w:line="263" w:lineRule="auto"/>
        <w:rPr>
          <w:sz w:val="20"/>
          <w:szCs w:val="20"/>
          <w:color w:val="auto"/>
        </w:rPr>
      </w:pPr>
      <w:r>
        <w:rPr>
          <w:rFonts w:ascii="Arial" w:cs="Arial" w:eastAsia="Arial" w:hAnsi="Arial"/>
          <w:sz w:val="22"/>
          <w:szCs w:val="22"/>
          <w:color w:val="auto"/>
        </w:rPr>
        <w:t>without further authorization by Borrowers, make an Advance to the Borrowers under the Credit Agreement, or apply the proceeds of any Advance, for the purpose of paying any such fees, disbursements, costs and expenses.</w:t>
      </w:r>
    </w:p>
    <w:p>
      <w:pPr>
        <w:spacing w:after="0" w:line="121" w:lineRule="exact"/>
        <w:rPr>
          <w:sz w:val="20"/>
          <w:szCs w:val="20"/>
          <w:color w:val="auto"/>
        </w:rPr>
      </w:pPr>
    </w:p>
    <w:p>
      <w:pPr>
        <w:ind w:firstLine="8"/>
        <w:spacing w:after="0" w:line="302" w:lineRule="auto"/>
        <w:tabs>
          <w:tab w:leader="none" w:pos="81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Choice of Law; Venue; Jury Trial Waiver; Arbitration</w:t>
      </w:r>
      <w:r>
        <w:rPr>
          <w:rFonts w:ascii="Arial" w:cs="Arial" w:eastAsia="Arial" w:hAnsi="Arial"/>
          <w:sz w:val="19"/>
          <w:szCs w:val="19"/>
          <w:color w:val="auto"/>
        </w:rPr>
        <w:t xml:space="preserve">. The validity of this Amendment, its construction, interpretation and enforcement, and the rights of the parties hereunder shall be determined under, governed by, and construed in accordance with the internal laws of the State of California governing contracts only to be performed in that State.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88" w:lineRule="exact"/>
        <w:rPr>
          <w:rFonts w:ascii="Arial" w:cs="Arial" w:eastAsia="Arial" w:hAnsi="Arial"/>
          <w:sz w:val="19"/>
          <w:szCs w:val="19"/>
          <w:color w:val="auto"/>
        </w:rPr>
      </w:pPr>
    </w:p>
    <w:p>
      <w:pPr>
        <w:ind w:right="220" w:firstLine="8"/>
        <w:spacing w:after="0" w:line="248" w:lineRule="auto"/>
        <w:tabs>
          <w:tab w:leader="none" w:pos="91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“pdf” file or other similar method of electronic transmission shall be effective as delivery of a manually executed counterpart of this Amendment.</w:t>
      </w:r>
    </w:p>
    <w:p>
      <w:pPr>
        <w:spacing w:after="0" w:line="138" w:lineRule="exact"/>
        <w:rPr>
          <w:rFonts w:ascii="Arial" w:cs="Arial" w:eastAsia="Arial" w:hAnsi="Arial"/>
          <w:sz w:val="22"/>
          <w:szCs w:val="22"/>
          <w:color w:val="auto"/>
        </w:rPr>
      </w:pPr>
    </w:p>
    <w:p>
      <w:pPr>
        <w:ind w:left="920" w:hanging="912"/>
        <w:spacing w:after="0"/>
        <w:tabs>
          <w:tab w:leader="none" w:pos="92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Loan Documents</w:t>
      </w:r>
      <w:r>
        <w:rPr>
          <w:rFonts w:ascii="Arial" w:cs="Arial" w:eastAsia="Arial" w:hAnsi="Arial"/>
          <w:sz w:val="22"/>
          <w:szCs w:val="22"/>
          <w:color w:val="auto"/>
        </w:rPr>
        <w:t>.</w:t>
      </w:r>
    </w:p>
    <w:p>
      <w:pPr>
        <w:spacing w:after="0" w:line="16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11.1 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134" w:lineRule="exact"/>
        <w:rPr>
          <w:sz w:val="20"/>
          <w:szCs w:val="20"/>
          <w:color w:val="auto"/>
        </w:rPr>
      </w:pPr>
    </w:p>
    <w:p>
      <w:pPr>
        <w:ind w:right="220" w:firstLine="648"/>
        <w:spacing w:after="0" w:line="248" w:lineRule="auto"/>
        <w:rPr>
          <w:sz w:val="20"/>
          <w:szCs w:val="20"/>
          <w:color w:val="auto"/>
        </w:rPr>
      </w:pPr>
      <w:r>
        <w:rPr>
          <w:rFonts w:ascii="Arial" w:cs="Arial" w:eastAsia="Arial" w:hAnsi="Arial"/>
          <w:sz w:val="22"/>
          <w:szCs w:val="22"/>
          <w:color w:val="auto"/>
        </w:rPr>
        <w:t>11.2 Except as specifically amended by this Amendment, the Credit Agreement and all other Loan Documents, are and shall continue to be in full force and effect and are hereby in all respects ratified and confirmed and shall constitute the legal, valid, binding and enforceable obligations of the Loan Parties to the Lender and Bank Product Providers, except as enforcement may be limited by equitable principles or by bankruptcy, insolvency, reorganization, moratorium, or similar laws relating to or limiting creditors’ rights generally.</w:t>
      </w:r>
    </w:p>
    <w:p>
      <w:pPr>
        <w:spacing w:after="0" w:line="138"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11.3 The execution, delivery and effectiveness of this Amendment shall not, except as expressly provided herein, operate as a waiver of any right, power or remedy of the Lender under any of the Loan Documents, nor constitute a waiver of any provision of any of the Loan Documents.</w:t>
      </w:r>
    </w:p>
    <w:p>
      <w:pPr>
        <w:spacing w:after="0" w:line="13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11.4 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3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This Amendment shall be deemed to be a “Loan Document” (as defined in the Credit Agreement).</w:t>
      </w:r>
    </w:p>
    <w:p>
      <w:pPr>
        <w:spacing w:after="0" w:line="166" w:lineRule="exact"/>
        <w:rPr>
          <w:sz w:val="20"/>
          <w:szCs w:val="20"/>
          <w:color w:val="auto"/>
        </w:rPr>
      </w:pPr>
    </w:p>
    <w:p>
      <w:pPr>
        <w:ind w:firstLine="8"/>
        <w:spacing w:after="0" w:line="253" w:lineRule="auto"/>
        <w:tabs>
          <w:tab w:leader="none" w:pos="91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The Loan Parties each hereby restate, ratify and reaffirm each and every term and condition set forth in the Credit Agreement and the other Loan Documents to which it is a party, in each case as amended by this Amendment, effective as of the date hereof.</w:t>
      </w:r>
    </w:p>
    <w:p>
      <w:pPr>
        <w:spacing w:after="0" w:line="131" w:lineRule="exact"/>
        <w:rPr>
          <w:rFonts w:ascii="Arial" w:cs="Arial" w:eastAsia="Arial" w:hAnsi="Arial"/>
          <w:sz w:val="22"/>
          <w:szCs w:val="22"/>
          <w:color w:val="auto"/>
        </w:rPr>
      </w:pPr>
    </w:p>
    <w:p>
      <w:pPr>
        <w:ind w:right="200" w:firstLine="8"/>
        <w:spacing w:after="0" w:line="265" w:lineRule="auto"/>
        <w:tabs>
          <w:tab w:leader="none" w:pos="918"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Estoppel</w:t>
      </w:r>
      <w:r>
        <w:rPr>
          <w:rFonts w:ascii="Arial" w:cs="Arial" w:eastAsia="Arial" w:hAnsi="Arial"/>
          <w:sz w:val="21"/>
          <w:szCs w:val="21"/>
          <w:color w:val="auto"/>
        </w:rPr>
        <w:t>. To induce the Lender to enter into this Amendment and to continue to make Advances or issue Letters of Credit to or for the account of the Borrowers under the Credit Agreement, the Loan Parties each hereby acknowledges and agrees that, as of the date hereof, there exists no right of offset, defense, counterclaim or objection in favor of the Loan Parties as against the Lender or any Bank Product Provider with respect to the Obligations.</w:t>
      </w:r>
    </w:p>
    <w:p>
      <w:pPr>
        <w:sectPr>
          <w:pgSz w:w="11900" w:h="16838" w:orient="portrait"/>
          <w:cols w:equalWidth="0" w:num="1">
            <w:col w:w="11400"/>
          </w:cols>
          <w:pgMar w:left="240" w:top="753" w:right="259" w:bottom="1440" w:gutter="0" w:footer="0" w:header="0"/>
        </w:sectPr>
      </w:pPr>
    </w:p>
    <w:bookmarkStart w:id="110" w:name="page111"/>
    <w:bookmarkEnd w:id="110"/>
    <w:p>
      <w:pPr>
        <w:ind w:left="-8" w:firstLine="8"/>
        <w:spacing w:after="0" w:line="292" w:lineRule="auto"/>
        <w:tabs>
          <w:tab w:leader="none" w:pos="91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Integration; Conflict; Successors and Assigns; Amendment</w:t>
      </w:r>
      <w:r>
        <w:rPr>
          <w:rFonts w:ascii="Arial" w:cs="Arial" w:eastAsia="Arial" w:hAnsi="Arial"/>
          <w:sz w:val="19"/>
          <w:szCs w:val="19"/>
          <w:color w:val="auto"/>
        </w:rPr>
        <w:t>. This Amendment, together with the other Loan Documents, incorporates all negotiations of the parties hereto with respect to the subject matter hereof and is the final expression and agreement of the parties hereto with respect to the subject matter hereof. In the event of any conflict between this Amendment and the Credit Agreement, the terms of this Amendment shall govern. This Amendment shall bind and inure to the benefit of the respective successors and assigns of each of the parties, subject to the provisions of the Credit Agreement and the other Loan Documents. No amendment or modification of this Amendment shall be effective unless it has been agreed to by Lender in a writing that specifically states that it is intended to amend or modify this Amendment.</w:t>
      </w:r>
    </w:p>
    <w:p>
      <w:pPr>
        <w:spacing w:after="0" w:line="97" w:lineRule="exact"/>
        <w:rPr>
          <w:rFonts w:ascii="Arial" w:cs="Arial" w:eastAsia="Arial" w:hAnsi="Arial"/>
          <w:sz w:val="19"/>
          <w:szCs w:val="19"/>
          <w:color w:val="auto"/>
        </w:rPr>
      </w:pPr>
    </w:p>
    <w:p>
      <w:pPr>
        <w:jc w:val="both"/>
        <w:ind w:left="-8" w:right="120" w:firstLine="8"/>
        <w:spacing w:after="0" w:line="253" w:lineRule="auto"/>
        <w:tabs>
          <w:tab w:leader="none" w:pos="91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32" w:lineRule="exact"/>
        <w:rPr>
          <w:sz w:val="20"/>
          <w:szCs w:val="20"/>
          <w:color w:val="auto"/>
        </w:rPr>
      </w:pPr>
    </w:p>
    <w:p>
      <w:pPr>
        <w:jc w:val="center"/>
        <w:ind w:right="-31"/>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372"/>
          </w:cols>
          <w:pgMar w:left="248" w:top="753" w:right="27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ectPr>
          <w:pgSz w:w="11900" w:h="16838" w:orient="portrait"/>
          <w:cols w:equalWidth="0" w:num="1">
            <w:col w:w="9559"/>
          </w:cols>
          <w:pgMar w:left="900" w:top="8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Arial" w:cs="Arial" w:eastAsia="Arial" w:hAnsi="Arial"/>
          <w:sz w:val="21"/>
          <w:szCs w:val="21"/>
          <w:b w:val="1"/>
          <w:bCs w:val="1"/>
          <w:u w:val="single" w:color="auto"/>
          <w:color w:val="auto"/>
        </w:rPr>
        <w:t>BORROWERS:</w:t>
      </w:r>
    </w:p>
    <w:p>
      <w:pPr>
        <w:spacing w:after="0" w:line="285"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NOVATEL WIRELESS, INC.</w:t>
      </w:r>
    </w:p>
    <w:p>
      <w:pPr>
        <w:spacing w:after="0" w:line="288" w:lineRule="exact"/>
        <w:rPr>
          <w:sz w:val="20"/>
          <w:szCs w:val="20"/>
          <w:color w:val="auto"/>
        </w:rPr>
      </w:pPr>
    </w:p>
    <w:tbl>
      <w:tblPr>
        <w:tblLayout w:type="fixed"/>
        <w:tblInd w:w="326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679"/>
        </w:trPr>
        <w:tc>
          <w:tcPr>
            <w:tcW w:w="4020" w:type="dxa"/>
            <w:vAlign w:val="bottom"/>
            <w:gridSpan w:val="2"/>
          </w:tcPr>
          <w:p>
            <w:pPr>
              <w:spacing w:after="0"/>
              <w:rPr>
                <w:sz w:val="20"/>
                <w:szCs w:val="20"/>
                <w:color w:val="auto"/>
              </w:rPr>
            </w:pPr>
            <w:r>
              <w:rPr>
                <w:rFonts w:ascii="Arial" w:cs="Arial" w:eastAsia="Arial" w:hAnsi="Arial"/>
                <w:sz w:val="21"/>
                <w:szCs w:val="21"/>
                <w:b w:val="1"/>
                <w:bCs w:val="1"/>
                <w:color w:val="auto"/>
              </w:rPr>
              <w:t>ENFORA, INC.</w:t>
            </w:r>
          </w:p>
        </w:tc>
        <w:tc>
          <w:tcPr>
            <w:tcW w:w="0" w:type="dxa"/>
            <w:vAlign w:val="bottom"/>
          </w:tcPr>
          <w:p>
            <w:pPr>
              <w:spacing w:after="0"/>
              <w:rPr>
                <w:sz w:val="1"/>
                <w:szCs w:val="1"/>
                <w:color w:val="auto"/>
              </w:rPr>
            </w:pPr>
          </w:p>
        </w:tc>
      </w:tr>
      <w:tr>
        <w:trPr>
          <w:trHeight w:val="509"/>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679"/>
        </w:trPr>
        <w:tc>
          <w:tcPr>
            <w:tcW w:w="4020" w:type="dxa"/>
            <w:vAlign w:val="bottom"/>
            <w:gridSpan w:val="2"/>
          </w:tcPr>
          <w:p>
            <w:pPr>
              <w:spacing w:after="0"/>
              <w:rPr>
                <w:sz w:val="20"/>
                <w:szCs w:val="20"/>
                <w:color w:val="auto"/>
              </w:rPr>
            </w:pPr>
            <w:r>
              <w:rPr>
                <w:rFonts w:ascii="Arial" w:cs="Arial" w:eastAsia="Arial" w:hAnsi="Arial"/>
                <w:sz w:val="21"/>
                <w:szCs w:val="21"/>
                <w:b w:val="1"/>
                <w:bCs w:val="1"/>
                <w:color w:val="auto"/>
              </w:rPr>
              <w:t>FEENEY WIRELESS, LLC</w:t>
            </w:r>
          </w:p>
        </w:tc>
        <w:tc>
          <w:tcPr>
            <w:tcW w:w="0" w:type="dxa"/>
            <w:vAlign w:val="bottom"/>
          </w:tcPr>
          <w:p>
            <w:pPr>
              <w:spacing w:after="0"/>
              <w:rPr>
                <w:sz w:val="1"/>
                <w:szCs w:val="1"/>
                <w:color w:val="auto"/>
              </w:rPr>
            </w:pPr>
          </w:p>
        </w:tc>
      </w:tr>
      <w:tr>
        <w:trPr>
          <w:trHeight w:val="509"/>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360" w:type="dxa"/>
            <w:vAlign w:val="bottom"/>
          </w:tcPr>
          <w:p>
            <w:pPr>
              <w:ind w:left="20"/>
              <w:spacing w:after="0"/>
              <w:rPr>
                <w:sz w:val="20"/>
                <w:szCs w:val="20"/>
                <w:color w:val="auto"/>
              </w:rPr>
            </w:pPr>
            <w:r>
              <w:rPr>
                <w:rFonts w:ascii="Arial" w:cs="Arial" w:eastAsia="Arial" w:hAnsi="Arial"/>
                <w:sz w:val="20"/>
                <w:szCs w:val="20"/>
                <w:color w:val="auto"/>
              </w:rPr>
              <w:t>/s/ Michael Newman</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 w:type="dxa"/>
            <w:vAlign w:val="bottom"/>
            <w:vMerge w:val="continue"/>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20"/>
                <w:szCs w:val="20"/>
                <w:color w:val="auto"/>
              </w:rPr>
              <w:t>Michael Newman</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Arial" w:cs="Arial" w:eastAsia="Arial" w:hAnsi="Arial"/>
          <w:sz w:val="21"/>
          <w:szCs w:val="21"/>
          <w:b w:val="1"/>
          <w:bCs w:val="1"/>
          <w:u w:val="single" w:color="auto"/>
          <w:color w:val="auto"/>
        </w:rPr>
        <w:t>GUARANTORS:</w:t>
      </w:r>
    </w:p>
    <w:p>
      <w:pPr>
        <w:spacing w:after="0" w:line="285"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R.E.R. ENTERPRISES, INC.</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FEENEY WIRELESS IC-DISC, INC.</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INSEEGO CORP.</w:t>
      </w:r>
    </w:p>
    <w:p>
      <w:pPr>
        <w:spacing w:after="0" w:line="288"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27305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Michael Newman</w:t>
      </w:r>
    </w:p>
    <w:p>
      <w:pPr>
        <w:spacing w:after="0" w:line="67"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0"/>
          <w:szCs w:val="20"/>
          <w:color w:val="auto"/>
        </w:rPr>
        <w:t>Title:</w:t>
        <w:tab/>
        <w:t>Chief Financial Officer</w:t>
      </w:r>
    </w:p>
    <w:p>
      <w:pPr>
        <w:sectPr>
          <w:pgSz w:w="11900" w:h="16838" w:orient="portrait"/>
          <w:cols w:equalWidth="0" w:num="1">
            <w:col w:w="9559"/>
          </w:cols>
          <w:pgMar w:left="900" w:top="807" w:right="1440" w:bottom="1440" w:gutter="0" w:footer="0" w:header="0"/>
          <w:type w:val="continuous"/>
        </w:sectPr>
      </w:pPr>
    </w:p>
    <w:bookmarkStart w:id="112" w:name="page113"/>
    <w:bookmarkEnd w:id="112"/>
    <w:p>
      <w:pPr>
        <w:spacing w:after="0" w:line="91" w:lineRule="exact"/>
        <w:rPr>
          <w:sz w:val="20"/>
          <w:szCs w:val="20"/>
          <w:color w:val="auto"/>
        </w:rPr>
      </w:pPr>
    </w:p>
    <w:p>
      <w:pPr>
        <w:ind w:left="2700"/>
        <w:spacing w:after="0"/>
        <w:rPr>
          <w:sz w:val="20"/>
          <w:szCs w:val="20"/>
          <w:color w:val="auto"/>
        </w:rPr>
      </w:pPr>
      <w:r>
        <w:rPr>
          <w:rFonts w:ascii="Arial" w:cs="Arial" w:eastAsia="Arial" w:hAnsi="Arial"/>
          <w:sz w:val="22"/>
          <w:szCs w:val="22"/>
          <w:b w:val="1"/>
          <w:bCs w:val="1"/>
          <w:u w:val="single" w:color="auto"/>
          <w:color w:val="auto"/>
        </w:rPr>
        <w:t>LENDER:</w:t>
      </w:r>
    </w:p>
    <w:p>
      <w:pPr>
        <w:spacing w:after="0" w:line="152"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NATIONAL ASSOCIATION</w:t>
      </w:r>
    </w:p>
    <w:p>
      <w:pPr>
        <w:spacing w:after="0" w:line="267"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Robin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24765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Robin Van Meter</w:t>
      </w:r>
    </w:p>
    <w:p>
      <w:pPr>
        <w:spacing w:after="0" w:line="44"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ectPr>
          <w:pgSz w:w="11900" w:h="16838" w:orient="portrait"/>
          <w:cols w:equalWidth="0" w:num="1">
            <w:col w:w="9019"/>
          </w:cols>
          <w:pgMar w:left="1440" w:top="1440"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4"/>
                <w:szCs w:val="14"/>
                <w:color w:val="auto"/>
              </w:rPr>
            </w:pPr>
          </w:p>
        </w:tc>
        <w:tc>
          <w:tcPr>
            <w:tcW w:w="29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Jurisdiction of Incorporation or Organization</w:t>
            </w:r>
          </w:p>
        </w:tc>
        <w:tc>
          <w:tcPr>
            <w:tcW w:w="100" w:type="dxa"/>
            <w:vAlign w:val="bottom"/>
            <w:vMerge w:val="restart"/>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2"/>
              </w:rPr>
              <w:t>Name Under Which the Subsidiary Does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Alberta, Canada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Solutions,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(Italy) S.r.l.</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(UK)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Australia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Asia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Hong Kong</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(Shanghai) Co.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Enfora, Inc.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Enfora Comercio de Eletronicos LTDA</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Brazil</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R.E.R. Enterprises, Inc.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Pr>
          <w:p>
            <w:pPr>
              <w:ind w:left="20"/>
              <w:spacing w:after="0"/>
              <w:rPr>
                <w:sz w:val="20"/>
                <w:szCs w:val="20"/>
                <w:color w:val="auto"/>
              </w:rPr>
            </w:pPr>
            <w:r>
              <w:rPr>
                <w:rFonts w:ascii="Arial" w:cs="Arial" w:eastAsia="Arial" w:hAnsi="Arial"/>
                <w:sz w:val="16"/>
                <w:szCs w:val="16"/>
                <w:color w:val="auto"/>
              </w:rPr>
              <w:t>Feeney Wireless</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Feeney Wireless, LLC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Feeney Wireless IC-Disc, Inc.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Holdings Limited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Electronics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Properties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SA (Pty)</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Financial Services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Fleet Management SA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Integrated Fare Collections Services (Pty) Limited (IFCS)</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Dedical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Alchemist House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Management Services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Brands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Cellular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International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Investments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Technology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International Holdings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Europe Holdings Limited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UK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Ireland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Ireland</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E. Eur. Holdings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Deutschland GmbH</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Europe BV</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Benelux BV</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Polska Sp z o.o.</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Poland</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International Holdings BV</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New Zealand Limited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New Zealand</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Asia SDN BHD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Malaysia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Finance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Belgium BVBA</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Belgium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France SARL</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00" w:firstLine="3408"/>
        <w:spacing w:after="0" w:line="466"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S-3 No. 333-207255) pertaining to 13,067,382 shares of common stock;</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333-214965) pertaining to the 2009 Omnibus Incentive Compensation Plan;</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333-207233) pertaining to the 2009 Omnibus Incentive Compensation Plan and the 2015 Incentive Compensation Plan;</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333-202648) pertaining to the 2009 Omnibus Incentive Compensation Plan and the 2015 Incentive Compensation Plan;</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333-190878) pertaining to the Amended and Restated 2000 Employee Stock Purchase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333-190879) pertaining to the 2009 Omnibus Incentive Compensation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333-176490) pertaining to the Amended and Restated 2000 Employee Stock Purchase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the Amended and Restated 2000 Employee Stock Purchase Plan;</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333-159287) pertaining to the Amended and Restated 2000 Employee Stock Purchase Plan;</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333-145482) pertaining to the Amended and Restated 2000 Stock Incentive Plan and the Amended and Restated 2000 Employee Stock Purchase Plan;</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333-139730) pertaining to the Amended and Restated 2000 Stock Incentive Plan and the Amended and Restated 2000 Employee Stock Purchase Plan; and</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the Amended and Restated 2000 Stock Incentive Plan, the Amended and Restated 2000 Employee Stock Purchase Plan and the Amended and Restated 1997 Employee Stock Option Plan;</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reports dated March 31, 2017, with respect to the consolidated financial statements and schedule of Inseego Corp. and the effectiveness of internal control over financial reporting of Inseego Corp., included in this Annual Report (Form 10-K) for the year ended December 31, 2016.</w:t>
      </w:r>
    </w:p>
    <w:p>
      <w:pPr>
        <w:spacing w:after="0" w:line="200" w:lineRule="exact"/>
        <w:rPr>
          <w:sz w:val="20"/>
          <w:szCs w:val="20"/>
          <w:color w:val="auto"/>
        </w:rPr>
      </w:pPr>
    </w:p>
    <w:p>
      <w:pPr>
        <w:spacing w:after="0" w:line="29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MAYER HOFFMAN MCCANN P.C.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ind w:right="3400" w:firstLine="3408"/>
        <w:spacing w:after="0" w:line="512"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88"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333-207255) of Novatel Wireless, Inc. (predecessor issuer to Inseego Corp.);</w:t>
      </w:r>
    </w:p>
    <w:p>
      <w:pPr>
        <w:spacing w:after="0" w:line="333" w:lineRule="exact"/>
        <w:rPr>
          <w:rFonts w:ascii="Arial" w:cs="Arial" w:eastAsia="Arial" w:hAnsi="Arial"/>
          <w:sz w:val="18"/>
          <w:szCs w:val="18"/>
          <w:color w:val="auto"/>
        </w:rPr>
      </w:pPr>
    </w:p>
    <w:p>
      <w:pPr>
        <w:ind w:right="40" w:firstLine="8"/>
        <w:spacing w:after="0" w:line="259" w:lineRule="auto"/>
        <w:tabs>
          <w:tab w:leader="none" w:pos="1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Nos. 333-214965, 333-207233, 333-202648, 333-190878, 333-190879, 333-176490, 333-176489, 333-163033, 333-163032, 333-159287, 333-145482, 333-139730, 333-53692) pertaining to the 2009 Omnibus Incentive Compensation Plan, the 2015 Incentive Compensation Plan, Amended and Restated 2000 Employee Stock Purchase Plan, Amended and Restated 2000 Stock Incentive Plan, and the Amended and Restated 1997 Employee Stock Option Plan;</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March 14, 2016, with respect to the consolidated financial statements of Novatel Wireless, Inc. included in this Annual Report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Sue Swenson, certify that:</w:t>
      </w:r>
    </w:p>
    <w:p>
      <w:pPr>
        <w:spacing w:after="0" w:line="117" w:lineRule="exact"/>
        <w:rPr>
          <w:sz w:val="20"/>
          <w:szCs w:val="20"/>
          <w:color w:val="auto"/>
        </w:rPr>
      </w:pPr>
    </w:p>
    <w:p>
      <w:pPr>
        <w:ind w:left="620" w:hanging="180"/>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Sue Swenson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Newman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Sue Swenson,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840" w:hanging="305"/>
        <w:spacing w:after="0" w:line="277" w:lineRule="auto"/>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Sue Swenson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Michael Newman,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840" w:hanging="305"/>
        <w:spacing w:after="0" w:line="277" w:lineRule="auto"/>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2017</w:t>
      </w:r>
    </w:p>
    <w:p>
      <w:pPr>
        <w:spacing w:after="0" w:line="279"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Michael Newman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2"/>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Roman"/>
      <w:start w:val="1"/>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upperLetter"/>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1."/>
      <w:numFmt w:val="decimal"/>
      <w:start w:val="8"/>
    </w:lvl>
  </w:abstractNum>
  <w:abstractNum w:abstractNumId="36">
    <w:nsid w:val="153EA438"/>
    <w:multiLevelType w:val="hybridMultilevel"/>
    <w:lvl w:ilvl="0">
      <w:lvlJc w:val="left"/>
      <w:lvlText w:val="%1."/>
      <w:numFmt w:val="decimal"/>
      <w:start w:val="9"/>
    </w:lvl>
  </w:abstractNum>
  <w:abstractNum w:abstractNumId="37">
    <w:nsid w:val="3855585C"/>
    <w:multiLevelType w:val="hybridMultilevel"/>
    <w:lvl w:ilvl="0">
      <w:lvlJc w:val="left"/>
      <w:lvlText w:val="%1."/>
      <w:numFmt w:val="decimal"/>
      <w:start w:val="12"/>
    </w:lvl>
  </w:abstractNum>
  <w:abstractNum w:abstractNumId="38">
    <w:nsid w:val="70A64E2A"/>
    <w:multiLevelType w:val="hybridMultilevel"/>
    <w:lvl w:ilvl="0">
      <w:lvlJc w:val="left"/>
      <w:lvlText w:val="%1."/>
      <w:numFmt w:val="decimal"/>
      <w:start w:val="14"/>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2019-12-29T08:16:24Z</dcterms:created>
  <dcterms:modified xsi:type="dcterms:W3CDTF">2019-12-29T08:16:24Z</dcterms:modified>
</cp:coreProperties>
</file>