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80" w:right="428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ind w:left="3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080" w:space="720"/>
            <w:col w:w="460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000-31659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230" w:right="259" w:bottom="1440" w:gutter="0" w:footer="0" w:header="0"/>
          <w:type w:val="continuous"/>
        </w:sectPr>
      </w:pPr>
    </w:p>
    <w:p>
      <w:pPr>
        <w:spacing w:after="0" w:line="27"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47" w:lineRule="exact"/>
        <w:rPr>
          <w:sz w:val="24"/>
          <w:szCs w:val="24"/>
          <w:color w:val="auto"/>
        </w:rPr>
      </w:pPr>
    </w:p>
    <w:p>
      <w:pPr>
        <w:sectPr>
          <w:pgSz w:w="11900" w:h="16838" w:orient="portrait"/>
          <w:cols w:equalWidth="0" w:num="2">
            <w:col w:w="7600" w:space="720"/>
            <w:col w:w="3080"/>
          </w:cols>
          <w:pgMar w:left="240" w:top="230" w:right="259" w:bottom="1440" w:gutter="0" w:footer="0" w:header="0"/>
          <w:type w:val="continuous"/>
        </w:sectPr>
      </w:pPr>
    </w:p>
    <w:p>
      <w:pPr>
        <w:jc w:val="center"/>
        <w:ind w:right="1880"/>
        <w:spacing w:after="0"/>
        <w:rPr>
          <w:sz w:val="20"/>
          <w:szCs w:val="20"/>
          <w:color w:val="auto"/>
        </w:rPr>
      </w:pPr>
      <w:r>
        <w:rPr>
          <w:rFonts w:ascii="Arial" w:cs="Arial" w:eastAsia="Arial" w:hAnsi="Arial"/>
          <w:sz w:val="14"/>
          <w:szCs w:val="14"/>
          <w:b w:val="1"/>
          <w:bCs w:val="1"/>
          <w:color w:val="auto"/>
        </w:rPr>
        <w:t>(State or Other Jurisdiction</w:t>
      </w:r>
    </w:p>
    <w:p>
      <w:pPr>
        <w:jc w:val="center"/>
        <w:ind w:right="188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500" w:space="720"/>
            <w:col w:w="3180"/>
          </w:cols>
          <w:pgMar w:left="240" w:top="230" w:right="259" w:bottom="1440" w:gutter="0" w:footer="0" w:header="0"/>
          <w:type w:val="continuous"/>
        </w:sectPr>
      </w:pPr>
    </w:p>
    <w:p>
      <w:pPr>
        <w:spacing w:after="0" w:line="25"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9645 Scranton Road</w:t>
      </w:r>
    </w:p>
    <w:p>
      <w:pPr>
        <w:spacing w:after="0" w:line="44"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56" w:lineRule="exact"/>
        <w:rPr>
          <w:sz w:val="24"/>
          <w:szCs w:val="24"/>
          <w:color w:val="auto"/>
        </w:rPr>
      </w:pPr>
    </w:p>
    <w:p>
      <w:pPr>
        <w:sectPr>
          <w:pgSz w:w="11900" w:h="16838" w:orient="portrait"/>
          <w:cols w:equalWidth="0" w:num="2">
            <w:col w:w="7800" w:space="720"/>
            <w:col w:w="2880"/>
          </w:cols>
          <w:pgMar w:left="240" w:top="230" w:right="2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90" w:lineRule="exact"/>
        <w:rPr>
          <w:sz w:val="24"/>
          <w:szCs w:val="24"/>
          <w:color w:val="auto"/>
        </w:rPr>
      </w:pPr>
    </w:p>
    <w:p>
      <w:pPr>
        <w:sectPr>
          <w:pgSz w:w="11900" w:h="16838" w:orient="portrait"/>
          <w:cols w:equalWidth="0" w:num="2">
            <w:col w:w="7740" w:space="720"/>
            <w:col w:w="294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Registrant’s telephone number, including area code: (858) 320-8800</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400"/>
          </w:cols>
          <w:pgMar w:left="240" w:top="230" w:right="259" w:bottom="1440" w:gutter="0" w:footer="0" w:header="0"/>
          <w:type w:val="continuous"/>
        </w:sectPr>
      </w:pPr>
    </w:p>
    <w:p>
      <w:pPr>
        <w:spacing w:after="0" w:line="4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4">
            <w:col w:w="8940" w:space="100"/>
            <w:col w:w="140" w:space="180"/>
            <w:col w:w="220" w:space="100"/>
            <w:col w:w="1720"/>
          </w:cols>
          <w:pgMar w:left="240" w:top="230" w:right="25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4">
            <w:col w:w="9100" w:space="100"/>
            <w:col w:w="140" w:space="180"/>
            <w:col w:w="220" w:space="80"/>
            <w:col w:w="1580"/>
          </w:cols>
          <w:pgMar w:left="240" w:top="230" w:right="259" w:bottom="1440" w:gutter="0" w:footer="0" w:header="0"/>
          <w:type w:val="continuous"/>
        </w:sect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60"/>
        <w:spacing w:after="0" w:line="207" w:lineRule="exact"/>
        <w:tabs>
          <w:tab w:leader="none" w:pos="2320" w:val="left"/>
          <w:tab w:leader="none" w:pos="3920" w:val="left"/>
          <w:tab w:leader="none" w:pos="5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240"/>
        <w:spacing w:after="0" w:line="184" w:lineRule="exact"/>
        <w:tabs>
          <w:tab w:leader="none" w:pos="89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7"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2011, as reported by The Nasdaq Global Select Market, was approximately $106,826,791.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jc w:val="right"/>
        <w:ind w:left="360" w:right="3600"/>
        <w:spacing w:after="0" w:line="297" w:lineRule="auto"/>
        <w:rPr>
          <w:sz w:val="20"/>
          <w:szCs w:val="20"/>
          <w:color w:val="auto"/>
        </w:rPr>
      </w:pPr>
      <w:r>
        <w:rPr>
          <w:rFonts w:ascii="Arial" w:cs="Arial" w:eastAsia="Arial" w:hAnsi="Arial"/>
          <w:sz w:val="18"/>
          <w:szCs w:val="18"/>
          <w:color w:val="auto"/>
        </w:rPr>
        <w:t xml:space="preserve">The number of shares of the Registrant’s common stock outstanding as of March 1, 2012 was 32,279,593.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2012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2"/>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16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90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98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80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Legal Proceedings</w:t>
              </w:r>
            </w:hyperlink>
          </w:p>
        </w:tc>
        <w:tc>
          <w:tcPr>
            <w:tcW w:w="848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6"/>
        </w:trPr>
        <w:tc>
          <w:tcPr>
            <w:tcW w:w="1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98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98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55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1"/>
          </w:tcPr>
          <w:p>
            <w:pPr>
              <w:spacing w:after="0"/>
              <w:rPr>
                <w:sz w:val="24"/>
                <w:szCs w:val="24"/>
                <w:color w:val="auto"/>
              </w:rPr>
            </w:pPr>
          </w:p>
        </w:tc>
        <w:tc>
          <w:tcPr>
            <w:tcW w:w="344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98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98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8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98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98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160" w:type="dxa"/>
            <w:vAlign w:val="bottom"/>
            <w:gridSpan w:val="2"/>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080" w:type="dxa"/>
            <w:vAlign w:val="bottom"/>
            <w:shd w:val="clear" w:color="auto" w:fill="0000EE"/>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43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INDEX TO CONSOLIDATED FINANCIAL STATEMENTS</w:t>
              </w:r>
            </w:hyperlink>
          </w:p>
        </w:tc>
        <w:tc>
          <w:tcPr>
            <w:tcW w:w="660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“MiFi.Freedom. My Way”, “Conversa”,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Verizon Wireless, and Virgin Mobile;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November 30, 2010, we completed our acquisition of Enfora, Inc., a provider of intelligent asset-management solutions utilizing wireless technology and M2M communications. The acquisition of Enfora diversifies our customer based and product lines into adjacent markets and advances our strategy of providing intelligent devices to more end markets—enterprise, customer and vertical applications.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the years ended December 31, 2011, 2010, and 2009, net revenues recognized from sales of our products were $402.9 million, $338.9 million, and $337.4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a leading provider of intelligent wireless solutions. The key elements of our strategy are to:</w:t>
      </w:r>
    </w:p>
    <w:p>
      <w:pPr>
        <w:spacing w:after="0" w:line="90" w:lineRule="exact"/>
        <w:rPr>
          <w:sz w:val="20"/>
          <w:szCs w:val="20"/>
          <w:color w:val="auto"/>
        </w:rPr>
      </w:pPr>
    </w:p>
    <w:p>
      <w:pPr>
        <w:jc w:val="both"/>
        <w:ind w:left="780" w:right="20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Product Offerings. </w:t>
      </w:r>
      <w:r>
        <w:rPr>
          <w:rFonts w:ascii="Arial" w:cs="Arial" w:eastAsia="Arial" w:hAnsi="Arial"/>
          <w:sz w:val="16"/>
          <w:szCs w:val="16"/>
          <w:color w:val="auto"/>
        </w:rPr>
        <w:t>We intend to diversify and continue to broaden our product lines in the following areas: intelligent mobile hotspots,</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and applications software, USB modems, embedded modules, asset-management solutions utilizing intelligent M2M platforms that combine hardware and customized service-delivery software, and M2M communications devices.</w:t>
      </w:r>
    </w:p>
    <w:p>
      <w:pPr>
        <w:spacing w:after="0" w:line="25"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 Our Wireless Product Offerings Worldwide. </w:t>
      </w:r>
      <w:r>
        <w:rPr>
          <w:rFonts w:ascii="Arial" w:cs="Arial" w:eastAsia="Arial" w:hAnsi="Arial"/>
          <w:sz w:val="18"/>
          <w:szCs w:val="18"/>
          <w:color w:val="auto"/>
        </w:rPr>
        <w:t>We intend to continue expanding our portfolio of wireless products with leading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OEMs worldwide. Our products operate on every major wireless technology platform, including Second Generation (2G) networks: GSM, CDMA, GPRS; Third Generation (3G) networks: EV-DO, HSDPA and HSUPA; and Fourth Generation (4G) networks: LTE, dual carrier HSPA+, and WiMAX.</w:t>
      </w:r>
    </w:p>
    <w:p>
      <w:pPr>
        <w:spacing w:after="0" w:line="62"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Lead the Intelligent Mobile Hotspot Product Category</w:t>
      </w:r>
      <w:r>
        <w:rPr>
          <w:rFonts w:ascii="Arial" w:cs="Arial" w:eastAsia="Arial" w:hAnsi="Arial"/>
          <w:sz w:val="16"/>
          <w:szCs w:val="16"/>
          <w:color w:val="auto"/>
        </w:rPr>
        <w:t>. We developed the MiFi</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Intelligent Mobile Hotspot, a new category in wireless mobile data</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In May 2009, the first nationwide commercial deployment of MiFi hotspots was launched by Verizon Wireless. Since that time, approximately 20 additional operators around the world have commercially launched MiFi for both 3G and 4G technologies. We have multiple versions of MiFi hotspots currently in development and we plan to continue to be a leader in innovative MiFi products and software applications.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increase our worldwide market position. In the United States and internationally, we are working closely with wireless operators to provide intelligent devices that will optimize their high-speed 4G wireless data networks. We are also working with wireless operators to expand the opportunities for M2M communications solutions.</w:t>
      </w:r>
    </w:p>
    <w:p>
      <w:pPr>
        <w:spacing w:after="0" w:line="62" w:lineRule="exact"/>
        <w:rPr>
          <w:rFonts w:ascii="Arial" w:cs="Arial" w:eastAsia="Arial" w:hAnsi="Arial"/>
          <w:sz w:val="18"/>
          <w:szCs w:val="18"/>
          <w:color w:val="auto"/>
        </w:rPr>
      </w:pPr>
    </w:p>
    <w:p>
      <w:pPr>
        <w:ind w:left="780" w:right="360" w:hanging="326"/>
        <w:spacing w:after="0" w:line="323"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Leverage Strategic Relationships. </w:t>
      </w:r>
      <w:r>
        <w:rPr>
          <w:rFonts w:ascii="Arial" w:cs="Arial" w:eastAsia="Arial" w:hAnsi="Arial"/>
          <w:sz w:val="15"/>
          <w:szCs w:val="15"/>
          <w:color w:val="auto"/>
        </w:rPr>
        <w:t>We believe that strategic relationships with wireless carriers and enterprises that utilize mobile computing</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are critical to our ability to leverage sales opportunities and ensure that our technology investments address customer needs. Through strategic relationships, we believe that we can increase market penetration and differentiate our products by leveraging resources, including sales, marketing, and distribution systems. We are also addressing new market opportunities through innovation with our strategic partners.</w:t>
      </w:r>
    </w:p>
    <w:p>
      <w:pPr>
        <w:spacing w:after="0" w:line="16" w:lineRule="exact"/>
        <w:rPr>
          <w:rFonts w:ascii="Arial" w:cs="Arial" w:eastAsia="Arial" w:hAnsi="Arial"/>
          <w:sz w:val="15"/>
          <w:szCs w:val="15"/>
          <w:color w:val="auto"/>
        </w:rPr>
      </w:pPr>
    </w:p>
    <w:p>
      <w:pPr>
        <w:ind w:left="780" w:right="6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continuing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wireless access and M2M solutions to key vertical industry segments by offering innovative products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780" w:right="34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applications to enhance the overall value and ease of use that our products provide to our customers and end users.</w:t>
      </w:r>
    </w:p>
    <w:p>
      <w:pPr>
        <w:spacing w:after="0" w:line="4"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Acquire Companies that Accelerate the Growth of Our Business</w:t>
      </w:r>
      <w:r>
        <w:rPr>
          <w:rFonts w:ascii="Arial" w:cs="Arial" w:eastAsia="Arial" w:hAnsi="Arial"/>
          <w:sz w:val="18"/>
          <w:szCs w:val="18"/>
          <w:color w:val="auto"/>
        </w:rPr>
        <w:t>. We will continue to seek strategic acquisitions of companies in closely aligned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technologies that will provide synergistic growth in revenue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the wireless-data industry in the following reportable segments:</w:t>
      </w:r>
    </w:p>
    <w:p>
      <w:pPr>
        <w:spacing w:after="0" w:line="90" w:lineRule="exact"/>
        <w:rPr>
          <w:sz w:val="20"/>
          <w:szCs w:val="20"/>
          <w:color w:val="auto"/>
        </w:rPr>
      </w:pPr>
    </w:p>
    <w:p>
      <w:pPr>
        <w:ind w:left="1120" w:right="80" w:hanging="207"/>
        <w:spacing w:after="0" w:line="26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Products—includes our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1120" w:right="220" w:hanging="207"/>
        <w:spacing w:after="0" w:line="26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M2M Products and Solutions—includes our intelligent M2M communications devices and modules, and asset-management solutions utilizing platforms that combine communications devices and customized service-delivery software.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our segments, see Note 12 to our consolidated financial statements.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Mobile Computing Products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have a growing portfolio of leading-edge technology solutions that enable data transmission and services via cellular wireless networks. In 2011, we upgraded our line of hotspots, modems, and embedded modules to 4G, including LTE, dual-carrier HSPA+, and WiMAX.</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major Mobile Computing product lines:</w:t>
      </w:r>
    </w:p>
    <w:p>
      <w:pPr>
        <w:spacing w:after="0" w:line="17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b w:val="1"/>
          <w:bCs w:val="1"/>
          <w:i w:val="1"/>
          <w:iCs w:val="1"/>
          <w:color w:val="auto"/>
        </w:rPr>
        <w:t>MiFi</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Intelligent Mobile Hotspot </w:t>
      </w:r>
      <w:r>
        <w:rPr>
          <w:rFonts w:ascii="Arial" w:cs="Arial" w:eastAsia="Arial" w:hAnsi="Arial"/>
          <w:sz w:val="18"/>
          <w:szCs w:val="18"/>
          <w:color w:val="auto"/>
        </w:rPr>
        <w:t>is our flagship product. Introduced in 2009, it has quickly become a leading brand in mobile communications. MiFi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hotspots are gaining acceptance as the best connectivity option for Wi-Fi-enabled devices such as the iPad, Kindle, tablets, PCs, MP3 players, and gaming devices. MiFi hotspots function by connecting to a cellular-wireless network and creating a secure Wi-Fi signal that can connect to as many as 10 devices simultaneously. We have sold more than three million MiFi devices since launching this product family. MiFi hotspots accounted for 63%, 49%, and 24% of revenue in 2011, 2010, and 2009, respectively.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Our strategy for the MiFi platform is to add additional features beyond basic connectivity. For example, our MiFi OS enables on-board application processing and storage that has the capability to run software applications. We are optimistic that the MiFi OS will become a platform for a wide range of applications that will interface with the rapidly growing number of Wi-Fi-enabled devices.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Modems </w:t>
      </w:r>
      <w:r>
        <w:rPr>
          <w:rFonts w:ascii="Arial" w:cs="Arial" w:eastAsia="Arial" w:hAnsi="Arial"/>
          <w:sz w:val="18"/>
          <w:szCs w:val="18"/>
          <w:color w:val="auto"/>
        </w:rPr>
        <w:t>continue to be widely-used to access wireless broadband networks. We introduced USB and PC-Card modems in North America, and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most advanced wireless access in the industry. USB and PC-Card Modems accounted for 20%, 46%, and 50% of revenue in 2011, 2010, and 2009 respectively.</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Embedded Modules </w:t>
      </w:r>
      <w:r>
        <w:rPr>
          <w:rFonts w:ascii="Arial" w:cs="Arial" w:eastAsia="Arial" w:hAnsi="Arial"/>
          <w:sz w:val="16"/>
          <w:szCs w:val="16"/>
          <w:color w:val="auto"/>
        </w:rPr>
        <w:t>are utilized in a wide range of computing devices, such as laptop PCs, netbooks, tablets, and various other electronic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wireless broadband access. Embedded modules accounted for 4%, 3%, and 26% of revenue in 2011, 2010, and 2009, respectively.</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embedded modules to be a source of revenue growth in 2012. A variety of new electronic devices, designed to utilize high-speed, 4G technology, offer new opportunities to provide embedded modules to OEMs. We are aggressively pursuing these opportunities, and are providing 4G embedded modules to a number of major manufacturers.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Communications Software </w:t>
      </w:r>
      <w:r>
        <w:rPr>
          <w:rFonts w:ascii="Arial" w:cs="Arial" w:eastAsia="Arial" w:hAnsi="Arial"/>
          <w:sz w:val="18"/>
          <w:szCs w:val="18"/>
          <w:color w:val="auto"/>
        </w:rPr>
        <w:t>includes a growing family of software products designed with mobile needs in mind.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MobiLink</w:t>
      </w:r>
      <w:r>
        <w:rPr>
          <w:rFonts w:ascii="Arial" w:cs="Arial" w:eastAsia="Arial" w:hAnsi="Arial"/>
          <w:sz w:val="16"/>
          <w:szCs w:val="16"/>
          <w:color w:val="auto"/>
        </w:rPr>
        <w:t xml:space="preserve"> mobile communications software suite, which resides on a mobile computing device, is an object-oriented application that enables quick and simple access to advanced connectivity features such as SMS, multimedia messaging and virtual private networking. </w:t>
      </w:r>
      <w:r>
        <w:rPr>
          <w:rFonts w:ascii="Arial" w:cs="Arial" w:eastAsia="Arial" w:hAnsi="Arial"/>
          <w:sz w:val="16"/>
          <w:szCs w:val="16"/>
          <w:i w:val="1"/>
          <w:iCs w:val="1"/>
          <w:color w:val="auto"/>
        </w:rPr>
        <w:t>MobiLink</w:t>
      </w:r>
      <w:r>
        <w:rPr>
          <w:rFonts w:ascii="Arial" w:cs="Arial" w:eastAsia="Arial" w:hAnsi="Arial"/>
          <w:sz w:val="16"/>
          <w:szCs w:val="16"/>
          <w:color w:val="auto"/>
        </w:rPr>
        <w:t xml:space="preserve"> also offers video telephony and wireless local area network, or WLAN, management capabilities. </w:t>
      </w:r>
      <w:r>
        <w:rPr>
          <w:rFonts w:ascii="Arial" w:cs="Arial" w:eastAsia="Arial" w:hAnsi="Arial"/>
          <w:sz w:val="16"/>
          <w:szCs w:val="16"/>
          <w:i w:val="1"/>
          <w:iCs w:val="1"/>
          <w:color w:val="auto"/>
        </w:rPr>
        <w:t>MobiLink</w:t>
      </w:r>
      <w:r>
        <w:rPr>
          <w:rFonts w:ascii="Arial" w:cs="Arial" w:eastAsia="Arial" w:hAnsi="Arial"/>
          <w:sz w:val="16"/>
          <w:szCs w:val="16"/>
          <w:color w:val="auto"/>
        </w:rPr>
        <w:t xml:space="preserve"> is engineered to work with all of our wireless modems.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MiFi DLNA</w:t>
      </w:r>
      <w:r>
        <w:rPr>
          <w:rFonts w:ascii="Arial" w:cs="Arial" w:eastAsia="Arial" w:hAnsi="Arial"/>
          <w:sz w:val="10"/>
          <w:szCs w:val="10"/>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Server</w:t>
      </w:r>
      <w:r>
        <w:rPr>
          <w:rFonts w:ascii="Arial" w:cs="Arial" w:eastAsia="Arial" w:hAnsi="Arial"/>
          <w:sz w:val="16"/>
          <w:szCs w:val="16"/>
          <w:color w:val="auto"/>
        </w:rPr>
        <w:t xml:space="preserve"> operates on MiFi hotspots equipped with MiFi OS, such as the MiFi 2372. It enables you to access and play movies, music and photos anywhere, anytime, on any DLNA-capable device. The MiFi DLNA Server connects devices to provide easy instant access to your media.</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M2M Products and Solutions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M2M product line was acquired in connection with the Enfora acquisition. These products operate primarily on 2G wireless technology. We are applying our expertise in 3G and 4G technologies to expand the Enfora product line, improve performance, and strengthen the competitive advantages of our solutions. M2M products and solutions accounted for 11%, 2%, and 0% of revenue in 2011, 2010, and 2009, respectively. M2M product lines consist of the following:</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Spider</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MT, SA &amp; AT Integrated Solutions &amp; Accessories </w:t>
      </w:r>
      <w:r>
        <w:rPr>
          <w:rFonts w:ascii="Arial" w:cs="Arial" w:eastAsia="Arial" w:hAnsi="Arial"/>
          <w:sz w:val="18"/>
          <w:szCs w:val="18"/>
          <w:color w:val="auto"/>
        </w:rPr>
        <w:t>bring together essential elements for monitoring and managing mobile and fixed assets,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tracking and telemetric functions, along with workforce tracking and management. These solutions are based on the N4A distributed intelligent architecture, which improves the way enterprise clients manage their assets through a robust series of software management tools. We add value by developing solutions to meet the needs of specific customers with a particular emphasis on select vertical markets including: transportation &amp; logistics, security &amp; asset tracking, industrial automation &amp; smart grid, and remote patient monitoring. These solutions can be scaled from a small fleet customer to company-wide enterprise deployments.</w:t>
      </w:r>
    </w:p>
    <w:p>
      <w:pPr>
        <w:spacing w:after="0" w:line="14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b w:val="1"/>
          <w:bCs w:val="1"/>
          <w:i w:val="1"/>
          <w:iCs w:val="1"/>
          <w:color w:val="auto"/>
        </w:rPr>
        <w:t>Enabler</w:t>
      </w:r>
      <w:r>
        <w:rPr>
          <w:rFonts w:ascii="Arial" w:cs="Arial" w:eastAsia="Arial" w:hAnsi="Arial"/>
          <w:sz w:val="10"/>
          <w:szCs w:val="10"/>
          <w:b w:val="1"/>
          <w:bCs w:val="1"/>
          <w:i w:val="1"/>
          <w:iCs w:val="1"/>
          <w:color w:val="auto"/>
        </w:rPr>
        <w:t>®</w:t>
      </w:r>
      <w:r>
        <w:rPr>
          <w:rFonts w:ascii="Arial" w:cs="Arial" w:eastAsia="Arial" w:hAnsi="Arial"/>
          <w:sz w:val="16"/>
          <w:szCs w:val="16"/>
          <w:b w:val="1"/>
          <w:bCs w:val="1"/>
          <w:i w:val="1"/>
          <w:iCs w:val="1"/>
          <w:color w:val="auto"/>
        </w:rPr>
        <w:t xml:space="preserve"> III &amp; HS Embedded Solutions </w:t>
      </w:r>
      <w:r>
        <w:rPr>
          <w:rFonts w:ascii="Arial" w:cs="Arial" w:eastAsia="Arial" w:hAnsi="Arial"/>
          <w:sz w:val="16"/>
          <w:szCs w:val="16"/>
          <w:color w:val="auto"/>
        </w:rPr>
        <w:t>are integrated into various products or equipment so that those assets may communicate with other computers.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“machine-to-machine” applications enable back-end IT systems to receive data from remote assets. A common example is vehicle modules that transmit data about location, engine conditions, and abnormal situations to critical decision support or monitoring systems.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N4A™ Software and Design Services </w:t>
      </w:r>
      <w:r>
        <w:rPr>
          <w:rFonts w:ascii="Arial" w:cs="Arial" w:eastAsia="Arial" w:hAnsi="Arial"/>
          <w:sz w:val="18"/>
          <w:szCs w:val="18"/>
          <w:color w:val="auto"/>
        </w:rPr>
        <w:t>include our N4A Communications &amp; Management Software, or CMS, royalties for intellectual property, and design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that we provide to other companies, primarily for asset management solutions. In 2011, we launched the N4A CMS 3.0 platform, a next-generation service delivery platform that eases the development, deployment, and operation of asset-management applications. N4A CMS 3.0 provides a standardized, scalable way to connect and manage remote assets and improve business operations. The platform supports on-premise server or cloud-based deployment and is the basis for delivery of a wide range of M2M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customer base is comprised of wireless operators, distributors, OEMs, and various companies in vertical markets. Our wireless-operator customers include AT&amp;T, Bell Mobility, Sprint Nextel, Verizon Wireless, and Virgin Mobile. OEM customers include Dell and Hewlett-Packard. The acquisition of Enfora significantly diversified our customer base, adding approximately 120 customers, including Alarm.com, Linear Technology and Skypatrol.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strategic technology, development and marketing relationships with several of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28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through their own direct sales forces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channels. Our products are capable of being integrated into a broad range of devices, including laptop PCs, tablets, notebooks, netbooks, and other devices that utilize wireless-data capabilities.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61" w:lineRule="exact"/>
        <w:rPr>
          <w:rFonts w:ascii="Arial" w:cs="Arial" w:eastAsia="Arial" w:hAnsi="Arial"/>
          <w:sz w:val="18"/>
          <w:szCs w:val="18"/>
          <w:color w:val="auto"/>
        </w:rPr>
      </w:pPr>
    </w:p>
    <w:p>
      <w:pPr>
        <w:ind w:left="780" w:right="100" w:hanging="326"/>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M2M customers</w:t>
      </w:r>
      <w:r>
        <w:rPr>
          <w:rFonts w:ascii="Arial" w:cs="Arial" w:eastAsia="Arial" w:hAnsi="Arial"/>
          <w:sz w:val="18"/>
          <w:szCs w:val="18"/>
          <w:color w:val="auto"/>
        </w:rPr>
        <w:t>. We believe the M2M market provides substantial opportunities for growth. Machine-to-machine and smart-systems technologies are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integrated into a growing number of manufactured devices and machines—whether fixed, movable or fully mobile. We have strong positions in many of the high-growth segments of the M2M market. These include transportation, industrial automation, energy, security, and healthcare. We expect to work with these customers to develop customized solutions that incorporate our software and other intellectual property, providing significant product differentiation.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continue to develop and maintain strategic relationships with wireless and computer industry leaders like Dell, QUALCOMM, Sprint Nextel, Verizon Wireless, Virgin Mobile, and Vodafone. Enfora has strategic relationships with Texas Instruments, Delta Mobile and major software vendors. Through strategic relationships, we have been able to increase market penetration by leveraging the resources and technology of our channel partners.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sell our Mobile Computing Products primarily to wireless operators either directly or through strategic relationships, as well as to OEM partners and distributors located worldwide. Most of our Mobile Computing Products are sold directly by our sales force, or to a lesser degree, through distributors.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lead-generation programs, as well as product marketing. Other marketing initiatives include public relations, seminars and co-branding with partners.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sell our M2M Products and Solutions primarily to enterprises in the following industries: transportation; energy and industrial automation; security and safety; and medical monitoring. We sell our M2M Products and Solutions through our own direct sales force and through distributors.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significant portion of our revenue comes from a small number of customers.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substantial majority of our revenue is derived from sales in the U.S. See Note 12 to our consolidated financial statements for a discussion of our revenue and asset concentrations by geographic location.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revenues from sales to Verizon Wireless, Sprint (including Virgin Mobile), and AT&amp;T represented approximately 51%, 13%, and 8%, respectively, of our total revenues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research and development efforts are focused on developing innovative new wireless products and improving the functionality, design and performance of our existing products. Our research and development expenses for the years ended December 31, 2011, 2010, and 2009 were $61.4 million, $48.9 million, and $44.9 million, respectively. The increase in 2011 was due primarily to the acquisition of Enfora. We did not recover any costs from vendor-funded development contracts during these years.</w:t>
      </w:r>
    </w:p>
    <w:p>
      <w:pPr>
        <w:spacing w:after="0" w:line="14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 both segments, we intend to continue to identify and respond to our customers’ needs by introducing new product designs with an emphasis on supporting cutting edge wireless data technology, ease-of-use, performance, weight, cost and power consumption.</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right="80" w:hanging="326"/>
        <w:spacing w:after="0" w:line="335"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Advanced Radio Frequency and Hardware Design. </w:t>
      </w:r>
      <w:r>
        <w:rPr>
          <w:rFonts w:ascii="Arial" w:cs="Arial" w:eastAsia="Arial" w:hAnsi="Arial"/>
          <w:sz w:val="15"/>
          <w:szCs w:val="15"/>
          <w:color w:val="auto"/>
        </w:rPr>
        <w:t>Advanced RF design is a key technology that determines the performance of wireless devices. We</w:t>
      </w:r>
      <w:r>
        <w:rPr>
          <w:rFonts w:ascii="Arial" w:cs="Arial" w:eastAsia="Arial" w:hAnsi="Arial"/>
          <w:sz w:val="15"/>
          <w:szCs w:val="15"/>
          <w:i w:val="1"/>
          <w:iCs w:val="1"/>
          <w:color w:val="auto"/>
        </w:rPr>
        <w:t xml:space="preserve"> </w:t>
      </w:r>
      <w:r>
        <w:rPr>
          <w:rFonts w:ascii="Arial" w:cs="Arial" w:eastAsia="Arial" w:hAnsi="Arial"/>
          <w:sz w:val="15"/>
          <w:szCs w:val="15"/>
          <w:color w:val="auto"/>
        </w:rPr>
        <w:t>have specialized in 700/800/900/1800/1900/2100 and 2500 MHz designs for digital cellular, packet data, CDMA, HSPA, WiMAX, and LTE technology. Our expertise in RF, baseband, and firmware technology contributes to the performance, cost advantages and small size of our products.</w:t>
      </w:r>
    </w:p>
    <w:p>
      <w:pPr>
        <w:spacing w:after="0" w:line="7" w:lineRule="exact"/>
        <w:rPr>
          <w:rFonts w:ascii="Arial" w:cs="Arial" w:eastAsia="Arial" w:hAnsi="Arial"/>
          <w:sz w:val="15"/>
          <w:szCs w:val="15"/>
          <w:color w:val="auto"/>
        </w:rPr>
      </w:pPr>
    </w:p>
    <w:p>
      <w:pPr>
        <w:ind w:left="780" w:right="10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Our expertise includes the integration of RF and baseband chipsets and printed circuit board, or PCB</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We will continue to augment our miniaturization technology, working to further reduce the size and cost of current and future products.</w:t>
      </w:r>
    </w:p>
    <w:p>
      <w:pPr>
        <w:spacing w:after="0" w:line="4"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w:t>
      </w:r>
      <w:r>
        <w:rPr>
          <w:rFonts w:ascii="Arial" w:cs="Arial" w:eastAsia="Arial" w:hAnsi="Arial"/>
          <w:sz w:val="18"/>
          <w:szCs w:val="18"/>
          <w:color w:val="auto"/>
        </w:rPr>
        <w:t>We specialize in integrating and customizing 3G and 4G software to meet carrier and regulatory requirements. We supply end-to-end solutions to enable our customers to achieve a time-to-market advantage. This includes firmware that runs on a modem processor, drivers for various host operating systems, software development kits, or SDK, modem-manager software that controls modem operation, and server applications for over-the-air updates.</w:t>
      </w:r>
    </w:p>
    <w:p>
      <w:pPr>
        <w:spacing w:after="0" w:line="62"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Embedded Operating System. </w:t>
      </w:r>
      <w:r>
        <w:rPr>
          <w:rFonts w:ascii="Arial" w:cs="Arial" w:eastAsia="Arial" w:hAnsi="Arial"/>
          <w:sz w:val="18"/>
          <w:szCs w:val="18"/>
          <w:color w:val="auto"/>
        </w:rPr>
        <w:t>We have developed an embedded operating system that runs applications on our mobile hotspot products and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introduce innovative applications.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78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M2M Solutions. </w:t>
      </w:r>
      <w:r>
        <w:rPr>
          <w:rFonts w:ascii="Arial" w:cs="Arial" w:eastAsia="Arial" w:hAnsi="Arial"/>
          <w:sz w:val="16"/>
          <w:szCs w:val="16"/>
          <w:color w:val="auto"/>
        </w:rPr>
        <w:t>We have developed customized asset-tracking systems and service-delivery platforms that utilize advanced radio-frequency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specialized software that interfaces with the information technology systems of our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We currently have manufacturing agreements in place with the following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Computing Products</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LG Innotek Co., Ltd, or “LG Innotek”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Inventec Appliances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Hon Hai Precision Industry Co.,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M2M Products and Solutions</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Benchmark Electronics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contract manufacturers are located in China, Thailand, and Korea, and are able to produce our products using modern state-of-the-art equipment and facilities and relatively low-cost labor.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Application Specific Integrated Circuits or ASICs,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Computing Products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wireless broadband access solutions rely on and benefit from our portfolio of intellectual property, including patents and trademarks. We currently own 37 United States patents, three of which are also registered in Canada. In addition, we currently have 39 patent applications pending. From time to time, we also seek to have our patents registered in selected foreign jurisdictions. The patents that we currently own expire at various times between 2012 and 2029.</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HSPA, EV-DO, and LTE-based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also hold a number of trademarks including Expedite, MiFi, MiFi OS, MiFi Intelligent Mobile Hotspot, MobiLink, Ovation, Conversa, NovaSpeed, NovaCore and NovaDrive.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M2M Products and Solutions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M2M products and solutions incorporate patents, licensed technology, and trade secrets gained from our deep experience providing customized solutions to our customers.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currently own three United States patents related to M2M products and solutions. In addition, we currently have 14 patent applications pending. From time to time, we also seek to have our patents registered in selected foreign jurisdictions. The patents that we currently own expire at various times between 2020 and 2021.</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have licensed software and other intellectual property for use in our products from various third-parties, such as Ericsson and Interdigital Communications Corporation. These licenses allow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hold a number of trademarks including Enfora, Spider, Enabling Information Anywhere, Enabler, eWide, and N4A.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wireless broadband access and M2M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w:t>
      </w:r>
    </w:p>
    <w:p>
      <w:pPr>
        <w:spacing w:after="0" w:line="14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 and our investment in R&amp;D.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wireless data modem and mobile hotspot providers, such as Huawei, ZTE, Sierra Wireless, PCD, Sony-Ericsson, LG Innotek and Samsung;</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and Huawei;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chipset providers, such as QUALCOMM, Motorola and Ericsson.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2011, we had 488 employees. By segment, Mobile Computing Products had 379 employees, including corporate functions, and M2M Products and Solutions had 109 employees. By function, we had 260 in research and development, 105 in sales and marketing, 62 in operations, and 61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ind w:right="20"/>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or SEC.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wireless data modem and mobile hotspot providers, such as Huawei, ZTE, Sierra Wireless, PCD, Sony-Ericsson, LG Innotek and Samsung;</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and Huawei;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chipset providers, such as QUALCOMM, Motorola and Ericsson.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and timely introduce new products successfully, we may lose key customers or product orders and our business could be harmed.</w:t>
      </w:r>
    </w:p>
    <w:p>
      <w:pPr>
        <w:spacing w:after="0" w:line="12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and might impact the timing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that we would sell to that customer. Our ability to generate future revenue and operating income under any such contracts would depend upon, among other factors, our ability to timely and profitably develop products that are suitable for manufacturing in a cost effective manner and that meet defined product design, technical and performance specifications.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In November 2010, we completed our acquisition of Enfora. We may acquire additional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Acquisitions, including the Enfora acquisition,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substantial accounting charges for restructuring and other expenses, amortization of purchased technology and intangible assets and stock-based compensation expense, any of which could materially adversely affect our operating results. We may not be able to realize the anticipated benefits of or successfully integrate with our existing business the businesses, products, technologies or personnel that we acquire, and our failure to do so could harm our business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parts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our net revenues come from only a few customers. Our revenue could be materially adversely affected if we are unable to retain the level of business of any of our significant customers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outsource our manufacturing to LG Innotek, Inventec Appliances Corporation, Hon Hai Precision Industry Co., Ltd., and Benchmark Electronics. If one of these third-party manufacturers were to experience delays, disruptions, capacity constraints or quality control problems in its manufacturing operations, product shipments to our customers could be delayed or rejected by them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a long-term contracts with our manufacturers. As a result, we are subject to price increases due to the availability and price volatility in the marketplace of the components and materials needed to manufacture our products. If a third-party manufacturer were to negatively change the product pricing and other terms under which it agrees to manufacture for us and we are unable to locate a suitable alternative manufacturer, our manufacturing costs could significantly increase.</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in respect of which we contractually ordered our 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201"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287"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For example, some of our product components are manufactured in Japan, which recently experienced a significant earthquake. Although to date, we have not received any reports of damage to our supplier facilities, some of these manufacturers experienced temporary suspension of production due to power outages.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the original cost of the component in our costed bill of materials, then our results of operations would be adversely affected.</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contract with a number of suppliers in Japan. As a result of the effects of the earthquake and tsunami that occurred in Japan, our Japanese suppliers may be unable to deliver sufficient quantities of components or may be unable to deliver components in a timely manner, which could have a material adverse affect on our results of operations.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contract with a number of suppliers with operations in Thailand. Some of these suppliers have been unable to deliver sufficient quantities of components as a result of the effects of the major catastrophic flooding that began in July 2011 and still persist as of the date of this report. The Company’s M2M products are being impacted significantly by these component shortages. The shortages have limited the Company’s ability to deliver against sales opportunities, negatively impacting our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the date of this report, a class action lawsuit has been filed on behalf of persons who allegedly purchased our common stock between February 27, 2007 and November 10, 2008. The lawsuit names us and certain of our current and former officers as defendants. The complaint alleges generally that we issued materially false and misleading statements during the relevant time period regarding the strength of our products and market share, our financial results and internal controls.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Also as of the date of this report, we have been named as a nominal defendant in a purported shareholder derivative lawsuit filed in California state court. The complaint also names as defendants certain of our current and former officers and directors. The complaint alleges claims for breach of fiduciary duties, violations of certain provisions of the California Corporations Code, unjust enrichment and gross mismanagement.</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Third parties have in the past and may claim in the future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 owned or exclusively licensed by each plaintiff. Under certain circumstances, we may have an obligation to indemnify and/or defend our customers against these lawsuits.</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There can be no assurance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addition to our manufacturing activities in Asia, a significant portion of our research and development staff is located in Canada. We also sell our products outside the U.S. These international business activities expose the Company to additional business risks, including:</w:t>
      </w:r>
    </w:p>
    <w:p>
      <w:pPr>
        <w:spacing w:after="0" w:line="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90"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court ordered injunctions in a given jurisdiction in connection with alleged intellectual property rights infringement by our products or components contained with our products which might prohibit the importation, sale or offer for sale of our products in the jurisdiction subject to such injunction.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materially affect our operating results.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Additionally, a significant portion of our research and development staff is located in Canada and paid in Canadian dollars. As a result, we are exposed to changes in foreign currency exchange rates. 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use derivative financial instruments as risk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2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product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In particular, fluctuations in the Euro currency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significant impact on our future operating results and gross margins. Our attempts to minimize the effects of volatility in foreign currencies on cash flows may not be successful.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and expand our business if we are not able to hire, retain and manage additional qualified personnel.</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The success of our acquisitions, such as Enfora, depends in part on our retention and integration of key personnel from the acquired company or business. Recruiting and retaining skilled personnel in the wireless communications industry, including software and hardware engineers, is highly competitive.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Chairman and CEO, is a party to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such as Enfora, and/or non-US companies are particularly challenging because their prior practices in these areas may not meet the requirements of the Sarbanes-Oxley Act and public accounting standards. The failure or circumvention of our controls, policies and procedures could have a material adverse effect on our business, results of operations and financial position.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information technology services provided to customers, and any such disruption could reduce our expected revenue, increase our expenses, damage our reputation and adversely affect our stock price.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software and applications that we produce or procure from third parties may contain defects in design or manufacture, including “bugs” and other problems that could unexpectedly interfere with the operation of our or our customers’ systems.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manage and store various proprietary information and sensitive or confidential data relating to our business. Breaches of our security measures or the accidental loss, inadvertent disclosure or unapproved dissemination of proprietary information or sensitive or confidential data about us or our clients, including the potential loss or disclosure of such information or data as a result of fraud, trickery or other forms of deception, could expose us or our customers affected to a risk of loss or misuse of this information, result in litigation and potential liability for us, damage our brand and reputation or otherwise harm our business. In addition, the cost and operational consequences of implementing further data protection measures could be significant.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have adversely affected in the past, and in the future could adversely affect, our financial results, stock price and reputation.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fluctuations in the market values of our portfolio investments and in interest rates.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December 31, 2011, we had $88.8 million in cash, cash equivalents and marketable securities. Substantially all of our marketable securities are invested in fixed income securities.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instruments is judged to be other-than-temporary.</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also suffer losses in principal if we are forced to sell securities that decline in market value due to changes in interest rates or if declines in value are determined to be other-than-temporary.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principal executive offices are located in San Diego, California where we lease approximately 96,000 square feet under an arrangement that expires in December 2016. In connection with our acquisition of Enfora, Inc., we lease approximately 42,000 square feet in Richardson, Texas under a lease arrangement that expires in December 2014. In Calgary, Canada, we lease approximately 24,000 square feet for certain aspects of our research and development organization under a lease that expires in September 2012. In Basingstoke, United Kingdom, we lease approximately 4,600 square feet for our European staff under a lease agreement that expires in November 2013. In Shanghai, China, we lease approximately 1,200 square meters for our Chinese staff under a lease agreement that expires in April 2015.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A trial date was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A new trial date has not yet been set. The Company intends to defend this litigation vigorously.</w:t>
      </w:r>
    </w:p>
    <w:p>
      <w:pPr>
        <w:spacing w:after="0" w:line="12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 fee award as part of the terms to be included in a stipulation of settlement. Plaintiffs have since purported to terminate the memorandum of understanding. On January 28, 2011, the court held an informal status conference, at which plaintiffs requested that the court lift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stay of the action. The court declined plaintiffs’ request. Following certain additional confirmatory discovery and negotiations, on March 2, 2012, the parties executed a Stipulation of Settlement, which settlement will be submitted to the court for approval. The settlement, if approved, would require the Company to maintain and/or implement certain corporate governance measures and would provide for the payment of fees and expenses to the plaintiffs’ counsel of an amount not to exceed $900,000, $500,000 of which is expected to be paid out of insurance proceeds and $400,000 to be paid by the Company.</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On September 24, 2010, NovAtel, Inc., a Canadian company (“NovAtel Canada”) filed a trademark infringement lawsuit entitled </w:t>
      </w:r>
      <w:r>
        <w:rPr>
          <w:rFonts w:ascii="Arial" w:cs="Arial" w:eastAsia="Arial" w:hAnsi="Arial"/>
          <w:sz w:val="18"/>
          <w:szCs w:val="18"/>
          <w:i w:val="1"/>
          <w:iCs w:val="1"/>
          <w:color w:val="auto"/>
        </w:rPr>
        <w:t>NovAtel, Inc. v. Novatel</w:t>
      </w:r>
      <w:r>
        <w:rPr>
          <w:rFonts w:ascii="Arial" w:cs="Arial" w:eastAsia="Arial" w:hAnsi="Arial"/>
          <w:sz w:val="18"/>
          <w:szCs w:val="18"/>
          <w:color w:val="auto"/>
        </w:rPr>
        <w:t xml:space="preserve"> </w:t>
      </w:r>
      <w:r>
        <w:rPr>
          <w:rFonts w:ascii="Arial" w:cs="Arial" w:eastAsia="Arial" w:hAnsi="Arial"/>
          <w:sz w:val="18"/>
          <w:szCs w:val="18"/>
          <w:i w:val="1"/>
          <w:iCs w:val="1"/>
          <w:color w:val="auto"/>
        </w:rPr>
        <w:t>Wireless Technologies, Ltd., et al</w:t>
      </w:r>
      <w:r>
        <w:rPr>
          <w:rFonts w:ascii="Arial" w:cs="Arial" w:eastAsia="Arial" w:hAnsi="Arial"/>
          <w:sz w:val="18"/>
          <w:szCs w:val="18"/>
          <w:color w:val="auto"/>
        </w:rPr>
        <w:t>, Action No. 1001-14265 in the Court of Queens Bench of Alberta Canada, Judicial District of Calgary. The Statement of Claim</w:t>
      </w:r>
      <w:r>
        <w:rPr>
          <w:rFonts w:ascii="Arial" w:cs="Arial" w:eastAsia="Arial" w:hAnsi="Arial"/>
          <w:sz w:val="18"/>
          <w:szCs w:val="18"/>
          <w:i w:val="1"/>
          <w:iCs w:val="1"/>
          <w:color w:val="auto"/>
        </w:rPr>
        <w:t xml:space="preserve"> </w:t>
      </w:r>
      <w:r>
        <w:rPr>
          <w:rFonts w:ascii="Arial" w:cs="Arial" w:eastAsia="Arial" w:hAnsi="Arial"/>
          <w:sz w:val="18"/>
          <w:szCs w:val="18"/>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Company intends to defend this litigation vigorously.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8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Shares of our common stock are quoted and traded on The Nasdaq Global Select Market under the symbol “NVTL.” The following table sets forth, for the periods indicated, the high and low sales prices of our common stock as reported by The Nasdaq Global Select Market.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High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Low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w:t>
            </w: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10.20</w:t>
            </w: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5.74</w:t>
            </w: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349"/>
        </w:trPr>
        <w:tc>
          <w:tcPr>
            <w:tcW w:w="88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7.32</w:t>
            </w:r>
          </w:p>
        </w:tc>
        <w:tc>
          <w:tcPr>
            <w:tcW w:w="4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11.53</w:t>
            </w:r>
          </w:p>
        </w:tc>
        <w:tc>
          <w:tcPr>
            <w:tcW w:w="4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February 29, 2012, there were approximately 52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2006 and December 31, 2011 with the cumulative total return of (i) the Nasdaq Stock Market (U.S.) Index or the Nasdaq Composite Index, and (ii) the Nasdaq Telecommunications Index, or the Nasdaq Telecom Index, over the same period. This graph assumes the investment of $100.00 on December 31, 2006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497205</wp:posOffset>
            </wp:positionV>
            <wp:extent cx="4768215" cy="3644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821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8"/>
              </w:rPr>
              <w:t>Cumulative Total Return</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12/06</w:t>
            </w:r>
          </w:p>
        </w:tc>
        <w:tc>
          <w:tcPr>
            <w:tcW w:w="20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12/07</w:t>
            </w:r>
          </w:p>
        </w:tc>
        <w:tc>
          <w:tcPr>
            <w:tcW w:w="40" w:type="dxa"/>
            <w:vAlign w:val="bottom"/>
          </w:tcPr>
          <w:p>
            <w:pPr>
              <w:spacing w:after="0"/>
              <w:rPr>
                <w:sz w:val="12"/>
                <w:szCs w:val="12"/>
                <w:color w:val="auto"/>
              </w:rPr>
            </w:pPr>
          </w:p>
        </w:tc>
        <w:tc>
          <w:tcPr>
            <w:tcW w:w="6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12/08</w:t>
            </w:r>
          </w:p>
        </w:tc>
        <w:tc>
          <w:tcPr>
            <w:tcW w:w="20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12/09</w:t>
            </w:r>
          </w:p>
        </w:tc>
        <w:tc>
          <w:tcPr>
            <w:tcW w:w="200" w:type="dxa"/>
            <w:vAlign w:val="bottom"/>
          </w:tcPr>
          <w:p>
            <w:pPr>
              <w:spacing w:after="0"/>
              <w:rPr>
                <w:sz w:val="12"/>
                <w:szCs w:val="12"/>
                <w:color w:val="auto"/>
              </w:rPr>
            </w:pPr>
          </w:p>
        </w:tc>
        <w:tc>
          <w:tcPr>
            <w:tcW w:w="56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12/10</w:t>
            </w:r>
          </w:p>
        </w:tc>
        <w:tc>
          <w:tcPr>
            <w:tcW w:w="2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12/11</w:t>
            </w:r>
          </w:p>
        </w:tc>
        <w:tc>
          <w:tcPr>
            <w:tcW w:w="100" w:type="dxa"/>
            <w:vAlign w:val="bottom"/>
          </w:tcPr>
          <w:p>
            <w:pPr>
              <w:spacing w:after="0"/>
              <w:rPr>
                <w:sz w:val="12"/>
                <w:szCs w:val="12"/>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Novatel Wireless, Inc.</w:t>
            </w:r>
          </w:p>
        </w:tc>
        <w:tc>
          <w:tcPr>
            <w:tcW w:w="3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167.53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47.98</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82.42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98.76</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3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110.26</w:t>
            </w:r>
          </w:p>
        </w:tc>
        <w:tc>
          <w:tcPr>
            <w:tcW w:w="620" w:type="dxa"/>
            <w:vAlign w:val="bottom"/>
            <w:gridSpan w:val="2"/>
          </w:tcPr>
          <w:p>
            <w:pPr>
              <w:ind w:left="220"/>
              <w:spacing w:after="0"/>
              <w:rPr>
                <w:sz w:val="20"/>
                <w:szCs w:val="20"/>
                <w:color w:val="auto"/>
              </w:rPr>
            </w:pPr>
            <w:r>
              <w:rPr>
                <w:rFonts w:ascii="Arial" w:cs="Arial" w:eastAsia="Arial" w:hAnsi="Arial"/>
                <w:sz w:val="18"/>
                <w:szCs w:val="18"/>
                <w:b w:val="1"/>
                <w:bCs w:val="1"/>
                <w:color w:val="auto"/>
                <w:w w:val="84"/>
              </w:rPr>
              <w:t>65.65</w:t>
            </w:r>
          </w:p>
        </w:tc>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w w:val="79"/>
              </w:rPr>
              <w:t>95.19</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112.10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110.81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Telecommunications</w:t>
            </w:r>
          </w:p>
        </w:tc>
        <w:tc>
          <w:tcPr>
            <w:tcW w:w="3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113.32</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61.52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85.61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94.28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83.51</w:t>
            </w:r>
          </w:p>
        </w:tc>
      </w:tr>
      <w:tr>
        <w:trPr>
          <w:trHeight w:val="363"/>
        </w:trPr>
        <w:tc>
          <w:tcPr>
            <w:tcW w:w="3980" w:type="dxa"/>
            <w:vAlign w:val="bottom"/>
          </w:tcPr>
          <w:p>
            <w:pPr>
              <w:spacing w:after="0"/>
              <w:rPr>
                <w:sz w:val="24"/>
                <w:szCs w:val="24"/>
                <w:color w:val="auto"/>
              </w:rPr>
            </w:pPr>
          </w:p>
        </w:tc>
        <w:tc>
          <w:tcPr>
            <w:tcW w:w="3200" w:type="dxa"/>
            <w:vAlign w:val="bottom"/>
          </w:tcPr>
          <w:p>
            <w:pPr>
              <w:jc w:val="right"/>
              <w:ind w:right="1292"/>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2011, 2010, and 2009, and the consolidated balance sheet data at December 31, 2011 and 2010 are derived from our consolidated financial statements included elsewhere in this report. The selected consolidated statements of operations data for the years ended December 31, 2008 and 2007 and consolidated balance sheet data at December 31, 2009, 2008, and 2007 are derived from the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9"/>
          </w:tcPr>
          <w:p>
            <w:pPr>
              <w:jc w:val="center"/>
              <w:ind w:right="54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revenues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402,862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338,942</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$337,422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320,973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429,903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318,270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272,648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249,764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252,231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299,062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84,592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87,658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68,742</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61,392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34,740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18,195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21,550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118,319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(33,727)</w:t>
            </w: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(25,002)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(5,743)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(34,395)</w:t>
            </w: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(25,557)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(24,892)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(33,450)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Basic</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32,043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32,043</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88,831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97,826</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$176,044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143,231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81,113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149,468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173,153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249,179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302,108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257,478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166,025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185,403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197,962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liabilities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15,543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15,663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Nextel, Verizon Wireless, and Virgin Mobile;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LG Innotek; Inventec Appliances Corporation, or IAC; Hon Hai Precision Industry co., LTD; and Benchmark Electronics for the outsourced manufacturing of our products. Under our manufacturing agreements, contract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competition from other wireless data modem suppliers as well as suppliers of emerging devices that contain a wireless data access feature;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Dell, QUALCOMM, Sprint Nextel, Verizon Wireless, Virgin Mobile, Vodafone, Telefonica, Texas Instruments, Delta Mobile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acquired intangibles.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Amortization of acquired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Merger &amp; Acquisition Activities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Acquisition of Enfora</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November 30, 2010, the Company completed its acquisition of Enfora, a provider of intelligent asset-management solutions utilizing wireless technology and M2M communications. The acquisition of Enfora diversifies the Company’s customer base and product lines into adjacent markets and advances the Company’s strategy of providing intelligent devices to more end markets—enterprise, consumer and vertical applications. Enfora’s results of operations and estimated fair value of assets acquired and liabilities assumed are included in the Company’s consolidated financial statements from the date of acquisition.</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or contingent consideration, of up to $6.0 million based on the operating results of Enfora for the 15 month period from October 1, 2010 to December 31, 2011. At December 31, 2010, the estimated fair value of this contingent consideration at the acquisition date was $0.9 million, resulting in total estimated cash to be paid of $78.4 million. During the quarter ended March 31, 2011, the Company revised its estimate of contingent consideration to $0 and accordingly reflected this change as a benefit to general and administrative expenses for the quarter ended March 31, 2011. There were no changes in the fair value of the contingent consideration as of the date of this report as the Company continues to believe the operating results necessary to receive payment of the contingent consideration will not be achieved.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Cinterion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June 2010, the Company submitted a bid to purchase certain assets of Cinterion Wireless Modules, a company in the cellular machine-to-machine communications industry. The Company was not the successful bidder at the conclusion of the process on June 28,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June 2010, the Company borrowed $30.0 million, net of $2.2 million in lender fees, under a bridge loan facility in connection with its bid. In accordance with bidding procedures, during June 2010, the Company deposited into escrow an amount in Euros equal to its bid price using cash and cash equivalents, proceeds from the sale of marketable securities, and borrowings under the $30.0 million bridge loan facility. The escrowed funds are reflected as a deposit of restricted funds in the accompanying consolidated statement of cash flows for the year ended December 31, 2010. The escrowed funds were returned to the Company in July 2010.</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While the Company’s Euro funds were held in escrow, the Company engaged in hedging transactions to address foreign currency risk at a cost of $1.2 million, which amount was recorded in other income (expense), net, in the consolidated statement of operations during the year ended December 31, 2010.</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second quarter ended June 30, 2010, the Company recorded a foreign currency gain of $2.9 million, which was recorded in other income (expense), net, in connection with the conversion of its Euro-denominated escrowed funds into U.S. dollars following completion of the auction on June 28, 2010.</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authoritative accounting guidance, the $2.2 million in lender fees on the $30.0 million bridge loan facility were recorded as a discount to amounts outstanding under the facility and amortized over the stated term of the facility which was scheduled to mature on September 8, 2010. During June 2010, the Company also incurred $660,000 in professional fees attributable to the bridge facility, which were capitalized and amortized over the stated term of the facility. During the second quarter ended June 30, 2010, the Company recognized $687,000 in interest expense related to this facility, which primarily consisted of the amortization of lender and professional fees.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its bid, the Company estimated that during the second quarter of 2010, it had incurred $2.0 million in legal, advisory and professional fees unrelated to the bridge loan facility, which were recorded as accrued expenses and classified as general and administrative expenses in the consolidated statement of operations. During the third quarter of 2010, the Company reduced its estimate of professional fees by approximately $700,000 based upon information we received during the third quarter of 2010 that indicated the reduction to the original estimated liability was appropriate.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2010, the Company repaid all amounts outstanding under the bridge loan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4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(as a percent of net revenues)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Cost of net revenues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7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19.6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14.4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740" w:type="dxa"/>
            <w:vAlign w:val="bottom"/>
            <w:gridSpan w:val="3"/>
          </w:tcPr>
          <w:p>
            <w:pPr>
              <w:jc w:val="right"/>
              <w:ind w:right="740"/>
              <w:spacing w:after="0"/>
              <w:rPr>
                <w:sz w:val="20"/>
                <w:szCs w:val="20"/>
                <w:color w:val="auto"/>
              </w:rPr>
            </w:pPr>
            <w:r>
              <w:rPr>
                <w:rFonts w:ascii="Arial" w:cs="Arial" w:eastAsia="Arial" w:hAnsi="Arial"/>
                <w:sz w:val="18"/>
                <w:szCs w:val="18"/>
                <w:color w:val="auto"/>
              </w:rPr>
              <w:t>6.2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Amortization of acquired intangibles</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740" w:type="dxa"/>
            <w:vAlign w:val="bottom"/>
            <w:gridSpan w:val="3"/>
          </w:tcPr>
          <w:p>
            <w:pPr>
              <w:jc w:val="right"/>
              <w:ind w:right="740"/>
              <w:spacing w:after="0"/>
              <w:rPr>
                <w:sz w:val="20"/>
                <w:szCs w:val="20"/>
                <w:color w:val="auto"/>
              </w:rPr>
            </w:pPr>
            <w:r>
              <w:rPr>
                <w:rFonts w:ascii="Arial" w:cs="Arial" w:eastAsia="Arial" w:hAnsi="Arial"/>
                <w:sz w:val="18"/>
                <w:szCs w:val="18"/>
                <w:color w:val="auto"/>
              </w:rPr>
              <w:t>0.1</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7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Interest income (expense), net</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8"/>
                <w:szCs w:val="18"/>
                <w:color w:val="auto"/>
              </w:rPr>
              <w:t>(8.6)</w:t>
            </w: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$402.9 million during 2011, an increase of approximately $63.9 million or 18.9% compared to 2010.</w:t>
      </w:r>
    </w:p>
    <w:p>
      <w:pPr>
        <w:spacing w:after="0" w:line="19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2011 and 2010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from reportable segment:</w:t>
            </w:r>
          </w:p>
        </w:tc>
        <w:tc>
          <w:tcPr>
            <w:tcW w:w="4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Mobile Computing Products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$358,106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$332,464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402,862</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from product category:</w:t>
            </w:r>
          </w:p>
        </w:tc>
        <w:tc>
          <w:tcPr>
            <w:tcW w:w="4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Mobile Broadband Devices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$336,730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Asset Management Solutions &amp; Services</w:t>
            </w:r>
          </w:p>
        </w:tc>
        <w:tc>
          <w:tcPr>
            <w:tcW w:w="4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20" w:type="dxa"/>
            <w:vAlign w:val="bottom"/>
            <w:vMerge w:val="restart"/>
          </w:tcPr>
          <w:p>
            <w:pPr>
              <w:jc w:val="right"/>
              <w:ind w:right="3012"/>
              <w:spacing w:after="0"/>
              <w:rPr>
                <w:sz w:val="20"/>
                <w:szCs w:val="20"/>
                <w:color w:val="auto"/>
              </w:rPr>
            </w:pPr>
            <w:r>
              <w:rPr>
                <w:rFonts w:ascii="Arial" w:cs="Arial" w:eastAsia="Arial" w:hAnsi="Arial"/>
                <w:sz w:val="18"/>
                <w:szCs w:val="18"/>
                <w:color w:val="auto"/>
              </w:rPr>
              <w:t>29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year ended December 31, 2011 were $358.1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$25.6 million or 7.7% compared to the same period in 2010. The increase is primarily attributable to new product rollouts of our next generation 4G MiFi Intelligent Mobile Hotspot.</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2011 were $44.8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$38.3 million compared with $6.5 million in revenues for the previous year. Our acquisition of Enfora occurred during the fourth quarter of 2010 and we recognized revenues from the date of acquisition. The net revenues consist primarily of 2G Global System for Mobile Communications, or GSM, embedded modules, and solutions and services.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revenues from M2M Products and Solutions were also constrained by supply disruptions that affected a component manufacturer in Japan and our contract manufacturer in Thailand due to natural disasters in those countries in 2011. We are taking steps to mitigate the impact related to these manufacturers, but there is a risk that we could experience further constraints in the manufacture of our products.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Product Categories. </w:t>
      </w:r>
      <w:r>
        <w:rPr>
          <w:rFonts w:ascii="Arial" w:cs="Arial" w:eastAsia="Arial" w:hAnsi="Arial"/>
          <w:sz w:val="18"/>
          <w:szCs w:val="18"/>
          <w:color w:val="auto"/>
        </w:rPr>
        <w:t>We have categorized the combined product portfolios of the mobile computing and M2M businesses into three categories (1)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Devices, (2) Embedded Solutions and (3) Asset Management Solutions and Services. These categories were established due to the different markets and sales channels served. We believe this product categorization information facilitates the analysis of our operating trends and enhances our segment disclosures.</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Mobile Broadband Devices include all external data modems including PC cards, USB modems and MiFi intelligent mobile hotspots.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Embedded Solutions products are wireless broadband modules and related software and services sold to manufacturers of laptop computers, tablets, and other wireless computer devices. Our products are sold directly to OEMs or through distributor channels.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Net revenues from our Mobile Broadband Devices category for the year ended December 31, 2011 were $336.7 million, an increase of $12.0 million or 3.5% compared to the same period in 2010. The increase in net revenues was primarily driven by higher sales of our next generation 4G MiFi products.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Embedded Solutions category accounted for $39.8 million, or 9.9% of total net revenues for the year ended December 31, 2011, an increase of $32.1 million compared to the same period in 2010. This included $22.2 million in sales of M2M modules and $17.6 million of embedded modules for OEM computing devices.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Net revenues from Asset Management Solutions &amp; Services were $26.3 million and accounted for approximately 6.5% of total net revenues for the year ended December 31, 2011, an increase of $19.9 million compared to the same period in 2010. These sales were predominantly comprised of integrated product hardware sales. Sales of CMS software were not significant for the year ended December 31, 2011. The increase in net revenues in Embedded Solutions and Asset Management Solutions and Services compared to the same period in 2010 were related to the Enfora acquisition and increased sales to OEM customers in the Mobile Computing Products segment.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2011 was approximately $318.3 million, or 79.0%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$272.6 million, or 80.4% of net revenues in 2010. The primary driver of the dollar increase in cost of net revenues was the increase in units sold compared to the same period in 2010. Cost of net revenues as a percentage of net revenues remained relatively flat compared to the same period last year. Cost of net revenues as a percentage of net revenues is expected to fluctuate in future quarters depending on the mix of products sold, competitive pricing, new product introduction costs and other factors.</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Cost of net revenues also included approximately $39.9 million in 2011 from our M2M Products and Solutions segment, including amortization costs of $4.1 million related to purchased intangibles and a fair value inventory valuation increase of $1.8 million in connection with our Enfora acquisition.</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2011 was approximately $84.6 million, or 21.0% of net revenues, as compared to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$66.3 million, or 19.6% of net revenues in 2010. The increase was primarily attributable to the increase in net revenues as discussed above. We expect that our gross profit percentage will continue to fluctuate from quarter to quarter depending on product mix, competitive selling prices, our ability to reduce product costs and changes in unit volume.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2011 were approximately $61.4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15.2% of net revenues, compared to approximately $48.9 million, or 14.4% of net revenues in 2010. This increase was primarily due to an increase in salaries and related expenses due to the acquisition of Enfora, and an increase in product testing and certification costs in the current year to support expanded research and development activities. 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Research and development expenses included approximately $8.5 million in 2011 from our M2M Products and Solutions segment, compared to $837,000 in 2010.</w:t>
      </w:r>
    </w:p>
    <w:p>
      <w:pPr>
        <w:spacing w:after="0" w:line="132"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quarters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2011 were approximately $29.8 million, or 7.4%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approximately $21.0 million or 6.2% of net revenues in 2010. The increase was due primarily to an increase in salaries and related expenses due to the acquisition of Enfora, an increase in travel and related expenses, and an increase in consulting and marketing expenses to support marketing efforts for our various product launches in 2011.</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Sales and marketing expenses also included approximately $8.2 million in 2011 from our M2M Products and Solutions segment related to our Enfora acquisition, compared to $825,000 in 2010.</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2011 were approximately $21.6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5.4% of net revenues, compared to approximately $21.2 million, or 6.3% of net revenues in 2010. Although general and administrative expenses remained relatively flat in dollar spending for the year ended December 31, 2011 compared to the same period in 2010, general and administrative expenses decreased as a percentage of net revenues due to the increase in net revenues in 2011 as compared to 2010.</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General and administrative expenses also included approximately $2.7 million in 2011 from our M2M Products and Solutions segment, compared to $350,000 in 2010.</w:t>
      </w:r>
    </w:p>
    <w:p>
      <w:pPr>
        <w:spacing w:after="0" w:line="126"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amortization expense for the year ended December 31, 2011 was due to the full year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from the Enfora acquisition completed during the fourth quarter of 2010.</w:t>
      </w:r>
    </w:p>
    <w:p>
      <w:pPr>
        <w:spacing w:after="0" w:line="74" w:lineRule="exact"/>
        <w:rPr>
          <w:sz w:val="20"/>
          <w:szCs w:val="20"/>
          <w:color w:val="auto"/>
        </w:rPr>
      </w:pPr>
    </w:p>
    <w:p>
      <w:pPr>
        <w:ind w:right="340" w:firstLine="456"/>
        <w:spacing w:after="0" w:line="258" w:lineRule="auto"/>
        <w:rPr>
          <w:sz w:val="20"/>
          <w:szCs w:val="20"/>
          <w:color w:val="auto"/>
        </w:rPr>
      </w:pPr>
      <w:r>
        <w:rPr>
          <w:rFonts w:ascii="Arial" w:cs="Arial" w:eastAsia="Arial" w:hAnsi="Arial"/>
          <w:sz w:val="18"/>
          <w:szCs w:val="18"/>
          <w:b w:val="1"/>
          <w:bCs w:val="1"/>
          <w:i w:val="1"/>
          <w:iCs w:val="1"/>
          <w:color w:val="auto"/>
        </w:rPr>
        <w:t>Goodwill impairment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third quarter of 2011, we performed an interim assessment of impairment for goodwill and recorded an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of $3.5 million. During the fourth quarter of 2011, we completed the impairment analysis and reduced the impairment by $237,000. As a result of this assessment, which is described in Note 6 to the consolidated financial statements, we recorded a goodwill impairment of $3.3 million related to the M2M reporting unit for the year ended December 31, 2011.</w:t>
      </w:r>
    </w:p>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income (expense), net, for the year ended December 31, 2011 was approximately $384,000 of income, net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interest expense of approximately $2.5 million in 2010. Our net interest income during 2011 is primarily related to interest earned on our marketable securities. Our net interest expense during 2010 is primarily related to interest charges, and debt issuance costs associated with our bridge loan facility in connection with our bid acquisition to acquire Cinterion.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for the year ended December 31, 2011 decreased by approximately $3.0 million,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 million of net expense, compared to approximately $2.0 million of other income, net in 2010. The net other expenses for 2011 were related to foreign currency losses on South Korean Won denominated trade payables, foreign exchange currency losses on our foreign denominated bank accounts and trade receivables, and other-than-temporary loss recognized on our marketable equity securities. The other income, net for 2010 was primarily driven by a $2.9 million foreign exchange gain realized upon conversion of the Euro-denominated bid funds into U.S. dollars in July 2010 at the conclusion of the bidding process for Cinterion. The gain was offset by $1.2 million in premiums paid for protective put options we utilized to hedge our Euro exposure during the bidding process for Cinterion in the second quarter of 2010. These puts expired unexercised on June 25, 2010.</w:t>
      </w:r>
    </w:p>
    <w:p>
      <w:pPr>
        <w:spacing w:after="0" w:line="118"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was approximately $9.5 million for fiscal 2011, compared to an expense of $7.9 million in 2010.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annual effective tax benefit rate in 2011 was 28%. The difference between the federal and state statutory combined benefit rate of 36% and our effective tax benefit rate for 2011 is primarily due to a $13.2 million expense related to an increase in the Company’s valuation allowance on the U.S.-based deferred tax assets generated in 2011, a $1.4 million expense related to an increase in the Company’s valuation allowance on the Canadian-based deferred tax assets and an $11.8 million income tax benefit related to uncertain tax positions. The valuation allowance and additional items impacting the 2011 income tax expense are discussed in Note 10 to the consolidated financial statements. During 2010, the Company had income tax expense of $7.9 million, predominantly relating to the full valuation allowance incurred against the Company’s U.S. based deferred tax assets.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year ended December 31, 2011, we reported a net loss of approximately $24.9 million, as compared to net loss of approximately $33.4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2010. As discussed above, the increase in gross profit was exceeded by an increase in operating expenses, a full year of amortization from acquired intangibles and the impairment of goodwill. However, the Company recorded a $9.5 million benefit in income taxes during 2011 as compared to a $7.9 income tax expense in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were approximately $338.9 million during 2010, an increase of approximately $1.5 million or 0.5% compared to 2009.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sales from our Mobile Computing Products segment amounted to $332.4 million, primarily relating to $292.9 million in EV-DO products and $35.7 million in HSPA products.</w:t>
      </w:r>
    </w:p>
    <w:p>
      <w:pPr>
        <w:spacing w:after="0" w:line="140"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Net revenues for EV-DO product driven technology in our Mobile Computing Products segment amounted to approximately $292.9 million in 2010, an increase of approximately $1.8 million or 0.6% compared to 2009. We benefited from the strong sales of our MiFi product during 2010 that contributed to the increase in EV-DO net revenues. EV-DO products are primarily sold in the North American market and represented approximately 86.4% of net revenues in the year ended December 31, 2010 compared to 86.3% in the same period in 2009. The increase from MiFi sales was partially offset by a decline in embedded module sales due to the presence of competing products available to OEMs and the lack of significant sales to content delivery device customers during 2010.</w:t>
      </w:r>
    </w:p>
    <w:p>
      <w:pPr>
        <w:spacing w:after="0" w:line="10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Net revenues for High Speed Packet Access, or HSPA, product driven technology in our Mobile Computing Products segment amounted to approximately $35.7 million in 2010, a decline of approximately $8.7 million or 19.6% compared to 2009. This decrease resulted primarily from a decline in our embedded modules and Ovation product sales due to the presence of competing products available to OEMs and wireless carriers primarily located in the European market.</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revenues also included approximately $6.5 million in 2010 from our M2M Products and Solutions segment related to our Enfora acquisition that was completed on November 30, 2010.</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year ended December 31, 2010 was approximately $272.6 million, or 80.4% of net revenues,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$249.8 million, or 74.0% of net revenues in 2009. The primary driver of the increase in cost of net revenues as a percentage of net revenues compared to 2009 was a decline in average selling prices that exceeded the rate of decrease in per unit product costs.</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Cost of net revenues also included approximately $6.3 million in 2010 from our M2M Products and Solutions segment, including amortization costs of $658,000 related to purchased intangibles and a fair value inventory valuation increase of $1.2 million in connection with our Enfora acquisition.</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2010 was approximately $66.3 million, or 19.6% of net revenues, as compared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$87.7 million, or 26.0% of net revenues in 2009. The decrease was primarily attributable to the changes in cost of net revenues discussed above.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2010 were approximately $48.9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14.4% of net revenues, compared to approximately $44.9 million, or 13.3% of net revenues in 2009. This increase was primarily due to an increase in salaries and related expenses due to the acquisition of Enfora, and an increase in product testing and certification costs in the current year to support expanded research and development activities.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Research and development expenses also included approximately $837,000 in 2010 from our M2M Products and Solutions segment related to our Enfora acquisition.</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2010 were approximately $21.0 million, or 6.2%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approximately $19.9 million or 5.9% of net revenues in 2009. The increase was due primarily to an increase in salaries and related expenses, an increase in expenses related to cooperative marketing and advertising to support marketing efforts for our MiFi product primarily during the first quarter of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Sales and marketing expenses also included approximately $825,000 in 2010 from our M2M Products and Solutions segment related to our Enfora acquisition.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and amortization of acquired intangibles. </w:t>
      </w:r>
      <w:r>
        <w:rPr>
          <w:rFonts w:ascii="Arial" w:cs="Arial" w:eastAsia="Arial" w:hAnsi="Arial"/>
          <w:sz w:val="16"/>
          <w:szCs w:val="16"/>
          <w:color w:val="auto"/>
        </w:rPr>
        <w:t>General and administrative expenses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were approximately $21.2 million, or 6.3% of net revenues, compared to approximately $20.2 million, or 6.0% of net revenues in 2009. The increase over the prior year was primarily related to merger and acquisition costs of $3.9 million, partially offset by reductions in other expenses in 2010. Amortization of acquired intangibles was approximately $179,000 in 2010 and was related to intangible assets purchased from Enfora.</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(expense), net. </w:t>
      </w:r>
      <w:r>
        <w:rPr>
          <w:rFonts w:ascii="Arial" w:cs="Arial" w:eastAsia="Arial" w:hAnsi="Arial"/>
          <w:sz w:val="16"/>
          <w:szCs w:val="16"/>
          <w:color w:val="auto"/>
        </w:rPr>
        <w:t>Interest income (expense), net, for the year ended December 31, 2010 was approximately $2.5 million of net expense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net interest income of approximately $1.4 million in 2009. Our net interest expense during 2010 is primarily related to interest charges, and debt issuance costs associated with our bridge loan facility. In addition, the Company’s interest income declined as a result of the liquidation of our investment holdings to facilitate our bid for Cinterion in the second quarter of 2010, the purchase of Enfora in the fourth quarter of 2010, and the overall decline in average yields experienced during the year ended December 31, 2010.</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year ended December 31, 2010 increased by approximately $1.6 million, to approximately $2.0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$315,000 of other income in 2009. The increase in other income was primarily driven by a $2.9 million foreign exchange gain realized upon conversion of the Euro-denominated bid funds into U.S. dollars in July 2010 at the conclusion of the bidding process for Cinterion. The gain was offset by $1.2 million in premiums paid for protective put options we utilized to hedge our Euro exposure during the bidding process for Cinterion in the second quarter of 2010. These puts expired unexercised on June 25, 2010.</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$7.9 million for fiscal 2010. The difference between the federal and state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benefit rate of 36% and our income tax expense for 2010 is primarily due to a $17.9 million increase in our valuation allowance for our deferred tax assets. The increase in the valuation allowance includes $14.8 million of valuation allowance recorded during the second quarter of 2010 against U.S.-based deferred tax assets generated prior to 2010, a $4.8 million release of U.S.-based deferred tax asset valuation allowance upon the acquisition of Enfora, and an additional $7.9 million of valuation allowance on deferred tax assets generated in 2010. The valuation allowance and additional items impacting the 2010 income tax expense are discussed in Note 10 to the consolidated financial statements. Also, we recorded a $2.9 million tax benefit related to the carryback of our net operating loss in 2010.</w:t>
      </w:r>
    </w:p>
    <w:p>
      <w:pPr>
        <w:spacing w:after="0" w:line="14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year ended December 31, 2010, we reported a net loss of approximately $33.4 million, as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$3.9 million in 2009. As discussed above, net loss was negatively impacted by decreases in gross profit, increases in operating expenses and changes in our valuation allowance for deferred tax assets.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address short term liquidity requirements resulting from working capital changes, in July 2011, the Company entered into a margin credit facility with a bank. The use of this margin credit facility allows the Company to meet short-term cash requirements and avoid selling cash equivalents and marketable securities. Borrowings under this facility are collateralized by Company cash equivalents and marketable securities on deposit at the bank. During the three months ended September 30, 2011, the Company borrowed approximately $12.0 million and subsequently repaid all amounts in the same period. The Company had no outstanding borrowings under this facility at December 31, 2011.</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or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Increase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2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81,113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87,174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(1)</w:t>
            </w:r>
          </w:p>
        </w:tc>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3"/>
            <w:vMerge w:val="continue"/>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$47,069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$17,375</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w w:val="98"/>
              </w:rPr>
              <w:t>29,694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13,495</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97,826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Included in working capital.</w:t>
      </w:r>
    </w:p>
    <w:p>
      <w:pPr>
        <w:spacing w:after="0" w:line="171"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Our decrease in working capital as of December 31, 2011 compared to the prior year was primarily due to losses incurred and capital expenditures in 2011, offset by a decrease in our long-term marketable securities holdings.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As of December 31, 2011, our cash, cash equivalents and marketable securities decreased $9.0 million as compared to December 31, 2010, primarily due to capital expenditures of $6.3 million and $1.6 million of cash used in operating activities. See the discussion of cash equivalents, short and long-term marketable securities by major security type in Note 3 to the consolidated financial statements, and the discussion of market risk in Item 7A.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31,659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(87,568)</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(82,650)</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17,375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47,069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$1.5 million for 2011 compared to $6.2 million of net cash provided in 2010.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operating activities for the year ended December 31, 2011 was primarily attributable to the loss incurred in 2011 and the unfavorable impact of a significant reduction in accounts payable as we paid for products purchased in the fourth quarter of 2010 to support the higher fourth quarter 2010 sales activity. The unfavorable impacts during the year ended December 31, 2011 were partially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offset by net cash collected from accounts receivable, and non-cash charges including depreciation and amortization, goodwill impairment and share-based compensation. During 2010, the difference between our net loss of $33.4 million in 2010 and our net cash provided by operating activities of $6.2 million was primarily due to the favorable impact of non-cash charges, including changes in our valuation allowance for deferred tax assets, depreciation, amortization and share-based compensation.</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in investing activities for 2011 was approximately $31.7 million compared to $87.6 million used in investing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in 2010. The net cash provided in 2011 was primarily related to the net sales and maturities of our short and long term marketable securities of $37.9 million, partially offset by purchases of property and equipment of $6.3 million. The net cash used by investing activities in 2010 was primarily related to our acquisition of Enfora, net of cash acquired, of $72.2 million, and purchases of property and equipment of $10.8 million.</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for 2011 was $305,000, compared to net cash used in financing activities of $1.1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Net cash used in financing activities in 2011 was primarily due to net taxes paid on vested restricted stock units, and payments of capital lease obligations. Net financing activities for 2011 also included cash borrowings and repayment of $12 million from our credit facility during the third quarter of 2011. Net cash used in financing activities in 2010 was primarily due to the $30.0 million principal repayment on July 1, 2010 of the short-term bridge loan facility, offset by the $27.8 million in net proceeds from the same debt facility.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2011,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8"/>
              </w:rPr>
              <w:t>Payments Due by Fiscal Year</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840" w:type="dxa"/>
            <w:vAlign w:val="bottom"/>
            <w:gridSpan w:val="2"/>
          </w:tcPr>
          <w:p>
            <w:pPr>
              <w:jc w:val="center"/>
              <w:ind w:left="246"/>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2"/>
                <w:szCs w:val="12"/>
                <w:color w:val="auto"/>
              </w:rPr>
            </w:pPr>
          </w:p>
        </w:tc>
        <w:tc>
          <w:tcPr>
            <w:tcW w:w="6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$ 2,771</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$ 2,806</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$ 2,354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117,209</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40"/>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120,494</w:t>
            </w:r>
          </w:p>
        </w:tc>
        <w:tc>
          <w:tcPr>
            <w:tcW w:w="3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$ 2,771</w:t>
            </w: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6"/>
              </w:rPr>
              <w:t>$ 2,806</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$ 2,354</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$ 2,425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liability for uncertain tax benefits, including interest, as of December 31, 2011 was approximately $413,000, a decrease of approximately of $11.5 million from the same period last year. The significant decrease was primarily due to the recognition of $11.8 million of tax benefit due to the expiration of applicable statutes of limitations (see Note 10 to the consolidated financial statements). Our tax liability for uncertain tax benefits is not included in our table of contractual obligations and commercial commitments. We do not believe that we will pay such amount within one year from December 31, 2011; however, we cannot reasonably estimate the timing of future payments with respect to this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year ending December 31, 2012, we plan to incur approximately $10.4 million for discretionary capital expenditures, including the acquisition of additional software licenses.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including acquired intangibles and goodwill resulting from the acquisition of Enfora, valuation of contingent consideration, provision for warranty costs, litigation, income taxes, foreign exchange forward contracts, and share-based compensation expense.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Company’s revenue is principally generated from the sale of wireless modems to wireless operators, OEM customers and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added resellers and distributors. In addition, the Company generates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Predominantly all of the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#104 when assessing appropriate revenue recognition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#2 — Delivery has occurred;</w:t>
      </w:r>
    </w:p>
    <w:p>
      <w:pPr>
        <w:spacing w:after="0" w:line="9" w:lineRule="exact"/>
        <w:rPr>
          <w:sz w:val="20"/>
          <w:szCs w:val="20"/>
          <w:color w:val="auto"/>
        </w:rPr>
      </w:pPr>
    </w:p>
    <w:p>
      <w:pPr>
        <w:ind w:left="460" w:right="4840"/>
        <w:spacing w:after="0" w:line="261" w:lineRule="auto"/>
        <w:rPr>
          <w:sz w:val="20"/>
          <w:szCs w:val="20"/>
          <w:color w:val="auto"/>
        </w:rPr>
      </w:pPr>
      <w:r>
        <w:rPr>
          <w:rFonts w:ascii="Arial" w:cs="Arial" w:eastAsia="Arial" w:hAnsi="Arial"/>
          <w:sz w:val="18"/>
          <w:szCs w:val="18"/>
          <w:color w:val="auto"/>
        </w:rPr>
        <w:t>Criterion #3 — The Company’s price to the buyer must be fixed or determinable; and, Criterion #4 — Collectibility is reasonably assured.</w:t>
      </w:r>
    </w:p>
    <w:p>
      <w:pPr>
        <w:spacing w:after="0" w:line="138"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Under ASU 2009-13, in multiple element arrangements, the total consideration received from customers must be allocated to the elements based on a relative selling price. The accounting guidance establishes a hierarchy to determine the selling price to be used for allocating revenue to deliverables as follows:</w:t>
      </w:r>
    </w:p>
    <w:p>
      <w:pPr>
        <w:ind w:right="20" w:firstLine="8"/>
        <w:spacing w:after="0" w:line="254"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vendors specific objective evidence (VSOE), (ii) third party evidence (TPE), and (iii) best estimate of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other deliverables based upon ESP are recognized in the period the revenue recognition criteria have been met.</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process for determining its 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2011, 2010, and 2009, we have not recorded any significant revenues from multiple element or software arrangements.</w:t>
      </w:r>
    </w:p>
    <w:p>
      <w:pPr>
        <w:spacing w:after="0" w:line="206"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i w:val="1"/>
          <w:iCs w:val="1"/>
          <w:color w:val="auto"/>
        </w:rPr>
        <w:t xml:space="preserve">Valuation of Acquired Intangible Assets. </w:t>
      </w:r>
      <w:r>
        <w:rPr>
          <w:rFonts w:ascii="Arial" w:cs="Arial" w:eastAsia="Arial" w:hAnsi="Arial"/>
          <w:sz w:val="15"/>
          <w:szCs w:val="15"/>
          <w:color w:val="auto"/>
        </w:rPr>
        <w:t>In determining the Enfora purchase price allocation, the Company considered, among other factors, its intention to</w:t>
      </w:r>
      <w:r>
        <w:rPr>
          <w:rFonts w:ascii="Arial" w:cs="Arial" w:eastAsia="Arial" w:hAnsi="Arial"/>
          <w:sz w:val="15"/>
          <w:szCs w:val="15"/>
          <w:i w:val="1"/>
          <w:iCs w:val="1"/>
          <w:color w:val="auto"/>
        </w:rPr>
        <w:t xml:space="preserve"> </w:t>
      </w:r>
      <w:r>
        <w:rPr>
          <w:rFonts w:ascii="Arial" w:cs="Arial" w:eastAsia="Arial" w:hAnsi="Arial"/>
          <w:sz w:val="15"/>
          <w:szCs w:val="15"/>
          <w:color w:val="auto"/>
        </w:rPr>
        <w:t>use the acquired assets and the historical and estimated future demand for Enfora products and services. The estimated fair value of intangible assets was based upon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08"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The relief-from-royalty method was used to value the trade name acquired from Enfora. The relief-from-royalty method estimates the cost savings that accrue to the owner of an intangible asset that would otherwise be required to pay royalties or license fees on revenues earned through the use of the asset. The royalty rate used is based on an analysis of empirical, market-derived royalty rates for guideline intangible assets. Typically, revenue is projected over the expected remaining useful life of the intangible asset. The royalty rate is then applied to estimate the royalty savings. The key assumptions used in valuing the existing trade name acquired are as follows: royalty rate of 2%, discount rate of 20.5%, tax rate of 40% and an economic life of approximately 10.0 years.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developed technologies, customer relationships and backlog were valued using a form of the income approach known as the multi-period excess earnings method. Inherent in the multi-period excess earnings method is the recognition that, in most cases, all of the assets of the business, both tangible and intangible, contribute to the generation of the cash flow of the business and the net cash flows attributable to the subject asset must recognize the support of the other assets which contribute to the realization of the cash flows. The contributory asset charges are based on the fair value of the contributory assets and either pre-tax or after-tax cash flows are assessed charges representing “returns on” the contributory assets. A contributory asset charge for the use of the technology was assessed on pre-tax cash flows, while contributory asset charges for the use of the working capital, fixed assets, and assembled work force have been deducted from the after-tax cash flow in each year to determine the net future cash flow attributable to the relationships. This future cash flow was then discounted using an estimated required rate of return for the asset to determine the present value of the future cash flows attributable to the asset. The key assumptions used in valuing the developed technologies acquired were as follows: discount rate of 18.5%, tax rate of 40% and estimated average economic life of 5-10 years. The key assumptions used in valuing the customer relationships acquired are as follows: discount rate of 19.5%, tax rate of 40% and estimated average economic life of 10 years. The key assumptions used in valuing the backlog acquired are as follows: discount rate of 14.5%, tax rate of 40% and estimated average economic life of 5 months.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covenant-not-to-compete agreements were valued using the “with or without” method. The “with or without” method measures the value of an asset as the difference between two scenarios. One scenario measures the value of a business “with” the asset. The other scenario measures the value “without” the asset. The method treats the difference between the two scenarios (with certain valuation adjustments) as the value of the asset. The key assumptions used in valuing the covenant not to compete agreements were as follows: discount rate of 20.5% and estimated average economic life of 1-2 years.</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goodwill resulted from the acquisition of Enfora (M2M Products and Solutions) in the fourth quarter of 2010.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Topic 350”), we will review goodwill for impairment at least annually at the beginning of the fourth quarter of each year, and more frequently if events or changes in circumstances occur that indicate a potential reduction in the fair value of the reporting unit below its carrying value.</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ASC Topic 350 requires that goodwill and certain intangible assets be assessed for impairment using fair value measurement techniques. The goodwill impairment test compares the implied fair value of the reporting unit’s goodwill with the carrying amount of that goodwill to measure the amount of the impairment loss, if any. The implied fair value of goodwill is determined in the same manner as in a business combination. Determining the fair value of the implied goodwill is judgmental in nature and often involves the use of significant estimates and assumptions. These estimates and assumptions could have a significant impact on whether or not an impairment charge is recognized and also the magnitude of any such charge.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perform the annual goodwill impairment analysis, we are required to estimate the fair value of our M2M Products reporting unit. The fair value is calculated as though the M2M Products and Solutions reporting unit were to be sold in its entirety in an orderly transaction between market participants, using an estimate of fair value based on a blended sum resulting from the use of two valuation methods. First, we use the guideline public company method utilizing a multiple of the reporting unit’s revenue. Second, we perform a discounted cash flow analysis using forward looking projections of an estimate of our future operating results. These approaches use significant estimates and assumptions, including the size and timing of product deployments by our customers and related projections and timing of future cash flows, discount rates reflecting the risk inherent in future cash flows, perpetual growth rates, stage of products in development, determination of appropriate market comparables and determination of whether a premium or discount should be applied to comparables. The resultant estimated fair value of our M2M Products and Solutions reporting unit is compared to the net book value of the reporting unit to assess whether any impairment exists.</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 Contingent consideration is recorded at the acquisition date estimated fair value of the contingent payment for all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contingent consideration is remeasured at each reporting period with any adjustments in fair value included in the Company’s consolidated statement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13"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 Deferred tax assets are reduced by valuation allowances if, based on the consideration of all available evidence, it is more-likely-than-not that some portion of the deferred tax asset will not be realized. We evaluate deferred income taxes on a quarterly basis to determine if valuation allowances are required by considering available evidence.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 We will continue to evaluate the level of valuation allowance required based on the remaining deferred tax assets.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recognizes the impact of uncertain income tax positions on the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 Company is currently involved in certain legal proceedings. The Company will record a loss when the Company determines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incentive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We also had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the grant.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2011, we had $88.8 million in cash, cash equivalents and marketable securities, all of which are stated at fair value. Changes in market interest rates would not be expected to have a material impact on the fair value of our $47.1 million in cash equivalents at December 31, 2011, as these consisted of money market funds with the value of all of our cash equivalents determined based on “Level 1” inputs, which consist of quoted prices in active markets for identical assets.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2011, substantially all of our marketable securities are invested in fixed income products. As such, our 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investments is judged to be other-than-temporary. Using a model that estimates the aggregate yield to maturity of our investment portfolio, we estimate that 100 basis point increase or decrease in interest rates would, however, decrease or increase, respectively, our $41.8 million in marketable securities by approximately $418,000.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because any debt securities we hold are classified as available-for-sale (within the meaning of ASC Topic 320), no gains or losses are realized in the income statement due to changes in interest rates unless such securities are sold prior to maturity or unless declines in value are determined to be other-than-temporary. These securities are reported at fair value with the related unrealized gains and losses included in accumulated other comprehensive income (loss), a component of shareholders’ equity, net of tax.</w:t>
      </w:r>
    </w:p>
    <w:p>
      <w:pPr>
        <w:spacing w:after="0" w:line="143"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We do not utilize derivative instruments or other financial contracts to manage our exposure to changes in interest rates in our investment portfolio. 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debt securities, which include various security holdings, types and maturities, with a number of financial institutions. Although the global credit crisis appears to have abated somewhat, credit risk remains.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place our cash investments in instruments that meet credit quality standards specified in our investment policy guidelines at the time the investments are made. At December 31, 2011, we have cash and cash equivalents of $47.1 million. Of this $47.1 million, $16.2 million is held in cash demand deposits and $30.9 million in cash equivalents was held in money market investments. These money market funds attempt to maintain a net asset value, or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2011, we had $41.8 million invested in our portfolio of marketable securities. Our investment policy guidelines limit the amount of credit exposure to any one issue, issuer or type of instrument. The fair value of our marketable debt securities at December 31, 2011 was determined based on “Level 2” inputs, which were derived based on quoted prices for identical or similar assets, which had few transactions near the measurement period (see Note 3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generate Euro-denominated accounts receivable from sales to customers that are members of the European Union, and we lack significant Euro-denominated purchases and trade liabilities to offset our exposure to this Euro-denominated accounts receivable activity. During the year ended December 31, 2011, Euro-denominated revenue was approximately $3.7 million which represents less than 1% of our total net revenues compared to 4.7% in the same period last year. Although we are exposed to market risk arising from changes in foreign currency exchange rates, principally the change in the value of the Euro versus the U.S. Dollar, there was also a significant decline in our net revenues in Europe year over year. As a result of the decline in net revenues, we did not enter into any foreign exchange contracts during the year ended December 31, 2011. If our net revenues increase in the foreseeable future, we may enter into foreign exchange contracts to mitigate this risk. These forward currency foreign exchange contracts would cover a portion, generally 50% to 80%, but may cover up to 100%, of our Euro-based financial assets.</w:t>
      </w:r>
    </w:p>
    <w:p>
      <w:pPr>
        <w:spacing w:after="0" w:line="118"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At December 31, 2011, we have no outstanding forward contracts. During the year ended December 31, 2011, we recorded approximately $8,000 in unrealized foreign currency losses related to our outstanding Euro-denominated accounts receivable balances. Both the unrealized gain on the outstanding forward contracts and the unrealized losses on outstanding Euro-denominated receivables were recorded in other income (expense), net in our consolidated statement of operations.</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2011 at an average Euro-to-U.S. Dollar exchange rate of $1.39 and a uniform ten percent strengthening or weakening of this exchange rate, we estimate that income before income taxes for the year ended December 31, 2011 would increase or decrease, respectively, by approximately $365,000. This analysis does not give effect to any forward currency foreign exchange contracts that may be used to hedge foreign currency risk.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us to reduce per unit selling prices.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2011, the end of the period covered by this report. Based on the foregoing, our principal executive officer and principal financial and accounting officer concluded that our disclosure controls and procedures were effective as of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31, 2011.</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2011, as stated in their report which is included herein.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2011, based on criteria established in Internal Control —Integrated Framework issued by the Committee of Sponsoring Organizations of the Treadway Commission (the COSO criteria). Novatel Wireless,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2011, based on the COSO criteria.</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2011 and 2010, and the related consolidated statements of operations, stockholders’ equity and comprehensive income (loss), and cash flows for each of the three years in the period ended December 31, 2011 of Novatel Wireless, Inc. and our report dated March 5, 2012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64"/>
        <w:spacing w:after="0" w:line="268" w:lineRule="auto"/>
        <w:tabs>
          <w:tab w:leader="none" w:pos="705" w:val="left"/>
        </w:tabs>
        <w:numPr>
          <w:ilvl w:val="0"/>
          <w:numId w:val="2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140" w:firstLine="464"/>
        <w:spacing w:after="0" w:line="268" w:lineRule="auto"/>
        <w:tabs>
          <w:tab w:leader="none" w:pos="715" w:val="left"/>
        </w:tabs>
        <w:numPr>
          <w:ilvl w:val="0"/>
          <w:numId w:val="21"/>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 2012</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200" w:firstLine="464"/>
        <w:spacing w:after="0" w:line="332" w:lineRule="auto"/>
        <w:tabs>
          <w:tab w:leader="none" w:pos="695" w:val="left"/>
        </w:tabs>
        <w:numPr>
          <w:ilvl w:val="0"/>
          <w:numId w:val="21"/>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2012 Annual Meeting of Stockholders is incorporated herein by reference.</w:t>
      </w:r>
    </w:p>
    <w:p>
      <w:pPr>
        <w:spacing w:after="0" w:line="85" w:lineRule="exact"/>
        <w:rPr>
          <w:rFonts w:ascii="Arial" w:cs="Arial" w:eastAsia="Arial" w:hAnsi="Arial"/>
          <w:sz w:val="16"/>
          <w:szCs w:val="16"/>
          <w:b w:val="1"/>
          <w:bCs w:val="1"/>
          <w:color w:val="auto"/>
        </w:rPr>
      </w:pPr>
    </w:p>
    <w:p>
      <w:pPr>
        <w:ind w:right="20" w:firstLine="464"/>
        <w:spacing w:after="0" w:line="290" w:lineRule="auto"/>
        <w:tabs>
          <w:tab w:leader="none" w:pos="715" w:val="left"/>
        </w:tabs>
        <w:numPr>
          <w:ilvl w:val="0"/>
          <w:numId w:val="2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We have adopted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Code of Business Conduct and Ethics</w:t>
      </w:r>
      <w:r>
        <w:rPr>
          <w:rFonts w:ascii="Arial" w:cs="Arial" w:eastAsia="Arial" w:hAnsi="Arial"/>
          <w:sz w:val="16"/>
          <w:szCs w:val="16"/>
          <w:i w:val="1"/>
          <w:iCs w:val="1"/>
          <w:color w:val="auto"/>
        </w:rPr>
        <w:t xml:space="preserve"> </w:t>
      </w:r>
      <w:r>
        <w:rPr>
          <w:rFonts w:ascii="Arial" w:cs="Arial" w:eastAsia="Arial" w:hAnsi="Arial"/>
          <w:sz w:val="16"/>
          <w:szCs w:val="16"/>
          <w:color w:val="auto"/>
        </w:rPr>
        <w:t>which, together with the policies referred to therein, is applicable to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officers and employees.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we intend to post such information on our website.</w:t>
      </w:r>
    </w:p>
    <w:p>
      <w:pPr>
        <w:spacing w:after="0" w:line="118" w:lineRule="exact"/>
        <w:rPr>
          <w:rFonts w:ascii="Arial" w:cs="Arial" w:eastAsia="Arial" w:hAnsi="Arial"/>
          <w:sz w:val="16"/>
          <w:szCs w:val="16"/>
          <w:b w:val="1"/>
          <w:bCs w:val="1"/>
          <w:color w:val="auto"/>
        </w:rPr>
      </w:pPr>
    </w:p>
    <w:p>
      <w:pPr>
        <w:ind w:right="280" w:firstLine="464"/>
        <w:spacing w:after="0" w:line="268" w:lineRule="auto"/>
        <w:tabs>
          <w:tab w:leader="none" w:pos="695" w:val="left"/>
        </w:tabs>
        <w:numPr>
          <w:ilvl w:val="0"/>
          <w:numId w:val="2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2012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2012 Annual Meeting of Stockholders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2012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under the headings “Review and Approval of Transactions with Related Parties” and “The Board, Its Committees and Its Compensation— Director Independence” appearing in the Proxy Statement to be filed for the 2012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2012 Annual Meeting of Stockholders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2011, 2010, and 2009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Schedule</w:t>
            </w: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49"/>
        </w:trPr>
        <w:tc>
          <w:tcPr>
            <w:tcW w:w="540" w:type="dxa"/>
            <w:vAlign w:val="bottom"/>
            <w:tcBorders>
              <w:top w:val="single" w:sz="8" w:color="auto"/>
            </w:tcBorders>
          </w:tcPr>
          <w:p>
            <w:pPr>
              <w:spacing w:after="0" w:line="136" w:lineRule="exact"/>
              <w:rPr>
                <w:rFonts w:ascii="Arial" w:cs="Arial" w:eastAsia="Arial" w:hAnsi="Arial"/>
                <w:sz w:val="15"/>
                <w:szCs w:val="15"/>
                <w:color w:val="0000EE"/>
                <w:w w:val="83"/>
              </w:rPr>
            </w:pPr>
            <w:hyperlink w:anchor="page90">
              <w:r>
                <w:rPr>
                  <w:rFonts w:ascii="Arial" w:cs="Arial" w:eastAsia="Arial" w:hAnsi="Arial"/>
                  <w:sz w:val="15"/>
                  <w:szCs w:val="15"/>
                  <w:color w:val="0000EE"/>
                  <w:w w:val="83"/>
                </w:rPr>
                <w:t>Schedule</w:t>
              </w:r>
            </w:hyperlink>
          </w:p>
        </w:tc>
        <w:tc>
          <w:tcPr>
            <w:tcW w:w="9480" w:type="dxa"/>
            <w:vAlign w:val="bottom"/>
            <w:gridSpan w:val="2"/>
          </w:tcPr>
          <w:p>
            <w:pPr>
              <w:ind w:left="160"/>
              <w:spacing w:after="0" w:line="129" w:lineRule="exact"/>
              <w:rPr>
                <w:rFonts w:ascii="Arial" w:cs="Arial" w:eastAsia="Arial" w:hAnsi="Arial"/>
                <w:sz w:val="14"/>
                <w:szCs w:val="14"/>
                <w:color w:val="0000EE"/>
              </w:rPr>
            </w:pPr>
            <w:hyperlink w:anchor="page90">
              <w:r>
                <w:rPr>
                  <w:rFonts w:ascii="Arial" w:cs="Arial" w:eastAsia="Arial" w:hAnsi="Arial"/>
                  <w:sz w:val="14"/>
                  <w:szCs w:val="14"/>
                  <w:color w:val="0000EE"/>
                </w:rPr>
                <w:t>II—Valuation and Qualifying Accounts</w:t>
              </w:r>
            </w:hyperlink>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F-35</w:t>
            </w:r>
          </w:p>
        </w:tc>
        <w:tc>
          <w:tcPr>
            <w:tcW w:w="20" w:type="dxa"/>
            <w:vAlign w:val="bottom"/>
          </w:tcPr>
          <w:p>
            <w:pPr>
              <w:spacing w:after="0"/>
              <w:rPr>
                <w:sz w:val="12"/>
                <w:szCs w:val="12"/>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8"/>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March 12, 2003, entered into in connection with the Company’s 2003 Series B Convertible Preferred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Warrant Financing Transaction (incorporated by reference to Exhibit 10.21 to the Company’s Annual Report on Form 10-K for the year ended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Proxy Statement on Schedule 14A 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ind w:left="500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0"/>
              </w:rPr>
              <w:t>2009 Omnibus Incentive Compensation Plan (incorporated by reference to Appendix B to the Company’s Proxy Statement on Schedule 14A,</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September 13,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1"/>
              </w:rPr>
              <w:t>2011 Senior Management Incentive Plan (incorporated by reference to Exhibit 10.1 to the Company’s Quarterly Report on Form 10-Q for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period ended June 30, 2011, filed on August 9, 2011).</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w w:val="90"/>
              </w:rPr>
              <w:t>Certification of Principal Executive Officer and Principal Financial Officer pursuant to 18 U.S.C. Section 1350, as adopted pursuant to Section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40" w:type="dxa"/>
            <w:vAlign w:val="bottom"/>
            <w:gridSpan w:val="3"/>
          </w:tcPr>
          <w:p>
            <w:pPr>
              <w:ind w:left="540"/>
              <w:spacing w:after="0"/>
              <w:rPr>
                <w:sz w:val="20"/>
                <w:szCs w:val="20"/>
                <w:color w:val="auto"/>
              </w:rPr>
            </w:pPr>
            <w:r>
              <w:rPr>
                <w:rFonts w:ascii="Arial" w:cs="Arial" w:eastAsia="Arial" w:hAnsi="Arial"/>
                <w:sz w:val="18"/>
                <w:szCs w:val="18"/>
                <w:color w:val="auto"/>
              </w:rPr>
              <w:t>906 of the Sarbanes-Oxley Act of 2002.</w:t>
            </w:r>
          </w:p>
        </w:tc>
      </w:tr>
    </w:tbl>
    <w:p>
      <w:pPr>
        <w:spacing w:after="0" w:line="61" w:lineRule="exact"/>
        <w:rPr>
          <w:sz w:val="20"/>
          <w:szCs w:val="20"/>
          <w:color w:val="auto"/>
        </w:rPr>
      </w:pPr>
    </w:p>
    <w:p>
      <w:pPr>
        <w:ind w:left="1160" w:right="40" w:hanging="1152"/>
        <w:spacing w:after="0" w:line="255"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financial statements and footnotes from the Novatel Wireless, Inc. Annual Report on Form 10-K for the year ended December 31, 2011 formatted in eXtensible Business Reporting Language (XBRL): (i) Consolidated Balance Sheets; (ii) Consolidated Statements of Operations; (iii) Consolidated Statements of Stockholders’ Equity and Comprehensive Income (Loss); (iv) Consolidated Statements of Cash Flows; and (v) the Notes to Consolidated Financial Statements, tagged as blocks of text. Detailed tagging of financial statement footnotes and schedules will be required in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right="6840" w:firstLine="8"/>
        <w:spacing w:after="0" w:line="268"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240" w:space="720"/>
            <w:col w:w="5420"/>
          </w:cols>
          <w:pgMar w:left="240" w:top="459" w:right="279" w:bottom="1440" w:gutter="0" w:footer="0" w:header="0"/>
          <w:type w:val="continuous"/>
        </w:sectPr>
      </w:pPr>
    </w:p>
    <w:p>
      <w:pPr>
        <w:spacing w:after="0" w:line="4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25400</wp:posOffset>
            </wp:positionV>
            <wp:extent cx="32499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7240" w:space="720"/>
            <w:col w:w="160" w:space="180"/>
            <w:col w:w="3080"/>
          </w:cols>
          <w:pgMar w:left="240" w:top="459" w:right="279" w:bottom="1440" w:gutter="0" w:footer="0" w:header="0"/>
          <w:type w:val="continuous"/>
        </w:sectPr>
      </w:pPr>
    </w:p>
    <w:p>
      <w:pPr>
        <w:jc w:val="center"/>
        <w:ind w:left="6400"/>
        <w:spacing w:after="0"/>
        <w:rPr>
          <w:sz w:val="20"/>
          <w:szCs w:val="20"/>
          <w:color w:val="auto"/>
        </w:rPr>
      </w:pPr>
      <w:r>
        <w:rPr>
          <w:rFonts w:ascii="Arial" w:cs="Arial" w:eastAsia="Arial" w:hAnsi="Arial"/>
          <w:sz w:val="14"/>
          <w:szCs w:val="14"/>
          <w:b w:val="1"/>
          <w:bCs w:val="1"/>
          <w:color w:val="auto"/>
        </w:rPr>
        <w:t>Peter Leparulo</w:t>
      </w:r>
    </w:p>
    <w:p>
      <w:pPr>
        <w:jc w:val="center"/>
        <w:ind w:left="64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4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40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6"/>
        </w:trPr>
        <w:tc>
          <w:tcPr>
            <w:tcW w:w="17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L</w:t>
            </w:r>
            <w:r>
              <w:rPr>
                <w:rFonts w:ascii="Arial" w:cs="Arial" w:eastAsia="Arial" w:hAnsi="Arial"/>
                <w:sz w:val="14"/>
                <w:szCs w:val="14"/>
                <w:color w:val="auto"/>
                <w:w w:val="95"/>
              </w:rPr>
              <w:t>EPARULO</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Chairman and Chief Executive Officer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202"/>
        </w:trPr>
        <w:tc>
          <w:tcPr>
            <w:tcW w:w="1700" w:type="dxa"/>
            <w:vAlign w:val="bottom"/>
          </w:tcPr>
          <w:p>
            <w:pPr>
              <w:spacing w:after="0"/>
              <w:rPr>
                <w:sz w:val="17"/>
                <w:szCs w:val="17"/>
                <w:color w:val="auto"/>
              </w:rPr>
            </w:pPr>
          </w:p>
        </w:tc>
        <w:tc>
          <w:tcPr>
            <w:tcW w:w="310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Peter Leparulo</w:t>
            </w:r>
          </w:p>
        </w:tc>
        <w:tc>
          <w:tcPr>
            <w:tcW w:w="44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18"/>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202"/>
        </w:trPr>
        <w:tc>
          <w:tcPr>
            <w:tcW w:w="1700" w:type="dxa"/>
            <w:vAlign w:val="bottom"/>
          </w:tcPr>
          <w:p>
            <w:pPr>
              <w:spacing w:after="0"/>
              <w:rPr>
                <w:sz w:val="17"/>
                <w:szCs w:val="17"/>
                <w:color w:val="auto"/>
              </w:rPr>
            </w:pPr>
          </w:p>
        </w:tc>
        <w:tc>
          <w:tcPr>
            <w:tcW w:w="31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8"/>
              </w:rPr>
              <w:t>Kenneth Leddon</w:t>
            </w:r>
          </w:p>
        </w:tc>
        <w:tc>
          <w:tcPr>
            <w:tcW w:w="440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32"/>
        </w:trPr>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USSELL</w:t>
            </w:r>
            <w:r>
              <w:rPr>
                <w:rFonts w:ascii="Arial" w:cs="Arial" w:eastAsia="Arial" w:hAnsi="Arial"/>
                <w:sz w:val="18"/>
                <w:szCs w:val="18"/>
                <w:color w:val="auto"/>
                <w:w w:val="96"/>
              </w:rPr>
              <w:t xml:space="preserve"> C. G</w:t>
            </w:r>
            <w:r>
              <w:rPr>
                <w:rFonts w:ascii="Arial" w:cs="Arial" w:eastAsia="Arial" w:hAnsi="Arial"/>
                <w:sz w:val="14"/>
                <w:szCs w:val="14"/>
                <w:color w:val="auto"/>
                <w:w w:val="96"/>
              </w:rPr>
              <w:t>ERNS</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169"/>
        </w:trPr>
        <w:tc>
          <w:tcPr>
            <w:tcW w:w="1700" w:type="dxa"/>
            <w:vAlign w:val="bottom"/>
          </w:tcPr>
          <w:p>
            <w:pPr>
              <w:spacing w:after="0"/>
              <w:rPr>
                <w:sz w:val="14"/>
                <w:szCs w:val="14"/>
                <w:color w:val="auto"/>
              </w:rPr>
            </w:pPr>
          </w:p>
        </w:tc>
        <w:tc>
          <w:tcPr>
            <w:tcW w:w="310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Russell C. Gerns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L</w:t>
            </w:r>
            <w:r>
              <w:rPr>
                <w:rFonts w:ascii="Arial" w:cs="Arial" w:eastAsia="Arial" w:hAnsi="Arial"/>
                <w:sz w:val="14"/>
                <w:szCs w:val="14"/>
                <w:color w:val="auto"/>
              </w:rPr>
              <w:t>EDWITH</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169"/>
        </w:trPr>
        <w:tc>
          <w:tcPr>
            <w:tcW w:w="1700" w:type="dxa"/>
            <w:vAlign w:val="bottom"/>
          </w:tcPr>
          <w:p>
            <w:pPr>
              <w:spacing w:after="0"/>
              <w:rPr>
                <w:sz w:val="14"/>
                <w:szCs w:val="14"/>
                <w:color w:val="auto"/>
              </w:rPr>
            </w:pPr>
          </w:p>
        </w:tc>
        <w:tc>
          <w:tcPr>
            <w:tcW w:w="310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James Ledwith</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D. W</w:t>
            </w:r>
            <w:r>
              <w:rPr>
                <w:rFonts w:ascii="Arial" w:cs="Arial" w:eastAsia="Arial" w:hAnsi="Arial"/>
                <w:sz w:val="14"/>
                <w:szCs w:val="14"/>
                <w:color w:val="auto"/>
                <w:w w:val="99"/>
              </w:rPr>
              <w:t>AKELIN</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169"/>
        </w:trPr>
        <w:tc>
          <w:tcPr>
            <w:tcW w:w="1700" w:type="dxa"/>
            <w:vAlign w:val="bottom"/>
          </w:tcPr>
          <w:p>
            <w:pPr>
              <w:spacing w:after="0"/>
              <w:rPr>
                <w:sz w:val="14"/>
                <w:szCs w:val="14"/>
                <w:color w:val="auto"/>
              </w:rPr>
            </w:pPr>
          </w:p>
        </w:tc>
        <w:tc>
          <w:tcPr>
            <w:tcW w:w="310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John D. Wakelin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4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March 5, 2012</w:t>
            </w:r>
          </w:p>
        </w:tc>
      </w:tr>
      <w:tr>
        <w:trPr>
          <w:trHeight w:val="169"/>
        </w:trPr>
        <w:tc>
          <w:tcPr>
            <w:tcW w:w="1700" w:type="dxa"/>
            <w:vAlign w:val="bottom"/>
          </w:tcPr>
          <w:p>
            <w:pPr>
              <w:spacing w:after="0"/>
              <w:rPr>
                <w:sz w:val="14"/>
                <w:szCs w:val="14"/>
                <w:color w:val="auto"/>
              </w:rPr>
            </w:pPr>
          </w:p>
        </w:tc>
        <w:tc>
          <w:tcPr>
            <w:tcW w:w="31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0"/>
              </w:rPr>
              <w:t>David A. Werner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8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19"/>
                <w:szCs w:val="19"/>
                <w:color w:val="auto"/>
              </w:rPr>
            </w:pPr>
          </w:p>
        </w:tc>
      </w:tr>
      <w:tr>
        <w:trPr>
          <w:trHeight w:val="380"/>
        </w:trPr>
        <w:tc>
          <w:tcPr>
            <w:tcW w:w="948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1800" w:type="dxa"/>
            <w:vAlign w:val="bottom"/>
          </w:tcPr>
          <w:p>
            <w:pPr>
              <w:ind w:left="1460"/>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p>
        </w:tc>
        <w:tc>
          <w:tcPr>
            <w:tcW w:w="5360" w:type="dxa"/>
            <w:vAlign w:val="bottom"/>
            <w:gridSpan w:val="2"/>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Consolidated Statements of Operations</w:t>
              </w:r>
            </w:hyperlink>
          </w:p>
        </w:tc>
        <w:tc>
          <w:tcPr>
            <w:tcW w:w="6720" w:type="dxa"/>
            <w:vAlign w:val="bottom"/>
            <w:gridSpan w:val="5"/>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59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Statements of Stockholders’ Equity and Comprehensive Income (Loss)</w:t>
              </w:r>
            </w:hyperlink>
          </w:p>
        </w:tc>
        <w:tc>
          <w:tcPr>
            <w:tcW w:w="3500" w:type="dxa"/>
            <w:vAlign w:val="bottom"/>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F-5</w:t>
            </w: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F-6</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F-7</w:t>
            </w:r>
          </w:p>
        </w:tc>
      </w:tr>
      <w:tr>
        <w:trPr>
          <w:trHeight w:val="196"/>
        </w:trPr>
        <w:tc>
          <w:tcPr>
            <w:tcW w:w="3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 Schedule II</w:t>
              </w:r>
            </w:hyperlink>
          </w:p>
        </w:tc>
        <w:tc>
          <w:tcPr>
            <w:tcW w:w="6400" w:type="dxa"/>
            <w:vAlign w:val="bottom"/>
            <w:gridSpan w:val="3"/>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F-35</w:t>
            </w:r>
          </w:p>
        </w:tc>
      </w:tr>
      <w:tr>
        <w:trPr>
          <w:trHeight w:val="383"/>
        </w:trPr>
        <w:tc>
          <w:tcPr>
            <w:tcW w:w="2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jc w:val="center"/>
              <w:ind w:right="2160"/>
              <w:spacing w:after="0"/>
              <w:rPr>
                <w:sz w:val="20"/>
                <w:szCs w:val="20"/>
                <w:color w:val="auto"/>
              </w:rPr>
            </w:pPr>
            <w:r>
              <w:rPr>
                <w:rFonts w:ascii="Arial" w:cs="Arial" w:eastAsia="Arial" w:hAnsi="Arial"/>
                <w:sz w:val="18"/>
                <w:szCs w:val="18"/>
                <w:color w:val="auto"/>
                <w:w w:val="88"/>
              </w:rPr>
              <w:t>F-1</w:t>
            </w:r>
          </w:p>
        </w:tc>
        <w:tc>
          <w:tcPr>
            <w:tcW w:w="18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Novatel Wireless, Inc. as of December 31, 2011 and 2010, and the related consolidated statements of operations, stockholders’ equity and comprehensive income (loss), and cash flows for each of the three years in the period ended December 31, 2011. Our audits also included the financial statement schedule for each of the three years in the period ended December 31, 2011 listed in the index at Item 15(a).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Novatel Wireless, Inc.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for each of the three years in the period ended December 31, 2011, when considered in relation to the basic financial statements taken as a whole, presents fairly in all material respects the information set forth therein.</w:t>
      </w:r>
    </w:p>
    <w:p>
      <w:pPr>
        <w:spacing w:after="0" w:line="143"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Novatel Wireless, Inc.’s internal control over financial reporting as of December 31, 2011, based on the criteria established in Internal Control-Integrated Framework issued by the Committee of Sponsoring Organizations of the Treadway Commission and our report dated March 5, 2012 expressed an unqualified opinion thereon.</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ind w:left="41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59,775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$245 in 2011 and $228 in 2010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43,094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160,187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190,993</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$59,217 in 2011 and $48,223 in 2010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21,281</w:t>
            </w: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20,676</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$10,899 in 2011 and $4,019 in 2010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44,265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22,258</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249,179</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302,108</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77,769</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103,819</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116,705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w w:val="97"/>
              </w:rPr>
              <w:t>Common stock, par value $0.001; 50,000 shares authorized, 32,262 and 31,852 shares issued and outstanding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December 31, 2011 and 2010,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429,813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424,270</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(238,812)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(213,920)</w:t>
            </w: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191,025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210,403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2,436 common shares at December 31, 2011 and 2010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166,025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185,403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249,179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302,108</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402,862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338,942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Cost of net revenues</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318,270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272,648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29,830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Amortization of acquired intangibles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118,319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91,296</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2"/>
              </w:rPr>
              <w:t>(33,727)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(25,002)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2"/>
              </w:rPr>
              <w:t>(34,395)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(25,557)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8"/>
                <w:szCs w:val="18"/>
                <w:color w:val="auto"/>
              </w:rPr>
              <w:t>(9,503)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2"/>
              </w:rPr>
              <w:t>(24,892)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(33,450)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32"/>
              <w:spacing w:after="0"/>
              <w:rPr>
                <w:sz w:val="20"/>
                <w:szCs w:val="20"/>
                <w:color w:val="auto"/>
              </w:rPr>
            </w:pPr>
            <w:r>
              <w:rPr>
                <w:rFonts w:ascii="Arial" w:cs="Arial" w:eastAsia="Arial" w:hAnsi="Arial"/>
                <w:sz w:val="18"/>
                <w:szCs w:val="18"/>
                <w:color w:val="auto"/>
              </w:rPr>
              <w:t>(0.78)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shares used in computation of basic and diluted net income (loss) per share:</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31,494</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STOCKHOLDERS’ EQUITY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3"/>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4"/>
              </w:rPr>
              <w:t>Treasury</w:t>
            </w:r>
          </w:p>
        </w:tc>
        <w:tc>
          <w:tcPr>
            <w:tcW w:w="9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30,327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$407,252</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(25,000)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(184,382)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197,962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4"/>
              </w:rPr>
              <w:t>Exercise of stock options, vesting of restricted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w w:val="99"/>
              </w:rPr>
              <w:t>units and shares issued under employee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on net settled exercises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6,882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3,912</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Unrealized loss on marketable securities, net of</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31,092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416,579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211,155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4"/>
              </w:rPr>
              <w:t>Exercise of stock options, vesting of restricted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w w:val="99"/>
              </w:rPr>
              <w:t>units and shares issued under employee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6,471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Unrealized gain on marketable securities, net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424,270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185,403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4"/>
              </w:rPr>
              <w:t>Exercise of stock options, vesting of restricted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w w:val="99"/>
              </w:rPr>
              <w:t>units and shares issued under employee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Taxes withheld on net settled vesting of restricted</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units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tax effect from stock options exercised</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(244)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(24,892)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w w:val="91"/>
              </w:rPr>
              <w:t>Unrealized loss on marketable securities, net of</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640"/>
              <w:spacing w:after="0"/>
              <w:rPr>
                <w:sz w:val="20"/>
                <w:szCs w:val="20"/>
                <w:color w:val="auto"/>
              </w:rPr>
            </w:pPr>
            <w:r>
              <w:rPr>
                <w:rFonts w:ascii="Arial" w:cs="Arial" w:eastAsia="Arial" w:hAnsi="Arial"/>
                <w:sz w:val="18"/>
                <w:szCs w:val="18"/>
                <w:color w:val="auto"/>
              </w:rPr>
              <w:t>taxes</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(24,921)</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2011</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32,262</w:t>
            </w:r>
          </w:p>
        </w:tc>
        <w:tc>
          <w:tcPr>
            <w:tcW w:w="5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32</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429,813</w:t>
            </w:r>
          </w:p>
        </w:tc>
        <w:tc>
          <w:tcPr>
            <w:tcW w:w="240" w:type="dxa"/>
            <w:vAlign w:val="bottom"/>
          </w:tcPr>
          <w:p>
            <w:pPr>
              <w:spacing w:after="0" w:line="20" w:lineRule="exact"/>
              <w:rPr>
                <w:sz w:val="1"/>
                <w:szCs w:val="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(25,000)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9"/>
              </w:rPr>
              <w:t>$ (238,812)</w:t>
            </w: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166,025</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62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4"/>
              </w:rPr>
              <w:t>(24,892)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(33,450)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debt issuance costs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Loan fees recognized on extinguishment of debt</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17,868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Goodwill impairment</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Gain on disposal of fixed assets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loss on equipment and intangible assets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Provision for bad debts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impairment loss on marketable equity securities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Inventory provision</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689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Share-based compensation expense</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equity based awards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Non-cash income tax expense (benefit)</w:t>
            </w:r>
          </w:p>
        </w:tc>
        <w:tc>
          <w:tcPr>
            <w:tcW w:w="16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(9,185)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7,766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Changes in assets and liabilities:</w:t>
            </w: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receivable</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26,437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(19,963)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1280"/>
              <w:spacing w:after="0" w:line="149" w:lineRule="exact"/>
              <w:rPr>
                <w:sz w:val="20"/>
                <w:szCs w:val="20"/>
                <w:color w:val="auto"/>
              </w:rPr>
            </w:pPr>
            <w:r>
              <w:rPr>
                <w:rFonts w:ascii="Arial" w:cs="Arial" w:eastAsia="Arial" w:hAnsi="Arial"/>
                <w:sz w:val="14"/>
                <w:szCs w:val="14"/>
                <w:color w:val="auto"/>
              </w:rPr>
              <w:t>Inventories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1280"/>
              <w:spacing w:after="0" w:line="149" w:lineRule="exact"/>
              <w:rPr>
                <w:sz w:val="20"/>
                <w:szCs w:val="20"/>
                <w:color w:val="auto"/>
              </w:rPr>
            </w:pPr>
            <w:r>
              <w:rPr>
                <w:rFonts w:ascii="Arial" w:cs="Arial" w:eastAsia="Arial" w:hAnsi="Arial"/>
                <w:sz w:val="14"/>
                <w:szCs w:val="14"/>
                <w:color w:val="auto"/>
              </w:rPr>
              <w:t>Accounts payable</w:t>
            </w:r>
          </w:p>
        </w:tc>
        <w:tc>
          <w:tcPr>
            <w:tcW w:w="16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4"/>
              </w:rPr>
              <w:t>(24,293)</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Accrued expenses, income taxes and other</w:t>
            </w:r>
          </w:p>
        </w:tc>
        <w:tc>
          <w:tcPr>
            <w:tcW w:w="16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(1,787)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(5,337)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720"/>
              <w:spacing w:after="0"/>
              <w:rPr>
                <w:sz w:val="20"/>
                <w:szCs w:val="20"/>
                <w:color w:val="auto"/>
              </w:rPr>
            </w:pPr>
            <w:r>
              <w:rPr>
                <w:rFonts w:ascii="Arial" w:cs="Arial" w:eastAsia="Arial" w:hAnsi="Arial"/>
                <w:sz w:val="14"/>
                <w:szCs w:val="14"/>
                <w:color w:val="auto"/>
              </w:rPr>
              <w:t>Net cash provided by (used in) operating activities</w:t>
            </w:r>
          </w:p>
        </w:tc>
        <w:tc>
          <w:tcPr>
            <w:tcW w:w="1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(1,531)</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6,211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36,661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16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(5,987)</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(10,785)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(72,247)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intangible assets</w:t>
            </w:r>
          </w:p>
        </w:tc>
        <w:tc>
          <w:tcPr>
            <w:tcW w:w="16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(284)</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securities</w:t>
            </w:r>
          </w:p>
        </w:tc>
        <w:tc>
          <w:tcPr>
            <w:tcW w:w="16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(36,992)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(178,712)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(76,967)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Securities maturities/sales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74,922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174,286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66,399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31,659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(87,568)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(17,404)</w:t>
            </w: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6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issuance of short-term debt, net of issuance costs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27,415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Principal repayments of short-term debt</w:t>
            </w:r>
          </w:p>
        </w:tc>
        <w:tc>
          <w:tcPr>
            <w:tcW w:w="16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4"/>
              </w:rPr>
              <w:t>(12,000)</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under capital lease obligations</w:t>
            </w:r>
          </w:p>
        </w:tc>
        <w:tc>
          <w:tcPr>
            <w:tcW w:w="16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stock options and ESPP net of taxes paid on vested restricted stock units</w:t>
            </w:r>
          </w:p>
        </w:tc>
        <w:tc>
          <w:tcPr>
            <w:tcW w:w="16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Excess tax benefits from stock options exercised</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Deposit of restricted funds</w:t>
            </w:r>
          </w:p>
        </w:tc>
        <w:tc>
          <w:tcPr>
            <w:tcW w:w="16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(188,890)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Remittance from restricted funds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188,890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720"/>
              <w:spacing w:after="0"/>
              <w:rPr>
                <w:sz w:val="20"/>
                <w:szCs w:val="20"/>
                <w:color w:val="auto"/>
              </w:rPr>
            </w:pPr>
            <w:r>
              <w:rPr>
                <w:rFonts w:ascii="Arial" w:cs="Arial" w:eastAsia="Arial" w:hAnsi="Arial"/>
                <w:sz w:val="14"/>
                <w:szCs w:val="14"/>
                <w:color w:val="auto"/>
              </w:rPr>
              <w:t>Net cash provided by (used in) financing activities</w:t>
            </w:r>
          </w:p>
        </w:tc>
        <w:tc>
          <w:tcPr>
            <w:tcW w:w="1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8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2,755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16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720"/>
              <w:spacing w:after="0"/>
              <w:rPr>
                <w:sz w:val="20"/>
                <w:szCs w:val="20"/>
                <w:color w:val="auto"/>
              </w:rPr>
            </w:pPr>
            <w:r>
              <w:rPr>
                <w:rFonts w:ascii="Arial" w:cs="Arial" w:eastAsia="Arial" w:hAnsi="Arial"/>
                <w:sz w:val="14"/>
                <w:szCs w:val="14"/>
                <w:color w:val="auto"/>
              </w:rPr>
              <w:t>Net increase (decrease) in cash and cash equivalents</w:t>
            </w:r>
          </w:p>
        </w:tc>
        <w:tc>
          <w:tcPr>
            <w:tcW w:w="1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29,694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9"/>
              </w:rPr>
              <w:t>(82,650)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22,292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17,375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100,025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77,733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gridSpan w:val="2"/>
            <w:vMerge w:val="continue"/>
          </w:tcPr>
          <w:p>
            <w:pPr>
              <w:spacing w:after="0"/>
              <w:rPr>
                <w:sz w:val="13"/>
                <w:szCs w:val="13"/>
                <w:color w:val="auto"/>
              </w:rPr>
            </w:pPr>
          </w:p>
        </w:tc>
        <w:tc>
          <w:tcPr>
            <w:tcW w:w="1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47,069</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17,375</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100,025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 of cash flow information:</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1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Income taxes</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299</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non-cash investing activities: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Building rent incentives to fund leasehold improvements</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non-cash financing activities:</w:t>
            </w:r>
          </w:p>
        </w:tc>
        <w:tc>
          <w:tcPr>
            <w:tcW w:w="16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Marketable equity securities received in settlement of note receivable</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debt issuance costs</w:t>
            </w:r>
          </w:p>
        </w:tc>
        <w:tc>
          <w:tcPr>
            <w:tcW w:w="1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Novatel Wireless, Inc. (the “Company” or “our”) is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we provide asset-management solutions utilizing wireless technology and machine-to-machine (“M2M”) communications devices.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including goodwill valuation, contingent consideration, litigation, provision for warranty costs, income taxes and share-based compensation expense.</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at the time of acquisition. Cash and cash equivalents consist of demand deposits and money market funds. Cash and cash equivalents are recorded at market value, which approximates cost. Gains and losses associated with the Company’s foreign currency denominated demand deposits are recorded as a component of other income (expense).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 If the financial condition of the Company’s customers deteriorates resulting in an impairment of their ability to make payments, additional allowances may be required.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Marketable securities predominantly consist of highly liquid debt investments with a maturity of greater than three months when purchased. The Company holds an insignificant amount of marketable equity securities. All of the Company’s marketable securities are treated as “available-for-sale” as defined in the accounting guidance. While it is the Company’s intent to hold its debt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 The Company determines the fair value of its financial assets and liabilities by reference to the hierarchy of inputs which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securities whose maturity or sale is expected within one year are classified as “current” on the consolidated balance sheet. All other securities are classified as “long term” on the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Property and equipment are initially stated at cost and depreciated using the straight-line method. Test equipment, computer equipment, purchased software, furniture, and fixtures and product tooling are depreciated over lives ranging from eighteen months to five years and leasehold improvements are depreciated over the shorter of the related remaining lease period or useful life. Amortization of assets held under capital leases is included in depreciation expense.</w:t>
      </w:r>
    </w:p>
    <w:p>
      <w:pPr>
        <w:spacing w:after="0" w:line="14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Intangible assets include purchased intangible assets acquired from Enfora and the costs of non-exclusive and perpetual worldwide software technology licenses. These costs are amortized on an accelerated basis or on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straight-line basis over the estimated useful lives of the assets, depending on the anticipated utilization of the asset. The majority of intangible assets relate to the developed technologies and trade name resulting from the acquisition of Enfora. Developed technologies are amortized on a straight-line basis over their useful lives, ranging from five to eight years. Trade name is amortized on a straight-line basis over ten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Goodwill represents the excess of the purchase price of an acquired enterprise over the fair value assigned to assets acquired and liabilities assumed in a business combination. Goodwill is allocated as of the date of the business combination to the reporting units that are expected to benefit from the synergies of the business combination. Goodwill is considered to be impaired if the Company determines that the carrying value of the reporting unit to which the goodwill has been assigned exceeds its estimated fair value. The Company performs its annual goodwill impairment test each year at the beginning of the fourth quarter, or more frequently if events or circumstances indicate that the carrying value of goodwill exceeds its fair value. The Company recorded $3.3 million, $0, and $0 of goodwill impairment during the years ended December 31, 2011, 2010, and 2009,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Contingent consideration is recorded at the acquisition date estimated fair value for all acquisitions. The fair value of the contingent consideration is remeasured at each reporting period with any adjustments in fair value included in the Company’s consolidated statement of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revenue is principally generated from the sale of wireless modems to wireless operators, OEM customers and value added resellers and distributors. In addition, the Company generates revenue from the 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Predominantly all of our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#104 when assessing appropriate revenue recognition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Criterion #1—Persuasive evidence of an arrangement must exist;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Criterion #2—Delivery has occurred;</w:t>
      </w:r>
    </w:p>
    <w:p>
      <w:pPr>
        <w:spacing w:after="0" w:line="9" w:lineRule="exact"/>
        <w:rPr>
          <w:sz w:val="20"/>
          <w:szCs w:val="20"/>
          <w:color w:val="auto"/>
        </w:rPr>
      </w:pPr>
    </w:p>
    <w:p>
      <w:pPr>
        <w:ind w:left="920" w:right="4520"/>
        <w:spacing w:after="0" w:line="261" w:lineRule="auto"/>
        <w:rPr>
          <w:sz w:val="20"/>
          <w:szCs w:val="20"/>
          <w:color w:val="auto"/>
        </w:rPr>
      </w:pPr>
      <w:r>
        <w:rPr>
          <w:rFonts w:ascii="Arial" w:cs="Arial" w:eastAsia="Arial" w:hAnsi="Arial"/>
          <w:sz w:val="18"/>
          <w:szCs w:val="18"/>
          <w:color w:val="auto"/>
        </w:rPr>
        <w:t>Criterion #3—The Company’s price to the buyer must be fixed or determinable; and, Criterion #4—Collectibility is reasonably assured.</w:t>
      </w:r>
    </w:p>
    <w:p>
      <w:pPr>
        <w:spacing w:after="0" w:line="138"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Under Financial Accounting Standards Board (“FASB”) Accounting Standards Update (“ASU”) 2009-13, in multiple element arrangements, the total consideration received from customers must be allocated to the elements, which may include hardware and non essential software elements, based on a relative selling price. The accounting guidance establishes a hierarchy to determine the selling price to be used for allocating revenue to deliverables as follows:</w:t>
      </w:r>
    </w:p>
    <w:p>
      <w:pPr>
        <w:spacing w:after="0" w:line="1" w:lineRule="exact"/>
        <w:rPr>
          <w:sz w:val="20"/>
          <w:szCs w:val="20"/>
          <w:color w:val="auto"/>
        </w:rPr>
      </w:pPr>
    </w:p>
    <w:p>
      <w:pPr>
        <w:ind w:right="60" w:firstLine="8"/>
        <w:spacing w:after="0" w:line="254"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vendors specific objective evidence (VSOE), (ii) third party evidence (TPE), and (iii) best estimate of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other deliverables based upon ESP are recognized in the period the revenue recognition criteria have been met.</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process for determining its 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account for nonessential software licenses and related post contract support (PCS) under multiple element arrangements by recognizing revenue for such arrangements ratably over the term of the PCS as we have not established VSOE for the PCS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2011, 2010, and 2009, we have not recorded any significant revenues from multiple element or software arrangements.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derivative financial instruments consist solely of foreign currency forward exchange contracts. The purpose of these derivative instruments is to hedge the Company’s economic exposure associated with accounts receivable and cash balances denominated in Euros. The Company’s forward contracts do not qualify as accounting hedges. As a result, the Company marks-to-market the forward contracts and includes unrealized gains and losses in the current period as a component of other income (expense) in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has granted stock options to employees and restricted stock units. The Company also has an employee stock purchase plan (“ESPP”) for eligible employees. The Company measures the compensation cost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associated with all share-based payments based on grant date fair values. The fair value of each employee stock option and employee stock purchase right is estimated on the date of grant using an option pricing model that meets certain requirements. The Company currently uses the Black-Scholes option pricing model to estimate the fair value of our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our ESPP, the Company utilizes historical volatility in order to estimate the expected volatility assumption of the Black-Scholes model.</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expected term of stock options granted is estimated using the average of the vesting date, the contractual term and historical experience. The risk-free interest rate assumption is based on observed interest rates appropriate for the expected terms of our stock options and employee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To the extent that the Company grants additional equity securities to employees or it assumes unvested securities in connection with any acquisitions, its share-based compensation expense will be increased by the additional unearned compensation resulting from those additional grants or acquisitions.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income (loss) per share excludes dilution and is computed by dividing the net income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financial instruments consist principally of cash and cash equivalents, short-term and long-term marketable securities, and short-term and long-term debt.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net earnings and unrealized gains and losses on available-for-sale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May 2011, the FASB issued ASU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Requirements in U.S. GAAP and IFRSs</w:t>
      </w:r>
      <w:r>
        <w:rPr>
          <w:rFonts w:ascii="Arial" w:cs="Arial" w:eastAsia="Arial" w:hAnsi="Arial"/>
          <w:sz w:val="16"/>
          <w:szCs w:val="16"/>
          <w:color w:val="auto"/>
        </w:rPr>
        <w:t>.” This standard results in a common requirement between the FASB and the International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(IASB) for measuring fair value and for disclosing information about fair value measurements. ASU 2011-04 is effective for interim and annual periods beginning after December 15, 2011. We do not expect the adoption of ASU 2011-04 to have a material impact on its consolidated financial statements.</w:t>
      </w:r>
    </w:p>
    <w:p>
      <w:pPr>
        <w:spacing w:after="0" w:line="11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In December 2011, the FASB issued ASU No. 2011-12 </w:t>
      </w:r>
      <w:r>
        <w:rPr>
          <w:rFonts w:ascii="Arial" w:cs="Arial" w:eastAsia="Arial" w:hAnsi="Arial"/>
          <w:sz w:val="18"/>
          <w:szCs w:val="18"/>
          <w:i w:val="1"/>
          <w:iCs w:val="1"/>
          <w:color w:val="auto"/>
        </w:rPr>
        <w:t>“Comprehensive Income (Topic 220): Deferral of the Effective Date for Amendments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Reclassifications of Items Out of Accumulated Other Comprehensive Income in ASU No. 2011-05.” </w:t>
      </w:r>
      <w:r>
        <w:rPr>
          <w:rFonts w:ascii="Arial" w:cs="Arial" w:eastAsia="Arial" w:hAnsi="Arial"/>
          <w:sz w:val="18"/>
          <w:szCs w:val="18"/>
          <w:color w:val="auto"/>
        </w:rPr>
        <w:t>ASU 2011-12 indefinitely defers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present components of reclassifications of other comprehensive income on the face of the income statement, while still requiring companies to adopt the other requirements contained in ASU 2011-05, the new standard on comprehensive income. ASU 2011-05 is effective retrospectively for fiscal years, and interim periods within those years, beginning after December 15, 2011. We do not expect the adoption of ASU 2011-05 to have a material impact on the consolidated financial statements.</w:t>
      </w:r>
    </w:p>
    <w:p>
      <w:pPr>
        <w:spacing w:after="0" w:line="260" w:lineRule="exact"/>
        <w:rPr>
          <w:sz w:val="20"/>
          <w:szCs w:val="20"/>
          <w:color w:val="auto"/>
        </w:rPr>
      </w:pPr>
    </w:p>
    <w:p>
      <w:pPr>
        <w:ind w:right="7300" w:firstLine="8"/>
        <w:spacing w:after="0" w:line="347" w:lineRule="auto"/>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Acquisition Activities in Prior Years Enfora</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30, 2010, the Company completed the acquisition of Enfora. The acquisition of Enfora diversifies the Company’s customer base and product lines into adjacent markets and advances the Company’s strategy of providing intelligent devices to all end markets—enterprise, consumer and vertical applications.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beginning November 30, 2010. The revenue and operating results contributed by Enfora during the year ended December 31, 2011 are disclosed in our Segment Information and Concentrations of Risk footnote (see Note 12). Acquisition costs related to the merger of Enfora of $1.9 million were recorded and classified as general and administrative expenses in the consolidated statement of operations during the year ended December 31,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consideration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reflected this change as a benefit to general and administrative expenses for the quarter ended March 31, 2011. There were no changes in the fair value of the contingent consideration recorded in the nine months ended December 31, 2011 as the operating results necessary to receive payment of the contingent consideration were not achieved.</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Fair Value of Assets Acquired and Liabilities Assumed</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Company accounted for the transaction using the acquisition method and, accordingly, estimated the fair value of the tangible and intangible assets acquired and liabilities assumed as set forth below. During the third quarter of 2011, the Company made a $297,000 adjustment to increase Enfora net deferred tax assets, with a corresponding dollar amount decrease to goodwill, based on completed studies of available tax benefits existing as of the date of acquisition. The total purchase price is summarized below (in thousands):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receivables</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payable, accrued expenses and deferred taxes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(12,220)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42,520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23,661</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78,379</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Actual and Pro Forma Results of Enfora Acquisition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presents the unaudited pro forma financial information for the years ended December 31, 2010 and December 31, 2009. The unaudited pro forma financial information combines the results of operations of Novatel Wireless and Enfora as though the companies had been combined as of the beginning of fiscal 2009. The pro forma financial information is presented for informational purposes only and is not indicative of the results of operations that would have been achieved if the acquisition and related borrowings had taken place at the beginning of fiscal 2009. The following unaudited pro forma financial information presented includes amortization charges for acquired intangible assets, inventory fair value adjustments, eliminations of intercompany transactions, adjustments to interest expense, reduction in share-based compensation and related tax effects (in thousands, except per share data):</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$392,047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$389,936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(46,572)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(5,863)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Cinterion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June 2010, the Company submitted a bid to purchase certain assets of Cinterion, a company in the cellular M2M communications industry, in connection with an insolvency proceeding. The Company was not the successful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bidder at the conclusion of the process on June 28, 2010. In connection with the bid, the Company borrowed $30.0 million under a bridge loan facility in June 2010 which was subsequently repaid in July 2010. The Company recognized $3.1 million of debt issuance costs related to the bridge loan facility. This amount was recorded as interest expense in the consolidated statement of operations for the year ended December 31, 2010. The Company also realized $1.7 million of foreign currency gain, net of hedging transaction costs, to address foreign currency risk also related to the bid. This amount was recorded in other income in the consolidated statement of operations during the year ended December 31, 2010. The Company also incurred $1.3 million in legal, advisory and professional fees related to the acquisition bid, which were recorded and classified as general and administrative expenses in the consolidated statement of operations during the year ended December 31, 2010.</w:t>
      </w:r>
    </w:p>
    <w:p>
      <w:pPr>
        <w:spacing w:after="0" w:line="23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Assets and Liabilities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classify our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62"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4"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 of the majority of our cash equivalents and marketable equity securities were determined based on Level 1 inputs. The fair value of our marketable debt securities was determined based on Level 2 inputs. At December 31, 2011, the Company did not have any securities in the Level 3 category. The Company reviews the fair value hierarchy classification on a quarterly basis. We validate the quoted market prices provided by our primary pricing service by comparing their assessment of the fair values of our investments by using a third party investment manager. The third party investment manager uses similar techniques to our primary pricing service to derive the pricing describe above. Changes in the observability of valuation inputs may result in a reclassification of levels for certain securities within the fair value hierarchy.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2011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86"/>
              </w:rPr>
              <w:t>Balance as of</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gridSpan w:val="3"/>
            <w:vMerge w:val="continue"/>
          </w:tcPr>
          <w:p>
            <w:pPr>
              <w:spacing w:after="0"/>
              <w:rPr>
                <w:sz w:val="14"/>
                <w:szCs w:val="14"/>
                <w:color w:val="auto"/>
              </w:rPr>
            </w:pPr>
          </w:p>
        </w:tc>
        <w:tc>
          <w:tcPr>
            <w:tcW w:w="11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700" w:type="dxa"/>
            <w:vAlign w:val="bottom"/>
          </w:tcPr>
          <w:p>
            <w:pPr>
              <w:spacing w:after="0"/>
              <w:rPr>
                <w:sz w:val="14"/>
                <w:szCs w:val="14"/>
                <w:color w:val="auto"/>
              </w:rPr>
            </w:pPr>
          </w:p>
        </w:tc>
        <w:tc>
          <w:tcPr>
            <w:tcW w:w="9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68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US Treasury notes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debenture/bonds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8,384</w:t>
            </w:r>
          </w:p>
        </w:tc>
        <w:tc>
          <w:tcPr>
            <w:tcW w:w="7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6,912</w:t>
            </w:r>
          </w:p>
        </w:tc>
        <w:tc>
          <w:tcPr>
            <w:tcW w:w="7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equity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Total short-term marketable securities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28,267</w:t>
            </w:r>
          </w:p>
        </w:tc>
        <w:tc>
          <w:tcPr>
            <w:tcW w:w="7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5,969</w:t>
            </w:r>
          </w:p>
        </w:tc>
        <w:tc>
          <w:tcPr>
            <w:tcW w:w="7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7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72,683</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25,175</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2010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Balance as of</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gridSpan w:val="3"/>
            <w:vMerge w:val="continue"/>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2010</w:t>
            </w:r>
          </w:p>
        </w:tc>
        <w:tc>
          <w:tcPr>
            <w:tcW w:w="340" w:type="dxa"/>
            <w:vAlign w:val="bottom"/>
          </w:tcPr>
          <w:p>
            <w:pPr>
              <w:spacing w:after="0"/>
              <w:rPr>
                <w:sz w:val="14"/>
                <w:szCs w:val="14"/>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Level 1</w:t>
            </w:r>
          </w:p>
        </w:tc>
        <w:tc>
          <w:tcPr>
            <w:tcW w:w="12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5,380</w:t>
            </w: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5,380</w:t>
            </w: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3"/>
            <w:vMerge w:val="continue"/>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5,380</w:t>
            </w: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5,380</w:t>
            </w: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Corporate debenture/bonds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33,384</w:t>
            </w:r>
          </w:p>
        </w:tc>
        <w:tc>
          <w:tcPr>
            <w:tcW w:w="3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33,384</w:t>
            </w:r>
          </w:p>
        </w:tc>
        <w:tc>
          <w:tcPr>
            <w:tcW w:w="6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3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6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20,211</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20,211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Total short-term marketable securities</w:t>
            </w: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3"/>
            <w:vMerge w:val="continue"/>
          </w:tcPr>
          <w:p>
            <w:pPr>
              <w:spacing w:after="0"/>
              <w:rPr>
                <w:sz w:val="19"/>
                <w:szCs w:val="19"/>
                <w:color w:val="auto"/>
              </w:rPr>
            </w:pP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59,775</w:t>
            </w:r>
          </w:p>
        </w:tc>
        <w:tc>
          <w:tcPr>
            <w:tcW w:w="340" w:type="dxa"/>
            <w:vAlign w:val="bottom"/>
          </w:tcPr>
          <w:p>
            <w:pPr>
              <w:spacing w:after="0"/>
              <w:rPr>
                <w:sz w:val="19"/>
                <w:szCs w:val="19"/>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59,775</w:t>
            </w:r>
          </w:p>
        </w:tc>
        <w:tc>
          <w:tcPr>
            <w:tcW w:w="6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80" w:type="dxa"/>
            <w:vAlign w:val="bottom"/>
          </w:tcPr>
          <w:p>
            <w:pPr>
              <w:ind w:left="1420"/>
              <w:spacing w:after="0"/>
              <w:rPr>
                <w:sz w:val="20"/>
                <w:szCs w:val="20"/>
                <w:color w:val="auto"/>
              </w:rPr>
            </w:pPr>
            <w:r>
              <w:rPr>
                <w:rFonts w:ascii="Arial" w:cs="Arial" w:eastAsia="Arial" w:hAnsi="Arial"/>
                <w:sz w:val="18"/>
                <w:szCs w:val="18"/>
                <w:color w:val="auto"/>
              </w:rPr>
              <w:t>F-16</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Balance as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00" w:type="dxa"/>
            <w:vAlign w:val="bottom"/>
            <w:gridSpan w:val="3"/>
            <w:vMerge w:val="continue"/>
          </w:tcPr>
          <w:p>
            <w:pPr>
              <w:spacing w:after="0"/>
              <w:rPr>
                <w:sz w:val="12"/>
                <w:szCs w:val="12"/>
                <w:color w:val="auto"/>
              </w:rPr>
            </w:pPr>
          </w:p>
        </w:tc>
        <w:tc>
          <w:tcPr>
            <w:tcW w:w="14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December 31, 2010</w:t>
            </w:r>
          </w:p>
        </w:tc>
        <w:tc>
          <w:tcPr>
            <w:tcW w:w="280" w:type="dxa"/>
            <w:vAlign w:val="bottom"/>
          </w:tcPr>
          <w:p>
            <w:pPr>
              <w:spacing w:after="0"/>
              <w:rPr>
                <w:sz w:val="12"/>
                <w:szCs w:val="12"/>
                <w:color w:val="auto"/>
              </w:rPr>
            </w:pPr>
          </w:p>
        </w:tc>
        <w:tc>
          <w:tcPr>
            <w:tcW w:w="10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Level 1</w:t>
            </w:r>
          </w:p>
        </w:tc>
        <w:tc>
          <w:tcPr>
            <w:tcW w:w="92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Corporate debenture/bonds</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8,794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8,794</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9,479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9,479</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20,676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85,831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5,380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80,451</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w w:val="96"/>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Total financial liabilities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00" w:type="dxa"/>
            <w:vAlign w:val="bottom"/>
            <w:gridSpan w:val="3"/>
          </w:tcPr>
          <w:p>
            <w:pPr>
              <w:ind w:left="28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year ended December 31, 2011 and 2010. All of our long-term marketable debt securities had maturities of between one and two years in duration at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Level 3 activity for our contingent consideration liability for the twelve months ended December 31, 2011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Contingent consideration liability</w:t>
            </w:r>
          </w:p>
        </w:tc>
        <w:tc>
          <w:tcPr>
            <w:tcW w:w="3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January 1, 2011</w:t>
            </w:r>
          </w:p>
        </w:tc>
        <w:tc>
          <w:tcPr>
            <w:tcW w:w="3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3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at December 31, 2011</w:t>
            </w:r>
          </w:p>
        </w:tc>
        <w:tc>
          <w:tcPr>
            <w:tcW w:w="3720" w:type="dxa"/>
            <w:vAlign w:val="bottom"/>
            <w:gridSpan w:val="3"/>
            <w:shd w:val="clear" w:color="auto" w:fill="CCEEFF"/>
          </w:tcPr>
          <w:p>
            <w:pPr>
              <w:ind w:left="3200"/>
              <w:spacing w:after="0"/>
              <w:rPr>
                <w:sz w:val="20"/>
                <w:szCs w:val="20"/>
                <w:color w:val="auto"/>
              </w:rPr>
            </w:pPr>
            <w:r>
              <w:rPr>
                <w:rFonts w:ascii="Arial" w:cs="Arial" w:eastAsia="Arial" w:hAnsi="Arial"/>
                <w:sz w:val="18"/>
                <w:szCs w:val="18"/>
                <w:color w:val="auto"/>
              </w:rPr>
              <w:t>$ —</w:t>
            </w:r>
          </w:p>
        </w:tc>
      </w:tr>
      <w:tr>
        <w:trPr>
          <w:trHeight w:val="20"/>
        </w:trPr>
        <w:tc>
          <w:tcPr>
            <w:tcW w:w="20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2011, the Company had no outstanding foreign currency exchange forward contracts. At December 31, 2010, the Company recorded an unrealized loss of $8,000 on its outstanding foreign currency forward exchange contracts.</w:t>
      </w:r>
    </w:p>
    <w:p>
      <w:pPr>
        <w:spacing w:after="0" w:line="132"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For the years ended December 31, 2011, 2010 and 2009, the Company recorded gains of $8,000, gains of $38,000 and losses of $446,000, respectively, on its Euro-denominated foreign exchange forward contracts. During the years ended December 31, 2011, 2010 and 2009, the Company recorded foreign currency gains and losses on foreign currency denominated transactions of approximately $836,000 loss, $1.7 million gain and $420,000 loss, respectively. The loss during the year ended December 31, 2011 primarily related to foreign currency losses on South Korean won denominated trade payables. The gains during the year ended December 31, 2010 primarily relate to a $2.9 million foreign currency gain realized on the liquidation of the Company’s cash holdings in Euros at the conclusion of the insolvency proceeding for the sale of Cinterion net of $1.2 million in expense to enter into several Euro-denominated put options to hedge the foreign currency risk associated with its cash holdings in Euros related to the Cinterion bid process. These put options expired unexercised on June 25, 2010.</w:t>
      </w:r>
    </w:p>
    <w:p>
      <w:pPr>
        <w:spacing w:after="0" w:line="10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All recorded gains and losses on foreign exchange transactions are recorded in other income (expense), net, within the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900" w:firstLine="8"/>
        <w:spacing w:after="0" w:line="347" w:lineRule="auto"/>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180" w:type="dxa"/>
            <w:vAlign w:val="bottom"/>
            <w:gridSpan w:val="3"/>
            <w:vMerge w:val="continue"/>
          </w:tcPr>
          <w:p>
            <w:pPr>
              <w:spacing w:after="0"/>
              <w:rPr>
                <w:sz w:val="12"/>
                <w:szCs w:val="12"/>
                <w:color w:val="auto"/>
              </w:rPr>
            </w:pPr>
          </w:p>
        </w:tc>
        <w:tc>
          <w:tcPr>
            <w:tcW w:w="9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9"/>
              </w:rPr>
              <w:t>in Years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74"/>
              </w:rPr>
              <w:t>Losses</w:t>
            </w:r>
          </w:p>
        </w:tc>
        <w:tc>
          <w:tcPr>
            <w:tcW w:w="22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debenture/bonds</w:t>
            </w:r>
          </w:p>
        </w:tc>
        <w:tc>
          <w:tcPr>
            <w:tcW w:w="6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 or less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8,615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 or less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8,390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 or less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 or less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6,913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equity securities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 or less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28,275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13,498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41,773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consolidated balance sheet at fair market value with the related unrealized gains and losses included in accumulated other comprehensive (loss) income on the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2011 and 2010, the Company recorded net unrealized loss of $8,000, net of taxes, and net unrealized gains of $21,000, respectively. The Company’s net unrealized gains (loss) is the result of market conditions affecting its fixed-income debt securities, which are included in accumulated other comprehensive (loss) income on the consolidated balance sheet for the periods then ended.</w:t>
      </w:r>
    </w:p>
    <w:p>
      <w:pPr>
        <w:spacing w:after="0" w:line="14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As of December 31, 2011, the Company’s investment portfolio included $385,000 of marketable equity securities at original cost, with a fair value of $38,000. These securities are currently traded on the Over the Counter Bulletin Board (OTCBB) and are not traded on major exchanges such as the NYSE. During the year ended December 31, 2011, the Company recorded an other-than-temporary loss of $347,000 within other income (expense), net in the consolidated statement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Borders>
              <w:bottom w:val="single" w:sz="8" w:color="CCEEFF"/>
            </w:tcBorders>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5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$35,211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$36,764</w:t>
            </w:r>
          </w:p>
        </w:tc>
        <w:tc>
          <w:tcPr>
            <w:tcW w:w="100" w:type="dxa"/>
            <w:vAlign w:val="bottom"/>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43,094</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F-18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Test equipment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52,311</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$ 48,689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13,766</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12,254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1,807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77,713</w:t>
            </w:r>
          </w:p>
        </w:tc>
        <w:tc>
          <w:tcPr>
            <w:tcW w:w="3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69,504</w:t>
            </w: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(59,217)</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(48,223)</w:t>
            </w:r>
          </w:p>
        </w:tc>
      </w:tr>
      <w:tr>
        <w:trPr>
          <w:trHeight w:val="222"/>
        </w:trPr>
        <w:tc>
          <w:tcPr>
            <w:tcW w:w="8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18,496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$ 21,281</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years ended December 31, 2011, 2010 and 2009, the Company recorded $70,000, $167,000 and $92,000, respectively, in its cost of net revenues as a result of its impairment analysis of property and equipment.</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Depreciation and amortization expense relating to property and equipment was $11.1 million, $10.0 million and $11.4 million for the years ended December 31, 2011, 2010 and 2009,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$ 5,861</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Payroll and related</w:t>
            </w:r>
          </w:p>
        </w:tc>
        <w:tc>
          <w:tcPr>
            <w:tcW w:w="4840" w:type="dxa"/>
            <w:vAlign w:val="bottom"/>
            <w:gridSpan w:val="5"/>
          </w:tcPr>
          <w:p>
            <w:pPr>
              <w:jc w:val="right"/>
              <w:ind w:right="500"/>
              <w:spacing w:after="0"/>
              <w:rPr>
                <w:sz w:val="20"/>
                <w:szCs w:val="20"/>
                <w:color w:val="auto"/>
              </w:rPr>
            </w:pPr>
            <w:r>
              <w:rPr>
                <w:rFonts w:ascii="Arial" w:cs="Arial" w:eastAsia="Arial" w:hAnsi="Arial"/>
                <w:sz w:val="18"/>
                <w:szCs w:val="18"/>
                <w:color w:val="auto"/>
              </w:rPr>
              <w:t>8,706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48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4840" w:type="dxa"/>
            <w:vAlign w:val="bottom"/>
            <w:gridSpan w:val="5"/>
          </w:tcPr>
          <w:p>
            <w:pPr>
              <w:jc w:val="right"/>
              <w:ind w:right="500"/>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48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1,135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Professional fees</w:t>
            </w:r>
          </w:p>
        </w:tc>
        <w:tc>
          <w:tcPr>
            <w:tcW w:w="4840" w:type="dxa"/>
            <w:vAlign w:val="bottom"/>
            <w:gridSpan w:val="5"/>
          </w:tcPr>
          <w:p>
            <w:pPr>
              <w:jc w:val="right"/>
              <w:ind w:right="500"/>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5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7,959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4840" w:type="dxa"/>
            <w:vAlign w:val="bottom"/>
            <w:gridSpan w:val="5"/>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25,044</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gridSpan w:val="2"/>
            <w:vMerge w:val="continue"/>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gridSpan w:val="2"/>
          </w:tcPr>
          <w:p>
            <w:pPr>
              <w:ind w:left="220"/>
              <w:spacing w:after="0"/>
              <w:rPr>
                <w:sz w:val="20"/>
                <w:szCs w:val="20"/>
                <w:color w:val="auto"/>
              </w:rPr>
            </w:pPr>
            <w:r>
              <w:rPr>
                <w:rFonts w:ascii="Arial" w:cs="Arial" w:eastAsia="Arial" w:hAnsi="Arial"/>
                <w:sz w:val="18"/>
                <w:szCs w:val="18"/>
                <w:color w:val="auto"/>
                <w:w w:val="91"/>
              </w:rPr>
              <w:t>Accrued warranty obligations consist of the following (in thousands):</w:t>
            </w: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1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3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$ 2,279</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4340" w:type="dxa"/>
            <w:vAlign w:val="bottom"/>
            <w:gridSpan w:val="4"/>
          </w:tcPr>
          <w:p>
            <w:pPr>
              <w:jc w:val="right"/>
              <w:ind w:right="112"/>
              <w:spacing w:after="0"/>
              <w:rPr>
                <w:sz w:val="20"/>
                <w:szCs w:val="20"/>
                <w:color w:val="auto"/>
              </w:rPr>
            </w:pPr>
            <w:r>
              <w:rPr>
                <w:rFonts w:ascii="Arial" w:cs="Arial" w:eastAsia="Arial" w:hAnsi="Arial"/>
                <w:sz w:val="18"/>
                <w:szCs w:val="18"/>
                <w:color w:val="auto"/>
              </w:rPr>
              <w:t>2,642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36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(3,396)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(2,110)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20"/>
              <w:spacing w:after="0"/>
              <w:rPr>
                <w:sz w:val="20"/>
                <w:szCs w:val="20"/>
                <w:color w:val="auto"/>
              </w:rPr>
            </w:pPr>
            <w:r>
              <w:rPr>
                <w:rFonts w:ascii="Arial" w:cs="Arial" w:eastAsia="Arial" w:hAnsi="Arial"/>
                <w:sz w:val="18"/>
                <w:szCs w:val="18"/>
                <w:color w:val="auto"/>
              </w:rPr>
              <w:t>Warranty liability at end of period</w:t>
            </w:r>
          </w:p>
        </w:tc>
        <w:tc>
          <w:tcPr>
            <w:tcW w:w="36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36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$ 1,525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840" w:type="dxa"/>
            <w:vAlign w:val="bottom"/>
            <w:gridSpan w:val="5"/>
          </w:tcPr>
          <w:p>
            <w:pPr>
              <w:ind w:left="100"/>
              <w:spacing w:after="0"/>
              <w:rPr>
                <w:sz w:val="20"/>
                <w:szCs w:val="20"/>
                <w:color w:val="auto"/>
              </w:rPr>
            </w:pPr>
            <w:r>
              <w:rPr>
                <w:rFonts w:ascii="Arial" w:cs="Arial" w:eastAsia="Arial" w:hAnsi="Arial"/>
                <w:sz w:val="18"/>
                <w:szCs w:val="18"/>
                <w:color w:val="auto"/>
              </w:rPr>
              <w:t>F-19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Years ended December 31,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1"/>
              </w:rPr>
              <w:t>Gross (1)</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Amortization (1)</w:t>
            </w:r>
          </w:p>
        </w:tc>
        <w:tc>
          <w:tcPr>
            <w:tcW w:w="200" w:type="dxa"/>
            <w:vAlign w:val="bottom"/>
          </w:tcPr>
          <w:p>
            <w:pPr>
              <w:spacing w:after="0"/>
              <w:rPr>
                <w:sz w:val="14"/>
                <w:szCs w:val="14"/>
                <w:color w:val="auto"/>
              </w:rPr>
            </w:pPr>
          </w:p>
        </w:tc>
        <w:tc>
          <w:tcPr>
            <w:tcW w:w="580" w:type="dxa"/>
            <w:vAlign w:val="bottom"/>
          </w:tcPr>
          <w:p>
            <w:pPr>
              <w:jc w:val="right"/>
              <w:ind w:right="122"/>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3"/>
              </w:rPr>
              <w:t>(4,163)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1"/>
              </w:rPr>
              <w:t>(371)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w w:val="94"/>
              </w:rPr>
              <w:t>(1,387)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(1,609)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w w:val="94"/>
              </w:rPr>
              <w:t>(7,159)</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35,361</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44,220</w:t>
            </w:r>
          </w:p>
        </w:tc>
        <w:tc>
          <w:tcPr>
            <w:tcW w:w="4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(834)</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year ended December 31, 2011, the Company corrected its purchase price allocations to gross intangible assets and related amortization expense related to the 2010 Enfora acquisition (see Note 6).</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of Enfora included in the cost of net revenues and operating costs and expenses categories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2011</w:t>
            </w:r>
          </w:p>
        </w:tc>
        <w:tc>
          <w:tcPr>
            <w:tcW w:w="9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future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9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18"/>
                <w:szCs w:val="18"/>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13,898</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35,361</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Additionally, at December 31, 2011 and 2010, the Company had net acquired software licenses of $341,000 and $879,000, respectively, net of accumulated amortization of $3.7 million and $3.2 million, respectively. The acquired software licenses represent rights to use certain software necessary for the development and commercial sale of the Company’s products.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monitors its intangible and long-lived asset balances and conducts formal tests when impairment indicators are present. The Company recorded $133,000 of impairment loss related to acquired software licenses during the year ended December 31, 2011. There was no impairment loss recorded for the years ended December 31, 2010 or 2009.</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Amortization expense relating to acquired software licenses was $422,000, $744,000 and $1.6 million for the years ended December 31, 2011, 2010 and 2009, respectively. Amortization expense related to licenses obtained for research purposes is recorded within research and development expense in the consolidated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statements of operations. Amortization expense related to licenses obtained for commercial products is recorded in cost of net revenues in the consolidated statements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the weighted average remaining useful life of the Company’s long-lived intangible assets is 7.0 years.</w:t>
      </w:r>
    </w:p>
    <w:p>
      <w:pPr>
        <w:spacing w:after="0" w:line="28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third quarter of 2011, the Company identified errors in its consolidated financial statements for the year ended December 31, 2010 and for each of the quarterly periods ended March 31, 2011 and June 30, 2011. The errors were due to the amount of recorded goodwill in connection with the 2010 acquisition of Enfora. The errors were made in connection with the Company’s initial allocation of the consideration transferred in the acquisition resulting in understated goodwill and overstated acquired intangibles at the time of the acquisition by $1.7 million. As a result, the Company adjusted the gross value of goodwill and acquired intangible by $1.7 million to reflect the proper allocation.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for the years ended December 31, 2011 and 2010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M2M Products and Solutions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Goodwill acquired during the period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83"/>
              </w:rPr>
              <w:t>22,258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 acquisition price correction</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deferred tax asset related adjustment due to goodwill correction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Completion of deferred tax asset valuation (Note 2)</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Goodwill impairment during the period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(3,277)</w:t>
            </w: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7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19,772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22,258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third quarter of 2011, the Company experienced a sustained, significant decline in its stock price and based on actual and forecasted operating results of the M2M products and solutions reporting unit, the Company determined there were sufficient indicators of impairment present to require an interim impairment analysis.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upon fair value tests performed by a third party independent appraisal, the Company recorded a preliminary pre-tax goodwill impairment charge of approximately $3.5 million during the third quarter of 2011. In the fourth quarter of 2011, the Company finalized the impairment by reducing the previous estimate of impairment by approximately $237,000 for a total goodwill impairment of $3.3 million in 2011.</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There were no further adjustments to the goodwill during its annual impairment test in the fourth quarter of 2011. The Company used the third party independent appraisal report from the third quarter of 2011 as its basis for its annual impairment analysis.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2011, 2010 and 2009,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5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7980" w:type="dxa"/>
            <w:vAlign w:val="bottom"/>
          </w:tcPr>
          <w:p>
            <w:pPr>
              <w:spacing w:after="0"/>
              <w:rPr>
                <w:sz w:val="12"/>
                <w:szCs w:val="12"/>
                <w:color w:val="auto"/>
              </w:rPr>
            </w:pPr>
          </w:p>
        </w:tc>
        <w:tc>
          <w:tcPr>
            <w:tcW w:w="5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32,043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31,494</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323"/>
        </w:trPr>
        <w:tc>
          <w:tcPr>
            <w:tcW w:w="7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Employee Stock Purchase Plan</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Unvested Restricted Stock (including Restricted Stock Units)</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32,043</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31,494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Weighted average options, restricted stock units and ESPP shares to purchase a total of 4,656,929 shares, 3,675,163 shares and 3,149,937 shares of common stock for the years ended December 31, 2011, 2010 and 2009, respectively, were outstanding but not included in the computation of diluted earnings per share as their effect was anti-dilutive.</w:t>
      </w:r>
    </w:p>
    <w:p>
      <w:pPr>
        <w:spacing w:after="0" w:line="256" w:lineRule="exact"/>
        <w:rPr>
          <w:sz w:val="20"/>
          <w:szCs w:val="20"/>
          <w:color w:val="auto"/>
        </w:rPr>
      </w:pPr>
    </w:p>
    <w:p>
      <w:pPr>
        <w:ind w:left="240" w:right="9320" w:hanging="232"/>
        <w:spacing w:after="0" w:line="391" w:lineRule="auto"/>
        <w:tabs>
          <w:tab w:leader="none" w:pos="45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spacing w:after="0" w:line="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for possible future issuance as of December 31, 2011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9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outstanding under the 2009 Omnibus Incentive Compensation Plan and previous plans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1,289</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1,493</w:t>
            </w:r>
          </w:p>
        </w:tc>
        <w:tc>
          <w:tcPr>
            <w:tcW w:w="100" w:type="dxa"/>
            <w:vAlign w:val="bottom"/>
            <w:shd w:val="clear" w:color="auto" w:fill="CCEEFF"/>
          </w:tcPr>
          <w:p>
            <w:pPr>
              <w:spacing w:after="0"/>
              <w:rPr>
                <w:sz w:val="18"/>
                <w:szCs w:val="18"/>
                <w:color w:val="auto"/>
              </w:rPr>
            </w:pP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1,087</w:t>
            </w:r>
          </w:p>
        </w:tc>
        <w:tc>
          <w:tcPr>
            <w:tcW w:w="100" w:type="dxa"/>
            <w:vAlign w:val="bottom"/>
          </w:tcPr>
          <w:p>
            <w:pPr>
              <w:spacing w:after="0"/>
              <w:rPr>
                <w:sz w:val="19"/>
                <w:szCs w:val="19"/>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8,350</w:t>
            </w:r>
          </w:p>
        </w:tc>
        <w:tc>
          <w:tcPr>
            <w:tcW w:w="100" w:type="dxa"/>
            <w:vAlign w:val="bottom"/>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and Employee Stock Purchase Plans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year ended December 31, 2011, the Company granted awards under the 2009 Omnibus Incentive Compensation Plan (the “2009 Plan”). The Compensation Committee of the Board of Directors administers the plan.</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2009 Plan, a maximum of 2.5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years ended December 31, 2011, 2010 and 2009, the following table presents total share-based compensation expense in each functional line item on our consolidated statements of operations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2,062</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2,382</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5,983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6,882</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per share fair values of stock options granted under the 2009 Plan and rights granted under the ESPP have been estimated with the following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Employee Stock Options</w:t>
            </w:r>
          </w:p>
        </w:tc>
        <w:tc>
          <w:tcPr>
            <w:tcW w:w="3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6"/>
              </w:rPr>
              <w:t>Employee Stock Purchase Rights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6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6.0</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Compensation Committee of the Board of Directors determines eligibility, vesting schedules and exercise prices for options granted. Options granted under the 2009 Plan and previous plans generally have a term of ten years, and in the case of new hires, generally vest and become exercisable at the rate of 25% after one year and ratably on a monthly basis over a period of 36 months thereafter. Subsequent option grants to existing employees generally vest and become exercisable ratably on a monthly basis over a period of 48 months measured from the date of grant.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summary of stock option activity for the year ended December 31, 2011 is presented below (dollars and shares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Term</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December 31,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10.88</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5.55</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12.51</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10.58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2011</w:t>
            </w: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w w:val="93"/>
              </w:rPr>
              <w:t>11.39</w:t>
            </w: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4.82</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3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to purchase common stock during the years ended December 31, 2011, 2010 and 2009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$28,000, $364,000 and $633,000, respectively. As of December 31, 2011, total unrecognized share-based compensation cost related to unvested stock options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 million, which is expected to be recognized over a weighted average period of approximately 1.8 years. The total fair value of option awards recognized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during the years ended December 31, 2011, 2010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2009 was approximately $2.7 million, $3.5 million and $3.6 million, respectively. The weighted average fair value of option awards granted during years ended December 31, 2011, 2010 and 2009 was $3.40, $3.62 and $4.07,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2011, the Compensation Committee of the Board of Directors, pursuant to the 2009 Plan, awarded employees a total of 903,214 RSUs at fair values ranging from $3.06 per share to $9.71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$4.9 million. The estimated fair value of these awards is being amortized to compensation expense for each grant on a straight-line basis over the estimated service period.</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2010, the Compensation Committee of the Board of Directors, pursuant to the 2009 Plan, awarded employees a total of 620,236 RSUs, including 235,900 RSUs to Enfora employees in connection with the acquisition (the “Enfora RSUs”), at fair values ranging from $6.95 per share to $9.76 per share. Generally, one-third of the shares underlying each grant become issuable on the anniversary of each grant date, assuming continued employment or to the Company through such date. However, one-fourth of the shares underlying each grant of the Enfora RSUs become issuable on the anniversary of each grant date, assuming continued employment or to the Company through such date. Based on the fair value of the Company’s common stock price at the grant dates, the Company estimated the aggregate fair value of these awards at approximately $5.0 million. The estimated fair value of these awards is being amortized to compensation expense for each grant on a straight-line basis over the estimated service period.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2009, the Compensation Committee of the Board of Directors, awarded a total of 424,416 RSUs to employees at fair values ranging from $5.51 per share to $11.83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$2.5 million. The estimated fair value of these awards is being amortized to compensation expense for each grant on a straight-line basis, which is predominately over a three-year service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year ended December 31, 2011 is presented below (shares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2010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Forfeited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1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December 31, 2011, there was $6.8 million of unrecognized compensation expense related to non-vested RSUs. That expense is expected to be recognized over a weighted average period of 1.8 years.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total fair value of RSUs recognized as expense during the years ended December 31, 2011, 2010 and 2009 was $2.6 million, $1.7 million and $2.1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In June 2009, the Company’s shareholders approved an amendment to the ESPP to increase the number of shares available for issuance under the ESPP by 750,000 shares, extend the term of the ESPP to June 2019, cease the automatic annual increase in the number of shares available for issuance under the ESPP and make certain other technical changes.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years ended December 31, 2011, 2010 and 2009, the Company issued 163,142 shares, 514,540 shares and 425,941 shares, respectively, under the ESPP. During the years ended December 31, 2011, 2010 and 2009, the Company received $470,000, $1.7 million and $1.3 million, respectively, in cash through employee withholdings.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4, 2010, the Company announced the termination of the ESPP as of November 15, 2010 due to a lack of available shares. The cancellation of the awards was accounted for as a repurchase for no consideration. The previously unrecognized compensation cost as of November 15, 2010 of $316,000 was fully expensed in the fourth quarter of 2010. On August 30, 2011, the Company announced the reinstatement of the ESPP program effective as of September 8, 2011. The ESPP authorizes the Company to issue 1,250,111 shares of common stock for purchase by eligible employees.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total fair value of ESPP awards recognized as expense during the years ended December 31, 2011, 2010 and 2009 was $707,000, $994,000 and $1.2 million, respectively.</w:t>
      </w:r>
    </w:p>
    <w:p>
      <w:pPr>
        <w:spacing w:after="0" w:line="24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2011, 2010 and 2009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56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$(9,503)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$7,893</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To stockholders’ equity</w:t>
            </w:r>
          </w:p>
        </w:tc>
        <w:tc>
          <w:tcPr>
            <w:tcW w:w="56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(9,263)</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2011, 2010 and 2009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4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(36,091)</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(27,091)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w:t>
            </w:r>
          </w:p>
        </w:tc>
        <w:tc>
          <w:tcPr>
            <w:tcW w:w="4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4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(34,395)</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(25,557)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60" w:type="dxa"/>
            <w:vAlign w:val="bottom"/>
            <w:gridSpan w:val="3"/>
          </w:tcPr>
          <w:p>
            <w:pPr>
              <w:jc w:val="right"/>
              <w:ind w:right="3252"/>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2011, 2010 and 2009 is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(10,786)</w:t>
            </w:r>
          </w:p>
        </w:tc>
        <w:tc>
          <w:tcPr>
            <w:tcW w:w="820" w:type="dxa"/>
            <w:vAlign w:val="bottom"/>
            <w:gridSpan w:val="4"/>
          </w:tcPr>
          <w:p>
            <w:pPr>
              <w:jc w:val="right"/>
              <w:ind w:right="112"/>
              <w:spacing w:after="0"/>
              <w:rPr>
                <w:sz w:val="20"/>
                <w:szCs w:val="20"/>
                <w:color w:val="auto"/>
              </w:rPr>
            </w:pPr>
            <w:r>
              <w:rPr>
                <w:rFonts w:ascii="Arial" w:cs="Arial" w:eastAsia="Arial" w:hAnsi="Arial"/>
                <w:sz w:val="18"/>
                <w:szCs w:val="18"/>
                <w:color w:val="auto"/>
                <w:w w:val="85"/>
              </w:rPr>
              <w:t>$ (3,602)</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(10,702)</w:t>
            </w:r>
          </w:p>
        </w:tc>
        <w:tc>
          <w:tcPr>
            <w:tcW w:w="8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(3,548)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(114)</w:t>
            </w:r>
          </w:p>
        </w:tc>
        <w:tc>
          <w:tcPr>
            <w:tcW w:w="82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9,882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w w:val="99"/>
              </w:rPr>
              <w:t>789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460"/>
              <w:spacing w:after="0"/>
              <w:rPr>
                <w:sz w:val="20"/>
                <w:szCs w:val="20"/>
                <w:color w:val="auto"/>
              </w:rPr>
            </w:pPr>
            <w:r>
              <w:rPr>
                <w:rFonts w:ascii="Arial" w:cs="Arial" w:eastAsia="Arial" w:hAnsi="Arial"/>
                <w:sz w:val="18"/>
                <w:szCs w:val="18"/>
                <w:color w:val="auto"/>
              </w:rPr>
              <w:t>Total Deferred</w:t>
            </w:r>
          </w:p>
        </w:tc>
        <w:tc>
          <w:tcPr>
            <w:tcW w:w="1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5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11,441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(benefit) for income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(9,503)</w:t>
            </w:r>
          </w:p>
        </w:tc>
        <w:tc>
          <w:tcPr>
            <w:tcW w:w="82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93"/>
              </w:rPr>
              <w:t>$ 7,893</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Company’s deferred tax assets consist of the following (in thousands):</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3,592</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 obsolescence provision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2,510</w:t>
            </w:r>
          </w:p>
        </w:tc>
        <w:tc>
          <w:tcPr>
            <w:tcW w:w="0" w:type="dxa"/>
            <w:vAlign w:val="bottom"/>
          </w:tcPr>
          <w:p>
            <w:pPr>
              <w:spacing w:after="0"/>
              <w:rPr>
                <w:sz w:val="1"/>
                <w:szCs w:val="1"/>
                <w:color w:val="auto"/>
              </w:rPr>
            </w:pPr>
          </w:p>
        </w:tc>
      </w:tr>
      <w:tr>
        <w:trPr>
          <w:trHeight w:val="216"/>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4,166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32,569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22,911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4,972</w:t>
            </w:r>
          </w:p>
        </w:tc>
        <w:tc>
          <w:tcPr>
            <w:tcW w:w="0" w:type="dxa"/>
            <w:vAlign w:val="bottom"/>
          </w:tcPr>
          <w:p>
            <w:pPr>
              <w:spacing w:after="0"/>
              <w:rPr>
                <w:sz w:val="1"/>
                <w:szCs w:val="1"/>
                <w:color w:val="auto"/>
              </w:rPr>
            </w:pPr>
          </w:p>
        </w:tc>
      </w:tr>
      <w:tr>
        <w:trPr>
          <w:trHeight w:val="223"/>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Unrecognized tax benefits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5"/>
              </w:rPr>
              <w:t>1,181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39,723</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(12,777)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37,516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(36,395)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2,321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applicable tax law; (3) tax planning strategies; and (4) future taxable income exclusive of reversing temporary differences and carryforwards.</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2011, the Company recognized an increase in the valuation allowance related to its U.S.-based deferred taxes created in 2011 and its Canadian deferred taxes, with a corresponding charge to income tax expense, of $14.6 million.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Related to the Company’s acquisition of Enfora on November 30, 2010, the Company assumed U.S. -based net deferred tax liabilities of $3.9 million. This net deferred tax liability predominantly resulted from the estimated future tax impact of fair values assigned to intangible assets purchased upon acquisition of Enfora as offset by Enfora related estimated deferred tax assets resulting from net operating loss and research and development tax credit carry forwards generated prior to the acquisition of Enfora by the Company. Consistent with accounting guidance, the Company released $4.8 million of its U.S.-based valuation allowance in 2010 and increased its allowance by $0.9 million in 2011 related to the then existing 100% valuation allowance against the Company’s U.S.-based deferred tax assets upon completion of its purchase price allocation.</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December 31, 2011, the valuation allowance consisted of $32.1 million relating to the Company’s domestic tax assets and $4.3 million related to the Company’s Canadian deferred tax assets. At December 31, 2010, the valuation allowance consisted of $18.9 million relating to the Company’s domestic tax assets and $2.9 million related to certain to the Company’s Canadian deferred tax assets.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unreserved portion of the Company’s remaining deferred tax assets at December 31, 2011 primarily related to research and development tax credits associated with the Company’s Canadian subsidiary.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2011 and 2010, the Company recorded deferred income tax expense of $14.6 million and $17.9 million, respectively, related to the changes in the valuation allowances on deferred tax assets. During the year ended 2009, the Company recorded a deferred income tax expense of $1.2 million related to the changes in the valuation allowances on deferred tax assets.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2011, 2010 and 2009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provision, at statutory rate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(11,694)</w:t>
            </w:r>
          </w:p>
        </w:tc>
        <w:tc>
          <w:tcPr>
            <w:tcW w:w="8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(8,690)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allowance—current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14,612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1,152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 in valuation allowance—prior year deferreds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14,840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 from business combination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(4,838)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(1,731)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Merger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(11,809)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596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(9,503)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7,893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At December 31, 2011, the Company has U.S. federal net operating loss carryforwards of approximately $63.0 million. Federal net operating loss carryforwards expire at various dates from 2026 through 2032.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Company has California net operating loss carryforwards of approximately $24.4 million, which expire at various dates from 2014 through 2032. The Company has California research and development tax credit carryforwards of approximately $5.0 million. The California tax credits have no expiration date. The Company also has federal research and development tax credit carryforwards of approximately $3.0 million. The federal tax credits expire at various dates from 2027 through 2031.</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During the year ended December 31, 2011, the Company recognized approximately $9.5 million of income tax benefit plus $2.3 million of associated interest due to expiration of the applicable statutes of limitations for certain tax years. As of December 31, 2011 and 2010, the total liability for unrecognized tax benefits was $0.4 million and $12.0 million, respectively, and is included in other long-term liabilities.</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reconciliation of the beginning and ending amounts of unrecognized tax benefits is as follows (in thousands):</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2009</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Amount</w:t>
      </w:r>
    </w:p>
    <w:p>
      <w:pPr>
        <w:spacing w:after="0" w:line="13" w:lineRule="exact"/>
        <w:rPr>
          <w:sz w:val="20"/>
          <w:szCs w:val="20"/>
          <w:color w:val="auto"/>
        </w:rPr>
      </w:pPr>
    </w:p>
    <w:p>
      <w:pPr>
        <w:jc w:val="right"/>
        <w:ind w:left="180" w:right="560" w:hanging="186"/>
        <w:spacing w:after="0" w:line="299" w:lineRule="auto"/>
        <w:rPr>
          <w:sz w:val="20"/>
          <w:szCs w:val="20"/>
          <w:color w:val="auto"/>
        </w:rPr>
      </w:pPr>
      <w:r>
        <w:rPr>
          <w:rFonts w:ascii="Arial" w:cs="Arial" w:eastAsia="Arial" w:hAnsi="Arial"/>
          <w:sz w:val="15"/>
          <w:szCs w:val="15"/>
          <w:color w:val="auto"/>
        </w:rPr>
        <w:t>$41,435 2,590</w:t>
      </w:r>
    </w:p>
    <w:p>
      <w:pPr>
        <w:spacing w:after="0" w:line="1"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41,135</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251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41,386</w:t>
      </w:r>
    </w:p>
    <w:p>
      <w:pPr>
        <w:spacing w:after="0" w:line="15"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899</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(9,490)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$32,795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40"/>
          </w:cols>
          <w:pgMar w:left="240" w:top="459" w:right="239" w:bottom="1440" w:gutter="0" w:footer="0" w:header="0"/>
          <w:type w:val="continuous"/>
        </w:sectPr>
      </w:pPr>
    </w:p>
    <w:p>
      <w:pPr>
        <w:spacing w:after="0" w:line="2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Included in the balances of unrecognized tax benefits at December 31, 2011 are $0.2 million of tax benefits that, if recognized, would affect the effective tax rate.</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2011 and 2010, the Company recorded approximately $0.2 million and $2.3 million, respectively, of accrued interest related to uncertain tax positions.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third quarter of 2012, the Company may release $50,000 of its liability for unrecognized tax benefits due to the expiration of the statute of limitations applicable to the 2007 taxable year.</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State of Texas is currently conducting an examination of the Company’s 2007 Texas franchise tax return. The Company is also subject to various federal income tax examinations for the 2003 through 2010 calendar years due to the availability of net operating loss carryforwards. The Company believes appropriate provisions for all outstanding issues have been made for all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01" w:lineRule="exact"/>
        <w:rPr>
          <w:sz w:val="20"/>
          <w:szCs w:val="20"/>
          <w:color w:val="auto"/>
        </w:rPr>
      </w:pPr>
    </w:p>
    <w:p>
      <w:pPr>
        <w:ind w:left="240" w:right="8400" w:hanging="232"/>
        <w:spacing w:after="0" w:line="347" w:lineRule="auto"/>
        <w:tabs>
          <w:tab w:leader="none" w:pos="45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Capital Leases</w:t>
      </w:r>
    </w:p>
    <w:p>
      <w:pPr>
        <w:spacing w:after="0" w:line="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did not purchase equipment under capital leases during the year ended December 31, 2011 or 2010. At December 31, 2011 and 2010, assets held under capital leases had a net book value of $52,000 and $154,000, respectively, net of accumulated amortization of $458,000 and $356,000, respectively. The present value of the net minimum lease payments as of December 31, 2011 is $47,000.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2016.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2011, 2010 and 2009 was $4.7 million, $3.5 million and $3.1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2011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7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2013</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2015</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13,594</w:t>
            </w:r>
          </w:p>
        </w:tc>
        <w:tc>
          <w:tcPr>
            <w:tcW w:w="10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Committed Purchase Orders</w:t>
      </w:r>
    </w:p>
    <w:p>
      <w:pPr>
        <w:spacing w:after="0" w:line="9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Company has entered into purchase commitments totaling approximately $117.2 million with certain contract manufacturers under which the Company has committed to buy a minimum amount of designated products between January 2012 and December 2012. In certain of these agreements, the Company may be required to acquire and pay for such products up to the prescribed minimum or forecasted purchases.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2005 and 2004,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employee’s stock incentive awards, a tax equalization payment to eliminate the effects of any applicable excise tax and financial planning and outplacement services.</w:t>
      </w:r>
    </w:p>
    <w:p>
      <w:pPr>
        <w:spacing w:after="0" w:line="13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Chairman of the Board and as the Company’s most senior officer. The agreement entitles</w:t>
      </w:r>
    </w:p>
    <w:p>
      <w:pPr>
        <w:ind w:right="20"/>
        <w:spacing w:after="0" w:line="288" w:lineRule="auto"/>
        <w:rPr>
          <w:sz w:val="20"/>
          <w:szCs w:val="20"/>
          <w:color w:val="auto"/>
        </w:rPr>
      </w:pPr>
      <w:r>
        <w:rPr>
          <w:rFonts w:ascii="Arial" w:cs="Arial" w:eastAsia="Arial" w:hAnsi="Arial"/>
          <w:sz w:val="16"/>
          <w:szCs w:val="16"/>
          <w:color w:val="auto"/>
        </w:rPr>
        <w:t>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 and Indemnification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was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A new trial date has not yet been set.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October 8, 2008, a purported shareholder, Jerry Rosenbaum, filed a derivative action in the Superior Court for the State of California, County of San Diego, against the Company, as nominal defendant, and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an award of legal fees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and negotiations, on March 2, 2012, the parties executed a Stipulation of Settlement, which settlement will be submitted to the court for approval. The settlement, if approved, would require the Company to maintain and/or implement certain corporate governance measures and would provide for the payment of fees and expenses to the plaintiffs’ counsel of an amount not to exceed $900,000, $500,000 of which is expected to be paid out of insurance proceeds, and $400,000 to be paid by the Company.</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accrued $500,000 as of December 31, 2011 related to our best estimate of potential settlements on legal and indemnification matters for which we have deemed the outcome to be probable.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During July 2011, the Company entered into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an interest rate at the bank’s base rate plus 1%. This margin account facility provides the Company with the flexibility to access cash for short periods of time and avoids the need to sell marketable securities for these short-term requirements. At December 31, 2011, the Company had approximately $25.1 million in cash equivalents and marketable securities held at this bank. Any monies borrowed and interest incurred are payable on demand, and there is no express expiration date to the credit facility. During the third quarter ended September 30, 2011, the Company borrowed $12.0 million and repaid the entire amount during the same period. As of December 31, 2011, the Company had no outstanding borrowings under the credit facility.</w:t>
      </w:r>
    </w:p>
    <w:p>
      <w:pPr>
        <w:spacing w:after="0" w:line="221" w:lineRule="exact"/>
        <w:rPr>
          <w:sz w:val="20"/>
          <w:szCs w:val="20"/>
          <w:color w:val="auto"/>
        </w:rPr>
      </w:pPr>
    </w:p>
    <w:p>
      <w:pPr>
        <w:ind w:left="240" w:right="7240" w:hanging="232"/>
        <w:spacing w:after="0" w:line="347" w:lineRule="auto"/>
        <w:tabs>
          <w:tab w:leader="none" w:pos="45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20" w:right="880"/>
        <w:spacing w:after="0" w:line="332" w:lineRule="auto"/>
        <w:rPr>
          <w:sz w:val="20"/>
          <w:szCs w:val="20"/>
          <w:color w:val="auto"/>
        </w:rPr>
      </w:pPr>
      <w:r>
        <w:rPr>
          <w:rFonts w:ascii="Arial" w:cs="Arial" w:eastAsia="Arial" w:hAnsi="Arial"/>
          <w:sz w:val="16"/>
          <w:szCs w:val="16"/>
          <w:color w:val="auto"/>
        </w:rPr>
        <w:t>Mobile Computing Products segment—includes our MiFi products, USB and PC-card modems and Embedded Modules that enable data transmission and services via cellular wireless networks. All products within the segment represent a single product family.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180"/>
        <w:spacing w:after="0" w:line="268" w:lineRule="auto"/>
        <w:rPr>
          <w:sz w:val="20"/>
          <w:szCs w:val="20"/>
          <w:color w:val="auto"/>
        </w:rPr>
      </w:pPr>
      <w:r>
        <w:rPr>
          <w:rFonts w:ascii="Arial" w:cs="Arial" w:eastAsia="Arial" w:hAnsi="Arial"/>
          <w:sz w:val="18"/>
          <w:szCs w:val="18"/>
          <w:color w:val="auto"/>
        </w:rPr>
        <w:t>M2M Products and Solutions segment—includes our intelligent asset-management solutions utilizing wireless technology and M2M communications acquired with our acquisition of Enfora (Note 2).</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Segment net revenues and segment operating income (loss) represent the primary financial measures used by senior management to assess performance and include the net revenues, cost of net revenues, and operating expenses for which management is held accountable. Segment operating expenses include sales and marketing, research and development, general and administration, and amortization expenses that are directly related to individual segments. Segment earnings (loss) also may include acquisition-related costs, purchase price amortization, restructuring and integration costs.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net revenues and operating income (loss) for our reportable segments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04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from reportable segment:</w:t>
            </w:r>
          </w:p>
        </w:tc>
        <w:tc>
          <w:tcPr>
            <w:tcW w:w="2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2960" w:type="dxa"/>
            <w:vAlign w:val="bottom"/>
            <w:gridSpan w:val="3"/>
          </w:tcPr>
          <w:p>
            <w:pPr>
              <w:jc w:val="right"/>
              <w:ind w:right="80"/>
              <w:spacing w:after="0"/>
              <w:rPr>
                <w:sz w:val="20"/>
                <w:szCs w:val="20"/>
                <w:color w:val="auto"/>
              </w:rPr>
            </w:pPr>
            <w:r>
              <w:rPr>
                <w:rFonts w:ascii="Arial" w:cs="Arial" w:eastAsia="Arial" w:hAnsi="Arial"/>
                <w:sz w:val="18"/>
                <w:szCs w:val="18"/>
                <w:color w:val="auto"/>
              </w:rPr>
              <w:t>$358,106</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$332,464</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2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44,756</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402,862</w:t>
            </w:r>
          </w:p>
        </w:tc>
        <w:tc>
          <w:tcPr>
            <w:tcW w:w="11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338,942</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 (13,764)</w:t>
            </w:r>
          </w:p>
        </w:tc>
        <w:tc>
          <w:tcPr>
            <w:tcW w:w="1660" w:type="dxa"/>
            <w:vAlign w:val="bottom"/>
            <w:gridSpan w:val="5"/>
          </w:tcPr>
          <w:p>
            <w:pPr>
              <w:jc w:val="right"/>
              <w:ind w:right="480"/>
              <w:spacing w:after="0"/>
              <w:rPr>
                <w:sz w:val="20"/>
                <w:szCs w:val="20"/>
                <w:color w:val="auto"/>
              </w:rPr>
            </w:pPr>
            <w:r>
              <w:rPr>
                <w:rFonts w:ascii="Arial" w:cs="Arial" w:eastAsia="Arial" w:hAnsi="Arial"/>
                <w:sz w:val="18"/>
                <w:szCs w:val="18"/>
                <w:color w:val="auto"/>
              </w:rPr>
              <w:t>$ (23,027)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2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(19,963)</w:t>
            </w:r>
          </w:p>
        </w:tc>
        <w:tc>
          <w:tcPr>
            <w:tcW w:w="166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(33,727)</w:t>
            </w:r>
          </w:p>
        </w:tc>
        <w:tc>
          <w:tcPr>
            <w:tcW w:w="1660" w:type="dxa"/>
            <w:vAlign w:val="bottom"/>
            <w:gridSpan w:val="5"/>
          </w:tcPr>
          <w:p>
            <w:pPr>
              <w:jc w:val="right"/>
              <w:ind w:right="480"/>
              <w:spacing w:after="0"/>
              <w:rPr>
                <w:sz w:val="20"/>
                <w:szCs w:val="20"/>
                <w:color w:val="auto"/>
              </w:rPr>
            </w:pPr>
            <w:r>
              <w:rPr>
                <w:rFonts w:ascii="Arial" w:cs="Arial" w:eastAsia="Arial" w:hAnsi="Arial"/>
                <w:sz w:val="18"/>
                <w:szCs w:val="18"/>
                <w:color w:val="auto"/>
              </w:rPr>
              <w:t>$ (25,002)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Identifiable assets by reportable segment:</w:t>
            </w:r>
          </w:p>
        </w:tc>
        <w:tc>
          <w:tcPr>
            <w:tcW w:w="2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$181,180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2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67,999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249,179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and Asia. The following table details the geographic concentration of the Company’s assets in the United States, Canada, Europe and Asia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02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243,030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293,227</w:t>
            </w:r>
          </w:p>
        </w:tc>
        <w:tc>
          <w:tcPr>
            <w:tcW w:w="12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Canada</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Asia</w:t>
            </w:r>
          </w:p>
        </w:tc>
        <w:tc>
          <w:tcPr>
            <w:tcW w:w="5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16"/>
        </w:trPr>
        <w:tc>
          <w:tcPr>
            <w:tcW w:w="30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249,179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302,108</w:t>
            </w:r>
          </w:p>
        </w:tc>
        <w:tc>
          <w:tcPr>
            <w:tcW w:w="120" w:type="dxa"/>
            <w:vAlign w:val="bottom"/>
            <w:shd w:val="clear" w:color="auto" w:fill="CCEEFF"/>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020" w:type="dxa"/>
            <w:vAlign w:val="bottom"/>
          </w:tcPr>
          <w:p>
            <w:pPr>
              <w:spacing w:after="0"/>
              <w:rPr>
                <w:sz w:val="24"/>
                <w:szCs w:val="24"/>
                <w:color w:val="auto"/>
              </w:rPr>
            </w:pPr>
          </w:p>
        </w:tc>
        <w:tc>
          <w:tcPr>
            <w:tcW w:w="5380" w:type="dxa"/>
            <w:vAlign w:val="bottom"/>
            <w:gridSpan w:val="2"/>
          </w:tcPr>
          <w:p>
            <w:pPr>
              <w:jc w:val="right"/>
              <w:ind w:right="2903"/>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Europe</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080" w:type="dxa"/>
            <w:vAlign w:val="bottom"/>
            <w:gridSpan w:val="3"/>
          </w:tcPr>
          <w:p>
            <w:pPr>
              <w:jc w:val="right"/>
              <w:ind w:right="960"/>
              <w:spacing w:after="0"/>
              <w:rPr>
                <w:sz w:val="20"/>
                <w:szCs w:val="20"/>
                <w:color w:val="auto"/>
              </w:rPr>
            </w:pPr>
            <w:r>
              <w:rPr>
                <w:rFonts w:ascii="Arial" w:cs="Arial" w:eastAsia="Arial" w:hAnsi="Arial"/>
                <w:sz w:val="18"/>
                <w:szCs w:val="18"/>
                <w:color w:val="auto"/>
              </w:rPr>
              <w:t>4.7</w:t>
            </w: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70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significant portion of the Company’s net revenues come from a small number of customers. Two customers accounted for 50.8% and 13.1% of 2011 net revenues. Two customers accounted for 55.7% and 17.1% of 2010 net revenues. Three customers accounted for 38.1%, 20.5% and 10.7% of 2009 net revenues. All significant customers are included in the Company’s Mobile Computing Products segment.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significant portion of the Company’s accounts receivables comes from a small number of customers. At December 31, 2011, the Company had two customers who accounted for 46.5% and 19.8% of total accounts receivable. At December 31, 2010, the Company had two customers who accounted for 35.04% and 30.9% of total accounts receivable.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outsources its manufacturing to four third-party manufacturers. If they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net revenues and results of operations.</w:t>
      </w:r>
    </w:p>
    <w:p>
      <w:pPr>
        <w:spacing w:after="0" w:line="2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under the plan amounted to approximately $1.1 million, $1.0 million and $858,000 for the years ended December 31, 2011, 2010 and 2009, respectively. Employer matching contributions vest over a two-year period.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to the Canadian plan amounted to approximately $280,000, $236,000 and $472,000 for the years ended December 31, 2011, 2010 and 2009,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First</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82"/>
              </w:rPr>
              <w:t>Second</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Third</w:t>
            </w:r>
          </w:p>
        </w:tc>
        <w:tc>
          <w:tcPr>
            <w:tcW w:w="7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revenues</w:t>
            </w:r>
          </w:p>
        </w:tc>
        <w:tc>
          <w:tcPr>
            <w:tcW w:w="3740" w:type="dxa"/>
            <w:vAlign w:val="bottom"/>
            <w:gridSpan w:val="2"/>
          </w:tcPr>
          <w:p>
            <w:pPr>
              <w:jc w:val="right"/>
              <w:ind w:right="32"/>
              <w:spacing w:after="0"/>
              <w:rPr>
                <w:sz w:val="20"/>
                <w:szCs w:val="20"/>
                <w:color w:val="auto"/>
              </w:rPr>
            </w:pPr>
            <w:r>
              <w:rPr>
                <w:rFonts w:ascii="Arial" w:cs="Arial" w:eastAsia="Arial" w:hAnsi="Arial"/>
                <w:sz w:val="18"/>
                <w:szCs w:val="18"/>
                <w:color w:val="auto"/>
              </w:rPr>
              <w:t>$ 61,784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w w:val="86"/>
              </w:rPr>
              <w:t>118,021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w w:val="82"/>
              </w:rPr>
              <w:t>113,263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5,994</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26,182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8"/>
              </w:rPr>
              <w:t>26,690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(22,088)</w:t>
            </w:r>
          </w:p>
        </w:tc>
        <w:tc>
          <w:tcPr>
            <w:tcW w:w="42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(3,898)</w:t>
            </w:r>
          </w:p>
        </w:tc>
        <w:tc>
          <w:tcPr>
            <w:tcW w:w="28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4,498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 (loss) per common share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 net earnings (loss) per common share</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42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9"/>
                <w:szCs w:val="19"/>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0.14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revenues</w:t>
            </w:r>
          </w:p>
        </w:tc>
        <w:tc>
          <w:tcPr>
            <w:tcW w:w="3740" w:type="dxa"/>
            <w:vAlign w:val="bottom"/>
            <w:gridSpan w:val="2"/>
          </w:tcPr>
          <w:p>
            <w:pPr>
              <w:jc w:val="right"/>
              <w:ind w:right="32"/>
              <w:spacing w:after="0"/>
              <w:rPr>
                <w:sz w:val="20"/>
                <w:szCs w:val="20"/>
                <w:color w:val="auto"/>
              </w:rPr>
            </w:pPr>
            <w:r>
              <w:rPr>
                <w:rFonts w:ascii="Arial" w:cs="Arial" w:eastAsia="Arial" w:hAnsi="Arial"/>
                <w:sz w:val="18"/>
                <w:szCs w:val="18"/>
                <w:color w:val="auto"/>
              </w:rPr>
              <w:t>$ 72,239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71,823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w w:val="98"/>
              </w:rPr>
              <w:t>75,602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$ 119,278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17,769</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13,592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8"/>
              </w:rPr>
              <w:t>13,190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(3,389)</w:t>
            </w:r>
          </w:p>
        </w:tc>
        <w:tc>
          <w:tcPr>
            <w:tcW w:w="42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w w:val="89"/>
              </w:rPr>
              <w:t>(22,039)</w:t>
            </w:r>
          </w:p>
        </w:tc>
        <w:tc>
          <w:tcPr>
            <w:tcW w:w="28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(7,105)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(0.22)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 net earnings (loss) per common share</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42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9"/>
                <w:szCs w:val="19"/>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(0.22)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740" w:type="dxa"/>
            <w:vAlign w:val="bottom"/>
            <w:gridSpan w:val="2"/>
          </w:tcPr>
          <w:p>
            <w:pPr>
              <w:jc w:val="right"/>
              <w:ind w:right="2172"/>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Deductions</w:t>
            </w:r>
          </w:p>
        </w:tc>
        <w:tc>
          <w:tcPr>
            <w:tcW w:w="3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r>
      <w:tr>
        <w:trPr>
          <w:trHeight w:val="149"/>
        </w:trPr>
        <w:tc>
          <w:tcPr>
            <w:tcW w:w="4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From</w:t>
            </w:r>
          </w:p>
        </w:tc>
        <w:tc>
          <w:tcPr>
            <w:tcW w:w="32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At End</w:t>
            </w:r>
          </w:p>
        </w:tc>
      </w:tr>
      <w:tr>
        <w:trPr>
          <w:trHeight w:val="161"/>
        </w:trPr>
        <w:tc>
          <w:tcPr>
            <w:tcW w:w="4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Reserves</w:t>
            </w:r>
          </w:p>
        </w:tc>
        <w:tc>
          <w:tcPr>
            <w:tcW w:w="3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Doubtful Accounts: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245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3,396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3,471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2,580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21,783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14,612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36,395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22,724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r>
      <w:tr>
        <w:trPr>
          <w:trHeight w:val="356"/>
        </w:trPr>
        <w:tc>
          <w:tcPr>
            <w:tcW w:w="432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5"/>
                <w:szCs w:val="15"/>
                <w:color w:val="auto"/>
              </w:rPr>
            </w:pPr>
          </w:p>
        </w:tc>
      </w:tr>
      <w:tr>
        <w:trPr>
          <w:trHeight w:val="195"/>
        </w:trPr>
        <w:tc>
          <w:tcPr>
            <w:tcW w:w="620" w:type="dxa"/>
            <w:vAlign w:val="bottom"/>
            <w:gridSpan w:val="2"/>
          </w:tcPr>
          <w:p>
            <w:pPr>
              <w:spacing w:after="0" w:line="195" w:lineRule="exact"/>
              <w:rPr>
                <w:sz w:val="20"/>
                <w:szCs w:val="20"/>
                <w:color w:val="auto"/>
              </w:rPr>
            </w:pPr>
            <w:r>
              <w:rPr>
                <w:rFonts w:ascii="Arial" w:cs="Arial" w:eastAsia="Arial" w:hAnsi="Arial"/>
                <w:sz w:val="18"/>
                <w:szCs w:val="18"/>
                <w:color w:val="auto"/>
              </w:rPr>
              <w:t>10.4*</w:t>
            </w:r>
          </w:p>
        </w:tc>
        <w:tc>
          <w:tcPr>
            <w:tcW w:w="6020" w:type="dxa"/>
            <w:vAlign w:val="bottom"/>
            <w:gridSpan w:val="2"/>
          </w:tcPr>
          <w:p>
            <w:pPr>
              <w:ind w:left="540"/>
              <w:spacing w:after="0" w:line="195" w:lineRule="exact"/>
              <w:rPr>
                <w:sz w:val="20"/>
                <w:szCs w:val="20"/>
                <w:color w:val="auto"/>
              </w:rPr>
            </w:pPr>
            <w:r>
              <w:rPr>
                <w:rFonts w:ascii="Arial" w:cs="Arial" w:eastAsia="Arial" w:hAnsi="Arial"/>
                <w:sz w:val="18"/>
                <w:szCs w:val="18"/>
                <w:color w:val="auto"/>
                <w:w w:val="89"/>
              </w:rPr>
              <w:t>Form of Director Stock Option Agreement under the 2000 Plan (incorporated</w:t>
            </w:r>
          </w:p>
        </w:tc>
        <w:tc>
          <w:tcPr>
            <w:tcW w:w="4760" w:type="dxa"/>
            <w:vAlign w:val="bottom"/>
          </w:tcPr>
          <w:p>
            <w:pPr>
              <w:spacing w:after="0" w:line="195" w:lineRule="exact"/>
              <w:rPr>
                <w:sz w:val="20"/>
                <w:szCs w:val="20"/>
                <w:color w:val="auto"/>
              </w:rPr>
            </w:pPr>
            <w:r>
              <w:rPr>
                <w:rFonts w:ascii="Arial" w:cs="Arial" w:eastAsia="Arial" w:hAnsi="Arial"/>
                <w:sz w:val="18"/>
                <w:szCs w:val="18"/>
                <w:color w:val="auto"/>
                <w:w w:val="93"/>
              </w:rPr>
              <w:t>by reference to Exhibit 10.4 to the Company’s Annual Report 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Proxy Statement on Schedule 14A filed May 2 2011).</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2009 Omnibus Incentive Compensation Plan (incorporated by reference to Appendix B to the Company’s Proxy Statement on Schedule 14A,</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filed May 2, 2011).</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September 13, 2010).</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2011 Senior Management Incentive Plan (incorporated by reference to Exhibit 10.1 to the Company’s Quarterly Report on Form 10-Q for the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period ended June 30, 2011, filed on August 9, 2011).</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22"/>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282"/>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31.2**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32.1**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906 of the Sarbanes-Oxley Act of 2002.</w:t>
            </w:r>
          </w:p>
        </w:tc>
      </w:tr>
    </w:tbl>
    <w:p>
      <w:pPr>
        <w:spacing w:after="0" w:line="61" w:lineRule="exact"/>
        <w:rPr>
          <w:sz w:val="20"/>
          <w:szCs w:val="20"/>
          <w:color w:val="auto"/>
        </w:rPr>
      </w:pPr>
    </w:p>
    <w:p>
      <w:pPr>
        <w:ind w:left="1160" w:hanging="1152"/>
        <w:spacing w:after="0" w:line="298"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Annual Report on Form 10-K for the year ended December 31, 2011 formatted in eXtensible Business Reporting Language (XBRL): (i) Consolidated Balance Sheets; (ii) Consolidated Statements of Operations; (iii) Consolidated Statements of Stockholders’ Equity and Comprehensive Income (Loss); (iv) Consolidated Statements of Cash Flows; and (v) the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right="6760" w:firstLine="8"/>
        <w:spacing w:after="0" w:line="268"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320"/>
          </w:cols>
          <w:pgMar w:left="240" w:top="45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1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300" w:type="dxa"/>
            <w:vAlign w:val="bottom"/>
          </w:tcPr>
          <w:p>
            <w:pPr>
              <w:jc w:val="center"/>
              <w:ind w:right="1672"/>
              <w:spacing w:after="0"/>
              <w:rPr>
                <w:sz w:val="20"/>
                <w:szCs w:val="20"/>
                <w:color w:val="auto"/>
              </w:rPr>
            </w:pPr>
            <w:r>
              <w:rPr>
                <w:rFonts w:ascii="Arial" w:cs="Arial" w:eastAsia="Arial" w:hAnsi="Arial"/>
                <w:sz w:val="18"/>
                <w:szCs w:val="18"/>
                <w:b w:val="1"/>
                <w:bCs w:val="1"/>
                <w:color w:val="auto"/>
                <w:w w:val="85"/>
              </w:rPr>
              <w:t>Subsidiaries of</w:t>
            </w:r>
          </w:p>
        </w:tc>
        <w:tc>
          <w:tcPr>
            <w:tcW w:w="406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State or Other Jurisdiction of</w:t>
            </w:r>
          </w:p>
        </w:tc>
      </w:tr>
      <w:tr>
        <w:trPr>
          <w:trHeight w:val="228"/>
        </w:trPr>
        <w:tc>
          <w:tcPr>
            <w:tcW w:w="4300" w:type="dxa"/>
            <w:vAlign w:val="bottom"/>
          </w:tcPr>
          <w:p>
            <w:pPr>
              <w:jc w:val="center"/>
              <w:ind w:right="1672"/>
              <w:spacing w:after="0"/>
              <w:rPr>
                <w:sz w:val="20"/>
                <w:szCs w:val="20"/>
                <w:color w:val="auto"/>
              </w:rPr>
            </w:pPr>
            <w:r>
              <w:rPr>
                <w:rFonts w:ascii="Arial" w:cs="Arial" w:eastAsia="Arial" w:hAnsi="Arial"/>
                <w:sz w:val="18"/>
                <w:szCs w:val="18"/>
                <w:b w:val="1"/>
                <w:bCs w:val="1"/>
                <w:color w:val="auto"/>
                <w:w w:val="87"/>
              </w:rPr>
              <w:t>Novatel Wireless, Inc.</w:t>
            </w:r>
          </w:p>
        </w:tc>
        <w:tc>
          <w:tcPr>
            <w:tcW w:w="4060" w:type="dxa"/>
            <w:vAlign w:val="bottom"/>
          </w:tcPr>
          <w:p>
            <w:pPr>
              <w:jc w:val="center"/>
              <w:ind w:left="1652"/>
              <w:spacing w:after="0"/>
              <w:rPr>
                <w:sz w:val="20"/>
                <w:szCs w:val="20"/>
                <w:color w:val="auto"/>
              </w:rPr>
            </w:pPr>
            <w:r>
              <w:rPr>
                <w:rFonts w:ascii="Arial" w:cs="Arial" w:eastAsia="Arial" w:hAnsi="Arial"/>
                <w:sz w:val="18"/>
                <w:szCs w:val="18"/>
                <w:b w:val="1"/>
                <w:bCs w:val="1"/>
                <w:color w:val="auto"/>
                <w:w w:val="91"/>
              </w:rPr>
              <w:t>Incorporation or Organization</w:t>
            </w:r>
          </w:p>
        </w:tc>
      </w:tr>
      <w:tr>
        <w:trPr>
          <w:trHeight w:val="223"/>
        </w:trPr>
        <w:tc>
          <w:tcPr>
            <w:tcW w:w="4300" w:type="dxa"/>
            <w:vAlign w:val="bottom"/>
          </w:tcPr>
          <w:p>
            <w:pPr>
              <w:jc w:val="center"/>
              <w:ind w:right="1652"/>
              <w:spacing w:after="0"/>
              <w:rPr>
                <w:sz w:val="20"/>
                <w:szCs w:val="20"/>
                <w:color w:val="auto"/>
              </w:rPr>
            </w:pPr>
            <w:r>
              <w:rPr>
                <w:rFonts w:ascii="Arial" w:cs="Arial" w:eastAsia="Arial" w:hAnsi="Arial"/>
                <w:sz w:val="18"/>
                <w:szCs w:val="18"/>
                <w:color w:val="auto"/>
                <w:w w:val="89"/>
              </w:rPr>
              <w:t>Novatel Wireless Technologies, Ltd.</w:t>
            </w:r>
          </w:p>
        </w:tc>
        <w:tc>
          <w:tcPr>
            <w:tcW w:w="4060" w:type="dxa"/>
            <w:vAlign w:val="bottom"/>
          </w:tcPr>
          <w:p>
            <w:pPr>
              <w:jc w:val="center"/>
              <w:ind w:left="1632"/>
              <w:spacing w:after="0"/>
              <w:rPr>
                <w:sz w:val="20"/>
                <w:szCs w:val="20"/>
                <w:color w:val="auto"/>
              </w:rPr>
            </w:pPr>
            <w:r>
              <w:rPr>
                <w:rFonts w:ascii="Arial" w:cs="Arial" w:eastAsia="Arial" w:hAnsi="Arial"/>
                <w:sz w:val="18"/>
                <w:szCs w:val="18"/>
                <w:color w:val="auto"/>
                <w:w w:val="87"/>
              </w:rPr>
              <w:t>Alberta, Canada</w:t>
            </w:r>
          </w:p>
        </w:tc>
      </w:tr>
      <w:tr>
        <w:trPr>
          <w:trHeight w:val="216"/>
        </w:trPr>
        <w:tc>
          <w:tcPr>
            <w:tcW w:w="4300" w:type="dxa"/>
            <w:vAlign w:val="bottom"/>
          </w:tcPr>
          <w:p>
            <w:pPr>
              <w:jc w:val="center"/>
              <w:ind w:right="1672"/>
              <w:spacing w:after="0"/>
              <w:rPr>
                <w:sz w:val="20"/>
                <w:szCs w:val="20"/>
                <w:color w:val="auto"/>
              </w:rPr>
            </w:pPr>
            <w:r>
              <w:rPr>
                <w:rFonts w:ascii="Arial" w:cs="Arial" w:eastAsia="Arial" w:hAnsi="Arial"/>
                <w:sz w:val="18"/>
                <w:szCs w:val="18"/>
                <w:color w:val="auto"/>
                <w:w w:val="89"/>
              </w:rPr>
              <w:t>Novatel Wireless Solutions, Inc.</w:t>
            </w:r>
          </w:p>
        </w:tc>
        <w:tc>
          <w:tcPr>
            <w:tcW w:w="4060" w:type="dxa"/>
            <w:vAlign w:val="bottom"/>
          </w:tcPr>
          <w:p>
            <w:pPr>
              <w:jc w:val="center"/>
              <w:ind w:left="1652"/>
              <w:spacing w:after="0"/>
              <w:rPr>
                <w:sz w:val="20"/>
                <w:szCs w:val="20"/>
                <w:color w:val="auto"/>
              </w:rPr>
            </w:pPr>
            <w:r>
              <w:rPr>
                <w:rFonts w:ascii="Arial" w:cs="Arial" w:eastAsia="Arial" w:hAnsi="Arial"/>
                <w:sz w:val="18"/>
                <w:szCs w:val="18"/>
                <w:color w:val="auto"/>
                <w:w w:val="89"/>
              </w:rPr>
              <w:t>Delaware</w:t>
            </w:r>
          </w:p>
        </w:tc>
      </w:tr>
      <w:tr>
        <w:trPr>
          <w:trHeight w:val="222"/>
        </w:trPr>
        <w:tc>
          <w:tcPr>
            <w:tcW w:w="4300" w:type="dxa"/>
            <w:vAlign w:val="bottom"/>
          </w:tcPr>
          <w:p>
            <w:pPr>
              <w:jc w:val="center"/>
              <w:ind w:right="1672"/>
              <w:spacing w:after="0"/>
              <w:rPr>
                <w:sz w:val="20"/>
                <w:szCs w:val="20"/>
                <w:color w:val="auto"/>
              </w:rPr>
            </w:pPr>
            <w:r>
              <w:rPr>
                <w:rFonts w:ascii="Arial" w:cs="Arial" w:eastAsia="Arial" w:hAnsi="Arial"/>
                <w:sz w:val="18"/>
                <w:szCs w:val="18"/>
                <w:color w:val="auto"/>
                <w:w w:val="89"/>
              </w:rPr>
              <w:t>Enfora, Inc.</w:t>
            </w:r>
          </w:p>
        </w:tc>
        <w:tc>
          <w:tcPr>
            <w:tcW w:w="4060" w:type="dxa"/>
            <w:vAlign w:val="bottom"/>
          </w:tcPr>
          <w:p>
            <w:pPr>
              <w:jc w:val="center"/>
              <w:ind w:left="1652"/>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Registration Statements:</w:t>
      </w:r>
    </w:p>
    <w:p>
      <w:pPr>
        <w:spacing w:after="0" w:line="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333-176490) pertaining to the Amended and Restated 2000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2000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333-145482) pertaining to 2000 Stock Incentive Plan and 2000 Employee Stock Purchase Plan;</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2000 Stock Incentive Plan, 2000 Employee Stock Purchase Plan and 1997 Stock Incentive Plan;</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No. 333-162020) and related prospectus pertaining to the registration of $125,000,000 of debt securities, common stock, preferred stock, subscription rights, depositary shares, warrants, purchase contracts and units;</w:t>
      </w:r>
    </w:p>
    <w:p>
      <w:pPr>
        <w:spacing w:after="0" w:line="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of our reports dated March 5, 2012, with respect to the consolidated financial statements and schedule of Novatel Wireless, Inc., and the effectiveness of internal control over financial reporting of Novatel Wireless, Inc. included in this Annual Report (Form 10-K) for the year ended December 31, 2011.</w:t>
      </w:r>
    </w:p>
    <w:p>
      <w:pPr>
        <w:spacing w:after="0" w:line="8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2012</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5, 2012</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5, 2012</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of this Annual report on Form 10-K of Novatel Wireless, Inc. (the “Company”) for the year ended December 31, 2011, as filed with the Securities and Exchange Commission on the date hereof (the “Report”), Peter Leparulo, Chairman and Chief Executive Officer of the Company, and Kenneth Leddon, Senior Vice President and Chief Financial Officer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43"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760" w:val="left"/>
          <w:tab w:leader="none" w:pos="8120" w:val="left"/>
        </w:tabs>
        <w:rPr>
          <w:sz w:val="20"/>
          <w:szCs w:val="20"/>
          <w:color w:val="auto"/>
        </w:rPr>
      </w:pPr>
      <w:r>
        <w:rPr>
          <w:rFonts w:ascii="Arial" w:cs="Arial" w:eastAsia="Arial" w:hAnsi="Arial"/>
          <w:sz w:val="18"/>
          <w:szCs w:val="18"/>
          <w:color w:val="auto"/>
        </w:rPr>
        <w:t>Date: March 5, 2012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0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lowerRoman"/>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6"/>
    </w:lvl>
  </w:abstractNum>
  <w:abstractNum w:abstractNumId="31">
    <w:nsid w:val="5E884ADC"/>
    <w:multiLevelType w:val="hybridMultilevel"/>
    <w:lvl w:ilvl="0">
      <w:lvlJc w:val="left"/>
      <w:lvlText w:val="%1."/>
      <w:numFmt w:val="decimal"/>
      <w:start w:val="7"/>
    </w:lvl>
  </w:abstractNum>
  <w:abstractNum w:abstractNumId="32">
    <w:nsid w:val="51EAD36B"/>
    <w:multiLevelType w:val="hybridMultilevel"/>
    <w:lvl w:ilvl="0">
      <w:lvlJc w:val="left"/>
      <w:lvlText w:val="%1."/>
      <w:numFmt w:val="decimal"/>
      <w:start w:val="8"/>
    </w:lvl>
  </w:abstractNum>
  <w:abstractNum w:abstractNumId="33">
    <w:nsid w:val="2D517796"/>
    <w:multiLevelType w:val="hybridMultilevel"/>
    <w:lvl w:ilvl="0">
      <w:lvlJc w:val="left"/>
      <w:lvlText w:val="%1."/>
      <w:numFmt w:val="decimal"/>
      <w:start w:val="9"/>
    </w:lvl>
  </w:abstractNum>
  <w:abstractNum w:abstractNumId="34">
    <w:nsid w:val="580BD78F"/>
    <w:multiLevelType w:val="hybridMultilevel"/>
    <w:lvl w:ilvl="0">
      <w:lvlJc w:val="left"/>
      <w:lvlText w:val="%1."/>
      <w:numFmt w:val="decimal"/>
      <w:start w:val="10"/>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2"/>
    </w:lvl>
  </w:abstractNum>
  <w:abstractNum w:abstractNumId="38">
    <w:nsid w:val="6A2342EC"/>
    <w:multiLevelType w:val="hybridMultilevel"/>
    <w:lvl w:ilvl="0">
      <w:lvlJc w:val="left"/>
      <w:lvlText w:val="%1."/>
      <w:numFmt w:val="decimal"/>
      <w:start w:val="13"/>
    </w:lvl>
  </w:abstractNum>
  <w:abstractNum w:abstractNumId="39">
    <w:nsid w:val="2A487CB0"/>
    <w:multiLevelType w:val="hybridMultilevel"/>
    <w:lvl w:ilvl="0">
      <w:lvlJc w:val="left"/>
      <w:lvlText w:val="%1."/>
      <w:numFmt w:val="decimal"/>
      <w:start w:val="14"/>
    </w:lvl>
  </w:abstractNum>
  <w:abstractNum w:abstractNumId="40">
    <w:nsid w:val="1D4ED43B"/>
    <w:multiLevelType w:val="hybridMultilevel"/>
    <w:lvl w:ilvl="0">
      <w:lvlJc w:val="left"/>
      <w:lvlText w:val="%1"/>
      <w:numFmt w:val="decimal"/>
      <w:start w:val="10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2019-12-09T13:09:49Z</dcterms:created>
  <dcterms:modified xsi:type="dcterms:W3CDTF">2019-12-09T13:09:49Z</dcterms:modified>
</cp:coreProperties>
</file>