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6997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January 28,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200025</wp:posOffset>
            </wp:positionV>
            <wp:extent cx="6997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6997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14" w:right="419" w:bottom="1440" w:gutter="0" w:footer="0" w:header="0"/>
        </w:sectPr>
      </w:pPr>
    </w:p>
    <w:p>
      <w:pPr>
        <w:spacing w:after="0" w:line="200" w:lineRule="exact"/>
        <w:rPr>
          <w:sz w:val="24"/>
          <w:szCs w:val="24"/>
          <w:color w:val="auto"/>
        </w:rPr>
      </w:pPr>
    </w:p>
    <w:p>
      <w:pPr>
        <w:spacing w:after="0" w:line="370"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31" w:lineRule="exact"/>
        <w:rPr>
          <w:sz w:val="24"/>
          <w:szCs w:val="24"/>
          <w:color w:val="auto"/>
        </w:rPr>
      </w:pPr>
    </w:p>
    <w:p>
      <w:pPr>
        <w:sectPr>
          <w:pgSz w:w="11900" w:h="16838" w:orient="portrait"/>
          <w:cols w:equalWidth="0" w:num="3">
            <w:col w:w="4520" w:space="720"/>
            <w:col w:w="2860" w:space="720"/>
            <w:col w:w="2220"/>
          </w:cols>
          <w:pgMar w:left="440" w:top="314"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14"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Alpharetta, Georgia 30004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14" w:right="419" w:bottom="1440" w:gutter="0" w:footer="0" w:header="0"/>
          <w:type w:val="continuous"/>
        </w:sectPr>
      </w:pPr>
    </w:p>
    <w:p>
      <w:pPr>
        <w:spacing w:after="0" w:line="200" w:lineRule="exact"/>
        <w:rPr>
          <w:sz w:val="24"/>
          <w:szCs w:val="24"/>
          <w:color w:val="auto"/>
        </w:rPr>
      </w:pPr>
    </w:p>
    <w:p>
      <w:pPr>
        <w:spacing w:after="0" w:line="30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7"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32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Title of each class</w:t>
            </w:r>
          </w:p>
        </w:tc>
        <w:tc>
          <w:tcPr>
            <w:tcW w:w="25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Trading Symbol(s)</w:t>
            </w:r>
          </w:p>
        </w:tc>
        <w:tc>
          <w:tcPr>
            <w:tcW w:w="41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323"/>
        </w:trPr>
        <w:tc>
          <w:tcPr>
            <w:tcW w:w="432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Common Stock, par value $0.001 per share</w:t>
            </w:r>
          </w:p>
        </w:tc>
        <w:tc>
          <w:tcPr>
            <w:tcW w:w="2560" w:type="dxa"/>
            <w:vAlign w:val="bottom"/>
            <w:tcBorders>
              <w:right w:val="single" w:sz="8" w:color="auto"/>
            </w:tcBorders>
          </w:tcPr>
          <w:p>
            <w:pPr>
              <w:spacing w:after="0"/>
              <w:rPr>
                <w:sz w:val="24"/>
                <w:szCs w:val="24"/>
                <w:color w:val="auto"/>
              </w:rPr>
            </w:pPr>
          </w:p>
        </w:tc>
        <w:tc>
          <w:tcPr>
            <w:tcW w:w="4160" w:type="dxa"/>
            <w:vAlign w:val="bottom"/>
            <w:tcBorders>
              <w:right w:val="single" w:sz="8" w:color="auto"/>
            </w:tcBorders>
          </w:tcPr>
          <w:p>
            <w:pPr>
              <w:spacing w:after="0"/>
              <w:rPr>
                <w:sz w:val="24"/>
                <w:szCs w:val="24"/>
                <w:color w:val="auto"/>
              </w:rPr>
            </w:pPr>
          </w:p>
        </w:tc>
      </w:tr>
      <w:tr>
        <w:trPr>
          <w:trHeight w:val="251"/>
        </w:trPr>
        <w:tc>
          <w:tcPr>
            <w:tcW w:w="432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Preferred Stock Purchase Rights</w:t>
            </w:r>
          </w:p>
        </w:tc>
        <w:tc>
          <w:tcPr>
            <w:tcW w:w="2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INSG</w:t>
            </w:r>
          </w:p>
        </w:tc>
        <w:tc>
          <w:tcPr>
            <w:tcW w:w="41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NASDAQ Global Select Market</w:t>
            </w:r>
          </w:p>
        </w:tc>
      </w:tr>
    </w:tbl>
    <w:p>
      <w:pPr>
        <w:spacing w:after="0" w:line="20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22225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14" w:right="419" w:bottom="1440" w:gutter="0" w:footer="0" w:header="0"/>
          <w:type w:val="continuous"/>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00" w:lineRule="exact"/>
        <w:rPr>
          <w:sz w:val="20"/>
          <w:szCs w:val="20"/>
          <w:color w:val="auto"/>
        </w:rPr>
      </w:pPr>
    </w:p>
    <w:p>
      <w:pPr>
        <w:spacing w:after="0" w:line="24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28, 2020, Inseego Corp. (the “Company”) entered into a privately-negotiated exchange agreement (the “Agreement”) with one investor holding the Company’s 5.50% Convertible Senior Notes due 2022 (“Notes”), which were issued in accordance with the terms of that certain Indenture, dated January 9, 2017, by and between the Company and Wilmington Trust, National Association, acting as trustee (the “Indenture”). Pursuant to the Agreement, the investor will exchange $3,163,000 aggregate principal amount of outstanding Notes (the “Exchanged Notes”) for an aggregate of 716,205 shares of the Company’s common stock, par value $0.001 per share (“Exchange Shares”). The investor has agreed to waive any accrued but unpaid interest on the Exchanged Notes. The transactions contemplated by the Agreement are anticipated to close on January 28, 2020.</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Exchange Shares will be issued in reliance on the exemption from registration provided by Section 3(a)(9) of the Securities Act of 1933, as amended, as securities exchanged by the Company with its existing security holders exclusively where no commission or other remuneration is paid or given directly or indirectly for soliciting the exchange.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will be filed with the Securities and Exchange Commission as an exhibit to the Company’s Annual Report on Form 10-K for the year ended December 31, 2019.</w:t>
      </w:r>
    </w:p>
    <w:p>
      <w:pPr>
        <w:spacing w:after="0" w:line="20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by reference into this Item 3.02.</w:t>
      </w:r>
    </w:p>
    <w:p>
      <w:pPr>
        <w:sectPr>
          <w:pgSz w:w="11900" w:h="16838" w:orient="portrait"/>
          <w:cols w:equalWidth="0" w:num="1">
            <w:col w:w="11020"/>
          </w:cols>
          <w:pgMar w:left="440" w:top="270" w:right="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380" w:type="dxa"/>
            <w:vAlign w:val="bottom"/>
            <w:gridSpan w:val="2"/>
          </w:tcPr>
          <w:p>
            <w:pPr>
              <w:ind w:left="1980"/>
              <w:spacing w:after="0"/>
              <w:rPr>
                <w:sz w:val="20"/>
                <w:szCs w:val="20"/>
                <w:color w:val="auto"/>
              </w:rPr>
            </w:pPr>
            <w:r>
              <w:rPr>
                <w:rFonts w:ascii="Arial" w:cs="Arial" w:eastAsia="Arial" w:hAnsi="Arial"/>
                <w:sz w:val="18"/>
                <w:szCs w:val="18"/>
                <w:b w:val="1"/>
                <w:bCs w:val="1"/>
                <w:color w:val="auto"/>
              </w:rPr>
              <w:t>INSEEGO CORP.</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28, 2020</w:t>
            </w:r>
          </w:p>
        </w:tc>
        <w:tc>
          <w:tcPr>
            <w:tcW w:w="7380" w:type="dxa"/>
            <w:vAlign w:val="bottom"/>
            <w:gridSpan w:val="2"/>
          </w:tcPr>
          <w:p>
            <w:pPr>
              <w:ind w:left="1980"/>
              <w:spacing w:after="0"/>
              <w:rPr>
                <w:sz w:val="20"/>
                <w:szCs w:val="20"/>
                <w:color w:val="auto"/>
              </w:rPr>
            </w:pPr>
            <w:r>
              <w:rPr>
                <w:rFonts w:ascii="Arial" w:cs="Arial" w:eastAsia="Arial" w:hAnsi="Arial"/>
                <w:sz w:val="18"/>
                <w:szCs w:val="18"/>
                <w:color w:val="auto"/>
              </w:rPr>
              <w:t>By:   /s/ Stephen Smith</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080" w:type="dxa"/>
            <w:vAlign w:val="bottom"/>
            <w:tcBorders>
              <w:top w:val="single" w:sz="8" w:color="auto"/>
            </w:tcBorders>
          </w:tcPr>
          <w:p>
            <w:pPr>
              <w:ind w:left="200"/>
              <w:spacing w:after="0" w:line="195" w:lineRule="exact"/>
              <w:rPr>
                <w:sz w:val="20"/>
                <w:szCs w:val="20"/>
                <w:color w:val="auto"/>
              </w:rPr>
            </w:pPr>
            <w:r>
              <w:rPr>
                <w:rFonts w:ascii="Arial" w:cs="Arial" w:eastAsia="Arial" w:hAnsi="Arial"/>
                <w:sz w:val="18"/>
                <w:szCs w:val="18"/>
                <w:color w:val="auto"/>
              </w:rPr>
              <w:t>Name: Stephen Smith</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080" w:type="dxa"/>
            <w:vAlign w:val="bottom"/>
          </w:tcPr>
          <w:p>
            <w:pPr>
              <w:ind w:left="200"/>
              <w:spacing w:after="0"/>
              <w:rPr>
                <w:sz w:val="20"/>
                <w:szCs w:val="20"/>
                <w:color w:val="auto"/>
              </w:rPr>
            </w:pPr>
            <w:r>
              <w:rPr>
                <w:rFonts w:ascii="Arial" w:cs="Arial" w:eastAsia="Arial" w:hAnsi="Arial"/>
                <w:sz w:val="18"/>
                <w:szCs w:val="18"/>
                <w:color w:val="auto"/>
              </w:rPr>
              <w:t>Title: Executive Vice President and Chief Financial Officer</w:t>
            </w: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2020-01-28T05:12:07Z</dcterms:created>
  <dcterms:modified xsi:type="dcterms:W3CDTF">2020-01-28T05:12:07Z</dcterms:modified>
</cp:coreProperties>
</file>