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060" w:right="1980" w:hanging="4052"/>
        <w:spacing w:after="0" w:line="441"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2011</w:t>
      </w:r>
    </w:p>
    <w:p>
      <w:pPr>
        <w:spacing w:after="0" w:line="1"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398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w w:val="91"/>
              </w:rPr>
              <w:t>For the transition period from</w:t>
            </w:r>
          </w:p>
        </w:tc>
        <w:tc>
          <w:tcPr>
            <w:tcW w:w="52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3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3220" w:type="dxa"/>
            <w:vAlign w:val="bottom"/>
            <w:gridSpan w:val="4"/>
          </w:tcPr>
          <w:p>
            <w:pPr>
              <w:ind w:left="440"/>
              <w:spacing w:after="0"/>
              <w:rPr>
                <w:sz w:val="20"/>
                <w:szCs w:val="20"/>
                <w:color w:val="auto"/>
              </w:rPr>
            </w:pPr>
            <w:r>
              <w:rPr>
                <w:rFonts w:ascii="Arial" w:cs="Arial" w:eastAsia="Arial" w:hAnsi="Arial"/>
                <w:sz w:val="18"/>
                <w:szCs w:val="18"/>
                <w:color w:val="auto"/>
                <w:w w:val="95"/>
              </w:rPr>
              <w:t>Commission file number: 000-31659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80" w:type="dxa"/>
            <w:vAlign w:val="bottom"/>
          </w:tcPr>
          <w:p>
            <w:pPr>
              <w:jc w:val="center"/>
              <w:ind w:right="1904"/>
              <w:spacing w:after="0" w:line="149" w:lineRule="exact"/>
              <w:rPr>
                <w:sz w:val="20"/>
                <w:szCs w:val="20"/>
                <w:color w:val="auto"/>
              </w:rPr>
            </w:pPr>
            <w:r>
              <w:rPr>
                <w:rFonts w:ascii="Arial" w:cs="Arial" w:eastAsia="Arial" w:hAnsi="Arial"/>
                <w:sz w:val="14"/>
                <w:szCs w:val="14"/>
                <w:color w:val="auto"/>
                <w:w w:val="87"/>
              </w:rPr>
              <w:t>(State or Other Jurisdiction</w:t>
            </w:r>
          </w:p>
        </w:tc>
        <w:tc>
          <w:tcPr>
            <w:tcW w:w="2980" w:type="dxa"/>
            <w:vAlign w:val="bottom"/>
          </w:tcPr>
          <w:p>
            <w:pPr>
              <w:jc w:val="center"/>
              <w:ind w:left="190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of Incorporation or Organization)</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1"/>
              </w:rPr>
              <w:t>Identification No.)</w:t>
            </w:r>
          </w:p>
        </w:tc>
      </w:tr>
      <w:tr>
        <w:trPr>
          <w:trHeight w:val="408"/>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7"/>
              </w:rPr>
              <w:t>9645 Scranton Road, San Diego, CA</w:t>
            </w:r>
          </w:p>
        </w:tc>
        <w:tc>
          <w:tcPr>
            <w:tcW w:w="298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(Address of Principal Executive Offices)</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0"/>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7620" w:space="720"/>
            <w:col w:w="3020"/>
          </w:cols>
          <w:pgMar w:left="240" w:top="435" w:right="2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3">
            <w:col w:w="2840" w:space="80"/>
            <w:col w:w="4280" w:space="720"/>
            <w:col w:w="3440"/>
          </w:cols>
          <w:pgMar w:left="240" w:top="435" w:right="299" w:bottom="1440" w:gutter="0" w:footer="0" w:header="0"/>
          <w:type w:val="continuous"/>
        </w:sectPr>
      </w:pPr>
    </w:p>
    <w:p>
      <w:pPr>
        <w:ind w:left="460" w:right="2080" w:hanging="455"/>
        <w:spacing w:after="0" w:line="31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May 6, 2011 was 32,049,484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Enfora and any other business, products, technologies or personnel that we may acquire in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respectively,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companies and achieve expected acquisition synergies;</w:t>
      </w:r>
    </w:p>
    <w:p>
      <w:pPr>
        <w:spacing w:after="0" w:line="90"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 including some of our product component suppliers in Japan that have been unable to deliver sufficient quantities of components as a result of the effects of the earthquake and tsunami that occurred in Japan in March 2011;</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unexpected deterioration of global economic conditions on the demand for our products.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2010. If one or more events related to these or other risks or uncertainties materialize, or if our underlying assumptions prove to be incorrect, actual results may differ materially from what we anticipate. We undertake no obligation to publicly update or revise any forward-looking statements, except to the extent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“Freedom Box”, “Merlin”, “MiFi.Freedom. My Way”, “Conversa”, “TotalMobileInternet”,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jc w:val="center"/>
              <w:ind w:left="113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33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25,370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59,775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$261 at March 31, 2011 and $228 at December 31, 2010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55,378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43,094</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143,657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190,993</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w w:val="94"/>
              </w:rPr>
              <w:t>Property and equipment, net of accumulated depreciation of $51,196 at March 31, 2011 and $48,223 at December 31, 2010</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20,530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21,281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20,676</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$5,941 at March 31, 2011 and $4,019 at December 31, 2010</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42,343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44,265</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22,258</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251,254</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77,769</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103,819</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87,309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116,705</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Common stock, par value $0.001; 50,000 shares authorized, 32,032 and 31,852 shares issued and outstanding at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March 31, 2011 and December 31, 2010,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424,998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424,270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(236,008)</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(213,920)</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188,945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March 31, 2011 and December 31, 2010, respectively</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163,945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251,254</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61,784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72,239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net revenues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55,790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17,769</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28,064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(22,070)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Interest income,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(21,790)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(4,631)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(1,242)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 per share: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31,900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(22,088)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(12,404)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(25,926)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(36,525)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(10,878)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(55,882)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45,644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33,354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(23,274)</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720"/>
              <w:spacing w:after="0"/>
              <w:rPr>
                <w:sz w:val="20"/>
                <w:szCs w:val="20"/>
                <w:color w:val="auto"/>
              </w:rPr>
            </w:pPr>
            <w:r>
              <w:rPr>
                <w:rFonts w:ascii="Arial" w:cs="Arial" w:eastAsia="Arial" w:hAnsi="Arial"/>
                <w:sz w:val="18"/>
                <w:szCs w:val="18"/>
                <w:color w:val="auto"/>
              </w:rPr>
              <w:t>Net decrease in cash and cash equivalents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(13,961)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13,713</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cash investing activity: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2011 and the results of the Company’s operations for the three months ended March 31, 2011 and 2010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2010. The accounting policies used in preparing these consolidated financial statements are the same as those described in the Company’s Form 10-K with the exception of new accounting pronouncements adopted in 2011.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valuation of contingent consideration, royalty costs, provision for warranty costs, income taxes and share-based compensation expense.</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2010, the FASB updated its guidance related to when to perform step two of the goodwill impairment test for reporting units with zero or negative carrying amounts. The updated guidance requires that, for any reporting unit with a zero or negative carrying amount, the entity is required to perform step two of the goodwill impairment test if it is more likely than not that a goodwill impairment exists. In determining whether it is more likely than not that goodwill impairment exists, an entity should consider whether there are any adverse qualitative factors indicating that an impairment may exist. The updated guidance is effective for fiscal years, and interim periods within those years, beginning after December 15, 2010. The Company has adopted the updated guidance for its consolidated financial statements as of the fiscal year beginning January 1, 2011 and there was no material impact upon adoption.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2010, the FASB updated its guidance related to disclosure of supplementary pro forma information for business combinations. The updated guidance requires that if comparative financial statements are presented, the pro forma revenue and earnings of the combined entity for the comparable prior reporting period should be reported as though the acquisition date for all business combinations that occurred during the current year had been as of the beginning of the comparable prior annual reporting period only. The updated guidance is effective prospectively for business combinations for which the acquisition date is on or after the beginning of the first annual reporting period beginning on or after December 15, 2010, with early adoption permitted. The Company early adopted the updated guidance during its fiscal year ended December 31, 2010 and there was no material impact upon adoption.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and Acquisition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of Enfora</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November 30, 2010, the Company completed the acquisition of Enfora, a provider of intelligent asset-management solutions utilizing wireless technology and M2M communications. The acquisition of Enfora diversifies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base and product lines into adjacent markets and advances the Company’s strategy of providing intelligent devices to all end markets - enterprise, consumer and vertical applications.</w:t>
      </w:r>
    </w:p>
    <w:p>
      <w:pPr>
        <w:spacing w:after="0" w:line="1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from the date of acquisition. The Company may adjust the preliminary purchase price allocation after obtaining more information regarding preliminary estimates of net deferred tax assets and potential limitations on their use. The revenue and operating results contributed by Enfora during the three months ended March 31, 2011 are disclosed in the Company’s Segment Information and Concentrations of Risk footnote (see Note 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Actual and Pro Forma Results of Enfora Acquisition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following table presents the unaudited actual results for the three months ended March 31, 2011, and pro forma results for the three months ended March 31, 2010. The unaudited pro forma financial information for the three months ended March 31, 2010 combines the results of operations of Novatel Wireless and Enfora as though the companies had been combined as of the beginning of fiscal 2009 as previously reported in our Form 10-K. The pro forma financial information is presented for informational purposes only. The pro forma financial information is not indicative of the results of operations that would have been achieved if the acquisition had taken place at the beginning of fiscal 2009. The following unaudited actual and pro forma results presented include amortization charges for acquired intangible assets, inventory fair value adjustments, eliminations of intercompany transactions, adjustments to interest expense, reduction in share-based compensation and related tax effects (in thousands):</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3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1"/>
                <w:szCs w:val="11"/>
                <w:b w:val="1"/>
                <w:bCs w:val="1"/>
                <w:color w:val="auto"/>
              </w:rPr>
              <w:t xml:space="preserve">2010 </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$ 61,784</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$87,963</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(22,088)</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9140" w:hanging="452"/>
        <w:spacing w:after="0" w:line="493"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Pro Forma results </w:t>
      </w:r>
      <w:r>
        <w:rPr>
          <w:rFonts w:ascii="Arial" w:cs="Arial" w:eastAsia="Arial" w:hAnsi="Arial"/>
          <w:sz w:val="16"/>
          <w:szCs w:val="16"/>
          <w:i w:val="1"/>
          <w:iCs w:val="1"/>
          <w:color w:val="auto"/>
        </w:rPr>
        <w:t>Acquisition consideration</w:t>
      </w:r>
    </w:p>
    <w:p>
      <w:pPr>
        <w:ind w:right="20" w:firstLine="456"/>
        <w:spacing w:after="0" w:line="318" w:lineRule="auto"/>
        <w:rPr>
          <w:sz w:val="20"/>
          <w:szCs w:val="20"/>
          <w:color w:val="auto"/>
        </w:rPr>
      </w:pPr>
      <w:r>
        <w:rPr>
          <w:rFonts w:ascii="Arial" w:cs="Arial" w:eastAsia="Arial" w:hAnsi="Arial"/>
          <w:sz w:val="15"/>
          <w:szCs w:val="15"/>
          <w:color w:val="auto"/>
        </w:rPr>
        <w:t>Under the terms of the acquisition agreement, the Company paid cash of $64.5 million and additional cash of $13.0 million for an agreed upon amount of Enfora working capital. The Company also agreed to pay additional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has accordingly reflected this change as a benefit to general and administrative expenses for the quarter ended March 31, 2011.</w:t>
      </w:r>
    </w:p>
    <w:p>
      <w:pPr>
        <w:spacing w:after="0" w:line="175" w:lineRule="exact"/>
        <w:rPr>
          <w:sz w:val="20"/>
          <w:szCs w:val="20"/>
          <w:color w:val="auto"/>
        </w:rPr>
      </w:pPr>
    </w:p>
    <w:p>
      <w:pPr>
        <w:ind w:left="460" w:right="9400" w:hanging="452"/>
        <w:spacing w:after="0" w:line="391" w:lineRule="auto"/>
        <w:tabs>
          <w:tab w:leader="none" w:pos="17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Maturity</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in Years</w:t>
            </w: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 or less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18,306</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18,325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Government agency securities</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3"/>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10,668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Marketable equity securities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45,278</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Gross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4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86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1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$ 33,356</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8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5,259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8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1 or less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Corporate debenture/bonds</w:t>
            </w:r>
          </w:p>
        </w:tc>
        <w:tc>
          <w:tcPr>
            <w:tcW w:w="1860" w:type="dxa"/>
            <w:vAlign w:val="bottom"/>
          </w:tcPr>
          <w:p>
            <w:pPr>
              <w:spacing w:after="0" w:line="20" w:lineRule="exact"/>
              <w:rPr>
                <w:sz w:val="1"/>
                <w:szCs w:val="1"/>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8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 to 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$ 80,430</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$ 80,451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3" w:right="239" w:bottom="1440" w:gutter="0" w:footer="0" w:header="0"/>
        </w:sectPr>
      </w:pPr>
    </w:p>
    <w:bookmarkStart w:id="8" w:name="page9"/>
    <w:bookmarkEnd w:id="8"/>
    <w:p>
      <w:pPr>
        <w:ind w:right="28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2011, the Company recorded a net unrealized loss of $77,000. The Company’s net unrealized loss is the result of market conditions affecting its fixed-income, debt and equity securities, which are included in accumulated other comprehensive (loss) income in the consolidated balance sheet.</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2011, the Company did not have any investments in individual securities that have been in a continuous unrealized loss position deemed to be temporary for more than twelve months. Considering the quality of its investment securities and its historical investment management trends, the Company believes that the unrealized losses at March 31, 2011 represent a temporary condition and will not result in any significant realized losses on sale or maturity of the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$ 51,968</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$ 55,378</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$ 3,142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6,802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2,349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2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1,139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872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4"/>
          </w:tcPr>
          <w:p>
            <w:pPr>
              <w:jc w:val="right"/>
              <w:ind w:right="140"/>
              <w:spacing w:after="0"/>
              <w:rPr>
                <w:sz w:val="20"/>
                <w:szCs w:val="20"/>
                <w:color w:val="auto"/>
              </w:rPr>
            </w:pPr>
            <w:r>
              <w:rPr>
                <w:rFonts w:ascii="Arial" w:cs="Arial" w:eastAsia="Arial" w:hAnsi="Arial"/>
                <w:sz w:val="18"/>
                <w:szCs w:val="18"/>
                <w:color w:val="auto"/>
              </w:rPr>
              <w:t>$ 22,391</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4"/>
          </w:tcPr>
          <w:p>
            <w:pPr>
              <w:jc w:val="right"/>
              <w:ind w:right="1500"/>
              <w:spacing w:after="0" w:line="149" w:lineRule="exact"/>
              <w:rPr>
                <w:sz w:val="20"/>
                <w:szCs w:val="20"/>
                <w:color w:val="auto"/>
              </w:rPr>
            </w:pPr>
            <w:r>
              <w:rPr>
                <w:rFonts w:ascii="Arial" w:cs="Arial" w:eastAsia="Arial" w:hAnsi="Arial"/>
                <w:sz w:val="14"/>
                <w:szCs w:val="14"/>
                <w:b w:val="1"/>
                <w:bCs w:val="1"/>
                <w:color w:val="auto"/>
              </w:rPr>
              <w:t>March 31,</w:t>
            </w:r>
          </w:p>
        </w:tc>
        <w:tc>
          <w:tcPr>
            <w:tcW w:w="13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at beginning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Warranty liability at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 2011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technology-Modules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$18,500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technology-Integrated Products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Covenant-not-to-compete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Backlog</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44,220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44,220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43,386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purchased intangible assets that is currently estimated to be expensed in the remainder of 2011 and thereafter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2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(remaining 9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2016</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60" w:firstLine="456"/>
        <w:spacing w:after="0" w:line="268" w:lineRule="auto"/>
        <w:rPr>
          <w:sz w:val="20"/>
          <w:szCs w:val="20"/>
          <w:color w:val="auto"/>
        </w:rPr>
      </w:pPr>
      <w:r>
        <w:rPr>
          <w:rFonts w:ascii="Arial" w:cs="Arial" w:eastAsia="Arial" w:hAnsi="Arial"/>
          <w:sz w:val="18"/>
          <w:szCs w:val="18"/>
          <w:color w:val="auto"/>
        </w:rPr>
        <w:t>Additionally, at March 31, 2011 and December 31, 2010, the Company had $804,000 and $879,000, respectively, of acquired software licenses, net, representing rights to use certain software necessary for commercial sale of the Company’s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Fair Value Measurement of Assets and Liabilities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fair value measurements relate to its cash equivalents, corporate bonds, and marketable equity securities, which are classified pursuant to authoritative guidance for fair value measurements. The Company places its cash equivalents and marketable securities in instruments that meet credit quality standards, as specified in its investment policy guidelines. These guidelines also limit the amount of credit exposure to any one issue, issuer or type of instrument.</w:t>
      </w:r>
    </w:p>
    <w:p>
      <w:pPr>
        <w:spacing w:after="0" w:line="8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Company’s cash equivalents consist of its investment in money market securities and treasury bills. The Company’s marketable equity securities consist primarily of investments in common stock of an entity in the wireless industry. The Company values its investments in money market and equity securities based on quoted market prices in active markets (Level 1 of the fair value hierarchy).</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marketable securities consist primarily of investment-grade corporate bonds, municipal bonds, time deposits, and government and agency securities. These types of financial instruments are valued based on quoted prices in markets that are not active, broker or dealer quotations, or alternative pricing sources with reasonable levels of price transparency (Level 2 of the fair value hierarchy). From time to time, the Company may utilize foreign exchange forward contracts. These contracts are valued using pricing models that take into account the currency rates as of the balance sheet date (level 2 of the fair value hierarchy).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1" w:name="page12"/>
    <w:bookmarkEnd w:id="11"/>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March 31, 2011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4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23"/>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4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2,255</w:t>
            </w:r>
          </w:p>
        </w:tc>
        <w:tc>
          <w:tcPr>
            <w:tcW w:w="4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2,255</w:t>
            </w:r>
          </w:p>
        </w:tc>
        <w:tc>
          <w:tcPr>
            <w:tcW w:w="4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18,325</w:t>
            </w:r>
          </w:p>
        </w:tc>
        <w:tc>
          <w:tcPr>
            <w:tcW w:w="4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18,325</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25,370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10,664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2,128</w:t>
            </w:r>
          </w:p>
        </w:tc>
        <w:tc>
          <w:tcPr>
            <w:tcW w:w="4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2,128</w:t>
            </w:r>
          </w:p>
        </w:tc>
        <w:tc>
          <w:tcPr>
            <w:tcW w:w="4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c>
          <w:tcPr>
            <w:tcW w:w="1100" w:type="dxa"/>
            <w:vAlign w:val="bottom"/>
            <w:gridSpan w:val="3"/>
          </w:tcPr>
          <w:p>
            <w:pPr>
              <w:ind w:left="64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19,831</w:t>
            </w:r>
          </w:p>
        </w:tc>
        <w:tc>
          <w:tcPr>
            <w:tcW w:w="400" w:type="dxa"/>
            <w:vAlign w:val="bottom"/>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347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19,484</w:t>
            </w:r>
          </w:p>
        </w:tc>
        <w:tc>
          <w:tcPr>
            <w:tcW w:w="40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51,263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three months ended March 31, 2011. All of our long-term marketable debt securities had maturities of between one and two years in duration at March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Level 3 activity for our contingent consideration liability for the three months ended March 31, 2011 (in thousands):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Contingent consideration liability</w:t>
            </w:r>
          </w:p>
        </w:tc>
        <w:tc>
          <w:tcPr>
            <w:tcW w:w="2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at January 1, 2011</w:t>
            </w:r>
          </w:p>
        </w:tc>
        <w:tc>
          <w:tcPr>
            <w:tcW w:w="284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99"/>
              </w:rPr>
              <w:t>$(880)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3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at March 31, 2011</w:t>
            </w:r>
          </w:p>
        </w:tc>
        <w:tc>
          <w:tcPr>
            <w:tcW w:w="284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March 31, 2011, the Company had no outstanding foreign exchange forward contracts. On December 31, 2010, the Company recorded an unrealized loss of $8,000 on its outstanding foreign currency exchange forward contracts. These contracts were utilized to hedge the Company’s Euro-denominated cash and accounts receivable balances.</w:t>
      </w:r>
    </w:p>
    <w:p>
      <w:pPr>
        <w:spacing w:after="0" w:line="14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For the three months ended March 31, 2011 and 2010, the Company recorded a loss of $19,000 and a gain of $157,000, respectively, on its Euro-denominated foreign exchange forward contracts. All recorded gains and losses on foreign exchange transactions are recorded in other (income) expense.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months ended March 31, 2011 and 2010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2 0 11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2"/>
              </w:rPr>
              <w:t>2 0 10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0" w:type="dxa"/>
            <w:vAlign w:val="bottom"/>
            <w:vMerge w:val="restart"/>
          </w:tcPr>
          <w:p>
            <w:pPr>
              <w:jc w:val="right"/>
              <w:ind w:right="351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left="460" w:right="752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management for making decisions and assessing performance as the source of the Company’s reportable segments.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ad services via cellular wireless networks. All products within the segment represent a single product family.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M2M Products and Solutions segment - includes our intelligent asset-management solutions utilizing wireless technology and M2M communications acquired with our acquisition of Enfora.</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revenue, cost of goods sold, sales and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and integration costs.</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presents net revenue from external customers, income (loss) from operations and identifiable assets for our reportable segments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revenues by operating segment:</w:t>
            </w:r>
          </w:p>
        </w:tc>
        <w:tc>
          <w:tcPr>
            <w:tcW w:w="4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1460" w:type="dxa"/>
            <w:vAlign w:val="bottom"/>
            <w:tcBorders>
              <w:top w:val="single" w:sz="8" w:color="CCEEFF"/>
            </w:tcBorders>
            <w:gridSpan w:val="2"/>
          </w:tcPr>
          <w:p>
            <w:pPr>
              <w:spacing w:after="0"/>
              <w:rPr>
                <w:sz w:val="18"/>
                <w:szCs w:val="18"/>
                <w:color w:val="auto"/>
              </w:rPr>
            </w:pPr>
          </w:p>
        </w:tc>
        <w:tc>
          <w:tcPr>
            <w:tcW w:w="4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49,796</w:t>
            </w: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4"/>
              </w:rPr>
              <w:t>72,239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11,988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5"/>
            <w:vMerge w:val="continue"/>
          </w:tcPr>
          <w:p>
            <w:pPr>
              <w:spacing w:after="0"/>
              <w:rPr>
                <w:sz w:val="19"/>
                <w:szCs w:val="19"/>
                <w:color w:val="auto"/>
              </w:rPr>
            </w:pPr>
          </w:p>
        </w:tc>
        <w:tc>
          <w:tcPr>
            <w:tcW w:w="4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61,784</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Operating loss:</w:t>
            </w:r>
          </w:p>
        </w:tc>
        <w:tc>
          <w:tcPr>
            <w:tcW w:w="2980" w:type="dxa"/>
            <w:vAlign w:val="bottom"/>
            <w:tcBorders>
              <w:bottom w:val="single" w:sz="8" w:color="CCEEFF"/>
            </w:tcBorders>
            <w:gridSpan w:val="3"/>
            <w:shd w:val="clear" w:color="auto" w:fill="CCEEFF"/>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 (16,681)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5"/>
            <w:vMerge w:val="continue"/>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 (22,070)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1"/>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Identifiable assets by reportable segment:</w:t>
            </w:r>
          </w:p>
        </w:tc>
        <w:tc>
          <w:tcPr>
            <w:tcW w:w="4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102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$172,183</w:t>
            </w: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$217,445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79,071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gridSpan w:val="5"/>
          </w:tcPr>
          <w:p>
            <w:pPr>
              <w:spacing w:after="0"/>
              <w:rPr>
                <w:sz w:val="20"/>
                <w:szCs w:val="20"/>
                <w:color w:val="auto"/>
              </w:rPr>
            </w:pPr>
            <w:r>
              <w:rPr>
                <w:rFonts w:ascii="Arial" w:cs="Arial" w:eastAsia="Arial" w:hAnsi="Arial"/>
                <w:sz w:val="18"/>
                <w:szCs w:val="18"/>
                <w:color w:val="auto"/>
              </w:rPr>
              <w:t>Total</w:t>
            </w:r>
          </w:p>
        </w:tc>
        <w:tc>
          <w:tcPr>
            <w:tcW w:w="50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251,254</w:t>
            </w:r>
          </w:p>
        </w:tc>
        <w:tc>
          <w:tcPr>
            <w:tcW w:w="30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vMerge w:val="restart"/>
          </w:tcPr>
          <w:p>
            <w:pPr>
              <w:jc w:val="right"/>
              <w:ind w:right="3092"/>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3" w:name="page14"/>
    <w:bookmarkEnd w:id="13"/>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operations in the United States, Canada, Europe and Asia. The following table details the geographic concentration of the Company’s assets in the United States, Canada, Europe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2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$242,714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293,227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Canada</w:t>
            </w:r>
          </w:p>
        </w:tc>
        <w:tc>
          <w:tcPr>
            <w:tcW w:w="1620" w:type="dxa"/>
            <w:vAlign w:val="bottom"/>
            <w:gridSpan w:val="4"/>
          </w:tcPr>
          <w:p>
            <w:pPr>
              <w:jc w:val="right"/>
              <w:ind w:right="152"/>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2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Asia</w:t>
            </w:r>
          </w:p>
        </w:tc>
        <w:tc>
          <w:tcPr>
            <w:tcW w:w="740" w:type="dxa"/>
            <w:vAlign w:val="bottom"/>
          </w:tcPr>
          <w:p>
            <w:pPr>
              <w:spacing w:after="0"/>
              <w:rPr>
                <w:sz w:val="18"/>
                <w:szCs w:val="18"/>
                <w:color w:val="auto"/>
              </w:rPr>
            </w:pPr>
          </w:p>
        </w:tc>
        <w:tc>
          <w:tcPr>
            <w:tcW w:w="880" w:type="dxa"/>
            <w:vAlign w:val="bottom"/>
            <w:gridSpan w:val="3"/>
          </w:tcPr>
          <w:p>
            <w:pPr>
              <w:jc w:val="right"/>
              <w:ind w:right="152"/>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251,254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w w:val="98"/>
              </w:rPr>
              <w:t>The following table details the concentration of the Company’s net revenues by geographic region:</w:t>
            </w: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1840" w:type="dxa"/>
            <w:vAlign w:val="bottom"/>
            <w:gridSpan w:val="5"/>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11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19"/>
                <w:szCs w:val="19"/>
                <w:color w:val="auto"/>
              </w:rPr>
            </w:pPr>
          </w:p>
        </w:tc>
        <w:tc>
          <w:tcPr>
            <w:tcW w:w="1840" w:type="dxa"/>
            <w:vAlign w:val="bottom"/>
            <w:gridSpan w:val="5"/>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A significant portion of the Company’s net revenues are derived from a small number of customers. For the three months ended March 31, 2011, sales to our three largest customers accounted for 34%, 22% and 10% of net revenues. In the same period in 2010, sales to our two largest customers accounted for 56% and 15% of net revenues. No other customer accounted for more than ten percent of total net revenues in the three months ended March 31, 2011 and 2010.</w:t>
      </w:r>
    </w:p>
    <w:p>
      <w:pPr>
        <w:spacing w:after="0" w:line="8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outsources its manufacturing to five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contracts with a number of suppliers in Japan. Some of these suppliers have been unable to deliver sufficient quantities of components as a result of the effects of the earthquake and tsunami that occurred in Japan in March 2011. The Company’s M2M products are being impacted significantly by these component shortages. The shortages have limited the Company’s ability to deliver against sales opportunities, negatively impacting gross margins. The Company has implemented mitigation plans, and currently expects a recovery during the second half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March 31, 2011 and 2010, basic and diluted weighted-average common shares outstanding were 31,899,757 and 31,184,917, respectively. As of March 31, 2011 and 2010, weighted-average options, RSUs, and ESPP shares to acquire a total of 3,944,684 and 4,109,926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40" w:hanging="452"/>
        <w:spacing w:after="0" w:line="391" w:lineRule="auto"/>
        <w:tabs>
          <w:tab w:leader="none" w:pos="17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a number of patent infringement lawsuits in the U.S. and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indirectly participating in other U.S. patent infringement actions pursuant to its contractual indemnification obligations to certain customers.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The motion for summary judgment was rescheduled for hearing on June 17, 2011. The Company intends to defend this litigation vigorously. We are unable at this time to estimate the effects of this lawsuit on our financial position, results of operations or cash flows.</w:t>
      </w:r>
    </w:p>
    <w:p>
      <w:pPr>
        <w:spacing w:after="0" w:line="12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an award of legal fees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the Company anticipates seeking to enforce the terms of the parties’ memorandum of understanding. At this time the Company is unable to estimate the amount of attorney’s fees that may be approved by the court.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780" w:type="dxa"/>
            <w:vAlign w:val="bottom"/>
          </w:tcPr>
          <w:p>
            <w:pPr>
              <w:spacing w:after="0"/>
              <w:rPr>
                <w:sz w:val="14"/>
                <w:szCs w:val="14"/>
                <w:color w:val="auto"/>
              </w:rPr>
            </w:pPr>
          </w:p>
        </w:tc>
        <w:tc>
          <w:tcPr>
            <w:tcW w:w="1720" w:type="dxa"/>
            <w:vAlign w:val="bottom"/>
            <w:gridSpan w:val="5"/>
          </w:tcPr>
          <w:p>
            <w:pPr>
              <w:ind w:lef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7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(22,088)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Unrealized (loss) gain on cash equivalents and marketable securities,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8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(22,165)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(3,368)</w:t>
            </w:r>
          </w:p>
        </w:tc>
      </w:tr>
      <w:tr>
        <w:trPr>
          <w:trHeight w:val="20"/>
        </w:trPr>
        <w:tc>
          <w:tcPr>
            <w:tcW w:w="8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review of the four sources of taxable income as of March 31, 2011 (as described above), the Company recognized an increase in the valuation allowance primarily related to its U.S.-based deferred tax amounts resulting from carryforward net operating losses generated during the quarter ended March 31, 2011. These deferred tax benefits, combined with a corresponding charge to income tax expense of $5.5 million related to the increased valuation allowance, during the quarter ended March 31, 2011, resulted in an insignificant tax effective income tax rate for the quarter ended March 31, 2011. The Company’s valuation allowance was $27.3 million on gross deferred tax assets of $29.6 million at March 31, 2011. The net unreserved portion of the Company’s remaining deferred tax assets at March 31, 2011 primarily related to research and development tax credits associated with the Company’s Canadian subsidiary.</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the three months ended March 31, 2011, the Company recorded income tax expense, including discrete items, of $298,000. This amount varies from the tax benefit that would be computed at the U.S statutory rate resulting from its operating losses during the same period primarily due to an offsetting increase in the Company’s valuation allowance and expenses attributable to foreign operations.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2011 and December 31, 2010, the total liability for unrecognized tax benefits was $12.2 million and $12.0 million, respectively, and is included in other long-term liabilities. For the three months ended March 31, 2011, the Company included $154,000 of interest expense related to uncertain tax positions in its consolidated statements of operations.</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the third quarter of 2011, the Company may release $11.7 million of its liability for unrecognized tax benefits due to the expiration of the statute of limitations applicable to the 2007 taxable year.</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Internal Revenue Service is currently conducting an examination of the Company’s U.S. income tax return for 2009. The Company is also subject to various income federal tax examinations for the 2001 through 2009 calendar years due to the availability of net operating loss carryforwards. The Company believes appropriate provisions for all outstanding issues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6" w:name="page17"/>
    <w:bookmarkEnd w:id="16"/>
    <w:p>
      <w:pPr>
        <w:ind w:right="8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2010 contained in our Annual Report on Form 10-K for the year ended December 31,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mobile computing products principally includes intelligent mobile hotspots, USB modems, embedded PCI and wireless PC-card modems, and communications and applications software. In addition, through our acquisition of Enfora, Inc. (“Enfora”) on November 30, 2010, our product portfolio was expanded to include asset-management solutions utilizing wireless technology and machine-to-machine (M2M) communications devices.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products operate on a majority of the world’s wireless networks. Our mobile hotspots and modems provide subscribers with secure and convenient high speed access to corporate, public and personal information through the Internet and enterprise networks. Our M2M products enable devices to communicate with end users and machines and with server-based application infrastructure.</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Telefonica, Verizon Wireless, Virgin Mobile, and Vodafone; laptop PC and other original equipment manufacturers (OEMs), including Dell; as well as distributors and various companies in other vertical markets. Our M2M customer base is comprised of transportation companies, industrial companies, manufacturers of medical devices and geographical-location aware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hardware components used in our solutions are produced by contract manufacturers. Their services include component procurement, assembly, testing, quality control, fulfillment and delivery. We have agreements with LG Innotek; Inventec Appliances Corporation, or IAC; Hon Hai Precision Industry co., LTD; Benchmark Electronics; and Flextronics for the outsourced manufacturing of our products. In addition, we have an agreement with Mobiltron for certain distribution, fulfillment and repair services related to our business in Europe, the Middle East and Africa, or EMEA.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operate in highly competitive markets and have experienced significant fluctuations in our quarterly results of operations. As a result of this competitive pressure, demand for our products may continue to fluctuate unexpectedly, which could materially adversely affect our results of operations and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 w:name="page18"/>
    <w:bookmarkEnd w:id="17"/>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anticipate introducing additional products during 2011, including 4G broadband-access products, M2M solutions and software applications and platforms. We continue to develop and maintain strategic relationships with wireless and computing industry leaders like Alcatel-Lucent, Dell, QUALCOMM, Sprint Nextel, Verizon Wireless, Virgin Mobile, Vodafone, Telefonica, Texas Instruments, Motorola Mobility Holdings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contract with a number of suppliers in Japan. Some of these suppliers have been unable to deliver sufficient quantities of components as a result of the effects of the earthquake and tsunami that occurred in Japan in March 2011. Our M2M products are being impacted significantly by these component shortages. The shortages have limited our ability to deliver against sales opportunities, negatively impacting gross margins. We have implemented mitigation plans, and currently expect a recovery during the second half of 2011.</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additional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 assets.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Amortization of purchased intangible assets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 w:name="page19"/>
    <w:bookmarkEnd w:id="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receivable, provision for excess and obsolete inventory, valuation of intangible and long-lived assets, valuation of goodwill, valuation of contingent consideration, royalty costs, provision for warranty costs, income taxes, and share-based compensation expense. The significant accounting policies used in preparation of these consolidated financial statements for the three months ended March 31, 2011 are consistent with those discussed in Note 1 to the consolidated financial statements included in our Annual Report on Form 10-K for the year ended December 31, 2010 in all material respects and in Note 1 to the consolidated financial statements included in this report. The critical accounting policies and the significant judgments and estimates used in the preparation of our consolidated financial statements for the three months ended March 31, 2011 are consistent with those discussed in our Annual Report on Form 10-K for the year ended December 31, 2010 in the section captioned “Management’s Discussion and Analysis of Financial Condition and Results of Operations — Critical Accounting Policies and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Compared to Three Months Ended March 31, 2010</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March 31, 2011 were $61.8 million, a decrease of $10.5 million or 14.5%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net revenues by operating segment and net revenues by product category during the three ended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2010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revenues by operating segment:</w:t>
            </w:r>
          </w:p>
        </w:tc>
        <w:tc>
          <w:tcPr>
            <w:tcW w:w="3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308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gridSpan w:val="3"/>
          </w:tcPr>
          <w:p>
            <w:pPr>
              <w:jc w:val="right"/>
              <w:ind w:right="400"/>
              <w:spacing w:after="0"/>
              <w:rPr>
                <w:sz w:val="20"/>
                <w:szCs w:val="20"/>
                <w:color w:val="auto"/>
              </w:rPr>
            </w:pPr>
            <w:r>
              <w:rPr>
                <w:rFonts w:ascii="Arial" w:cs="Arial" w:eastAsia="Arial" w:hAnsi="Arial"/>
                <w:sz w:val="18"/>
                <w:szCs w:val="18"/>
                <w:color w:val="auto"/>
              </w:rPr>
              <w:t>$49,796</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$72,239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M2M Products and Solutions </w:t>
            </w:r>
            <w:r>
              <w:rPr>
                <w:rFonts w:ascii="Arial" w:cs="Arial" w:eastAsia="Arial" w:hAnsi="Arial"/>
                <w:sz w:val="11"/>
                <w:szCs w:val="11"/>
                <w:color w:val="auto"/>
              </w:rPr>
              <w:t>(1)</w:t>
            </w:r>
          </w:p>
        </w:tc>
        <w:tc>
          <w:tcPr>
            <w:tcW w:w="3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11,988</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gridSpan w:val="4"/>
            <w:vMerge w:val="continue"/>
          </w:tcPr>
          <w:p>
            <w:pPr>
              <w:spacing w:after="0"/>
              <w:rPr>
                <w:sz w:val="19"/>
                <w:szCs w:val="19"/>
                <w:color w:val="auto"/>
              </w:rPr>
            </w:pPr>
          </w:p>
        </w:tc>
        <w:tc>
          <w:tcPr>
            <w:tcW w:w="40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61,784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revenues by product category:</w:t>
            </w:r>
          </w:p>
        </w:tc>
        <w:tc>
          <w:tcPr>
            <w:tcW w:w="3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3180" w:type="dxa"/>
            <w:vAlign w:val="bottom"/>
            <w:tcBorders>
              <w:top w:val="single" w:sz="8" w:color="CCEEFF"/>
            </w:tcBorders>
            <w:gridSpan w:val="2"/>
          </w:tcPr>
          <w:p>
            <w:pPr>
              <w:spacing w:after="0"/>
              <w:rPr>
                <w:sz w:val="18"/>
                <w:szCs w:val="18"/>
                <w:color w:val="auto"/>
              </w:rPr>
            </w:pPr>
          </w:p>
        </w:tc>
        <w:tc>
          <w:tcPr>
            <w:tcW w:w="4060" w:type="dxa"/>
            <w:vAlign w:val="bottom"/>
            <w:tcBorders>
              <w:top w:val="single" w:sz="8" w:color="CCEEFF"/>
            </w:tcBorders>
            <w:gridSpan w:val="3"/>
          </w:tcPr>
          <w:p>
            <w:pPr>
              <w:jc w:val="right"/>
              <w:ind w:right="400"/>
              <w:spacing w:after="0"/>
              <w:rPr>
                <w:sz w:val="20"/>
                <w:szCs w:val="20"/>
                <w:color w:val="auto"/>
              </w:rPr>
            </w:pPr>
            <w:r>
              <w:rPr>
                <w:rFonts w:ascii="Arial" w:cs="Arial" w:eastAsia="Arial" w:hAnsi="Arial"/>
                <w:sz w:val="18"/>
                <w:szCs w:val="18"/>
                <w:color w:val="auto"/>
              </w:rPr>
              <w:t>$48,239</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$69,562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4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6,385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Solutions &amp; Services</w:t>
            </w:r>
          </w:p>
        </w:tc>
        <w:tc>
          <w:tcPr>
            <w:tcW w:w="30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7,160</w:t>
            </w: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Enfora from the date of acquisition in November 2010.</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for the three months ended March 31, 2011 were $49.8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$22.4 million or 31.1% compared to the same period in 2010. The significant decrease in net revenues of our mobile computing products was driven by lower sales of our mobile broadband devices. The decline is primarily attributable to the delayed product rollout of our next generation 4G products which encountered longer than expected approval cycles with our customers. The product transition negatively affected the demand for our older generation EV-DO 3G products as telecom carriers continued to upgrade their networks to 4G.</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for three months ended March 31, 2011 were $12.0 million, compared with no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the same period last year. The increase is attributable to our acquisition of Enfora during the fourth quarter of 2010. The net revenues consists primarily of 2G Global System for Mobile Communications (“GSM”) embedded modules, and solutions and services.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 w:name="page20"/>
    <w:bookmarkEnd w:id="19"/>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Cost of net revenues. </w:t>
      </w:r>
      <w:r>
        <w:rPr>
          <w:rFonts w:ascii="Arial" w:cs="Arial" w:eastAsia="Arial" w:hAnsi="Arial"/>
          <w:sz w:val="18"/>
          <w:szCs w:val="18"/>
          <w:color w:val="auto"/>
        </w:rPr>
        <w:t>Cost of net revenues for the three months ended March 31, 2011 was $55.8 million, or 90.3% of net revenues, as compared to $54.5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75.4% of net revenues, for the same period in 2010. The increase in cost of revenues as a percentage of net revenues compared to 2010 resulted from an unfavorable mix of products sold that included older generation products with lower gross margins and a lower revenue level in proportion to the fixed manufacturing overhead costs. Cost of net revenues for the three months ended March 31, 2011 also included amortization costs of $1.3 million related to purchased intangibles and a fair value inventory valuation increase of $1.8 million in connection with our Enfora acquisition. Cost of revenues as a percentage of net revenues is expected to fluctuate in future quarters depending on revenue levels, the mix of products sold, competitive pricing, new product introduction costs and other factors.</w:t>
      </w:r>
    </w:p>
    <w:p>
      <w:pPr>
        <w:spacing w:after="0" w:line="14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2011 was $6.0 million, or 9.7% of net revenues, compared to $17.8 million, or 24.6%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2010. The decrease was primarily attributable to the changes in net revenues and cost of revenues as discussed above. We expect that our gross profit percentage will continue to fluctuate from quarter to quarter depending on revenue levels, product mix, competitive selling prices, our ability to reduce product costs and changes in unit volumes.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2011 were $15.6 million, or 25.2%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$11.3 million, or 15.7% of net revenues, for the same period in 2010. The increase was due to higher compensation expense related to our M2M Products and Solutions segment related to our Enfora acquisition. In addition, we incurred higher consulting, testing and certification fees to support expanded development and 4G product introduction activities during the three months ended March 31, 2011 compared to the same period in 2010.</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continue to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2011 were $7.4 million, or 12.0%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$6.7 million, or 9.3% of net revenues, for the same period in 2010. The increase for the three months ended March 31, 2011 compared to the same period in 2010 was due primarily to higher compensation expenses predominantly related to our M2M Products and Solutions segment related to our Enfora acquisition.</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2011 were $4.6 million, or 7.4%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$4.4 million, or 6.1% of net revenues, for the same period in 2010. The increase for the three months ended March 31, 2011 compared to the same period in 2010 was due primarily to higher compensation expenses related to our M2M Products and Solutions segment related to our Enfora acquisition, and higher legal costs associated with litigation of various claims involving the Company. The increase in expenses for the quarter was partially offset by an $880,000 benefit due to the revision of estimated contingent consideration related to the acquisition of Enfora.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0" w:name="page21"/>
    <w:bookmarkEnd w:id="20"/>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we are closely monitoring and undertaking to control general and administrative costs, we expect these costs to be negatively impacted by legal fees incurred by the Company to defend the claims described in Note 9 to our Consolidated Financial Statements included in this report.</w:t>
      </w:r>
    </w:p>
    <w:p>
      <w:pPr>
        <w:spacing w:after="0" w:line="7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expense for the three months ended March 31, 2011 was due to the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purchased intangible assets from the Enfora acquisition completed during the fourth quarter of 2010.</w:t>
      </w:r>
    </w:p>
    <w:p>
      <w:pPr>
        <w:spacing w:after="0" w:line="1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2011 was $158,000 as compared to $198,000 for the same period in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weighted-average interest rate earned by the Company on its cash, cash equivalents and marketable securities was 0.20% and 0.11% in the first quarter of 2011 and 2010, respectively.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March 31, 2011 was $122,000 as compared to $139,000 of expense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2010.</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March 31, 2011 was $298,000, as compared to an income tax benefit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2010.</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2011 is different than the U.S. statutory rate primarily due to a valuation allowance recorded against additional tax assets generated in the first quarter of 2011, and expenses attributable to foreign operations.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March 31, 2011, we reported a net loss of $22.1 million, as compared to a net loss of $3.4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2010. Net income was negatively impacted by the decreases in net revenues, gross profit, and increases in operating expenses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principal sources of liquidity are our existing cash, cash equivalents and marketable securities and, historically, cash generated from operations. We do not currently have a revolving credit facility or similar loan agreement.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(unaudited)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2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68,600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gridSpan w:val="3"/>
            <w:vMerge w:val="continue"/>
          </w:tcPr>
          <w:p>
            <w:pPr>
              <w:spacing w:after="0"/>
              <w:rPr>
                <w:sz w:val="18"/>
                <w:szCs w:val="18"/>
                <w:color w:val="auto"/>
              </w:rPr>
            </w:pP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13,713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25,370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19,831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58,914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Working capital is defined as the excess of current assets over current liabilities.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Included in working capital.</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working capital decreased $18.6 million from December 31, 2010 to March 31, 2011. The decrease was primarily due to the operating loss in the first quarter of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working capital may be impacted by some of the aforementioned factors in future periods, certain amounts and timing of which are variable.</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2011, cash and cash equivalents decreased $3.7 million from December 31, 2010. The principal component of this net decrease was the cash used by our operating activities of $36.5 million, and cash used to pay for acquisition of property, plant and equipment of $1.4 million, which was partially offset by net sales of our marketable securities of $34.8 million.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2011, our marketable securities decreased primarily due to net sales of $34.8 million of our marketable securities to provide cash to fund our operating activities. See the discussion of market risk included in our Annual Report on Form 10-K for the year ended December 31, 2010 in Item 7A “</w:t>
      </w:r>
      <w:r>
        <w:rPr>
          <w:rFonts w:ascii="Arial" w:cs="Arial" w:eastAsia="Arial" w:hAnsi="Arial"/>
          <w:sz w:val="18"/>
          <w:szCs w:val="18"/>
          <w:i w:val="1"/>
          <w:iCs w:val="1"/>
          <w:color w:val="auto"/>
        </w:rPr>
        <w:t>Quantitative and Qualitative Disclosures About Market Risk”.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3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(36,525)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33,354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(23,274)</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3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6360" w:type="dxa"/>
            <w:vAlign w:val="bottom"/>
          </w:tcPr>
          <w:p>
            <w:pPr>
              <w:jc w:val="center"/>
              <w:ind w:right="1672"/>
              <w:spacing w:after="0"/>
              <w:rPr>
                <w:sz w:val="20"/>
                <w:szCs w:val="20"/>
                <w:color w:val="auto"/>
              </w:rPr>
            </w:pPr>
            <w:r>
              <w:rPr>
                <w:rFonts w:ascii="Arial" w:cs="Arial" w:eastAsia="Arial" w:hAnsi="Arial"/>
                <w:sz w:val="18"/>
                <w:szCs w:val="18"/>
                <w:color w:val="auto"/>
                <w:w w:val="86"/>
              </w:rPr>
              <w:t>Effect of exchange rates on cash and cash equivalents</w:t>
            </w:r>
          </w:p>
        </w:tc>
        <w:tc>
          <w:tcPr>
            <w:tcW w:w="2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jc w:val="center"/>
              <w:ind w:right="1632"/>
              <w:spacing w:after="0"/>
              <w:rPr>
                <w:sz w:val="20"/>
                <w:szCs w:val="20"/>
                <w:color w:val="auto"/>
              </w:rPr>
            </w:pPr>
            <w:r>
              <w:rPr>
                <w:rFonts w:ascii="Arial" w:cs="Arial" w:eastAsia="Arial" w:hAnsi="Arial"/>
                <w:sz w:val="18"/>
                <w:szCs w:val="18"/>
                <w:color w:val="auto"/>
                <w:w w:val="85"/>
              </w:rPr>
              <w:t>Net decrease in cash and cash equivalents</w:t>
            </w:r>
          </w:p>
        </w:tc>
        <w:tc>
          <w:tcPr>
            <w:tcW w:w="2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(13,961)</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1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$ 13,713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86,064</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by operating activities increased by $46.4 million to $36.5 million for the three months ended March 31,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net cash provided by operating activities of $9.9 million for the same period in 2010. The increase in net cash used was primarily attributable to our net loss of $22.1 million, along with the unfavorable impact of a significant reduction in accounts payable as we paid for product purchased in the fourth quarter of 2010 to support the higher fourth quarter 2010 sales activity, and an increase in our inventory at the end of first quarter 2011 to support customer launches of our 4G product. The unfavorable impact was partially offset by the net cash collected from accounts receivable, and non-cash charges including depreciation and amortization, and share-based compensation. During the same period in 2010, the difference between our net loss of $3.4 million and our net cash provided by operating activities of $9.9 million was primarily due to cash provided by working capital changes, and the favorable impact of non-cash charges, including depreciation and amortization, charges for inventory losses, and share-based compensation.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in investing activities during the three months ended March 31, 2011 was $33.4 million compared to $23.3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cash used during the same period in 2010. Cash provided by investing activities during the three months ended March 31, 2011 was related to net sales of marketable securities of $34.8 million, partially offset by purchases of property, plant, and equipment for approximately $1.4 million. Cash used in investing activities during the same period in 2010 was primarily related to net purchases of marketable securities of $22.5 million.</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during the three months ended March 31, 2011 was $546,000, compared to $558,000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2010. Net cash used in financing activities in 2011 was primarily related to taxes paid on behalf of employees for restricted stock units which vested during the period.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$11.0 million for discretionary capital expenditures, including the acquisition of additional software licenses.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22" w:name="page23"/>
    <w:bookmarkEnd w:id="22"/>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2010,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2011,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Internal Control Over Financial Reporting.</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2011, that have materially affected, or are reasonably likely to materially affect, the Company’s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Backe v. Novatel Wireless, Inc., et al., Case No. 08-CV-01689- H (RBB)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with Case No. 08-CV-01714-H (RBB) (U.S.D.C., S.D. Cal.).</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February 14, 2011,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The motion for summary judgment was rescheduled for hearing on June 17, 2011.</w:t>
      </w:r>
    </w:p>
    <w:p>
      <w:pPr>
        <w:spacing w:after="0" w:line="107"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Except as described above, there have been no material developments in our legal proceedings since December 31, 2010. For additional information regarding the Company’s legal proceedings, see Item 3, “Legal Proceedings” in our Annual Report on Form 10-K for the year ended December 31, 2010.</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Reserved.</w:t>
            </w:r>
          </w:p>
        </w:tc>
        <w:tc>
          <w:tcPr>
            <w:tcW w:w="0" w:type="dxa"/>
            <w:vAlign w:val="bottom"/>
          </w:tcPr>
          <w:p>
            <w:pPr>
              <w:spacing w:after="0"/>
              <w:rPr>
                <w:sz w:val="1"/>
                <w:szCs w:val="1"/>
                <w:color w:val="auto"/>
              </w:rPr>
            </w:pPr>
          </w:p>
        </w:tc>
      </w:tr>
      <w:tr>
        <w:trPr>
          <w:trHeight w:val="50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297"/>
        </w:trPr>
        <w:tc>
          <w:tcPr>
            <w:tcW w:w="1142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0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Certification of our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Date: May 10, 2011</w:t>
            </w:r>
          </w:p>
        </w:tc>
        <w:tc>
          <w:tcPr>
            <w:tcW w:w="5460" w:type="dxa"/>
            <w:vAlign w:val="bottom"/>
            <w:gridSpan w:val="2"/>
          </w:tcPr>
          <w:p>
            <w:pPr>
              <w:ind w:left="1760"/>
              <w:spacing w:after="0"/>
              <w:rPr>
                <w:sz w:val="20"/>
                <w:szCs w:val="20"/>
                <w:color w:val="auto"/>
              </w:rPr>
            </w:pPr>
            <w:r>
              <w:rPr>
                <w:rFonts w:ascii="Arial" w:cs="Arial" w:eastAsia="Arial" w:hAnsi="Arial"/>
                <w:sz w:val="18"/>
                <w:szCs w:val="18"/>
                <w:color w:val="auto"/>
              </w:rPr>
              <w:t>Novatel Wireless, Inc.</w:t>
            </w:r>
          </w:p>
        </w:tc>
      </w:tr>
      <w:tr>
        <w:trPr>
          <w:trHeight w:val="433"/>
        </w:trPr>
        <w:tc>
          <w:tcPr>
            <w:tcW w:w="5960" w:type="dxa"/>
            <w:vAlign w:val="bottom"/>
          </w:tcPr>
          <w:p>
            <w:pPr>
              <w:ind w:left="5580"/>
              <w:spacing w:after="0"/>
              <w:rPr>
                <w:sz w:val="20"/>
                <w:szCs w:val="20"/>
                <w:color w:val="auto"/>
              </w:rPr>
            </w:pPr>
            <w:r>
              <w:rPr>
                <w:rFonts w:ascii="Arial" w:cs="Arial" w:eastAsia="Arial" w:hAnsi="Arial"/>
                <w:sz w:val="18"/>
                <w:szCs w:val="18"/>
                <w:color w:val="auto"/>
              </w:rPr>
              <w:t>By:</w:t>
            </w:r>
          </w:p>
        </w:tc>
        <w:tc>
          <w:tcPr>
            <w:tcW w:w="20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Borders>
              <w:bottom w:val="single" w:sz="8" w:color="auto"/>
            </w:tcBorders>
          </w:tcPr>
          <w:p>
            <w:pPr>
              <w:jc w:val="center"/>
              <w:ind w:right="1859"/>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ETER</w:t>
            </w:r>
            <w:r>
              <w:rPr>
                <w:rFonts w:ascii="Arial" w:cs="Arial" w:eastAsia="Arial" w:hAnsi="Arial"/>
                <w:sz w:val="18"/>
                <w:szCs w:val="18"/>
                <w:color w:val="auto"/>
                <w:w w:val="97"/>
              </w:rPr>
              <w:t xml:space="preserve"> L</w:t>
            </w:r>
            <w:r>
              <w:rPr>
                <w:rFonts w:ascii="Arial" w:cs="Arial" w:eastAsia="Arial" w:hAnsi="Arial"/>
                <w:sz w:val="14"/>
                <w:szCs w:val="14"/>
                <w:color w:val="auto"/>
                <w:w w:val="97"/>
              </w:rPr>
              <w:t>EPARULO</w:t>
            </w:r>
          </w:p>
        </w:tc>
      </w:tr>
      <w:tr>
        <w:trPr>
          <w:trHeight w:val="144"/>
        </w:trPr>
        <w:tc>
          <w:tcPr>
            <w:tcW w:w="5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60" w:type="dxa"/>
            <w:vAlign w:val="bottom"/>
          </w:tcPr>
          <w:p>
            <w:pPr>
              <w:jc w:val="center"/>
              <w:ind w:right="1939"/>
              <w:spacing w:after="0" w:line="144" w:lineRule="exact"/>
              <w:rPr>
                <w:sz w:val="20"/>
                <w:szCs w:val="20"/>
                <w:color w:val="auto"/>
              </w:rPr>
            </w:pPr>
            <w:r>
              <w:rPr>
                <w:rFonts w:ascii="Arial" w:cs="Arial" w:eastAsia="Arial" w:hAnsi="Arial"/>
                <w:sz w:val="14"/>
                <w:szCs w:val="14"/>
                <w:b w:val="1"/>
                <w:bCs w:val="1"/>
                <w:color w:val="auto"/>
                <w:w w:val="89"/>
              </w:rPr>
              <w:t>Peter Leparulo</w:t>
            </w:r>
          </w:p>
        </w:tc>
      </w:tr>
      <w:tr>
        <w:trPr>
          <w:trHeight w:val="149"/>
        </w:trPr>
        <w:tc>
          <w:tcPr>
            <w:tcW w:w="5960" w:type="dxa"/>
            <w:vAlign w:val="bottom"/>
          </w:tcPr>
          <w:p>
            <w:pPr>
              <w:spacing w:after="0"/>
              <w:rPr>
                <w:sz w:val="12"/>
                <w:szCs w:val="12"/>
                <w:color w:val="auto"/>
              </w:rPr>
            </w:pPr>
          </w:p>
        </w:tc>
        <w:tc>
          <w:tcPr>
            <w:tcW w:w="5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960" w:type="dxa"/>
            <w:vAlign w:val="bottom"/>
          </w:tcPr>
          <w:p>
            <w:pPr>
              <w:spacing w:after="0"/>
              <w:rPr>
                <w:sz w:val="15"/>
                <w:szCs w:val="15"/>
                <w:color w:val="auto"/>
              </w:rPr>
            </w:pPr>
          </w:p>
        </w:tc>
        <w:tc>
          <w:tcPr>
            <w:tcW w:w="5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(principal executive officer)</w:t>
            </w:r>
          </w:p>
        </w:tc>
      </w:tr>
      <w:tr>
        <w:trPr>
          <w:trHeight w:val="417"/>
        </w:trPr>
        <w:tc>
          <w:tcPr>
            <w:tcW w:w="5960" w:type="dxa"/>
            <w:vAlign w:val="bottom"/>
          </w:tcPr>
          <w:p>
            <w:pPr>
              <w:ind w:left="5580"/>
              <w:spacing w:after="0"/>
              <w:rPr>
                <w:sz w:val="20"/>
                <w:szCs w:val="20"/>
                <w:color w:val="auto"/>
              </w:rPr>
            </w:pPr>
            <w:r>
              <w:rPr>
                <w:rFonts w:ascii="Arial" w:cs="Arial" w:eastAsia="Arial" w:hAnsi="Arial"/>
                <w:sz w:val="18"/>
                <w:szCs w:val="18"/>
                <w:color w:val="auto"/>
              </w:rPr>
              <w:t>By:</w:t>
            </w:r>
          </w:p>
        </w:tc>
        <w:tc>
          <w:tcPr>
            <w:tcW w:w="2000" w:type="dxa"/>
            <w:vAlign w:val="bottom"/>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Pr>
          <w:p>
            <w:pPr>
              <w:jc w:val="center"/>
              <w:ind w:right="1879"/>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1270</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Kenneth Leddon</w:t>
      </w:r>
    </w:p>
    <w:p>
      <w:pPr>
        <w:jc w:val="center"/>
        <w:ind w:left="59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6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Peter Leparulo</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March 31, 2011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660" w:val="left"/>
          <w:tab w:leader="none" w:pos="800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Peter Leparulo</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2019-12-10T15:57:35Z</dcterms:created>
  <dcterms:modified xsi:type="dcterms:W3CDTF">2019-12-10T15:57:35Z</dcterms:modified>
</cp:coreProperties>
</file>