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8"/>
          <w:szCs w:val="28"/>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37" w:lineRule="exact"/>
        <w:rPr>
          <w:sz w:val="24"/>
          <w:szCs w:val="24"/>
          <w:color w:val="auto"/>
        </w:rPr>
      </w:pPr>
    </w:p>
    <w:p>
      <w:pPr>
        <w:ind w:left="440" w:hanging="417"/>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fiscal year ended December 31, 2021</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40" w:hanging="417"/>
        <w:spacing w:after="0"/>
        <w:tabs>
          <w:tab w:leader="none" w:pos="4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30" w:lineRule="exact"/>
        <w:rPr>
          <w:sz w:val="24"/>
          <w:szCs w:val="24"/>
          <w:color w:val="auto"/>
        </w:rPr>
      </w:pPr>
    </w:p>
    <w:p>
      <w:pPr>
        <w:ind w:left="35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001-38358</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35"/>
          <w:szCs w:val="35"/>
          <w:b w:val="1"/>
          <w:bCs w:val="1"/>
          <w:color w:val="auto"/>
        </w:rPr>
        <w:t>INSEEGO CORP.</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7" w:lineRule="exact"/>
        <w:rPr>
          <w:sz w:val="24"/>
          <w:szCs w:val="24"/>
          <w:color w:val="auto"/>
        </w:rPr>
      </w:pPr>
    </w:p>
    <w:tbl>
      <w:tblPr>
        <w:tblLayout w:type="fixed"/>
        <w:tblInd w:w="230" w:type="dxa"/>
        <w:tblCellMar>
          <w:top w:w="0" w:type="dxa"/>
          <w:left w:w="0" w:type="dxa"/>
          <w:bottom w:w="0" w:type="dxa"/>
          <w:right w:w="0" w:type="dxa"/>
        </w:tblCellMar>
      </w:tblPr>
      <w:tr>
        <w:trPr>
          <w:trHeight w:val="220"/>
        </w:trPr>
        <w:tc>
          <w:tcPr>
            <w:tcW w:w="4340" w:type="dxa"/>
            <w:vAlign w:val="bottom"/>
          </w:tcPr>
          <w:p>
            <w:pPr>
              <w:jc w:val="center"/>
              <w:ind w:left="1560"/>
              <w:spacing w:after="0"/>
              <w:rPr>
                <w:sz w:val="20"/>
                <w:szCs w:val="20"/>
                <w:color w:val="auto"/>
              </w:rPr>
            </w:pPr>
            <w:r>
              <w:rPr>
                <w:rFonts w:ascii="Arial" w:cs="Arial" w:eastAsia="Arial" w:hAnsi="Arial"/>
                <w:sz w:val="18"/>
                <w:szCs w:val="18"/>
                <w:b w:val="1"/>
                <w:bCs w:val="1"/>
                <w:color w:val="auto"/>
                <w:w w:val="88"/>
              </w:rPr>
              <w:t>Delaware</w:t>
            </w:r>
          </w:p>
        </w:tc>
        <w:tc>
          <w:tcPr>
            <w:tcW w:w="1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60" w:type="dxa"/>
            <w:vAlign w:val="bottom"/>
          </w:tcPr>
          <w:p>
            <w:pPr>
              <w:jc w:val="right"/>
              <w:ind w:right="1582"/>
              <w:spacing w:after="0"/>
              <w:rPr>
                <w:sz w:val="20"/>
                <w:szCs w:val="20"/>
                <w:color w:val="auto"/>
              </w:rPr>
            </w:pPr>
            <w:r>
              <w:rPr>
                <w:rFonts w:ascii="Arial" w:cs="Arial" w:eastAsia="Arial" w:hAnsi="Arial"/>
                <w:sz w:val="18"/>
                <w:szCs w:val="18"/>
                <w:b w:val="1"/>
                <w:bCs w:val="1"/>
                <w:color w:val="auto"/>
              </w:rPr>
              <w:t>81-3377646</w:t>
            </w:r>
          </w:p>
        </w:tc>
      </w:tr>
      <w:tr>
        <w:trPr>
          <w:trHeight w:val="141"/>
        </w:trPr>
        <w:tc>
          <w:tcPr>
            <w:tcW w:w="4340" w:type="dxa"/>
            <w:vAlign w:val="bottom"/>
          </w:tcPr>
          <w:p>
            <w:pPr>
              <w:jc w:val="center"/>
              <w:ind w:left="156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1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60" w:type="dxa"/>
            <w:vAlign w:val="bottom"/>
          </w:tcPr>
          <w:p>
            <w:pPr>
              <w:jc w:val="center"/>
              <w:ind w:right="1422"/>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4340" w:type="dxa"/>
            <w:vAlign w:val="bottom"/>
          </w:tcPr>
          <w:p>
            <w:pPr>
              <w:jc w:val="center"/>
              <w:ind w:left="1560"/>
              <w:spacing w:after="0"/>
              <w:rPr>
                <w:sz w:val="20"/>
                <w:szCs w:val="20"/>
                <w:color w:val="auto"/>
              </w:rPr>
            </w:pPr>
            <w:r>
              <w:rPr>
                <w:rFonts w:ascii="Arial" w:cs="Arial" w:eastAsia="Arial" w:hAnsi="Arial"/>
                <w:sz w:val="14"/>
                <w:szCs w:val="14"/>
                <w:b w:val="1"/>
                <w:bCs w:val="1"/>
                <w:color w:val="auto"/>
                <w:w w:val="92"/>
              </w:rPr>
              <w:t>of Incorporation or Organization)</w:t>
            </w:r>
          </w:p>
        </w:tc>
        <w:tc>
          <w:tcPr>
            <w:tcW w:w="1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jc w:val="center"/>
              <w:ind w:right="1422"/>
              <w:spacing w:after="0"/>
              <w:rPr>
                <w:sz w:val="20"/>
                <w:szCs w:val="20"/>
                <w:color w:val="auto"/>
              </w:rPr>
            </w:pPr>
            <w:r>
              <w:rPr>
                <w:rFonts w:ascii="Arial" w:cs="Arial" w:eastAsia="Arial" w:hAnsi="Arial"/>
                <w:sz w:val="14"/>
                <w:szCs w:val="14"/>
                <w:b w:val="1"/>
                <w:bCs w:val="1"/>
                <w:color w:val="auto"/>
                <w:w w:val="91"/>
              </w:rPr>
              <w:t>Identification No.)</w:t>
            </w:r>
          </w:p>
        </w:tc>
      </w:tr>
      <w:tr>
        <w:trPr>
          <w:trHeight w:val="272"/>
        </w:trPr>
        <w:tc>
          <w:tcPr>
            <w:tcW w:w="4340" w:type="dxa"/>
            <w:vAlign w:val="bottom"/>
          </w:tcPr>
          <w:p>
            <w:pPr>
              <w:jc w:val="center"/>
              <w:ind w:left="1560"/>
              <w:spacing w:after="0"/>
              <w:rPr>
                <w:sz w:val="20"/>
                <w:szCs w:val="20"/>
                <w:color w:val="auto"/>
              </w:rPr>
            </w:pPr>
            <w:r>
              <w:rPr>
                <w:rFonts w:ascii="Arial" w:cs="Arial" w:eastAsia="Arial" w:hAnsi="Arial"/>
                <w:sz w:val="18"/>
                <w:szCs w:val="18"/>
                <w:b w:val="1"/>
                <w:bCs w:val="1"/>
                <w:color w:val="auto"/>
                <w:w w:val="88"/>
              </w:rPr>
              <w:t>12600 Deerfield Parkway, Suite 100</w:t>
            </w:r>
          </w:p>
        </w:tc>
        <w:tc>
          <w:tcPr>
            <w:tcW w:w="1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660" w:type="dxa"/>
            <w:vAlign w:val="bottom"/>
          </w:tcPr>
          <w:p>
            <w:pPr>
              <w:spacing w:after="0"/>
              <w:rPr>
                <w:sz w:val="23"/>
                <w:szCs w:val="23"/>
                <w:color w:val="auto"/>
              </w:rPr>
            </w:pPr>
          </w:p>
        </w:tc>
      </w:tr>
      <w:tr>
        <w:trPr>
          <w:trHeight w:val="220"/>
        </w:trPr>
        <w:tc>
          <w:tcPr>
            <w:tcW w:w="4340" w:type="dxa"/>
            <w:vAlign w:val="bottom"/>
          </w:tcPr>
          <w:p>
            <w:pPr>
              <w:ind w:left="1940"/>
              <w:spacing w:after="0"/>
              <w:rPr>
                <w:sz w:val="20"/>
                <w:szCs w:val="20"/>
                <w:color w:val="auto"/>
              </w:rPr>
            </w:pPr>
            <w:r>
              <w:rPr>
                <w:rFonts w:ascii="Arial" w:cs="Arial" w:eastAsia="Arial" w:hAnsi="Arial"/>
                <w:sz w:val="18"/>
                <w:szCs w:val="18"/>
                <w:b w:val="1"/>
                <w:bCs w:val="1"/>
                <w:color w:val="auto"/>
              </w:rPr>
              <w:t>Alpharetta, Georgia</w:t>
            </w:r>
          </w:p>
        </w:tc>
        <w:tc>
          <w:tcPr>
            <w:tcW w:w="1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60" w:type="dxa"/>
            <w:vAlign w:val="bottom"/>
          </w:tcPr>
          <w:p>
            <w:pPr>
              <w:jc w:val="right"/>
              <w:ind w:right="1782"/>
              <w:spacing w:after="0"/>
              <w:rPr>
                <w:sz w:val="20"/>
                <w:szCs w:val="20"/>
                <w:color w:val="auto"/>
              </w:rPr>
            </w:pPr>
            <w:r>
              <w:rPr>
                <w:rFonts w:ascii="Arial" w:cs="Arial" w:eastAsia="Arial" w:hAnsi="Arial"/>
                <w:sz w:val="18"/>
                <w:szCs w:val="18"/>
                <w:b w:val="1"/>
                <w:bCs w:val="1"/>
                <w:color w:val="auto"/>
              </w:rPr>
              <w:t>30004</w:t>
            </w:r>
          </w:p>
        </w:tc>
      </w:tr>
      <w:tr>
        <w:trPr>
          <w:trHeight w:val="183"/>
        </w:trPr>
        <w:tc>
          <w:tcPr>
            <w:tcW w:w="4340" w:type="dxa"/>
            <w:vAlign w:val="bottom"/>
          </w:tcPr>
          <w:p>
            <w:pPr>
              <w:jc w:val="center"/>
              <w:ind w:left="156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1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60" w:type="dxa"/>
            <w:vAlign w:val="bottom"/>
          </w:tcPr>
          <w:p>
            <w:pPr>
              <w:jc w:val="center"/>
              <w:ind w:right="1422"/>
              <w:spacing w:after="0"/>
              <w:rPr>
                <w:sz w:val="20"/>
                <w:szCs w:val="20"/>
                <w:color w:val="auto"/>
              </w:rPr>
            </w:pPr>
            <w:r>
              <w:rPr>
                <w:rFonts w:ascii="Arial" w:cs="Arial" w:eastAsia="Arial" w:hAnsi="Arial"/>
                <w:sz w:val="14"/>
                <w:szCs w:val="14"/>
                <w:b w:val="1"/>
                <w:bCs w:val="1"/>
                <w:color w:val="auto"/>
                <w:w w:val="92"/>
              </w:rPr>
              <w:t>(Zip Code)</w:t>
            </w:r>
          </w:p>
        </w:tc>
      </w:tr>
      <w:tr>
        <w:trPr>
          <w:trHeight w:val="307"/>
        </w:trPr>
        <w:tc>
          <w:tcPr>
            <w:tcW w:w="8180" w:type="dxa"/>
            <w:vAlign w:val="bottom"/>
            <w:gridSpan w:val="3"/>
          </w:tcPr>
          <w:p>
            <w:pPr>
              <w:jc w:val="center"/>
              <w:ind w:left="2560"/>
              <w:spacing w:after="0"/>
              <w:rPr>
                <w:sz w:val="20"/>
                <w:szCs w:val="20"/>
                <w:color w:val="auto"/>
              </w:rPr>
            </w:pPr>
            <w:r>
              <w:rPr>
                <w:rFonts w:ascii="Arial" w:cs="Arial" w:eastAsia="Arial" w:hAnsi="Arial"/>
                <w:sz w:val="16"/>
                <w:szCs w:val="16"/>
                <w:b w:val="1"/>
                <w:bCs w:val="1"/>
                <w:color w:val="auto"/>
                <w:w w:val="88"/>
              </w:rPr>
              <w:t>Registrant’s telephone number, including area code: (858) 812-3400</w:t>
            </w:r>
          </w:p>
        </w:tc>
        <w:tc>
          <w:tcPr>
            <w:tcW w:w="2660" w:type="dxa"/>
            <w:vAlign w:val="bottom"/>
          </w:tcPr>
          <w:p>
            <w:pPr>
              <w:spacing w:after="0"/>
              <w:rPr>
                <w:sz w:val="24"/>
                <w:szCs w:val="24"/>
                <w:color w:val="auto"/>
              </w:rPr>
            </w:pPr>
          </w:p>
        </w:tc>
      </w:tr>
      <w:tr>
        <w:trPr>
          <w:trHeight w:val="302"/>
        </w:trPr>
        <w:tc>
          <w:tcPr>
            <w:tcW w:w="8180" w:type="dxa"/>
            <w:vAlign w:val="bottom"/>
            <w:tcBorders>
              <w:bottom w:val="single" w:sz="8" w:color="auto"/>
            </w:tcBorders>
            <w:gridSpan w:val="3"/>
          </w:tcPr>
          <w:p>
            <w:pPr>
              <w:jc w:val="center"/>
              <w:ind w:left="2560"/>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2660" w:type="dxa"/>
            <w:vAlign w:val="bottom"/>
            <w:tcBorders>
              <w:bottom w:val="single" w:sz="8" w:color="auto"/>
            </w:tcBorders>
          </w:tcPr>
          <w:p>
            <w:pPr>
              <w:spacing w:after="0"/>
              <w:rPr>
                <w:sz w:val="24"/>
                <w:szCs w:val="24"/>
                <w:color w:val="auto"/>
              </w:rPr>
            </w:pPr>
          </w:p>
        </w:tc>
      </w:tr>
      <w:tr>
        <w:trPr>
          <w:trHeight w:val="22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4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16"/>
        </w:trPr>
        <w:tc>
          <w:tcPr>
            <w:tcW w:w="4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Common Stock, $0.001 par value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INSG</w:t>
            </w:r>
          </w:p>
        </w:tc>
        <w:tc>
          <w:tcPr>
            <w:tcW w:w="4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Nasdaq Global Select Market</w:t>
            </w:r>
          </w:p>
        </w:tc>
      </w:tr>
      <w:tr>
        <w:trPr>
          <w:trHeight w:val="211"/>
        </w:trPr>
        <w:tc>
          <w:tcPr>
            <w:tcW w:w="434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r>
      <w:tr>
        <w:trPr>
          <w:trHeight w:val="605"/>
        </w:trPr>
        <w:tc>
          <w:tcPr>
            <w:tcW w:w="8180" w:type="dxa"/>
            <w:vAlign w:val="bottom"/>
            <w:gridSpan w:val="3"/>
          </w:tcPr>
          <w:p>
            <w:pPr>
              <w:jc w:val="center"/>
              <w:ind w:left="2560"/>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c>
          <w:tcPr>
            <w:tcW w:w="2660" w:type="dxa"/>
            <w:vAlign w:val="bottom"/>
          </w:tcPr>
          <w:p>
            <w:pPr>
              <w:spacing w:after="0"/>
              <w:rPr>
                <w:sz w:val="24"/>
                <w:szCs w:val="24"/>
                <w:color w:val="auto"/>
              </w:rPr>
            </w:pPr>
          </w:p>
        </w:tc>
      </w:tr>
      <w:tr>
        <w:trPr>
          <w:trHeight w:val="224"/>
        </w:trPr>
        <w:tc>
          <w:tcPr>
            <w:tcW w:w="4340" w:type="dxa"/>
            <w:vAlign w:val="bottom"/>
          </w:tcPr>
          <w:p>
            <w:pPr>
              <w:spacing w:after="0"/>
              <w:rPr>
                <w:sz w:val="19"/>
                <w:szCs w:val="19"/>
                <w:color w:val="auto"/>
              </w:rPr>
            </w:pPr>
          </w:p>
        </w:tc>
        <w:tc>
          <w:tcPr>
            <w:tcW w:w="1840" w:type="dxa"/>
            <w:vAlign w:val="bottom"/>
          </w:tcPr>
          <w:p>
            <w:pPr>
              <w:jc w:val="center"/>
              <w:ind w:left="195"/>
              <w:spacing w:after="0"/>
              <w:rPr>
                <w:sz w:val="20"/>
                <w:szCs w:val="20"/>
                <w:color w:val="auto"/>
              </w:rPr>
            </w:pPr>
            <w:r>
              <w:rPr>
                <w:rFonts w:ascii="Arial" w:cs="Arial" w:eastAsia="Arial" w:hAnsi="Arial"/>
                <w:sz w:val="16"/>
                <w:szCs w:val="16"/>
                <w:b w:val="1"/>
                <w:bCs w:val="1"/>
                <w:color w:val="auto"/>
                <w:w w:val="89"/>
              </w:rPr>
              <w:t>None</w:t>
            </w:r>
          </w:p>
        </w:tc>
        <w:tc>
          <w:tcPr>
            <w:tcW w:w="200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68"/>
        </w:trPr>
        <w:tc>
          <w:tcPr>
            <w:tcW w:w="8180" w:type="dxa"/>
            <w:vAlign w:val="bottom"/>
            <w:gridSpan w:val="3"/>
          </w:tcPr>
          <w:p>
            <w:pPr>
              <w:ind w:left="100"/>
              <w:spacing w:after="0" w:line="184" w:lineRule="exact"/>
              <w:rPr>
                <w:sz w:val="20"/>
                <w:szCs w:val="20"/>
                <w:color w:val="auto"/>
              </w:rPr>
            </w:pPr>
            <w:r>
              <w:rPr>
                <w:rFonts w:ascii="Arial" w:cs="Arial" w:eastAsia="Arial" w:hAnsi="Arial"/>
                <w:sz w:val="16"/>
                <w:szCs w:val="16"/>
                <w:color w:val="auto"/>
                <w:w w:val="91"/>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1"/>
              </w:rPr>
              <w:t>☐</w:t>
            </w:r>
          </w:p>
        </w:tc>
        <w:tc>
          <w:tcPr>
            <w:tcW w:w="2660" w:type="dxa"/>
            <w:vAlign w:val="bottom"/>
          </w:tcPr>
          <w:p>
            <w:pPr>
              <w:ind w:left="20"/>
              <w:spacing w:after="0"/>
              <w:rPr>
                <w:sz w:val="20"/>
                <w:szCs w:val="20"/>
                <w:color w:val="auto"/>
              </w:rPr>
            </w:pPr>
            <w:r>
              <w:rPr>
                <w:rFonts w:ascii="Arial" w:cs="Arial" w:eastAsia="Arial" w:hAnsi="Arial"/>
                <w:sz w:val="16"/>
                <w:szCs w:val="16"/>
                <w:color w:val="auto"/>
              </w:rPr>
              <w:t>No x</w:t>
            </w:r>
          </w:p>
        </w:tc>
      </w:tr>
      <w:tr>
        <w:trPr>
          <w:trHeight w:val="263"/>
        </w:trPr>
        <w:tc>
          <w:tcPr>
            <w:tcW w:w="8180" w:type="dxa"/>
            <w:vAlign w:val="bottom"/>
            <w:gridSpan w:val="3"/>
          </w:tcPr>
          <w:p>
            <w:pPr>
              <w:ind w:left="100"/>
              <w:spacing w:after="0" w:line="184" w:lineRule="exact"/>
              <w:rPr>
                <w:sz w:val="20"/>
                <w:szCs w:val="20"/>
                <w:color w:val="auto"/>
              </w:rPr>
            </w:pPr>
            <w:r>
              <w:rPr>
                <w:rFonts w:ascii="Arial" w:cs="Arial" w:eastAsia="Arial" w:hAnsi="Arial"/>
                <w:sz w:val="16"/>
                <w:szCs w:val="16"/>
                <w:color w:val="auto"/>
                <w:w w:val="90"/>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0"/>
              </w:rPr>
              <w:t>☐</w:t>
            </w:r>
          </w:p>
        </w:tc>
        <w:tc>
          <w:tcPr>
            <w:tcW w:w="2660" w:type="dxa"/>
            <w:vAlign w:val="bottom"/>
          </w:tcPr>
          <w:p>
            <w:pPr>
              <w:jc w:val="center"/>
              <w:ind w:right="1982"/>
              <w:spacing w:after="0"/>
              <w:rPr>
                <w:sz w:val="20"/>
                <w:szCs w:val="20"/>
                <w:color w:val="auto"/>
              </w:rPr>
            </w:pPr>
            <w:r>
              <w:rPr>
                <w:rFonts w:ascii="Arial" w:cs="Arial" w:eastAsia="Arial" w:hAnsi="Arial"/>
                <w:sz w:val="16"/>
                <w:szCs w:val="16"/>
                <w:color w:val="auto"/>
              </w:rPr>
              <w:t>No x</w:t>
            </w:r>
          </w:p>
        </w:tc>
      </w:tr>
    </w:tbl>
    <w:p>
      <w:pPr>
        <w:spacing w:after="0" w:line="31" w:lineRule="exact"/>
        <w:rPr>
          <w:sz w:val="24"/>
          <w:szCs w:val="24"/>
          <w:color w:val="auto"/>
        </w:rPr>
      </w:pPr>
    </w:p>
    <w:p>
      <w:pPr>
        <w:jc w:val="both"/>
        <w:ind w:right="580" w:firstLine="316"/>
        <w:spacing w:after="0" w:line="19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2" w:lineRule="exact"/>
        <w:rPr>
          <w:sz w:val="24"/>
          <w:szCs w:val="24"/>
          <w:color w:val="auto"/>
        </w:rPr>
      </w:pPr>
    </w:p>
    <w:p>
      <w:pPr>
        <w:ind w:right="140" w:firstLine="316"/>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45" w:lineRule="exact"/>
        <w:rPr>
          <w:sz w:val="24"/>
          <w:szCs w:val="24"/>
          <w:color w:val="auto"/>
        </w:rPr>
      </w:pPr>
    </w:p>
    <w:p>
      <w:pPr>
        <w:ind w:right="40" w:firstLine="316"/>
        <w:spacing w:after="0" w:line="28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2"/>
        </w:trPr>
        <w:tc>
          <w:tcPr>
            <w:tcW w:w="1700" w:type="dxa"/>
            <w:vAlign w:val="bottom"/>
          </w:tcPr>
          <w:p>
            <w:pPr>
              <w:ind w:left="320"/>
              <w:spacing w:after="0" w:line="182" w:lineRule="exact"/>
              <w:rPr>
                <w:sz w:val="20"/>
                <w:szCs w:val="20"/>
                <w:color w:val="auto"/>
              </w:rPr>
            </w:pPr>
            <w:r>
              <w:rPr>
                <w:rFonts w:ascii="Arial" w:cs="Arial" w:eastAsia="Arial" w:hAnsi="Arial"/>
                <w:sz w:val="16"/>
                <w:szCs w:val="16"/>
                <w:color w:val="auto"/>
              </w:rPr>
              <w:t>Large accelerated</w:t>
            </w:r>
          </w:p>
        </w:tc>
        <w:tc>
          <w:tcPr>
            <w:tcW w:w="2460" w:type="dxa"/>
            <w:vAlign w:val="bottom"/>
          </w:tcPr>
          <w:p>
            <w:pPr>
              <w:ind w:left="260"/>
              <w:spacing w:after="0" w:line="182" w:lineRule="exact"/>
              <w:rPr>
                <w:sz w:val="20"/>
                <w:szCs w:val="20"/>
                <w:color w:val="auto"/>
              </w:rPr>
            </w:pPr>
            <w:r>
              <w:rPr>
                <w:rFonts w:ascii="Arial" w:cs="Arial" w:eastAsia="Arial" w:hAnsi="Arial"/>
                <w:sz w:val="16"/>
                <w:szCs w:val="16"/>
                <w:color w:val="auto"/>
              </w:rPr>
              <w:t>x</w:t>
            </w:r>
          </w:p>
        </w:tc>
        <w:tc>
          <w:tcPr>
            <w:tcW w:w="3940" w:type="dxa"/>
            <w:vAlign w:val="bottom"/>
            <w:vMerge w:val="restart"/>
          </w:tcPr>
          <w:p>
            <w:pPr>
              <w:ind w:left="23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1"/>
        </w:trPr>
        <w:tc>
          <w:tcPr>
            <w:tcW w:w="1700" w:type="dxa"/>
            <w:vAlign w:val="bottom"/>
          </w:tcPr>
          <w:p>
            <w:pPr>
              <w:spacing w:after="0"/>
              <w:rPr>
                <w:sz w:val="20"/>
                <w:szCs w:val="20"/>
                <w:color w:val="auto"/>
              </w:rPr>
            </w:pPr>
            <w:r>
              <w:rPr>
                <w:rFonts w:ascii="Arial" w:cs="Arial" w:eastAsia="Arial" w:hAnsi="Arial"/>
                <w:sz w:val="16"/>
                <w:szCs w:val="16"/>
                <w:color w:val="auto"/>
              </w:rPr>
              <w:t>filer</w:t>
            </w:r>
          </w:p>
        </w:tc>
        <w:tc>
          <w:tcPr>
            <w:tcW w:w="24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vMerge w:val="continue"/>
          </w:tcPr>
          <w:p>
            <w:pPr>
              <w:spacing w:after="0"/>
              <w:rPr>
                <w:sz w:val="17"/>
                <w:szCs w:val="17"/>
                <w:color w:val="auto"/>
              </w:rPr>
            </w:pPr>
          </w:p>
        </w:tc>
        <w:tc>
          <w:tcPr>
            <w:tcW w:w="580" w:type="dxa"/>
            <w:vAlign w:val="bottom"/>
            <w:vMerge w:val="restart"/>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1700" w:type="dxa"/>
            <w:vAlign w:val="bottom"/>
          </w:tcPr>
          <w:p>
            <w:pPr>
              <w:ind w:left="320"/>
              <w:spacing w:after="0" w:line="168" w:lineRule="exact"/>
              <w:rPr>
                <w:sz w:val="20"/>
                <w:szCs w:val="20"/>
                <w:color w:val="auto"/>
              </w:rPr>
            </w:pPr>
            <w:r>
              <w:rPr>
                <w:rFonts w:ascii="Arial" w:cs="Arial" w:eastAsia="Arial" w:hAnsi="Arial"/>
                <w:sz w:val="16"/>
                <w:szCs w:val="16"/>
                <w:color w:val="auto"/>
              </w:rPr>
              <w:t>Non-accelerated</w:t>
            </w:r>
          </w:p>
        </w:tc>
        <w:tc>
          <w:tcPr>
            <w:tcW w:w="2460" w:type="dxa"/>
            <w:vAlign w:val="bottom"/>
            <w:vMerge w:val="continue"/>
          </w:tcPr>
          <w:p>
            <w:pPr>
              <w:spacing w:after="0"/>
              <w:rPr>
                <w:sz w:val="14"/>
                <w:szCs w:val="14"/>
                <w:color w:val="auto"/>
              </w:rPr>
            </w:pPr>
          </w:p>
        </w:tc>
        <w:tc>
          <w:tcPr>
            <w:tcW w:w="3940" w:type="dxa"/>
            <w:vAlign w:val="bottom"/>
          </w:tcPr>
          <w:p>
            <w:pPr>
              <w:ind w:left="2360"/>
              <w:spacing w:after="0" w:line="168" w:lineRule="exact"/>
              <w:rPr>
                <w:sz w:val="20"/>
                <w:szCs w:val="20"/>
                <w:color w:val="auto"/>
              </w:rPr>
            </w:pPr>
            <w:r>
              <w:rPr>
                <w:rFonts w:ascii="Arial" w:cs="Arial" w:eastAsia="Arial" w:hAnsi="Arial"/>
                <w:sz w:val="16"/>
                <w:szCs w:val="16"/>
                <w:color w:val="auto"/>
              </w:rPr>
              <w:t>Smaller reporting</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00" w:type="dxa"/>
            <w:vAlign w:val="bottom"/>
          </w:tcPr>
          <w:p>
            <w:pPr>
              <w:spacing w:after="0"/>
              <w:rPr>
                <w:sz w:val="20"/>
                <w:szCs w:val="20"/>
                <w:color w:val="auto"/>
              </w:rPr>
            </w:pPr>
            <w:r>
              <w:rPr>
                <w:rFonts w:ascii="Arial" w:cs="Arial" w:eastAsia="Arial" w:hAnsi="Arial"/>
                <w:sz w:val="16"/>
                <w:szCs w:val="16"/>
                <w:color w:val="auto"/>
              </w:rPr>
              <w:t>filer</w:t>
            </w:r>
          </w:p>
        </w:tc>
        <w:tc>
          <w:tcPr>
            <w:tcW w:w="2460" w:type="dxa"/>
            <w:vAlign w:val="bottom"/>
          </w:tcPr>
          <w:p>
            <w:pPr>
              <w:spacing w:after="0"/>
              <w:rPr>
                <w:sz w:val="17"/>
                <w:szCs w:val="17"/>
                <w:color w:val="auto"/>
              </w:rPr>
            </w:pPr>
          </w:p>
        </w:tc>
        <w:tc>
          <w:tcPr>
            <w:tcW w:w="3940" w:type="dxa"/>
            <w:vAlign w:val="bottom"/>
          </w:tcPr>
          <w:p>
            <w:pPr>
              <w:ind w:left="2060"/>
              <w:spacing w:after="0"/>
              <w:rPr>
                <w:sz w:val="20"/>
                <w:szCs w:val="20"/>
                <w:color w:val="auto"/>
              </w:rPr>
            </w:pPr>
            <w:r>
              <w:rPr>
                <w:rFonts w:ascii="Arial" w:cs="Arial" w:eastAsia="Arial" w:hAnsi="Arial"/>
                <w:sz w:val="16"/>
                <w:szCs w:val="16"/>
                <w:color w:val="auto"/>
              </w:rPr>
              <w:t>company</w:t>
            </w:r>
          </w:p>
        </w:tc>
        <w:tc>
          <w:tcPr>
            <w:tcW w:w="580" w:type="dxa"/>
            <w:vAlign w:val="bottom"/>
            <w:vMerge w:val="restart"/>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940" w:type="dxa"/>
            <w:vAlign w:val="bottom"/>
          </w:tcPr>
          <w:p>
            <w:pPr>
              <w:ind w:left="2360"/>
              <w:spacing w:after="0" w:line="168" w:lineRule="exact"/>
              <w:rPr>
                <w:sz w:val="20"/>
                <w:szCs w:val="20"/>
                <w:color w:val="auto"/>
              </w:rPr>
            </w:pPr>
            <w:r>
              <w:rPr>
                <w:rFonts w:ascii="Arial" w:cs="Arial" w:eastAsia="Arial" w:hAnsi="Arial"/>
                <w:sz w:val="16"/>
                <w:szCs w:val="16"/>
                <w:color w:val="auto"/>
              </w:rPr>
              <w:t>Emerging growth</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940" w:type="dxa"/>
            <w:vAlign w:val="bottom"/>
          </w:tcPr>
          <w:p>
            <w:pPr>
              <w:ind w:left="2060"/>
              <w:spacing w:after="0"/>
              <w:rPr>
                <w:sz w:val="20"/>
                <w:szCs w:val="20"/>
                <w:color w:val="auto"/>
              </w:rPr>
            </w:pPr>
            <w:r>
              <w:rPr>
                <w:rFonts w:ascii="Arial" w:cs="Arial" w:eastAsia="Arial" w:hAnsi="Arial"/>
                <w:sz w:val="16"/>
                <w:szCs w:val="16"/>
                <w:color w:val="auto"/>
              </w:rPr>
              <w:t>company</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480" w:firstLine="316"/>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16"/>
        <w:spacing w:after="0" w:line="29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x</w:t>
      </w:r>
    </w:p>
    <w:p>
      <w:pPr>
        <w:spacing w:after="0" w:line="1" w:lineRule="exact"/>
        <w:rPr>
          <w:sz w:val="24"/>
          <w:szCs w:val="24"/>
          <w:color w:val="auto"/>
        </w:rPr>
      </w:pPr>
    </w:p>
    <w:p>
      <w:pPr>
        <w:ind w:left="320"/>
        <w:spacing w:after="0" w:line="184" w:lineRule="exact"/>
        <w:tabs>
          <w:tab w:leader="none" w:pos="74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7" w:lineRule="exact"/>
        <w:rPr>
          <w:sz w:val="24"/>
          <w:szCs w:val="24"/>
          <w:color w:val="auto"/>
        </w:rPr>
      </w:pPr>
    </w:p>
    <w:p>
      <w:pPr>
        <w:ind w:firstLine="316"/>
        <w:spacing w:after="0" w:line="247"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30, 2021, as reported by The Nasdaq Global Select Market, was approximately $853.3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spacing w:after="0" w:line="4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number of shares of the registrant’s common stock outstanding as of February 22, 2022 was 105,387,038.</w:t>
      </w:r>
    </w:p>
    <w:p>
      <w:pPr>
        <w:spacing w:after="0" w:line="154"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4" w:lineRule="exact"/>
        <w:rPr>
          <w:sz w:val="24"/>
          <w:szCs w:val="24"/>
          <w:color w:val="auto"/>
        </w:rPr>
      </w:pPr>
    </w:p>
    <w:p>
      <w:pPr>
        <w:ind w:right="160" w:firstLine="316"/>
        <w:spacing w:after="0" w:line="262" w:lineRule="auto"/>
        <w:rPr>
          <w:sz w:val="20"/>
          <w:szCs w:val="20"/>
          <w:color w:val="auto"/>
        </w:rPr>
      </w:pPr>
      <w:r>
        <w:rPr>
          <w:rFonts w:ascii="Arial" w:cs="Arial" w:eastAsia="Arial" w:hAnsi="Arial"/>
          <w:sz w:val="16"/>
          <w:szCs w:val="16"/>
          <w:color w:val="auto"/>
        </w:rPr>
        <w:t>Portions of the registrant’s definitive proxy statement for the 2022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515620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0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984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80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r>
      <w:tr>
        <w:trPr>
          <w:trHeight w:val="210"/>
        </w:trPr>
        <w:tc>
          <w:tcPr>
            <w:tcW w:w="800" w:type="dxa"/>
            <w:vAlign w:val="bottom"/>
          </w:tcPr>
          <w:p>
            <w:pPr>
              <w:ind w:left="20"/>
              <w:spacing w:after="0"/>
              <w:rPr>
                <w:sz w:val="20"/>
                <w:szCs w:val="20"/>
                <w:color w:val="auto"/>
              </w:rPr>
            </w:pPr>
            <w:r>
              <w:rPr>
                <w:rFonts w:ascii="Arial" w:cs="Arial" w:eastAsia="Arial" w:hAnsi="Arial"/>
                <w:sz w:val="18"/>
                <w:szCs w:val="18"/>
                <w:color w:val="auto"/>
              </w:rPr>
              <w:t>PART I</w:t>
            </w:r>
          </w:p>
        </w:tc>
        <w:tc>
          <w:tcPr>
            <w:tcW w:w="98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w:t>
            </w:r>
          </w:p>
        </w:tc>
        <w:tc>
          <w:tcPr>
            <w:tcW w:w="9840" w:type="dxa"/>
            <w:vAlign w:val="bottom"/>
          </w:tcPr>
          <w:p>
            <w:pPr>
              <w:ind w:left="14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1A.</w:t>
            </w:r>
          </w:p>
        </w:tc>
        <w:tc>
          <w:tcPr>
            <w:tcW w:w="9840" w:type="dxa"/>
            <w:vAlign w:val="bottom"/>
          </w:tcPr>
          <w:p>
            <w:pPr>
              <w:ind w:left="140"/>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58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1B.</w:t>
            </w:r>
          </w:p>
        </w:tc>
        <w:tc>
          <w:tcPr>
            <w:tcW w:w="9840" w:type="dxa"/>
            <w:vAlign w:val="bottom"/>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Unresolved Staff Comments</w:t>
              </w:r>
            </w:hyperlink>
          </w:p>
        </w:tc>
        <w:tc>
          <w:tcPr>
            <w:tcW w:w="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2.</w:t>
            </w:r>
          </w:p>
        </w:tc>
        <w:tc>
          <w:tcPr>
            <w:tcW w:w="9840" w:type="dxa"/>
            <w:vAlign w:val="bottom"/>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Properties</w:t>
              </w:r>
            </w:hyperlink>
          </w:p>
        </w:tc>
        <w:tc>
          <w:tcPr>
            <w:tcW w:w="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3.</w:t>
            </w:r>
          </w:p>
        </w:tc>
        <w:tc>
          <w:tcPr>
            <w:tcW w:w="9840" w:type="dxa"/>
            <w:vAlign w:val="bottom"/>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4.</w:t>
            </w:r>
          </w:p>
        </w:tc>
        <w:tc>
          <w:tcPr>
            <w:tcW w:w="9840" w:type="dxa"/>
            <w:vAlign w:val="bottom"/>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5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PART II</w:t>
            </w:r>
          </w:p>
        </w:tc>
        <w:tc>
          <w:tcPr>
            <w:tcW w:w="9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5.</w:t>
            </w:r>
          </w:p>
        </w:tc>
        <w:tc>
          <w:tcPr>
            <w:tcW w:w="9840" w:type="dxa"/>
            <w:vAlign w:val="bottom"/>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Market for Registrant’s Common Equity, Related Stockholder Matters and Issuer Purchases of Equity Securities</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6.</w:t>
            </w:r>
          </w:p>
        </w:tc>
        <w:tc>
          <w:tcPr>
            <w:tcW w:w="9840" w:type="dxa"/>
            <w:vAlign w:val="bottom"/>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Reserved</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7.</w:t>
            </w:r>
          </w:p>
        </w:tc>
        <w:tc>
          <w:tcPr>
            <w:tcW w:w="9840" w:type="dxa"/>
            <w:vAlign w:val="bottom"/>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7A.</w:t>
            </w:r>
          </w:p>
        </w:tc>
        <w:tc>
          <w:tcPr>
            <w:tcW w:w="9840" w:type="dxa"/>
            <w:vAlign w:val="bottom"/>
          </w:tcPr>
          <w:p>
            <w:pPr>
              <w:ind w:left="140"/>
              <w:spacing w:after="0"/>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8.</w:t>
            </w:r>
          </w:p>
        </w:tc>
        <w:tc>
          <w:tcPr>
            <w:tcW w:w="9840" w:type="dxa"/>
            <w:vAlign w:val="bottom"/>
          </w:tcPr>
          <w:p>
            <w:pPr>
              <w:ind w:left="140"/>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9.</w:t>
            </w:r>
          </w:p>
        </w:tc>
        <w:tc>
          <w:tcPr>
            <w:tcW w:w="9840" w:type="dxa"/>
            <w:vAlign w:val="bottom"/>
          </w:tcPr>
          <w:p>
            <w:pPr>
              <w:ind w:left="140"/>
              <w:spacing w:after="0"/>
              <w:rPr>
                <w:rFonts w:ascii="Arial" w:cs="Arial" w:eastAsia="Arial" w:hAnsi="Arial"/>
                <w:sz w:val="18"/>
                <w:szCs w:val="18"/>
                <w:color w:val="0000FF"/>
              </w:rPr>
            </w:pPr>
            <w:hyperlink w:anchor="page49">
              <w:r>
                <w:rPr>
                  <w:rFonts w:ascii="Arial" w:cs="Arial" w:eastAsia="Arial" w:hAnsi="Arial"/>
                  <w:sz w:val="18"/>
                  <w:szCs w:val="18"/>
                  <w:color w:val="0000FF"/>
                </w:rPr>
                <w:t>Changes in and Disagreements With Accountants on Accounting and Financial Disclosure</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9A.</w:t>
            </w:r>
          </w:p>
        </w:tc>
        <w:tc>
          <w:tcPr>
            <w:tcW w:w="9840" w:type="dxa"/>
            <w:vAlign w:val="bottom"/>
          </w:tcPr>
          <w:p>
            <w:pPr>
              <w:ind w:left="140"/>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5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9B.</w:t>
            </w:r>
          </w:p>
        </w:tc>
        <w:tc>
          <w:tcPr>
            <w:tcW w:w="9840" w:type="dxa"/>
            <w:vAlign w:val="bottom"/>
          </w:tcPr>
          <w:p>
            <w:pPr>
              <w:ind w:left="140"/>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58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24"/>
                <w:szCs w:val="24"/>
                <w:color w:val="auto"/>
              </w:rPr>
            </w:pPr>
          </w:p>
        </w:tc>
      </w:tr>
      <w:tr>
        <w:trPr>
          <w:trHeight w:val="224"/>
        </w:trPr>
        <w:tc>
          <w:tcPr>
            <w:tcW w:w="800" w:type="dxa"/>
            <w:vAlign w:val="bottom"/>
          </w:tcPr>
          <w:p>
            <w:pPr>
              <w:ind w:left="20"/>
              <w:spacing w:after="0"/>
              <w:rPr>
                <w:sz w:val="20"/>
                <w:szCs w:val="20"/>
                <w:color w:val="auto"/>
              </w:rPr>
            </w:pPr>
            <w:r>
              <w:rPr>
                <w:rFonts w:ascii="Arial" w:cs="Arial" w:eastAsia="Arial" w:hAnsi="Arial"/>
                <w:sz w:val="18"/>
                <w:szCs w:val="18"/>
                <w:color w:val="auto"/>
              </w:rPr>
              <w:t>Item 9C.</w:t>
            </w:r>
          </w:p>
        </w:tc>
        <w:tc>
          <w:tcPr>
            <w:tcW w:w="9840" w:type="dxa"/>
            <w:vAlign w:val="bottom"/>
          </w:tcPr>
          <w:p>
            <w:pPr>
              <w:ind w:left="140"/>
              <w:spacing w:after="0"/>
              <w:rPr>
                <w:rFonts w:ascii="Arial" w:cs="Arial" w:eastAsia="Arial" w:hAnsi="Arial"/>
                <w:sz w:val="18"/>
                <w:szCs w:val="18"/>
                <w:color w:val="0000FF"/>
              </w:rPr>
            </w:pPr>
            <w:hyperlink w:anchor="page51">
              <w:r>
                <w:rPr>
                  <w:rFonts w:ascii="Arial" w:cs="Arial" w:eastAsia="Arial" w:hAnsi="Arial"/>
                  <w:sz w:val="18"/>
                  <w:szCs w:val="18"/>
                  <w:color w:val="0000FF"/>
                </w:rPr>
                <w:t>Disclosure Regarding Foreign Jurisdictions that Prevent Inspections</w:t>
              </w:r>
            </w:hyperlink>
          </w:p>
        </w:tc>
        <w:tc>
          <w:tcPr>
            <w:tcW w:w="58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19"/>
                <w:szCs w:val="19"/>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PART III</w:t>
            </w:r>
          </w:p>
        </w:tc>
        <w:tc>
          <w:tcPr>
            <w:tcW w:w="9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10.</w:t>
            </w:r>
          </w:p>
        </w:tc>
        <w:tc>
          <w:tcPr>
            <w:tcW w:w="9840" w:type="dxa"/>
            <w:vAlign w:val="bottom"/>
          </w:tcPr>
          <w:p>
            <w:pPr>
              <w:ind w:left="140"/>
              <w:spacing w:after="0"/>
              <w:rPr>
                <w:rFonts w:ascii="Arial" w:cs="Arial" w:eastAsia="Arial" w:hAnsi="Arial"/>
                <w:sz w:val="18"/>
                <w:szCs w:val="18"/>
                <w:color w:val="0000FF"/>
              </w:rPr>
            </w:pPr>
            <w:hyperlink w:anchor="page52">
              <w:r>
                <w:rPr>
                  <w:rFonts w:ascii="Arial" w:cs="Arial" w:eastAsia="Arial" w:hAnsi="Arial"/>
                  <w:sz w:val="18"/>
                  <w:szCs w:val="18"/>
                  <w:color w:val="0000FF"/>
                </w:rPr>
                <w:t>Directors, Executive Officers and Corporate Governance</w:t>
              </w:r>
            </w:hyperlink>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11.</w:t>
            </w:r>
          </w:p>
        </w:tc>
        <w:tc>
          <w:tcPr>
            <w:tcW w:w="9840" w:type="dxa"/>
            <w:vAlign w:val="bottom"/>
          </w:tcPr>
          <w:p>
            <w:pPr>
              <w:ind w:left="140"/>
              <w:spacing w:after="0"/>
              <w:rPr>
                <w:sz w:val="20"/>
                <w:szCs w:val="20"/>
                <w:color w:val="auto"/>
              </w:rPr>
            </w:pPr>
            <w:r>
              <w:rPr>
                <w:rFonts w:ascii="Arial" w:cs="Arial" w:eastAsia="Arial" w:hAnsi="Arial"/>
                <w:sz w:val="18"/>
                <w:szCs w:val="18"/>
                <w:color w:val="0000FF"/>
              </w:rPr>
              <w:t>Executive Compensation</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12.</w:t>
            </w:r>
          </w:p>
        </w:tc>
        <w:tc>
          <w:tcPr>
            <w:tcW w:w="9840" w:type="dxa"/>
            <w:vAlign w:val="bottom"/>
          </w:tcPr>
          <w:p>
            <w:pPr>
              <w:ind w:left="140"/>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13.</w:t>
            </w:r>
          </w:p>
        </w:tc>
        <w:tc>
          <w:tcPr>
            <w:tcW w:w="9840" w:type="dxa"/>
            <w:vAlign w:val="bottom"/>
          </w:tcPr>
          <w:p>
            <w:pPr>
              <w:ind w:left="140"/>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14.</w:t>
            </w:r>
          </w:p>
        </w:tc>
        <w:tc>
          <w:tcPr>
            <w:tcW w:w="9840" w:type="dxa"/>
            <w:vAlign w:val="bottom"/>
          </w:tcPr>
          <w:p>
            <w:pPr>
              <w:ind w:left="140"/>
              <w:spacing w:after="0"/>
              <w:rPr>
                <w:rFonts w:ascii="Arial" w:cs="Arial" w:eastAsia="Arial" w:hAnsi="Arial"/>
                <w:sz w:val="18"/>
                <w:szCs w:val="18"/>
                <w:color w:val="0000FF"/>
              </w:rPr>
            </w:pPr>
            <w:hyperlink w:anchor="page52">
              <w:r>
                <w:rPr>
                  <w:rFonts w:ascii="Arial" w:cs="Arial" w:eastAsia="Arial" w:hAnsi="Arial"/>
                  <w:sz w:val="18"/>
                  <w:szCs w:val="18"/>
                  <w:color w:val="0000FF"/>
                </w:rPr>
                <w:t>Principal Accountant Fees and Services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0"/>
                <w:szCs w:val="20"/>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PART IV</w:t>
            </w:r>
          </w:p>
        </w:tc>
        <w:tc>
          <w:tcPr>
            <w:tcW w:w="9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15.</w:t>
            </w:r>
          </w:p>
        </w:tc>
        <w:tc>
          <w:tcPr>
            <w:tcW w:w="9840" w:type="dxa"/>
            <w:vAlign w:val="bottom"/>
          </w:tcPr>
          <w:p>
            <w:pPr>
              <w:ind w:left="140"/>
              <w:spacing w:after="0"/>
              <w:rPr>
                <w:rFonts w:ascii="Arial" w:cs="Arial" w:eastAsia="Arial" w:hAnsi="Arial"/>
                <w:sz w:val="18"/>
                <w:szCs w:val="18"/>
                <w:color w:val="0000FF"/>
              </w:rPr>
            </w:pPr>
            <w:hyperlink w:anchor="page52">
              <w:r>
                <w:rPr>
                  <w:rFonts w:ascii="Arial" w:cs="Arial" w:eastAsia="Arial" w:hAnsi="Arial"/>
                  <w:sz w:val="18"/>
                  <w:szCs w:val="18"/>
                  <w:color w:val="0000FF"/>
                </w:rPr>
                <w:t>Exhibit and Financial Statement Schedules</w:t>
              </w:r>
            </w:hyperlink>
          </w:p>
        </w:tc>
        <w:tc>
          <w:tcPr>
            <w:tcW w:w="58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20" w:type="dxa"/>
            <w:vAlign w:val="bottom"/>
          </w:tcPr>
          <w:p>
            <w:pPr>
              <w:spacing w:after="0"/>
              <w:rPr>
                <w:sz w:val="24"/>
                <w:szCs w:val="24"/>
                <w:color w:val="auto"/>
              </w:rPr>
            </w:pPr>
          </w:p>
        </w:tc>
      </w:tr>
      <w:tr>
        <w:trPr>
          <w:trHeight w:val="276"/>
        </w:trPr>
        <w:tc>
          <w:tcPr>
            <w:tcW w:w="800" w:type="dxa"/>
            <w:vAlign w:val="bottom"/>
          </w:tcPr>
          <w:p>
            <w:pPr>
              <w:ind w:left="20"/>
              <w:spacing w:after="0"/>
              <w:rPr>
                <w:sz w:val="20"/>
                <w:szCs w:val="20"/>
                <w:color w:val="auto"/>
              </w:rPr>
            </w:pPr>
            <w:r>
              <w:rPr>
                <w:rFonts w:ascii="Arial" w:cs="Arial" w:eastAsia="Arial" w:hAnsi="Arial"/>
                <w:sz w:val="18"/>
                <w:szCs w:val="18"/>
                <w:color w:val="auto"/>
              </w:rPr>
              <w:t>Item 16.</w:t>
            </w:r>
          </w:p>
        </w:tc>
        <w:tc>
          <w:tcPr>
            <w:tcW w:w="9840" w:type="dxa"/>
            <w:vAlign w:val="bottom"/>
          </w:tcPr>
          <w:p>
            <w:pPr>
              <w:ind w:left="140"/>
              <w:spacing w:after="0"/>
              <w:rPr>
                <w:rFonts w:ascii="Arial" w:cs="Arial" w:eastAsia="Arial" w:hAnsi="Arial"/>
                <w:sz w:val="18"/>
                <w:szCs w:val="18"/>
                <w:color w:val="0000FF"/>
              </w:rPr>
            </w:pPr>
            <w:hyperlink w:anchor="page54">
              <w:r>
                <w:rPr>
                  <w:rFonts w:ascii="Arial" w:cs="Arial" w:eastAsia="Arial" w:hAnsi="Arial"/>
                  <w:sz w:val="18"/>
                  <w:szCs w:val="18"/>
                  <w:color w:val="0000FF"/>
                </w:rPr>
                <w:t>Form 10-K Summary</w:t>
              </w:r>
            </w:hyperlink>
          </w:p>
        </w:tc>
        <w:tc>
          <w:tcPr>
            <w:tcW w:w="58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24"/>
                <w:szCs w:val="24"/>
                <w:color w:val="auto"/>
              </w:rPr>
            </w:pPr>
          </w:p>
        </w:tc>
      </w:tr>
      <w:tr>
        <w:trPr>
          <w:trHeight w:val="474"/>
        </w:trPr>
        <w:tc>
          <w:tcPr>
            <w:tcW w:w="10640" w:type="dxa"/>
            <w:vAlign w:val="bottom"/>
            <w:gridSpan w:val="2"/>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58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c>
          <w:tcPr>
            <w:tcW w:w="20" w:type="dxa"/>
            <w:vAlign w:val="bottom"/>
          </w:tcPr>
          <w:p>
            <w:pPr>
              <w:spacing w:after="0"/>
              <w:rPr>
                <w:sz w:val="24"/>
                <w:szCs w:val="24"/>
                <w:color w:val="auto"/>
              </w:rPr>
            </w:pPr>
          </w:p>
        </w:tc>
      </w:tr>
      <w:tr>
        <w:trPr>
          <w:trHeight w:val="276"/>
        </w:trPr>
        <w:tc>
          <w:tcPr>
            <w:tcW w:w="10640" w:type="dxa"/>
            <w:vAlign w:val="bottom"/>
            <w:gridSpan w:val="2"/>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INDEX TO CONSOLIDATED FINANCIAL STATEMENTS</w:t>
              </w:r>
            </w:hyperlink>
          </w:p>
        </w:tc>
        <w:tc>
          <w:tcPr>
            <w:tcW w:w="600" w:type="dxa"/>
            <w:vAlign w:val="bottom"/>
            <w:gridSpan w:val="2"/>
          </w:tcPr>
          <w:p>
            <w:pPr>
              <w:jc w:val="right"/>
              <w:ind w:right="40"/>
              <w:spacing w:after="0"/>
              <w:rPr>
                <w:rFonts w:ascii="Arial" w:cs="Arial" w:eastAsia="Arial" w:hAnsi="Arial"/>
                <w:sz w:val="18"/>
                <w:szCs w:val="18"/>
                <w:color w:val="0000FF"/>
              </w:rPr>
            </w:pPr>
            <w:hyperlink w:anchor="page55">
              <w:r>
                <w:rPr>
                  <w:rFonts w:ascii="Arial" w:cs="Arial" w:eastAsia="Arial" w:hAnsi="Arial"/>
                  <w:sz w:val="18"/>
                  <w:szCs w:val="18"/>
                  <w:color w:val="0000FF"/>
                </w:rPr>
                <w:t>F-1</w:t>
              </w:r>
            </w:hyperlink>
          </w:p>
        </w:tc>
      </w:tr>
      <w:tr>
        <w:trPr>
          <w:trHeight w:val="941"/>
        </w:trPr>
        <w:tc>
          <w:tcPr>
            <w:tcW w:w="80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68" w:lineRule="exact"/>
        <w:rPr>
          <w:sz w:val="20"/>
          <w:szCs w:val="20"/>
          <w:color w:val="auto"/>
        </w:rPr>
      </w:pPr>
    </w:p>
    <w:p>
      <w:pPr>
        <w:ind w:left="640" w:right="48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8" w:lineRule="exact"/>
        <w:rPr>
          <w:rFonts w:ascii="Arial" w:cs="Arial" w:eastAsia="Arial" w:hAnsi="Arial"/>
          <w:sz w:val="18"/>
          <w:szCs w:val="18"/>
          <w:color w:val="auto"/>
        </w:rPr>
      </w:pPr>
    </w:p>
    <w:p>
      <w:pPr>
        <w:ind w:left="640" w:right="5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93" w:lineRule="exact"/>
        <w:rPr>
          <w:rFonts w:ascii="Arial" w:cs="Arial" w:eastAsia="Arial" w:hAnsi="Arial"/>
          <w:sz w:val="21"/>
          <w:szCs w:val="21"/>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08" w:lineRule="exact"/>
        <w:rPr>
          <w:rFonts w:ascii="Arial" w:cs="Arial" w:eastAsia="Arial" w:hAnsi="Arial"/>
          <w:sz w:val="18"/>
          <w:szCs w:val="18"/>
          <w:color w:val="auto"/>
        </w:rPr>
      </w:pPr>
    </w:p>
    <w:p>
      <w:pPr>
        <w:ind w:left="640" w:right="100" w:hanging="319"/>
        <w:spacing w:after="0" w:line="250"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outbreak of the 2019 novel coronavirus (2019-nCoV), known as “COVID-19”, which could extend lead times in our supply chain and lengthen sales cycles with our customers;</w:t>
      </w:r>
    </w:p>
    <w:p>
      <w:pPr>
        <w:spacing w:after="0" w:line="1"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97"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607695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8" w:right="379" w:bottom="1440" w:gutter="0" w:footer="0" w:header="0"/>
        </w:sectPr>
      </w:pPr>
    </w:p>
    <w:bookmarkStart w:id="3" w:name="page4"/>
    <w:bookmarkEnd w:id="3"/>
    <w:p>
      <w:pPr>
        <w:ind w:left="640" w:hanging="319"/>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the product performance needs of our customers in wireless broadband data access in industrial IoT (“IIoT”) markets;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982"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been at the forefront of the ways in which the world stays connected and accesses information,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Inseego Corp. is a Delaware corporation formed in 2016 as the successor to Novatel Wireless, Inc., a Delaware corporation formed in 1996, resulting from an internal reorganization that was completed in November 2016. Our principal executive office is located at 12600 Deerfield Parkway, Suite 100, Alpharetta, GA 30004, our corporate offices are located at 9710 Scranton Road, Suite 200, San Diego, CA 92121 and our sales and engineering offices are located throughout the world. Inseego’s common stock trades on The NASDAQ Global Select Market under the trading symbol “INSG”.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67"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For over two decades, the mobile industry has experienced tremendous advancements and growth.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traditional wireless.</w:t>
      </w:r>
    </w:p>
    <w:p>
      <w:pPr>
        <w:spacing w:after="0" w:line="10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are working with leading global service providers and enterprises in the mobile and FWA ecosystems to further develop, commercialize and accelerate the availability of 5G-based solutions, which represent the next generation of mobile technology. 5G enables intelligent connectivity and is a catalyst for innovation and acceleration of the fourth industrial revolution across a wide range of vertical markets, including manufacturing, agriculture, utilities, industrial automation, retail, education, government, and healthcare. The widespread adoption of the Internet of Things (IoT) and advancements in enterprise applications along with an increasing dependence on mobile applications and always-connected machines and operations have become impacted by the constraints of 4G LTE technology. Addressing these needs is the primary driver for mobile network operators to accelerate the rollout of 5G communications in order to keep pace with expected network demands.</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5G addresses the constraints of 4G LTE technology with wider spectrum bandwidths, multi-gigabit speeds, and ultra-reliable low latency, in addition to other advancements. As the fifth-generation wireless broadband technology, 5G is based on the Release 15 standard defined by the Generation Partnership Project (“3GPP”), an international consortium responsible for the development of mobile standards. The key operating ranges for 5G spectrum globally are in the sub-6 GHz (below 6 GHz), and millimeter wave (28 GHz and 39 GHz) bands, with speed offerings greater than 1 Gigabit (“Gb”) per second and sub-millisecond latency, providing better coverage and signaling efficiency.</w:t>
      </w:r>
    </w:p>
    <w:p>
      <w:pPr>
        <w:spacing w:after="0" w:line="220"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technological advancements of 5G technology, combined with many of the innovations developed for 4G LTE, provide a scalable and adaptable solution for a variety of use cases, which enable the creation of new industries and services, such as autonomous vehicles, telemedicine, live ultra-high-definition video streaming, cloud gaming, edge computing, and countless industrial applications such as augmented reality and robotics for smart manufacturing.</w:t>
      </w:r>
    </w:p>
    <w:p>
      <w:pPr>
        <w:spacing w:after="0" w:line="18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The development of these new services and applications results in a growing demand for high-speed data, increased capacity, and low latency requirements which are key factors contributing to the accelerated growth and roll-out of 5G networks. 4G LTE is expected to continue to operate alongside 5G as a major part of the wireless ecosystem. Based on industry reports, such as the Global System for Mobile Communications Association (“GSMA”) Intelligence’s report </w:t>
      </w:r>
      <w:r>
        <w:rPr>
          <w:rFonts w:ascii="Arial" w:cs="Arial" w:eastAsia="Arial" w:hAnsi="Arial"/>
          <w:sz w:val="18"/>
          <w:szCs w:val="18"/>
          <w:i w:val="1"/>
          <w:iCs w:val="1"/>
          <w:color w:val="auto"/>
        </w:rPr>
        <w:t>The Mobile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 w:name="page6"/>
    <w:bookmarkEnd w:id="5"/>
    <w:p>
      <w:pPr>
        <w:spacing w:after="0" w:line="282" w:lineRule="auto"/>
        <w:rPr>
          <w:sz w:val="20"/>
          <w:szCs w:val="20"/>
          <w:color w:val="auto"/>
        </w:rPr>
      </w:pPr>
      <w:r>
        <w:rPr>
          <w:rFonts w:ascii="Arial" w:cs="Arial" w:eastAsia="Arial" w:hAnsi="Arial"/>
          <w:sz w:val="16"/>
          <w:szCs w:val="16"/>
          <w:i w:val="1"/>
          <w:iCs w:val="1"/>
          <w:color w:val="auto"/>
        </w:rPr>
        <w:t>Economy</w:t>
      </w:r>
      <w:r>
        <w:rPr>
          <w:rFonts w:ascii="Arial" w:cs="Arial" w:eastAsia="Arial" w:hAnsi="Arial"/>
          <w:sz w:val="16"/>
          <w:szCs w:val="16"/>
          <w:color w:val="auto"/>
        </w:rPr>
        <w:t>, and the biannual Ericsson</w:t>
      </w:r>
      <w:r>
        <w:rPr>
          <w:rFonts w:ascii="Arial" w:cs="Arial" w:eastAsia="Arial" w:hAnsi="Arial"/>
          <w:sz w:val="16"/>
          <w:szCs w:val="16"/>
          <w:i w:val="1"/>
          <w:iCs w:val="1"/>
          <w:color w:val="auto"/>
        </w:rPr>
        <w:t xml:space="preserve"> Mobility Report </w:t>
      </w:r>
      <w:r>
        <w:rPr>
          <w:rFonts w:ascii="Arial" w:cs="Arial" w:eastAsia="Arial" w:hAnsi="Arial"/>
          <w:sz w:val="16"/>
          <w:szCs w:val="16"/>
          <w:color w:val="auto"/>
        </w:rPr>
        <w:t>we believe that 4G and 5G networks will coexist and remain complementary for many years. This means</w:t>
      </w:r>
      <w:r>
        <w:rPr>
          <w:rFonts w:ascii="Arial" w:cs="Arial" w:eastAsia="Arial" w:hAnsi="Arial"/>
          <w:sz w:val="16"/>
          <w:szCs w:val="16"/>
          <w:i w:val="1"/>
          <w:iCs w:val="1"/>
          <w:color w:val="auto"/>
        </w:rPr>
        <w:t xml:space="preserve"> </w:t>
      </w:r>
      <w:r>
        <w:rPr>
          <w:rFonts w:ascii="Arial" w:cs="Arial" w:eastAsia="Arial" w:hAnsi="Arial"/>
          <w:sz w:val="16"/>
          <w:szCs w:val="16"/>
          <w:color w:val="auto"/>
        </w:rPr>
        <w:t>that operators will be able to service a significant share of the data traffic on 4G networks, leaving 5G with the dual remit of absorbing overflow capacity and underpinning consumer and enterprise services that require higher speeds and/or lower latency. As such, most 5G devices are expected to include multimode support for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(currently available from Inseego) and cellular IoT with connectivity designed to meet the needs of ultra-low-power and low-cost applications.</w:t>
      </w:r>
    </w:p>
    <w:p>
      <w:pPr>
        <w:spacing w:after="0" w:line="19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Further, based on reports from analyst firms including GSMA Intelligence and IoT Analytics, we expect that the number of IoT connections could grow to 27 billion by 2025. As of September 30, 2021, there were approximately 2 billion IoT devices using cellular connectivity worldwide (IoT Analytics, 2021). By 2023, global 4G connections will reach just under 60% of total connections (GSMA, 2021). Meanwhile, 5G migration is gaining pace. According to Ericsson’s Mobility Report, November 2021 Edition, this migration to 5G is expected to be faster than that of 4G following its launch in 2009, reaching 1 billion subscriptions over 2 years sooner than the 4G rate of adoption. By the end of 2027, Ericsson’s Mobility Report forecasts 4.4 billion 5G subscriptions globally, accounting for 49% of all mobile subscriptions, which means that 5G is expected to become the dominant mobile access technology by subscriptions in 2027.</w:t>
      </w:r>
    </w:p>
    <w:p>
      <w:pPr>
        <w:spacing w:after="0" w:line="19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As a core member of the 5G ecosystem, we continue to work closely with wireless operators, chipset suppliers, and infrastructure vendors around the world on 5G developments and trials in preparation for the roll-out of commercial network launches. As of December 2021, the Global mobile Suppliers Association (GSA) reported 464 operators in 139 countries/territories had confirmed investments in 5G networks. Based on reports such as those by GSMA Intelligence, we believe that 5G will bring a number of enhanced benefits not available using 4G networks including massive numbers of both fixed and mobile wireless devices with differing speed, bandwidth and quality of service demands, allowing the networks to provide support for “massive numbers of IoT devices and wireless edge technologies” for use cases including manufacturing, augmented and virtual reality, and autonomous vehicles. We are increasingly diversifying our business as this 5G opportunity comes into realization and our addressable market expands.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adoption of IoT technology continues to grow as companies across a wide range of industries are leveraging cellular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retail, remote monitoring and various other industrial automation applications. In addition, our cloud solutions can turn the data that our solutions provide into actionable insights for our customers so they can develop new services and create revenue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7"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Our objective is to be a leader in high performance 5G fixed, mobile, and IIoT device-to-cloud solutions for large enterprise verticals, service providers and small and medium-sized businesses around the globe. We will meet this objective through innovations we are driving in IIoT, fixed, mobile and SaaS technologies. In furtherance of that objective, we will continue to focus on developing mission critical enterprise applications with a “zero unscheduled downtime” mandate, such as mobile and fixed broadband, industrial IoT, SD WAN failover management, asset tracking and fleet management services. Our solutions will be powered by our key innovations in IoT, purpose-built SaaS platforms and advanced mobile technologies, including emerging 5G NR.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strategy are to:</w:t>
      </w:r>
    </w:p>
    <w:p>
      <w:pPr>
        <w:spacing w:after="0" w:line="109" w:lineRule="exact"/>
        <w:rPr>
          <w:sz w:val="20"/>
          <w:szCs w:val="20"/>
          <w:color w:val="auto"/>
        </w:rPr>
      </w:pPr>
    </w:p>
    <w:p>
      <w:pPr>
        <w:ind w:left="960" w:right="380" w:hanging="323"/>
        <w:spacing w:after="0" w:line="316" w:lineRule="auto"/>
        <w:tabs>
          <w:tab w:leader="none" w:pos="956"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Capitalize on our direct relationships with wireless operators, infrastructure providers, original equipment manufacturers (“OEMs”) and component suppliers. </w:t>
      </w:r>
      <w:r>
        <w:rPr>
          <w:rFonts w:ascii="Arial" w:cs="Arial" w:eastAsia="Arial" w:hAnsi="Arial"/>
          <w:sz w:val="15"/>
          <w:szCs w:val="15"/>
          <w:color w:val="auto"/>
        </w:rPr>
        <w:t>We intend to continue to capitalize on our direct and long-standing relationships with wireless operators, infrastructure</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providers, OEMs and component suppliers in order to strengthen our worldwide market position, using these long-standing relationships to springboard both the expansion of the 4G LTE and 5G platforms globally, and influence the adoption of our 5G solutions around the world.</w:t>
      </w:r>
    </w:p>
    <w:p>
      <w:pPr>
        <w:spacing w:after="0" w:line="39" w:lineRule="exact"/>
        <w:rPr>
          <w:rFonts w:ascii="Arial" w:cs="Arial" w:eastAsia="Arial" w:hAnsi="Arial"/>
          <w:sz w:val="15"/>
          <w:szCs w:val="15"/>
          <w:i w:val="1"/>
          <w:iCs w:val="1"/>
          <w:color w:val="auto"/>
        </w:rPr>
      </w:pPr>
    </w:p>
    <w:p>
      <w:pPr>
        <w:ind w:left="960" w:right="160" w:hanging="323"/>
        <w:spacing w:after="0" w:line="252" w:lineRule="auto"/>
        <w:tabs>
          <w:tab w:leader="none" w:pos="9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IoT solutions portfolio by leveraging our core mobile technologies and platforms developed for our mobile portfolio. </w:t>
      </w:r>
      <w:r>
        <w:rPr>
          <w:rFonts w:ascii="Arial" w:cs="Arial" w:eastAsia="Arial" w:hAnsi="Arial"/>
          <w:sz w:val="18"/>
          <w:szCs w:val="18"/>
          <w:color w:val="auto"/>
        </w:rPr>
        <w:t>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our IoT solutions portfolio with 5G device-to-cloud solutions for the enterprise in North America and focused international markets that include edge devices based on the latest mobile technologies and cloud solutions.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ind w:left="960" w:right="340" w:hanging="323"/>
        <w:spacing w:after="0" w:line="324" w:lineRule="auto"/>
        <w:tabs>
          <w:tab w:leader="none" w:pos="956"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Aggressively expand our go-to-market offerings through sales and marketing expansion, channel development and strategic partnerships</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expand our go-to-market IoT, mobile and cloud offerings in North America as well as in focused international markets.</w:t>
      </w:r>
    </w:p>
    <w:p>
      <w:pPr>
        <w:spacing w:after="0" w:line="29" w:lineRule="exact"/>
        <w:rPr>
          <w:rFonts w:ascii="Arial" w:cs="Arial" w:eastAsia="Arial" w:hAnsi="Arial"/>
          <w:sz w:val="16"/>
          <w:szCs w:val="16"/>
          <w:i w:val="1"/>
          <w:iCs w:val="1"/>
          <w:color w:val="auto"/>
        </w:rPr>
      </w:pPr>
    </w:p>
    <w:p>
      <w:pPr>
        <w:ind w:left="960" w:right="80" w:hanging="323"/>
        <w:spacing w:after="0" w:line="316" w:lineRule="auto"/>
        <w:tabs>
          <w:tab w:leader="none" w:pos="956"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Improve SaaS solution penetration</w:t>
      </w:r>
      <w:r>
        <w:rPr>
          <w:rFonts w:ascii="Arial" w:cs="Arial" w:eastAsia="Arial" w:hAnsi="Arial"/>
          <w:sz w:val="15"/>
          <w:szCs w:val="15"/>
          <w:color w:val="auto"/>
        </w:rPr>
        <w:t>. Through our telematics and asset tracking platform solutions, we provide customers in our current target</w:t>
      </w:r>
      <w:r>
        <w:rPr>
          <w:rFonts w:ascii="Arial" w:cs="Arial" w:eastAsia="Arial" w:hAnsi="Arial"/>
          <w:sz w:val="15"/>
          <w:szCs w:val="15"/>
          <w:i w:val="1"/>
          <w:iCs w:val="1"/>
          <w:color w:val="auto"/>
        </w:rPr>
        <w:t xml:space="preserve"> </w:t>
      </w:r>
      <w:r>
        <w:rPr>
          <w:rFonts w:ascii="Arial" w:cs="Arial" w:eastAsia="Arial" w:hAnsi="Arial"/>
          <w:sz w:val="15"/>
          <w:szCs w:val="15"/>
          <w:color w:val="auto"/>
        </w:rPr>
        <w:t>markets throughout Europe, the United Kingdom, Australia and New Zealand with actionable insights and workflow efficiencies with highly secure intelligent device-to-cloud platforms. We also intend to roll out our Inseego Manage cloud-based SaaS portfolio with enhancements in the areas of device management and security in our target markets, and we continue to offer the subscription management solution in North America.</w:t>
      </w:r>
    </w:p>
    <w:p>
      <w:pPr>
        <w:spacing w:after="0" w:line="39" w:lineRule="exact"/>
        <w:rPr>
          <w:rFonts w:ascii="Arial" w:cs="Arial" w:eastAsia="Arial" w:hAnsi="Arial"/>
          <w:sz w:val="15"/>
          <w:szCs w:val="15"/>
          <w:color w:val="auto"/>
        </w:rPr>
      </w:pPr>
    </w:p>
    <w:p>
      <w:pPr>
        <w:ind w:left="960" w:right="40" w:hanging="323"/>
        <w:spacing w:after="0" w:line="248"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Increase the value of our offerings. </w:t>
      </w:r>
      <w:r>
        <w:rPr>
          <w:rFonts w:ascii="Arial" w:cs="Arial" w:eastAsia="Arial" w:hAnsi="Arial"/>
          <w:sz w:val="18"/>
          <w:szCs w:val="18"/>
          <w:color w:val="auto"/>
        </w:rPr>
        <w:t>As we seek to capitalize on potential growth opportunities, we continue to develop cutting edge IoT,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cloud solutions, with specific focus on end-to-end solutions that enable the best connected experiences for our customers. In addition, our complete portfolio of advanced 4G and 5G solutions opens us up to larger worldwide potential markets. Finally, continued investment within both edge devices and cloud platform solutions in predictive analytics, machine learning, and edge intelligence should expand our market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6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mobile hotspots,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17"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Our MiFi customer base is comprised of wireless operators to whom we provide intelligent fixed and mobile wireless devices. These wireless operators include Verizon Wireless, T-Mobile and U.S. Cellular in the United States, Rogers and Telus in Canada, Telstra in Australia, Swisscom in Switzerland, as well as other international wireless operators, distributors and various companies in other vertical markets and geographies.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sell SaaS, software and services solutions across multiple mobile and IIoT vertical markets, including fleet management, vehicle telematics, stolen vehicle recovery, asset tracking, monitoring, business connectivity and subscription management. Our SaaS delivery platforms include our telematics and asset tracking and management platforms, which provide fleet, vehicle, aviation, asset and other telematics applications.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11" w:lineRule="exact"/>
        <w:rPr>
          <w:sz w:val="20"/>
          <w:szCs w:val="20"/>
          <w:color w:val="auto"/>
        </w:rPr>
      </w:pPr>
    </w:p>
    <w:p>
      <w:pPr>
        <w:jc w:val="both"/>
        <w:ind w:right="480"/>
        <w:spacing w:after="0" w:line="324" w:lineRule="auto"/>
        <w:rPr>
          <w:sz w:val="20"/>
          <w:szCs w:val="20"/>
          <w:color w:val="auto"/>
        </w:rPr>
      </w:pPr>
      <w:r>
        <w:rPr>
          <w:rFonts w:ascii="Arial" w:cs="Arial" w:eastAsia="Arial" w:hAnsi="Arial"/>
          <w:sz w:val="16"/>
          <w:szCs w:val="16"/>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2021, 2020 and 2019, our total net revenues were $262.4 million, $313.8 million and $219.5 million, respectively.</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 and Mobile Solutions</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IoT business focuses on addressing applications for a variety of markets including large enterprise verticals and IIoT markets. These applications include, among others, smart city infrastructure management, remote monitoring and control, SD WAN failover and enterprise connectivity. Our Skyus branded wireless gateways, routers and modems serve as connectivity solutions for the rapidly growing and underpenetrated IoT market segments. Worldwide IoT spending is expected to increase at a 26.7% compound annual growth rate beyond 2021 (as reported by IoT Analytics, 2021). With many enterprise customers using our solutions, we believe that we already have a solid footing in this market. We are continuing to invest and grow our product portfolio to realize the opportunities in the growing IoT market.</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mobile business has been driving advanced mobile technologies for a multitude of consumer and enterprise applications for over 20 years. In the 2000s, Inseego invented mobile hotspots sold under the MiFi brand. During the 2010s, Inseego was a leader in the 4G mobile hotspot market—delivering the highest 4G mobile hotspot performance in the market. In 2019, Inseego developed and produced the world’s first 5G mobile hotspot, which provides download speeds at least 58% faster than those of our competitors, according to internal testing results.</w:t>
      </w:r>
    </w:p>
    <w:p>
      <w:pPr>
        <w:spacing w:after="0" w:line="10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mobile business product portfolio consists of intelligent mobile broadband solutions, HD quality VoLTE products, residential 4G gateways and an advanced 5G portfolio of products (currently in various stages of development). Our mobile broadband solutions, sold under the MiFi brand, are actively used by millions of end users annually to provide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 believe we are strategically well placed to realize the opportunity for 5G and we are focused on developing a comprehensive portfolio of 5G products for fixed and mobile wireless applications.</w:t>
      </w:r>
    </w:p>
    <w:p>
      <w:pPr>
        <w:spacing w:after="0" w:line="10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IoT &amp; Mobile Solutions also includes Inseego Subscribe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which helps organizations manage the selection, deployment and spend of their customer’s wireless assets, helping them save money on personnel and telecom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and Asset Tracking Business/Enterprise SaaS Solutions</w:t>
      </w:r>
    </w:p>
    <w:p>
      <w:pPr>
        <w:spacing w:after="0" w:line="16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Inseego entered the telematics software and services industry through the acquisition of DigiCore Holdings Limited (which was renamed Ctrack Holdings (Pty) Ltd (“Ctrack”) in October 2015). Ctrack was founded in South Africa in 1985, and today Ctrack operations span over 50 countries on six continents. Through a series of global acquisitions and mergers, the Ctrack group broadened its international reach by expanding into the United Kingdom, Europe, and Australia/New Zealand, and using distributors in emerging markets such as Asia.</w:t>
      </w:r>
    </w:p>
    <w:p>
      <w:pPr>
        <w:spacing w:after="0" w:line="13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On February 24, 2021, we entered into a Share Purchase Agreement (the “Purchase Agreement”) with an affiliate of Convergence Partners (“Convergence”), an investment management firm in South Africa, to sell our Ctrack business operations in Africa, Pakistan and the Middle East (together, “Ctrack South Africa”), in an all-cash transaction for 528.9 million South African Rand (“ZAR”) (approximately $36.6 million U.S. Dollars). On July 30, 2021, we completed the sale of Ctrack South Africa (the “Ctrack Transaction”). See Part IV Item 15 Note 5. </w:t>
      </w:r>
      <w:r>
        <w:rPr>
          <w:rFonts w:ascii="Arial" w:cs="Arial" w:eastAsia="Arial" w:hAnsi="Arial"/>
          <w:sz w:val="18"/>
          <w:szCs w:val="18"/>
          <w:i w:val="1"/>
          <w:iCs w:val="1"/>
          <w:color w:val="auto"/>
        </w:rPr>
        <w:t>Business Divestiture</w:t>
      </w:r>
      <w:r>
        <w:rPr>
          <w:rFonts w:ascii="Arial" w:cs="Arial" w:eastAsia="Arial" w:hAnsi="Arial"/>
          <w:sz w:val="18"/>
          <w:szCs w:val="18"/>
          <w:color w:val="auto"/>
        </w:rPr>
        <w:t xml:space="preserve"> for additional information about the divestiture of Ctrack South Africa.</w:t>
      </w:r>
    </w:p>
    <w:p>
      <w:pPr>
        <w:spacing w:after="0" w:line="14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Following the Ctrack Transaction, we continue to provide telematics solutions in the rest of the world including in Europe and Australia. With more than 30 years of experience, we are recognized as a leading global provider of advanced fleet management telematics and asset tracking solutions that add value to a global base of customers. We design, develop and sell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111" w:lineRule="exact"/>
        <w:rPr>
          <w:sz w:val="20"/>
          <w:szCs w:val="20"/>
          <w:color w:val="auto"/>
        </w:rPr>
      </w:pPr>
    </w:p>
    <w:p>
      <w:pPr>
        <w:ind w:right="380"/>
        <w:spacing w:after="0" w:line="327" w:lineRule="auto"/>
        <w:rPr>
          <w:sz w:val="20"/>
          <w:szCs w:val="20"/>
          <w:color w:val="auto"/>
        </w:rPr>
      </w:pPr>
      <w:r>
        <w:rPr>
          <w:rFonts w:ascii="Arial" w:cs="Arial" w:eastAsia="Arial" w:hAnsi="Arial"/>
          <w:sz w:val="15"/>
          <w:szCs w:val="15"/>
          <w:color w:val="auto"/>
        </w:rPr>
        <w:t>We believe that our continued emphasis on development of next-generation products keeps Ctrack ahead of the market, meeting demands for value-added, flexible, feature-rich and cost-effective technology across multiple market verticals. Our solutions, coupled with a proven track record in the successful implementation and support of projects of all sizes worldwide, provide Ctrack with a competitive edge with respect to attracting and retaining customers.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engage in a wide variety of sales and marketing activities, driving market leadership and global demand through integrated marketing campaigns. This includes product marketing, corporate communications, brand marketing and demand generation.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6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market for our mobile, IoT and asset tracking/telematics services and solutions is rapidly evolving and highly competitive. It is likely to continue to be affected by new product introductions and industry participants.</w:t>
      </w:r>
    </w:p>
    <w:p>
      <w:pPr>
        <w:spacing w:after="0" w:line="129"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161" w:lineRule="exact"/>
        <w:rPr>
          <w:sz w:val="20"/>
          <w:szCs w:val="20"/>
          <w:color w:val="auto"/>
        </w:rPr>
      </w:pPr>
    </w:p>
    <w:p>
      <w:pPr>
        <w:ind w:left="940" w:hanging="30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Fleet management SaaS and services providers, such as Lytx, Sierra Wireless, Samsara and Cartrack;</w:t>
      </w:r>
    </w:p>
    <w:p>
      <w:pPr>
        <w:spacing w:after="0" w:line="108" w:lineRule="exact"/>
        <w:rPr>
          <w:rFonts w:ascii="Arial" w:cs="Arial" w:eastAsia="Arial" w:hAnsi="Arial"/>
          <w:sz w:val="18"/>
          <w:szCs w:val="18"/>
          <w:color w:val="auto"/>
        </w:rPr>
      </w:pPr>
    </w:p>
    <w:p>
      <w:pPr>
        <w:ind w:left="940" w:hanging="303"/>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wireless, mobile hotspot and wireless data modem providers, such as NETGEAR, Franklin Wireless, WNC, Nokia, TCL, ZTE and Huawei;</w:t>
      </w:r>
    </w:p>
    <w:p>
      <w:pPr>
        <w:spacing w:after="0" w:line="79" w:lineRule="exact"/>
        <w:rPr>
          <w:rFonts w:ascii="Arial" w:cs="Arial" w:eastAsia="Arial" w:hAnsi="Arial"/>
          <w:sz w:val="16"/>
          <w:szCs w:val="16"/>
          <w:color w:val="auto"/>
        </w:rPr>
      </w:pPr>
    </w:p>
    <w:p>
      <w:pPr>
        <w:ind w:left="940" w:hanging="30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our solutions and services expands, other entrants may seek to compete with us either directly or indirectly.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Our research and development efforts are focused on developing innovative mobile devices, including IoT and advanced gateway solutions in both the 4G LTE and 5G markets, and telematics solutions and services, while improving the functionality, design and performance of our current products and solutions.</w:t>
      </w:r>
    </w:p>
    <w:p>
      <w:pPr>
        <w:spacing w:after="0" w:line="8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We intend to continue to identify and respond to our customers’ needs by introducing new SaaS, IoT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138"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46 patents and have 20 patent applications pending. The patents that we currently own will expire at various times between 2021 and 2040.</w:t>
      </w:r>
    </w:p>
    <w:p>
      <w:pPr>
        <w:spacing w:after="0" w:line="76"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We, along with our subsidiaries, also hold a number of trademarks or registered trademarks including “Inseego”, “Inseego Subscribe”, “Inseego Manage”, “Inseego Secure”, “Inseego Vision”, the Inseego logo, “MiFi”, “MiFi Intelligent Mobile Hotspot”, “Wavemaker”, “Clarity” and “Skyus”.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Partners and Customers</w:t>
      </w:r>
    </w:p>
    <w:p>
      <w:pPr>
        <w:spacing w:after="0" w:line="16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wireless telecom service providers, wireless network infrastructure providers such as Ericsson and Nokia, value-added resellers and distributors which allows us to offer customers integrated and holistic solutions. Our telematics platform uses leading cellular providers such as Vodafone, Telstra and Optus to ensure the optimal real-time visibility of tracked vehicles and systems, supported by accurate and sophisticated mapping services such as the HERE Open Location Platform.</w:t>
      </w:r>
    </w:p>
    <w:p>
      <w:pPr>
        <w:spacing w:after="0" w:line="11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Customers for our products include transportation companies, industrial companies, governmental agencies, manufacturers, application service providers, system integrators, distributors, and enterprises in various industries, including</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9" w:right="379" w:bottom="1440" w:gutter="0" w:footer="0" w:header="0"/>
        </w:sectPr>
      </w:pPr>
    </w:p>
    <w:bookmarkStart w:id="9" w:name="page10"/>
    <w:bookmarkEnd w:id="9"/>
    <w:p>
      <w:pPr>
        <w:ind w:right="760"/>
        <w:spacing w:after="0" w:line="261" w:lineRule="auto"/>
        <w:rPr>
          <w:sz w:val="20"/>
          <w:szCs w:val="20"/>
          <w:color w:val="auto"/>
        </w:rPr>
      </w:pPr>
      <w:r>
        <w:rPr>
          <w:rFonts w:ascii="Arial" w:cs="Arial" w:eastAsia="Arial" w:hAnsi="Arial"/>
          <w:sz w:val="18"/>
          <w:szCs w:val="18"/>
          <w:color w:val="auto"/>
        </w:rPr>
        <w:t>fleet and vehicle transportation, finance, accounting, legal, insurance, energy and industrial automation, security and safety, medical monitoring and government.</w:t>
      </w:r>
    </w:p>
    <w:p>
      <w:pPr>
        <w:spacing w:after="0" w:line="12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other vertical markets. Fleet management customers include global enterprises such as BHP Billiton, Super Group, Mammoet and Australia Post. Our customers for our business connectivity products include EnerNOC, Thermo Fisher Scientific, US Army, Fastenal, T-Mobile and Verizon Wireless, amongst others. Customers for our device management solutions include carriers such as T-Mobile.</w:t>
      </w:r>
    </w:p>
    <w:p>
      <w:pPr>
        <w:spacing w:after="0" w:line="138" w:lineRule="exact"/>
        <w:rPr>
          <w:sz w:val="20"/>
          <w:szCs w:val="20"/>
          <w:color w:val="auto"/>
        </w:rPr>
      </w:pPr>
    </w:p>
    <w:p>
      <w:pPr>
        <w:ind w:right="140"/>
        <w:spacing w:after="0" w:line="362" w:lineRule="auto"/>
        <w:rPr>
          <w:sz w:val="20"/>
          <w:szCs w:val="20"/>
          <w:color w:val="auto"/>
        </w:rPr>
      </w:pPr>
      <w:r>
        <w:rPr>
          <w:rFonts w:ascii="Arial" w:cs="Arial" w:eastAsia="Arial" w:hAnsi="Arial"/>
          <w:sz w:val="15"/>
          <w:szCs w:val="15"/>
          <w:color w:val="auto"/>
        </w:rPr>
        <w:t>A significant portion of our revenue during the year ended December 31, 2021 came from two customers, Verizon and T-Mobile, which together represented approximately 70.3% of our total revenues for the year ended December 31, 2021. It is our intention to continue to diversify our customer base.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16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hardware used in our solutions is produced by contract manufacturers. Our primary contract manufacturers include Hon Hai Precision Industry Co., Ltd. (“Foxconn”) and Inventec Appliance Corporation (IAC), each of whom manufactures our product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outsource our manufacturing in an effort to:</w:t>
      </w:r>
    </w:p>
    <w:p>
      <w:pPr>
        <w:spacing w:after="0" w:line="56" w:lineRule="exact"/>
        <w:rPr>
          <w:sz w:val="20"/>
          <w:szCs w:val="20"/>
          <w:color w:val="auto"/>
        </w:rPr>
      </w:pPr>
    </w:p>
    <w:p>
      <w:pPr>
        <w:ind w:left="940" w:hanging="303"/>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09"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5"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At December 31, 2021, we had 507 employees of which 500 were full-time employees. We also use the services of consultants and temporary workers from time to time. Our employees are not represented by any collective bargaining unit and we consider our relationship with our employees to be good.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Our Culture</w:t>
      </w:r>
      <w:r>
        <w:rPr>
          <w:rFonts w:ascii="Arial" w:cs="Arial" w:eastAsia="Arial" w:hAnsi="Arial"/>
          <w:sz w:val="18"/>
          <w:szCs w:val="18"/>
          <w:color w:val="auto"/>
        </w:rPr>
        <w:t>: Culture is critically important to our growth and performance. We are driven by our values of Accountability, Sense of Urgency, Market Driven</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Customer Focus, and Integrity. We are committed to creating a world class employee experience through leadership development, career planning, open two-way communications, total compensation, and positive work environment.</w:t>
      </w:r>
    </w:p>
    <w:p>
      <w:pPr>
        <w:spacing w:after="0" w:line="8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our latest engagement survey, our employees answered favorably to questions on Work Environment &amp; Communications where the average score was over 90%.</w:t>
      </w:r>
    </w:p>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Diversity &amp; Inclusion</w:t>
      </w:r>
      <w:r>
        <w:rPr>
          <w:rFonts w:ascii="Arial" w:cs="Arial" w:eastAsia="Arial" w:hAnsi="Arial"/>
          <w:sz w:val="16"/>
          <w:szCs w:val="16"/>
          <w:color w:val="auto"/>
        </w:rPr>
        <w:t>: Our Come Together initiative was launched in 2020. Come Together gives employees the opportunity to participate in workstreams</w:t>
      </w:r>
      <w:r>
        <w:rPr>
          <w:rFonts w:ascii="Arial" w:cs="Arial" w:eastAsia="Arial" w:hAnsi="Arial"/>
          <w:sz w:val="16"/>
          <w:szCs w:val="16"/>
          <w:b w:val="1"/>
          <w:bCs w:val="1"/>
          <w:color w:val="auto"/>
        </w:rPr>
        <w:t xml:space="preserve"> </w:t>
      </w:r>
      <w:r>
        <w:rPr>
          <w:rFonts w:ascii="Arial" w:cs="Arial" w:eastAsia="Arial" w:hAnsi="Arial"/>
          <w:sz w:val="16"/>
          <w:szCs w:val="16"/>
          <w:color w:val="auto"/>
        </w:rPr>
        <w:t>whose goals are to create a culture of belonging. Each workstream is led by employee volunteers with a passion for diversity and inclusion and reach beyond Inseego team members. The different workstreams are: Community Engagement, Employee Development, Recruiting, Women in Technology, and Affinity Groups. In 2021, we launched our first global mentoring program, connecting employees across the globe in a meaningful and productive way.</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Talent</w:t>
      </w:r>
      <w:r>
        <w:rPr>
          <w:rFonts w:ascii="Arial" w:cs="Arial" w:eastAsia="Arial" w:hAnsi="Arial"/>
          <w:sz w:val="16"/>
          <w:szCs w:val="16"/>
          <w:color w:val="auto"/>
        </w:rPr>
        <w:t>: We believe that Talent is key to our success. It starts with finding and placing the right Talent for the right jobs at the right time. We communicate our</w:t>
      </w:r>
      <w:r>
        <w:rPr>
          <w:rFonts w:ascii="Arial" w:cs="Arial" w:eastAsia="Arial" w:hAnsi="Arial"/>
          <w:sz w:val="16"/>
          <w:szCs w:val="16"/>
          <w:b w:val="1"/>
          <w:bCs w:val="1"/>
          <w:color w:val="auto"/>
        </w:rPr>
        <w:t xml:space="preserve"> </w:t>
      </w:r>
      <w:r>
        <w:rPr>
          <w:rFonts w:ascii="Arial" w:cs="Arial" w:eastAsia="Arial" w:hAnsi="Arial"/>
          <w:sz w:val="16"/>
          <w:szCs w:val="16"/>
          <w:color w:val="auto"/>
        </w:rPr>
        <w:t>value proposition in a clear and concise manner. The expected growth in the 5G market creates a unique opportunity for candidates and employees of Inseego to have a career at the forefront of a dynamic industry. Our company size and culture allows employees to build and expand their skill set in ways that will enrich their careers. In 2020, we initiated Talent Reviews with Senior Leaders to holistically evaluate the talent across the company. This will enable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10" w:name="page11"/>
    <w:bookmarkEnd w:id="10"/>
    <w:p>
      <w:pPr>
        <w:ind w:right="20"/>
        <w:spacing w:after="0" w:line="261" w:lineRule="auto"/>
        <w:rPr>
          <w:sz w:val="20"/>
          <w:szCs w:val="20"/>
          <w:color w:val="auto"/>
        </w:rPr>
      </w:pPr>
      <w:r>
        <w:rPr>
          <w:rFonts w:ascii="Arial" w:cs="Arial" w:eastAsia="Arial" w:hAnsi="Arial"/>
          <w:sz w:val="18"/>
          <w:szCs w:val="18"/>
          <w:color w:val="auto"/>
        </w:rPr>
        <w:t>the company to focus on accelerating development for those who are top performers and strengthen the talent pipeline. In 2021, we piloted a Manager Forum to build leadership capability in order to motivate and retain critical talent at Inseego.</w:t>
      </w:r>
    </w:p>
    <w:p>
      <w:pPr>
        <w:spacing w:after="0" w:line="20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Work Life Harmony</w:t>
      </w:r>
      <w:r>
        <w:rPr>
          <w:rFonts w:ascii="Arial" w:cs="Arial" w:eastAsia="Arial" w:hAnsi="Arial"/>
          <w:sz w:val="18"/>
          <w:szCs w:val="18"/>
          <w:color w:val="auto"/>
        </w:rPr>
        <w:t>: We believe that it is important to provide Work Life Harmony and our practices can vary globally. In the U.S., employees have Friday</w:t>
      </w:r>
      <w:r>
        <w:rPr>
          <w:rFonts w:ascii="Arial" w:cs="Arial" w:eastAsia="Arial" w:hAnsi="Arial"/>
          <w:sz w:val="18"/>
          <w:szCs w:val="18"/>
          <w:b w:val="1"/>
          <w:bCs w:val="1"/>
          <w:color w:val="auto"/>
        </w:rPr>
        <w:t xml:space="preserve"> </w:t>
      </w:r>
      <w:r>
        <w:rPr>
          <w:rFonts w:ascii="Arial" w:cs="Arial" w:eastAsia="Arial" w:hAnsi="Arial"/>
          <w:sz w:val="18"/>
          <w:szCs w:val="18"/>
          <w:color w:val="auto"/>
        </w:rPr>
        <w:t>‘summer hours’ where two hours in the afternoon are blocked from meetings to ensure that there is “work” and “think” time. This time can be used to catch up on tasks, conduct a review of the past week, and plan for the following week. During 2020, we launched an Unlimited Paid Time Off program for exempt employees in the U.S. This program gives team members the flexibility to take time off that makes sense for them and frees employees from the confines of traditional accrued time off policies.</w:t>
      </w:r>
    </w:p>
    <w:p>
      <w:pPr>
        <w:spacing w:after="0" w:line="19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2020, we also launched the Health &amp; Wellness Initiative in the U.S. to help employees find ways to create more balance in their lives. As part of this initiative, all employees were given a complimentary Calm App membership that includes useful resources designed to strengthen mental fitness and provide tools to tackle stress. Recognizing that burnout was becoming a global issue, we launched several company-wide events in 2021 to enhance wellness. These include providing complimentary self-care kits to employees, fitness challenges and a virtual company 5/10K.</w:t>
      </w:r>
    </w:p>
    <w:p>
      <w:pPr>
        <w:spacing w:after="0" w:line="4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color w:val="auto"/>
        </w:rPr>
        <w:t>Data &amp; Insights</w:t>
      </w:r>
      <w:r>
        <w:rPr>
          <w:rFonts w:ascii="Arial" w:cs="Arial" w:eastAsia="Arial" w:hAnsi="Arial"/>
          <w:sz w:val="18"/>
          <w:szCs w:val="18"/>
          <w:color w:val="auto"/>
        </w:rPr>
        <w:t>: In 2020, we consolidated multiple human resource systems to a common platform. This will allow us to deliver real time employee self-service and data and insights to management. The migration to one platform will enable the human resources team to obtain valuable employee insights and enact changes more quickly.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40"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b w:val="1"/>
          <w:bCs w:val="1"/>
          <w:color w:val="auto"/>
        </w:rPr>
        <w:t>Environmental Laws</w:t>
      </w:r>
      <w:r>
        <w:rPr>
          <w:rFonts w:ascii="Arial" w:cs="Arial" w:eastAsia="Arial" w:hAnsi="Arial"/>
          <w:sz w:val="16"/>
          <w:szCs w:val="16"/>
          <w:color w:val="auto"/>
        </w:rPr>
        <w:t>: Our products and manufacturing process are subject to numerous governmental regulations, which cover both the use of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as well as environmental 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spacing w:after="0" w:line="232" w:lineRule="exact"/>
        <w:rPr>
          <w:sz w:val="20"/>
          <w:szCs w:val="20"/>
          <w:color w:val="auto"/>
        </w:rPr>
      </w:pPr>
    </w:p>
    <w:p>
      <w:pPr>
        <w:ind w:right="20" w:firstLine="395"/>
        <w:spacing w:after="0" w:line="286" w:lineRule="auto"/>
        <w:rPr>
          <w:sz w:val="20"/>
          <w:szCs w:val="20"/>
          <w:color w:val="auto"/>
        </w:rPr>
      </w:pPr>
      <w:r>
        <w:rPr>
          <w:rFonts w:ascii="Arial" w:cs="Arial" w:eastAsia="Arial" w:hAnsi="Arial"/>
          <w:sz w:val="16"/>
          <w:szCs w:val="16"/>
          <w:b w:val="1"/>
          <w:bCs w:val="1"/>
          <w:color w:val="auto"/>
        </w:rPr>
        <w:t>Other Regulations</w:t>
      </w:r>
      <w:r>
        <w:rPr>
          <w:rFonts w:ascii="Arial" w:cs="Arial" w:eastAsia="Arial" w:hAnsi="Arial"/>
          <w:sz w:val="16"/>
          <w:szCs w:val="16"/>
          <w:color w:val="auto"/>
        </w:rPr>
        <w:t>: As a company with global operations, we are subject to complex foreign and U.S. laws and regulations, including trade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tariffs, import and export regulations, 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24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5" w:lineRule="exact"/>
        <w:rPr>
          <w:sz w:val="20"/>
          <w:szCs w:val="20"/>
          <w:color w:val="auto"/>
        </w:rPr>
      </w:pPr>
    </w:p>
    <w:p>
      <w:pPr>
        <w:ind w:left="620" w:hanging="299"/>
        <w:spacing w:after="0"/>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quarterly operating results have fluctuated in the past and may fluctuate in the future, which could cause declines or volatility in the price of our common stock.</w:t>
      </w:r>
    </w:p>
    <w:p>
      <w:pPr>
        <w:spacing w:after="0" w:line="27" w:lineRule="exact"/>
        <w:rPr>
          <w:rFonts w:ascii="Arial" w:cs="Arial" w:eastAsia="Arial" w:hAnsi="Arial"/>
          <w:sz w:val="14"/>
          <w:szCs w:val="14"/>
          <w:color w:val="auto"/>
        </w:rPr>
      </w:pPr>
    </w:p>
    <w:p>
      <w:pPr>
        <w:ind w:left="620" w:hanging="299"/>
        <w:spacing w:after="0"/>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have an accumulated deficit and may not be able to achieve or sustain profitability, which may negatively impact our ability to achieve our business objectives.</w:t>
      </w:r>
    </w:p>
    <w:p>
      <w:pPr>
        <w:spacing w:after="0" w:line="23" w:lineRule="exact"/>
        <w:rPr>
          <w:rFonts w:ascii="Arial" w:cs="Arial" w:eastAsia="Arial" w:hAnsi="Arial"/>
          <w:sz w:val="14"/>
          <w:szCs w:val="14"/>
          <w:color w:val="auto"/>
        </w:rPr>
      </w:pPr>
    </w:p>
    <w:p>
      <w:pPr>
        <w:ind w:left="640" w:right="520" w:hanging="319"/>
        <w:spacing w:after="0"/>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5G market may take longer to materialize than we expect or, if it does materialize rapidly, we may not be able to meet the development schedule and other customer demands.</w:t>
      </w:r>
    </w:p>
    <w:p>
      <w:pPr>
        <w:ind w:left="640" w:right="180" w:hanging="319"/>
        <w:spacing w:after="0"/>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plan to position ourselves as a leading provider of industrial IoT products and services to our customer base could subject us to increased costs and related risks and may not achieve the intended results.</w:t>
      </w:r>
    </w:p>
    <w:p>
      <w:pPr>
        <w:ind w:left="640" w:right="60" w:hanging="319"/>
        <w:spacing w:after="0"/>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ind w:left="640" w:right="360" w:hanging="319"/>
        <w:spacing w:after="0"/>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assertion by a third party that we are infringing its intellectual property could subject us to costly and time-consuming litigation or expensive licenses and our business could be harmed.</w:t>
      </w:r>
    </w:p>
    <w:p>
      <w:pPr>
        <w:ind w:left="620" w:hanging="299"/>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protect our intellectual property and proprietary rights, our competitive position and our business could be harmed.</w:t>
      </w:r>
    </w:p>
    <w:p>
      <w:pPr>
        <w:ind w:left="620" w:hanging="299"/>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mobile hotspot business is subject to a number of challenges that are difficult to overcome.</w:t>
      </w:r>
    </w:p>
    <w:p>
      <w:pPr>
        <w:ind w:left="640" w:right="100" w:hanging="319"/>
        <w:spacing w:after="0"/>
        <w:tabs>
          <w:tab w:leader="none" w:pos="62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future capital needs are uncertain, and we may need to raise additional funds in the future. We may not be able to raise such additional funds on acceptable terms or at all.</w:t>
      </w:r>
    </w:p>
    <w:p>
      <w:pPr>
        <w:ind w:left="620" w:hanging="299"/>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debt service requirements are significant, and we may not have sufficient cash flow from our business to pay our substantial debt.</w:t>
      </w:r>
    </w:p>
    <w:p>
      <w:pPr>
        <w:ind w:left="620" w:hanging="299"/>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Uncertainties relating to recent changes in our management team may adversely affect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Corporate Development Activities</w:t>
      </w:r>
    </w:p>
    <w:p>
      <w:pPr>
        <w:spacing w:after="0" w:line="15" w:lineRule="exact"/>
        <w:rPr>
          <w:sz w:val="20"/>
          <w:szCs w:val="20"/>
          <w:color w:val="auto"/>
        </w:rPr>
      </w:pPr>
    </w:p>
    <w:p>
      <w:pPr>
        <w:ind w:left="640" w:right="460" w:hanging="319"/>
        <w:spacing w:after="0" w:line="243" w:lineRule="auto"/>
        <w:tabs>
          <w:tab w:leader="none" w:pos="6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do not properly manage the development of our business, we may experience significant strains on our management and operations and disruptions in our business.</w:t>
      </w:r>
    </w:p>
    <w:p>
      <w:pPr>
        <w:ind w:left="640" w:right="40" w:hanging="319"/>
        <w:spacing w:after="0"/>
        <w:tabs>
          <w:tab w:leader="none" w:pos="6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as part of our growth strategy, acquire companies and businesses, and/or divest assets or businesses. The completion of acquisition or divestiture transactions could have an adverse effect on our financial condition.</w:t>
      </w:r>
    </w:p>
    <w:p>
      <w:pPr>
        <w:ind w:left="640" w:right="120" w:hanging="319"/>
        <w:spacing w:after="0"/>
        <w:tabs>
          <w:tab w:leader="none" w:pos="62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Following acquisitions and/or divestitures, our reorganized business may not perform as we or the market expects, which could have an adverse effect on the price of our common stock.</w:t>
      </w:r>
    </w:p>
    <w:p>
      <w:pPr>
        <w:ind w:left="620" w:hanging="299"/>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our goodwill and acquired intangible assets become impaired, we may be required to record a significant charge to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Competition</w:t>
      </w:r>
    </w:p>
    <w:p>
      <w:pPr>
        <w:spacing w:after="0" w:line="15" w:lineRule="exact"/>
        <w:rPr>
          <w:sz w:val="20"/>
          <w:szCs w:val="20"/>
          <w:color w:val="auto"/>
        </w:rPr>
      </w:pPr>
    </w:p>
    <w:p>
      <w:pPr>
        <w:ind w:left="620" w:hanging="299"/>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market for the products and services that we offer is rapidly evolving and highly competitive. We may be unable to compete effectively.</w:t>
      </w:r>
    </w:p>
    <w:p>
      <w:pPr>
        <w:spacing w:after="0" w:line="4" w:lineRule="exact"/>
        <w:rPr>
          <w:rFonts w:ascii="Arial" w:cs="Arial" w:eastAsia="Arial" w:hAnsi="Arial"/>
          <w:sz w:val="16"/>
          <w:szCs w:val="16"/>
          <w:color w:val="auto"/>
        </w:rPr>
      </w:pPr>
    </w:p>
    <w:p>
      <w:pPr>
        <w:ind w:left="640" w:hanging="319"/>
        <w:spacing w:after="0"/>
        <w:tabs>
          <w:tab w:leader="none" w:pos="62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ind w:left="620" w:hanging="299"/>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Industry consolidation may result in increased competition, which could result in a loss of customers or a reduction in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Customers and Demand for Our Solutions</w:t>
      </w:r>
    </w:p>
    <w:p>
      <w:pPr>
        <w:spacing w:after="0" w:line="15" w:lineRule="exact"/>
        <w:rPr>
          <w:sz w:val="20"/>
          <w:szCs w:val="20"/>
          <w:color w:val="auto"/>
        </w:rPr>
      </w:pPr>
    </w:p>
    <w:p>
      <w:pPr>
        <w:ind w:left="620" w:hanging="299"/>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inability to adapt to rapid technological change in our markets could impair our ability to remain competitive and adversely affect our results of operations.</w:t>
      </w:r>
    </w:p>
    <w:p>
      <w:pPr>
        <w:spacing w:after="0" w:line="16" w:lineRule="exact"/>
        <w:rPr>
          <w:rFonts w:ascii="Arial" w:cs="Arial" w:eastAsia="Arial" w:hAnsi="Arial"/>
          <w:sz w:val="15"/>
          <w:szCs w:val="15"/>
          <w:color w:val="auto"/>
        </w:rPr>
      </w:pPr>
    </w:p>
    <w:p>
      <w:pPr>
        <w:ind w:left="620" w:hanging="299"/>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fail to develop and maintain strategic relationships, we may not be able to penetrate new markets.</w:t>
      </w:r>
    </w:p>
    <w:p>
      <w:pPr>
        <w:ind w:left="640" w:right="120" w:hanging="319"/>
        <w:spacing w:after="0"/>
        <w:tabs>
          <w:tab w:leader="none" w:pos="6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depend upon Verizon Wireless and T-Mobile for a substantial portion of our revenues, and our business would be negatively affected by an adverse change in our dealings with either of these customers.</w:t>
      </w:r>
    </w:p>
    <w:p>
      <w:pPr>
        <w:ind w:left="620" w:hanging="299"/>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be able to retain and increase sales to our existing customers, which could negatively impact our financial results.</w:t>
      </w:r>
    </w:p>
    <w:p>
      <w:pPr>
        <w:ind w:left="620" w:hanging="299"/>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Loss of, or a significant reduction in business from, one or more enterprise or government customers could adversely affect our revenue and profitability.</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82" w:right="399" w:bottom="1440" w:gutter="0" w:footer="0" w:header="0"/>
        </w:sectPr>
      </w:pPr>
    </w:p>
    <w:bookmarkStart w:id="12" w:name="page13"/>
    <w:bookmarkEnd w:id="12"/>
    <w:p>
      <w:pPr>
        <w:ind w:left="620" w:hanging="299"/>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economic conditions or reduced spending on information technology solutions may adversely impact our revenue and profitability.</w:t>
      </w:r>
    </w:p>
    <w:p>
      <w:pPr>
        <w:spacing w:after="0" w:line="14" w:lineRule="exact"/>
        <w:rPr>
          <w:rFonts w:ascii="Arial" w:cs="Arial" w:eastAsia="Arial" w:hAnsi="Arial"/>
          <w:sz w:val="16"/>
          <w:szCs w:val="16"/>
          <w:color w:val="auto"/>
        </w:rPr>
      </w:pPr>
    </w:p>
    <w:p>
      <w:pPr>
        <w:ind w:left="620" w:hanging="299"/>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marketability of our products may suffer if wireless telecommunications operators do not deliver acceptable wireless services.</w:t>
      </w:r>
    </w:p>
    <w:p>
      <w:pPr>
        <w:ind w:left="620" w:hanging="299"/>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practices of insurance companies in the markets in which we provide our solutions could materially and adversely affect demand for products and services.</w:t>
      </w:r>
    </w:p>
    <w:p>
      <w:pPr>
        <w:spacing w:after="0" w:line="23" w:lineRule="exact"/>
        <w:rPr>
          <w:rFonts w:ascii="Arial" w:cs="Arial" w:eastAsia="Arial" w:hAnsi="Arial"/>
          <w:sz w:val="14"/>
          <w:szCs w:val="14"/>
          <w:color w:val="auto"/>
        </w:rPr>
      </w:pPr>
    </w:p>
    <w:p>
      <w:pPr>
        <w:ind w:left="620" w:hanging="299"/>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Reduction in regulation in certain markets may adversely impact demand for certain of our solutions by reducing the necessity for, or desirability of, our solutions.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Developing, Manufacturing and Delivering Our Solutions</w:t>
      </w:r>
    </w:p>
    <w:p>
      <w:pPr>
        <w:spacing w:after="0" w:line="15" w:lineRule="exact"/>
        <w:rPr>
          <w:sz w:val="20"/>
          <w:szCs w:val="20"/>
          <w:color w:val="auto"/>
        </w:rPr>
      </w:pPr>
    </w:p>
    <w:p>
      <w:pPr>
        <w:ind w:left="620" w:hanging="299"/>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currently rely on third parties to manufacture and warehouse many of our products, which exposes us to a number of risks and uncertainties outside our control.</w:t>
      </w:r>
    </w:p>
    <w:p>
      <w:pPr>
        <w:spacing w:after="0" w:line="27" w:lineRule="exact"/>
        <w:rPr>
          <w:rFonts w:ascii="Arial" w:cs="Arial" w:eastAsia="Arial" w:hAnsi="Arial"/>
          <w:sz w:val="14"/>
          <w:szCs w:val="14"/>
          <w:color w:val="auto"/>
        </w:rPr>
      </w:pPr>
    </w:p>
    <w:p>
      <w:pPr>
        <w:ind w:left="640" w:right="4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ind w:left="640" w:right="4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ind w:left="640" w:right="10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effects of COVID-19 and other potential future public health crises, epidemics, pandemics or similar events on our business, operating results and cash flows are uncertain.</w:t>
      </w:r>
    </w:p>
    <w:p>
      <w:pPr>
        <w:ind w:left="640" w:right="56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disruptions in our transportation network occur or our shipping costs substantially increase, we may be unable to sell or timely deliver our products, and our operating expenses could increase.</w:t>
      </w:r>
    </w:p>
    <w:p>
      <w:pPr>
        <w:ind w:left="620" w:hanging="299"/>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adequately control the costs or maintain adequate supply of components and raw materials associated with our operations.</w:t>
      </w:r>
    </w:p>
    <w:p>
      <w:pPr>
        <w:ind w:left="640" w:right="16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do not effectively manage our sales channel inventory and product mix, we may incur costs associated with excess inventory or lose sales from having too few products.</w:t>
      </w:r>
    </w:p>
    <w:p>
      <w:pPr>
        <w:ind w:left="620" w:hanging="299"/>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liability, product replacement or recall costs could adversely affect our business and financial performance.</w:t>
      </w:r>
    </w:p>
    <w:p>
      <w:pPr>
        <w:ind w:left="640" w:right="6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solutions integrate with third-party technologies and if our solutions become incompatible with these technologies, our solutions would lose functionality and our customer acquisition and retention could be adversely affected.</w:t>
      </w:r>
    </w:p>
    <w:p>
      <w:pPr>
        <w:ind w:left="640" w:right="56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ind w:left="640" w:right="12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ind w:left="640" w:right="2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significant disruption in service on our websites or in our computer systems could damage our reputation and result in a loss of customers, which would harm our business and operating results.</w:t>
      </w:r>
    </w:p>
    <w:p>
      <w:pPr>
        <w:ind w:left="640" w:right="120" w:hanging="31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provide minimum service level commitments to certain of our customers, and our failure to meet them could require us to issue credits for future subscriptions or pay penalties, which could harm our results of operations.</w:t>
      </w:r>
    </w:p>
    <w:p>
      <w:pPr>
        <w:ind w:left="640" w:hanging="319"/>
        <w:spacing w:after="0" w:line="266" w:lineRule="auto"/>
        <w:tabs>
          <w:tab w:leader="none" w:pos="629" w:val="left"/>
        </w:tabs>
        <w:numPr>
          <w:ilvl w:val="0"/>
          <w:numId w:val="14"/>
        </w:numPr>
        <w:rPr>
          <w:rFonts w:ascii="Arial" w:cs="Arial" w:eastAsia="Arial" w:hAnsi="Arial"/>
          <w:sz w:val="15"/>
          <w:szCs w:val="15"/>
          <w:color w:val="auto"/>
        </w:rPr>
      </w:pPr>
      <w:r>
        <w:rPr>
          <w:rFonts w:ascii="Arial" w:cs="Arial" w:eastAsia="Arial" w:hAnsi="Arial"/>
          <w:sz w:val="15"/>
          <w:szCs w:val="15"/>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5" w:lineRule="exact"/>
        <w:rPr>
          <w:sz w:val="20"/>
          <w:szCs w:val="20"/>
          <w:color w:val="auto"/>
        </w:rPr>
      </w:pPr>
    </w:p>
    <w:p>
      <w:pPr>
        <w:ind w:left="620" w:hanging="299"/>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Due to the global nature of our operations, we are subject to political and economic risks of doing business internationally.</w:t>
      </w:r>
    </w:p>
    <w:p>
      <w:pPr>
        <w:spacing w:after="0" w:line="4" w:lineRule="exact"/>
        <w:rPr>
          <w:rFonts w:ascii="Arial" w:cs="Arial" w:eastAsia="Arial" w:hAnsi="Arial"/>
          <w:sz w:val="16"/>
          <w:szCs w:val="16"/>
          <w:color w:val="auto"/>
        </w:rPr>
      </w:pPr>
    </w:p>
    <w:p>
      <w:pPr>
        <w:ind w:left="640" w:right="60" w:hanging="319"/>
        <w:spacing w:after="0"/>
        <w:tabs>
          <w:tab w:leader="none" w:pos="6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Weakness or deterioration in global economic or political conditions in jurisdictions where we have significant foreign operations could have a material adverse effect on our results of operations and financial condition.</w:t>
      </w:r>
    </w:p>
    <w:p>
      <w:pPr>
        <w:ind w:left="620" w:hanging="299"/>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foreign currency exchange rates could adversely affect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Regulations, Taxation and Accounting Matters</w:t>
      </w:r>
    </w:p>
    <w:p>
      <w:pPr>
        <w:spacing w:after="0" w:line="15" w:lineRule="exact"/>
        <w:rPr>
          <w:sz w:val="20"/>
          <w:szCs w:val="20"/>
          <w:color w:val="auto"/>
        </w:rPr>
      </w:pPr>
    </w:p>
    <w:p>
      <w:pPr>
        <w:ind w:left="620" w:hanging="299"/>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governmental challenge to our transfer pricing policies or practices could impose significant costs on us.</w:t>
      </w:r>
    </w:p>
    <w:p>
      <w:pPr>
        <w:spacing w:after="0" w:line="4" w:lineRule="exact"/>
        <w:rPr>
          <w:rFonts w:ascii="Arial" w:cs="Arial" w:eastAsia="Arial" w:hAnsi="Arial"/>
          <w:sz w:val="16"/>
          <w:szCs w:val="16"/>
          <w:color w:val="auto"/>
        </w:rPr>
      </w:pPr>
    </w:p>
    <w:p>
      <w:pPr>
        <w:ind w:left="640" w:right="540" w:hanging="319"/>
        <w:spacing w:after="0"/>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ind w:left="640" w:right="220" w:hanging="319"/>
        <w:spacing w:after="0" w:line="243" w:lineRule="auto"/>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Enhanced United States fiscal, tax and trade restrictions and executive and legislative actions could adversely affect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Owning Our Securities</w:t>
      </w:r>
    </w:p>
    <w:p>
      <w:pPr>
        <w:spacing w:after="0" w:line="15" w:lineRule="exact"/>
        <w:rPr>
          <w:sz w:val="20"/>
          <w:szCs w:val="20"/>
          <w:color w:val="auto"/>
        </w:rPr>
      </w:pPr>
    </w:p>
    <w:p>
      <w:pPr>
        <w:ind w:left="620" w:hanging="299"/>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share price has been highly volatile in the past and could be highly volatile in the future.</w:t>
      </w:r>
    </w:p>
    <w:p>
      <w:pPr>
        <w:spacing w:after="0" w:line="4" w:lineRule="exact"/>
        <w:rPr>
          <w:rFonts w:ascii="Arial" w:cs="Arial" w:eastAsia="Arial" w:hAnsi="Arial"/>
          <w:sz w:val="16"/>
          <w:szCs w:val="16"/>
          <w:color w:val="auto"/>
        </w:rPr>
      </w:pPr>
    </w:p>
    <w:p>
      <w:pPr>
        <w:ind w:left="640" w:right="100" w:hanging="319"/>
        <w:spacing w:after="0"/>
        <w:tabs>
          <w:tab w:leader="none" w:pos="6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settlements of any conversion obligations with respect to the 2025 Notes may result in dilution to existing stockholders, lower prevailing market prices for our common stock or require a significant cash outlay.</w:t>
      </w:r>
    </w:p>
    <w:p>
      <w:pPr>
        <w:ind w:left="640" w:right="280" w:hanging="319"/>
        <w:spacing w:after="0"/>
        <w:tabs>
          <w:tab w:leader="none" w:pos="6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issuances of our common stock to holders of warrants may materially and adversely affect the price of our common stock and cause dilution to our existing stockholders.</w:t>
      </w:r>
    </w:p>
    <w:p>
      <w:pPr>
        <w:ind w:left="620" w:hanging="299"/>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Ownership of our common stock is concentrated, and as a result, certain stockholders may exercise significant influence over us.</w:t>
      </w:r>
    </w:p>
    <w:p>
      <w:pPr>
        <w:ind w:left="620" w:hanging="299"/>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outstanding Series E Preferred Stock or future equity offerings could adversely affect the holders of our common stock in some circumstances.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80"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16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1" w:lineRule="exact"/>
        <w:rPr>
          <w:sz w:val="20"/>
          <w:szCs w:val="20"/>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accurately predict changes in customer demand due to matters beyond our control;</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key employees, given intense competition for qualified personnel;</w:t>
      </w:r>
    </w:p>
    <w:p>
      <w:pPr>
        <w:spacing w:after="0" w:line="56" w:lineRule="exact"/>
        <w:rPr>
          <w:rFonts w:ascii="Arial" w:cs="Arial" w:eastAsia="Arial" w:hAnsi="Arial"/>
          <w:sz w:val="18"/>
          <w:szCs w:val="18"/>
          <w:color w:val="auto"/>
        </w:rPr>
      </w:pPr>
    </w:p>
    <w:p>
      <w:pPr>
        <w:ind w:left="960" w:right="660" w:hanging="323"/>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manage and realize the anticipated benefits of any future divestitures or acquisitions of businesses, solutions or technologies;</w:t>
      </w:r>
    </w:p>
    <w:p>
      <w:pPr>
        <w:spacing w:after="0" w:line="23" w:lineRule="exact"/>
        <w:rPr>
          <w:rFonts w:ascii="Arial" w:cs="Arial" w:eastAsia="Arial" w:hAnsi="Arial"/>
          <w:sz w:val="18"/>
          <w:szCs w:val="18"/>
          <w:color w:val="auto"/>
        </w:rPr>
      </w:pPr>
    </w:p>
    <w:p>
      <w:pPr>
        <w:ind w:left="960" w:right="900" w:hanging="323"/>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launch new services or solutions or sell existing services or solutions into additional geographies or vertical markets;</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56" w:lineRule="exact"/>
        <w:rPr>
          <w:rFonts w:ascii="Arial" w:cs="Arial" w:eastAsia="Arial" w:hAnsi="Arial"/>
          <w:sz w:val="18"/>
          <w:szCs w:val="18"/>
          <w:color w:val="auto"/>
        </w:rPr>
      </w:pPr>
    </w:p>
    <w:p>
      <w:pPr>
        <w:ind w:left="960" w:right="600" w:hanging="323"/>
        <w:spacing w:after="0" w:line="308" w:lineRule="auto"/>
        <w:tabs>
          <w:tab w:leader="none" w:pos="9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worldwide economic, industry, and market conditions, including disruptions in financial markets and the deterioration of the underlying economic conditions in some countries, and those conditions specific to Internet usage and online businesses;</w:t>
      </w:r>
    </w:p>
    <w:p>
      <w:pPr>
        <w:spacing w:after="0" w:line="1" w:lineRule="exact"/>
        <w:rPr>
          <w:rFonts w:ascii="Arial" w:cs="Arial" w:eastAsia="Arial" w:hAnsi="Arial"/>
          <w:sz w:val="16"/>
          <w:szCs w:val="16"/>
          <w:color w:val="auto"/>
        </w:rPr>
      </w:pPr>
    </w:p>
    <w:p>
      <w:pPr>
        <w:ind w:left="960" w:right="280" w:hanging="323"/>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outbreak of COVID-19, which could extend lead times in our supply chain and lengthen sales cycles with our customers;</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56" w:lineRule="exact"/>
        <w:rPr>
          <w:rFonts w:ascii="Arial" w:cs="Arial" w:eastAsia="Arial" w:hAnsi="Arial"/>
          <w:sz w:val="18"/>
          <w:szCs w:val="18"/>
          <w:color w:val="auto"/>
        </w:rPr>
      </w:pPr>
    </w:p>
    <w:p>
      <w:pPr>
        <w:ind w:left="960" w:right="620" w:hanging="323"/>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 of fleet management solutions or asset management solutions from cellular carrier-controlled or OEM-controlled channels from which Inseego may be excluded.</w:t>
      </w:r>
    </w:p>
    <w:p>
      <w:pPr>
        <w:spacing w:after="0" w:line="1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1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have reported net losses in each of the last five fiscal years, and we cannot predict when we will become profitable or if such profitability can be sustained. We expect to continue making significant expenditures to develop and expand our business. 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 w:name="page15"/>
    <w:bookmarkEnd w:id="14"/>
    <w:p>
      <w:pPr>
        <w:ind w:right="260"/>
        <w:spacing w:after="0" w:line="261" w:lineRule="auto"/>
        <w:rPr>
          <w:sz w:val="20"/>
          <w:szCs w:val="20"/>
          <w:color w:val="auto"/>
        </w:rPr>
      </w:pPr>
      <w:r>
        <w:rPr>
          <w:rFonts w:ascii="Arial" w:cs="Arial" w:eastAsia="Arial" w:hAnsi="Arial"/>
          <w:sz w:val="18"/>
          <w:szCs w:val="18"/>
          <w:b w:val="1"/>
          <w:bCs w:val="1"/>
          <w:i w:val="1"/>
          <w:iCs w:val="1"/>
          <w:color w:val="auto"/>
        </w:rPr>
        <w:t>The 5G market may take longer to materialize than we expect or, if it does materialize rapidly, we may not be able to meet the development schedule and other customer demands.</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Growth of the 5G market and its emerging standards, including the newly defined 5G NR standard, is accelerating and we believe that we are at the forefront of this newly emerging standard. However, this market may take longer to materialize than we expect which could delay important commercial network launches. Even if the market does materialize at the rapid pace that we are expecting, we may have difficulties meeting aggressive timing expectations of our current customers and getting our target products to market on time to meet the demands of our target customers. The 5G market requires us to design routers and antennas that meet certain technical specifications. We may have difficulties meeting the market and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5G market. We are pursuing 5G opportunities in the United States and abroad. 5G markets outside of the United States will develop at different rates and we will encounter these challenges to varying degrees in different countries. Failure to manage challenges related to 5G markets and opportunities could have a material adverse effect on our financial condition and results of operations.</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plan to position ourselves as a leading provider of industrial IoT products and services to our customer base could subject us to increased costs and related risks and may not achieve the intended results.</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strategic plan to position ourselves as a leading provider of high value industrial IoT products and services could subject us to unexpected costs and risks. Such activities could subject us to increased operating costs, product liability, regulatory requirements and reputational risks. Our expansion into new and existing markets and implementation of our strategic plan may present competitive and distribution challenges that differ from those of our historical business model.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product markets and implementation of our strategic plan for growth and do not meet the new challenges posed by such expansion and implementation, our future sales growth could be negatively impacted, our operating costs could increase, and our business operations and financial results could be negatively affected. Implementing our plan to position the Company as a leading provider of industrial IoT products and solutions has required, and is expected to continue to require, additional investments by us in both product development and go-to-market resources and additional attention from management, and if not successful, we may not realize the return on our investments as anticipated or our operating results could be adversely affected by slower than expected sales growth or additional costs.</w:t>
      </w:r>
    </w:p>
    <w:p>
      <w:pPr>
        <w:spacing w:after="0" w:line="121"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3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international markets.</w:t>
      </w:r>
    </w:p>
    <w:p>
      <w:pPr>
        <w:spacing w:after="0" w:line="6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8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could be harmed.</w:t>
      </w:r>
    </w:p>
    <w:p>
      <w:pPr>
        <w:spacing w:after="0" w:line="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5" w:name="page16"/>
    <w:bookmarkEnd w:id="15"/>
    <w:p>
      <w:pPr>
        <w:ind w:right="120"/>
        <w:spacing w:after="0" w:line="299" w:lineRule="auto"/>
        <w:rPr>
          <w:sz w:val="20"/>
          <w:szCs w:val="20"/>
          <w:color w:val="auto"/>
        </w:rPr>
      </w:pPr>
      <w:r>
        <w:rPr>
          <w:rFonts w:ascii="Arial" w:cs="Arial" w:eastAsia="Arial" w:hAnsi="Arial"/>
          <w:sz w:val="16"/>
          <w:szCs w:val="16"/>
          <w:color w:val="auto"/>
        </w:rPr>
        <w:t>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102"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21"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intellectual property and proprietary rights, our competitive position and our business could be harmed.</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1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and expand our business if we are not able to hire, retain and manage additional qualified personnel.</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08"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 mobile hotspot business is subject to a number of challenges that are difficult to overcome.</w:t>
      </w:r>
    </w:p>
    <w:p>
      <w:pPr>
        <w:spacing w:after="0" w:line="16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WNC, Nokia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1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debt service requirements are significant, and we may not have sufficient cash flow from our business to pay our substantial debt.</w:t>
      </w:r>
    </w:p>
    <w:p>
      <w:pPr>
        <w:spacing w:after="0" w:line="18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During the second quarter of 2020, we issued $180.4 million of 3.25% convertible senior notes due 2025 (the “2025 Notes”) and used a portion of the proceeds to repay our previous term loan in full and retire the 5.5% convertible senior notes due 2022 (the “2022 Notes” formerly referred to as the “Inseego Notes”). The principal amount of 2025 Notes outstanding at December 31, 2021 is $161.9 million. 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10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Over the last three years, we have experienced significant turnover and additions to our senior management. While we expect to engage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 could result in operational and administrative inefficiencies and added costs, which could adversely impact our results of operations, stock price and customer relationships.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ind w:right="320"/>
        <w:spacing w:after="0" w:line="261" w:lineRule="auto"/>
        <w:rPr>
          <w:sz w:val="20"/>
          <w:szCs w:val="20"/>
          <w:color w:val="auto"/>
        </w:rPr>
      </w:pPr>
      <w:r>
        <w:rPr>
          <w:rFonts w:ascii="Arial" w:cs="Arial" w:eastAsia="Arial" w:hAnsi="Arial"/>
          <w:sz w:val="18"/>
          <w:szCs w:val="18"/>
          <w:color w:val="auto"/>
        </w:rPr>
        <w:t>negatively impact our ability to execute on our operating plan and, accordingly, could have an adverse impact on our business, our cash flow and results of operations and our reputation with our current or potential customers.</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36" w:lineRule="exact"/>
        <w:rPr>
          <w:sz w:val="20"/>
          <w:szCs w:val="20"/>
          <w:color w:val="auto"/>
        </w:rPr>
      </w:pPr>
    </w:p>
    <w:p>
      <w:pPr>
        <w:ind w:left="940" w:hanging="303"/>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such as:</w:t>
      </w:r>
    </w:p>
    <w:p>
      <w:pPr>
        <w:spacing w:after="0" w:line="132" w:lineRule="exact"/>
        <w:rPr>
          <w:sz w:val="20"/>
          <w:szCs w:val="20"/>
          <w:color w:val="auto"/>
        </w:rPr>
      </w:pPr>
    </w:p>
    <w:p>
      <w:pPr>
        <w:ind w:left="940" w:hanging="303"/>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previous management to comply with applicable laws or regulations;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inaccurate representations;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unfulfilled contractual obligations to customers or vendors.</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Following acquisitions and/or divestitures, our reorganized business may not perform as we or the market expects, which could have an adverse effect on the price of our common stock.</w:t>
      </w:r>
    </w:p>
    <w:p>
      <w:pPr>
        <w:spacing w:after="0" w:line="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reorganized company resulting from any acquisitions and/or divestitures we pursue and consummate may not perform as we or the market expect. Risks associated with such acquisitions and divestitures, including the Ctrack Transaction, include the following:</w:t>
      </w:r>
    </w:p>
    <w:p>
      <w:pPr>
        <w:spacing w:after="0" w:line="24" w:lineRule="exact"/>
        <w:rPr>
          <w:sz w:val="20"/>
          <w:szCs w:val="20"/>
          <w:color w:val="auto"/>
        </w:rPr>
      </w:pPr>
    </w:p>
    <w:p>
      <w:pPr>
        <w:ind w:left="960" w:right="40" w:hanging="323"/>
        <w:spacing w:after="0" w:line="252"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integrating new business acquisitions and divesting existing lines of business is a difficult, expensive and time-consuming process and will divert management’s attention from existing operations, and the failure to successfully manage such transitions could adversely affect our financial condition and results of operations;</w:t>
      </w:r>
    </w:p>
    <w:p>
      <w:pPr>
        <w:spacing w:after="0" w:line="32" w:lineRule="exact"/>
        <w:rPr>
          <w:rFonts w:ascii="Arial" w:cs="Arial" w:eastAsia="Arial" w:hAnsi="Arial"/>
          <w:sz w:val="18"/>
          <w:szCs w:val="18"/>
          <w:color w:val="auto"/>
        </w:rPr>
      </w:pPr>
    </w:p>
    <w:p>
      <w:pPr>
        <w:ind w:left="960" w:right="60" w:hanging="323"/>
        <w:spacing w:after="0" w:line="252"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divestitures may change the nature of the business in which we have historically operated, including entering markets in which we have limited or no prior experience, and if we are not able to effectively adjust to such changes in the fundamental nature of our business, our financial condition and results of operations may be adversely affected;</w:t>
      </w:r>
    </w:p>
    <w:p>
      <w:pPr>
        <w:spacing w:after="0" w:line="32" w:lineRule="exact"/>
        <w:rPr>
          <w:rFonts w:ascii="Arial" w:cs="Arial" w:eastAsia="Arial" w:hAnsi="Arial"/>
          <w:sz w:val="18"/>
          <w:szCs w:val="18"/>
          <w:color w:val="auto"/>
        </w:rPr>
      </w:pPr>
    </w:p>
    <w:p>
      <w:pPr>
        <w:ind w:left="960" w:right="340" w:hanging="323"/>
        <w:spacing w:after="0" w:line="261"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assumptions with respect to future revenue, growth rates, expense rates and synergies resulting from acquisitions and/or divestitures may prove to be inaccurate, which may adversely affect the price of our common stock;</w:t>
      </w:r>
    </w:p>
    <w:p>
      <w:pPr>
        <w:spacing w:after="0" w:line="23" w:lineRule="exact"/>
        <w:rPr>
          <w:rFonts w:ascii="Arial" w:cs="Arial" w:eastAsia="Arial" w:hAnsi="Arial"/>
          <w:sz w:val="18"/>
          <w:szCs w:val="18"/>
          <w:color w:val="auto"/>
        </w:rPr>
      </w:pPr>
    </w:p>
    <w:p>
      <w:pPr>
        <w:ind w:left="960" w:right="140" w:hanging="323"/>
        <w:spacing w:after="0" w:line="308" w:lineRule="auto"/>
        <w:tabs>
          <w:tab w:leader="none" w:pos="9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spacing w:after="0" w:line="1" w:lineRule="exact"/>
        <w:rPr>
          <w:rFonts w:ascii="Arial" w:cs="Arial" w:eastAsia="Arial" w:hAnsi="Arial"/>
          <w:sz w:val="16"/>
          <w:szCs w:val="16"/>
          <w:color w:val="auto"/>
        </w:rPr>
      </w:pPr>
    </w:p>
    <w:p>
      <w:pPr>
        <w:ind w:left="960" w:right="200" w:hanging="323"/>
        <w:spacing w:after="0" w:line="252"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and any adverse changes in these third party relationships could adversely affect our business, financial condition and results of operations; and</w:t>
      </w:r>
    </w:p>
    <w:p>
      <w:pPr>
        <w:spacing w:after="0" w:line="32" w:lineRule="exact"/>
        <w:rPr>
          <w:rFonts w:ascii="Arial" w:cs="Arial" w:eastAsia="Arial" w:hAnsi="Arial"/>
          <w:sz w:val="18"/>
          <w:szCs w:val="18"/>
          <w:color w:val="auto"/>
        </w:rPr>
      </w:pPr>
    </w:p>
    <w:p>
      <w:pPr>
        <w:ind w:left="960" w:right="700" w:hanging="323"/>
        <w:spacing w:after="0" w:line="261" w:lineRule="auto"/>
        <w:tabs>
          <w:tab w:leader="none" w:pos="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such acquisitions and/or divestitures.</w:t>
      </w:r>
    </w:p>
    <w:p>
      <w:pPr>
        <w:spacing w:after="0" w:line="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and acquired intangible assets become impaired, we may be required to record a significant charge to earnings.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18" w:name="page19"/>
    <w:bookmarkEnd w:id="18"/>
    <w:p>
      <w:pPr>
        <w:jc w:val="both"/>
        <w:spacing w:after="0" w:line="252" w:lineRule="auto"/>
        <w:rPr>
          <w:sz w:val="20"/>
          <w:szCs w:val="20"/>
          <w:color w:val="auto"/>
        </w:rPr>
      </w:pPr>
      <w:r>
        <w:rPr>
          <w:rFonts w:ascii="Arial" w:cs="Arial" w:eastAsia="Arial" w:hAnsi="Arial"/>
          <w:sz w:val="18"/>
          <w:szCs w:val="18"/>
          <w:color w:val="auto"/>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spacing w:after="0" w:line="21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the products and services that we offer is rapidly evolving and highly competitive. We may be unable to compete effectively.</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1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products compete with a variety of solutions, including other wireless modems and mobile hotspots, wireless handsets, wireless handheld computing devices, IoT wireless solutions and enterprise software solutions. Our current competitors include:</w:t>
      </w:r>
    </w:p>
    <w:p>
      <w:pPr>
        <w:spacing w:after="0" w:line="76" w:lineRule="exact"/>
        <w:rPr>
          <w:sz w:val="20"/>
          <w:szCs w:val="20"/>
          <w:color w:val="auto"/>
        </w:rPr>
      </w:pPr>
    </w:p>
    <w:p>
      <w:pPr>
        <w:ind w:left="940" w:hanging="303"/>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fleet management SaaS and services providers, such as Fleetmatics, Masternaut, Telogis, MiX Telematics and Cartrack;</w:t>
      </w:r>
    </w:p>
    <w:p>
      <w:pPr>
        <w:spacing w:after="0" w:line="108" w:lineRule="exact"/>
        <w:rPr>
          <w:rFonts w:ascii="Arial" w:cs="Arial" w:eastAsia="Arial" w:hAnsi="Arial"/>
          <w:sz w:val="18"/>
          <w:szCs w:val="18"/>
          <w:color w:val="auto"/>
        </w:rPr>
      </w:pPr>
    </w:p>
    <w:p>
      <w:pPr>
        <w:ind w:left="940" w:hanging="303"/>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mobile hotspot providers, such as NETGEAR, Franklin Wireless, WNC, Sierra Wireless, Nokia, TCL, ZTE and Huawei;</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16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The 5G fixed wireless access gateway business is subject to a number of challenges that will be difficult to overcome.</w:t>
      </w:r>
    </w:p>
    <w:p>
      <w:pPr>
        <w:spacing w:after="0" w:line="10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developing market for 5G fixed wireless access devices is very competitive. In addition to other challenges, our fixed wireless access gateway products compete against similar products offered by mature companies, including Samsung, Ericsson, Nokia and Wistron NeWeb Corporation. Failure to manage these challenges, or failure of our fixed wireless access business to grow to become successful and profitable, could have a material adverse effect on our financial condition and results of operations.</w:t>
      </w:r>
    </w:p>
    <w:p>
      <w:pPr>
        <w:spacing w:after="0" w:line="138"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3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market for asset management and fleet management solutions and the markets for telemetry and tracking solutions are all highly fragmented, consisting of a large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GPS-based mapping, tracking and turn-by-turn directions that could be expanded or further developed to more directly compete with our fleet management solutions. In addition, wireless carriers, such as Verizon Wireless,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in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 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6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7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8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0" w:name="page21"/>
    <w:bookmarkEnd w:id="20"/>
    <w:p>
      <w:pPr>
        <w:ind w:right="420"/>
        <w:spacing w:after="0" w:line="261" w:lineRule="auto"/>
        <w:rPr>
          <w:sz w:val="20"/>
          <w:szCs w:val="20"/>
          <w:color w:val="auto"/>
        </w:rPr>
      </w:pPr>
      <w:r>
        <w:rPr>
          <w:rFonts w:ascii="Arial" w:cs="Arial" w:eastAsia="Arial" w:hAnsi="Arial"/>
          <w:sz w:val="18"/>
          <w:szCs w:val="18"/>
          <w:color w:val="auto"/>
        </w:rPr>
        <w:t>successfully achieve their purposes or that the companies with whom we have strategic relationships will not form competing arrangements with others or determine to compete with us.</w:t>
      </w:r>
    </w:p>
    <w:p>
      <w:pPr>
        <w:spacing w:after="0" w:line="12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depend upon Verizon Wireless and T-Mobile for a substantial portion of our revenues, and our business would be negatively affected by an adverse change in our dealings with either of these customers.</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a result of the significant revenues associated with our MiFi business, sales to Verizon Wireless and T-Mobile collectively accounted for 70%, 55% and 53% of our consolidated net revenues for each of the years ended December 31, 2021, 2020 and 2019, respectively. While we have accelerated our engagements with prospective new MiFi customers and continue to focus on growing revenue in other parts of our business, we expect that Verizon Wireless and T-Mobile will continue to account for a substantial portion of our net revenues, and any impairment of our relationship with Verizon Wireless or T-Mobile would adversely affect our business. Additionally, any change in the forecasted or actual product sell-through of Verizon Wireless or T-Mobile could have a detrimental impact on our revenue, bottom line and cash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10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generally seek to license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11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11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Another part of our growth strategy is to sell additional subscriptions to existing customers as their fleet sizes or asset 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of, or a significant reduction in business from, one or more enterprise or government customers could adversely affect our revenue and profitability.</w:t>
      </w:r>
    </w:p>
    <w:p>
      <w:pPr>
        <w:spacing w:after="0" w:line="117"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economic conditions or reduced spending on information technology solutions may adversely impact our revenue and profitability.</w:t>
      </w:r>
    </w:p>
    <w:p>
      <w:pPr>
        <w:spacing w:after="0" w:line="13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Uncertainty about future economic conditions makes it difficult for us to forecast operating results and to make decisions about future investments. We are unable to predict the likely duration and severity of adverse economic conditions in the United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ind w:right="80"/>
        <w:spacing w:after="0" w:line="252" w:lineRule="auto"/>
        <w:rPr>
          <w:sz w:val="20"/>
          <w:szCs w:val="20"/>
          <w:color w:val="auto"/>
        </w:rPr>
      </w:pPr>
      <w:r>
        <w:rPr>
          <w:rFonts w:ascii="Arial" w:cs="Arial" w:eastAsia="Arial" w:hAnsi="Arial"/>
          <w:sz w:val="18"/>
          <w:szCs w:val="18"/>
          <w:color w:val="auto"/>
        </w:rPr>
        <w:t>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7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depend in part on the practices of insurance companies in some of our markets to support demand for certain of our products and services. In certain markets, these practices include: (i) accepting mobile asset location technologies such as ours as a preferred security product; (ii) providing premium discounts for using location and recovery products and services such as ours; and/or (iii) mandating the use of our products and services, or similar products and services, for certain vehicles. If any of these policies or practices change, revenues from sale of our products and services could decline, which would materially and adversely affect our business, results of operations and financial condition.</w:t>
      </w:r>
    </w:p>
    <w:p>
      <w:pPr>
        <w:spacing w:after="0" w:line="11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Reduction in regulation in certain markets may adversely impact demand for certain of our solutions by reducing the necessity for, or desirability of, our solutions.</w:t>
      </w:r>
    </w:p>
    <w:p>
      <w:pPr>
        <w:spacing w:after="0" w:line="1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6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7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currently outsource the manufacturing of many of our products to companies including Foxconn and AsiaTelco Technologies Co.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20"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6" w:lineRule="exact"/>
        <w:rPr>
          <w:sz w:val="20"/>
          <w:szCs w:val="20"/>
          <w:color w:val="auto"/>
        </w:rPr>
      </w:pPr>
    </w:p>
    <w:p>
      <w:pPr>
        <w:ind w:left="940" w:hanging="303"/>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11"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3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services use hardware and software from various third parties, some of which are procured from single suppliers. For example our MiFi mobile hotspots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6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Natural disasters, public health crises, political crises and other catastrophic events or other events outside of our control could damage our facilities or the facilities of third parties on which we depend, and could impact consumer spending.</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corporate offices are located in San Diego, California near major earthquake faults and fire zones.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w:t>
      </w:r>
    </w:p>
    <w:p>
      <w:pPr>
        <w:spacing w:after="0" w:line="6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20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2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While the COVID-19 pandemic has led to an increase in demand for our products, particularly our MiFi and mobile wireless devices, relative to historic trends, this increased demand, as well as the revenues, net income and other financial and operating data associated therewith, may not be indicative of results for future periods. Temporary precautionary measures intended to help minimize the risk of the pandemic to our employees and to comply with government mandated closures and “shelter-in-place” orders have been put in place, including temporarily requiring most employees to work remotely, suspending all non-essential travel worldwide for our employees, and suspending employee attendance at industry events and in-person work-related meetings. These efforts could negatively affect our business. While most of our global operations have continued to operate, facility closures or work slowdowns or temporary stoppages could occur.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3" w:name="page24"/>
    <w:bookmarkEnd w:id="23"/>
    <w:p>
      <w:pPr>
        <w:ind w:right="100"/>
        <w:spacing w:after="0" w:line="306" w:lineRule="auto"/>
        <w:rPr>
          <w:sz w:val="20"/>
          <w:szCs w:val="20"/>
          <w:color w:val="auto"/>
        </w:rPr>
      </w:pPr>
      <w:r>
        <w:rPr>
          <w:rFonts w:ascii="Arial" w:cs="Arial" w:eastAsia="Arial" w:hAnsi="Arial"/>
          <w:sz w:val="15"/>
          <w:szCs w:val="15"/>
          <w:color w:val="auto"/>
        </w:rPr>
        <w:t>Logistics has emerged as a new challenge, as globally the transportation industry restricted the frequency of departures and increased logistics costs. We have experienced increased costs in freight as well as direct labor costs as we continue to work in serving our customers. We expect this trend to continue for the duration of the COVID-19 pandemic. In addition, we rely on contract manufacturers and other companies to provide materials, components and products that we sell to our customers. The continued spread of COVID-19 could negatively affect the operations at our third-party manufacturers, which could result in delays or disruptions in the supply of our products and could impact our ability to meet customer demand. If we are not able to implement alternatives or other mitigations with respect to suppliers that may have potential delivery impacts due to COVID-19, our sales and financial results could be adversely impacted.</w:t>
      </w:r>
    </w:p>
    <w:p>
      <w:pPr>
        <w:spacing w:after="0" w:line="167" w:lineRule="exact"/>
        <w:rPr>
          <w:sz w:val="20"/>
          <w:szCs w:val="20"/>
          <w:color w:val="auto"/>
        </w:rPr>
      </w:pPr>
    </w:p>
    <w:p>
      <w:pPr>
        <w:ind w:right="140" w:firstLine="316"/>
        <w:spacing w:after="0" w:line="265" w:lineRule="auto"/>
        <w:rPr>
          <w:sz w:val="20"/>
          <w:szCs w:val="20"/>
          <w:color w:val="auto"/>
        </w:rPr>
      </w:pPr>
      <w:r>
        <w:rPr>
          <w:rFonts w:ascii="Arial" w:cs="Arial" w:eastAsia="Arial" w:hAnsi="Arial"/>
          <w:sz w:val="16"/>
          <w:szCs w:val="16"/>
          <w:color w:val="auto"/>
        </w:rPr>
        <w:t>The effects of COVID-19 have increased competition for qualified personnel in the industries in which we operate. Additionally, changes we make to our current and future work environments may not meet the needs or expectations of our employees or may be perceived as less favorable compared to other companies’ policies, which could negatively impact our ability to hire and retain qualified personnel.</w:t>
      </w:r>
    </w:p>
    <w:p>
      <w:pPr>
        <w:spacing w:after="0" w:line="19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COVID-19 outbreak is a widespread health crisis that could adversely affect the economies and financial markets of many countries, resulting in an economic downturn that could affect longer-term demand for our products and likely impact our operating results. The impact of COVID-19 could worsen if there is an extended duration of any COVID-19 outbreak or a resurgence of COVID-19 infection in affected regions after they have begun to experience improvement. Prolonged impacts of COVID-19 could result in delays in payment by customers, the speed of regulatory approvals such as FCC and other licenses that are needed for releases of new products, and delays in new 5G network rollouts. Current limitations on travel to customer locations could impact international orders. Accordingly, recent growth in our business may not continue into the future, and you should not rely on our revenue or key business metrics for any previous quarterly or annual period as any indication of our revenue, revenue growth, key business metrics, or key business metrics growth in future periods.</w:t>
      </w:r>
    </w:p>
    <w:p>
      <w:pPr>
        <w:spacing w:after="0" w:line="2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disruptions in our transportation network occur or our shipping costs substantially increase, we may be unable to sell or timely deliver our products, and our operating expenses could increase.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 are highly dependent upon the transportation systems we use to ship our products, including surface and air freight. Our attempts to closely match our</w:t>
      </w:r>
    </w:p>
    <w:p>
      <w:pPr>
        <w:spacing w:after="0" w:line="66"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inventory levels to our product demand intensify the need for our transportation systems to function effectively and without delay. For example, the outbreak of the COVID-19 pandemic has led to significant limitations on the availability of key transportation resources and an increase in the cost of air and ocean freight. These developments negatively impact our profitability as we seek to transport an increased number of products from manufacturing locations in Asia to other markets around the world as quickly as possible.</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in the ports of Los Angeles or Long Beach, California, could significantly disrupt our business. Additionally, our 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 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control the costs or maintain adequate supply of components and raw materials associated with our operations.</w:t>
      </w:r>
    </w:p>
    <w:p>
      <w:pPr>
        <w:spacing w:after="0" w:line="2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effects across the technology industry and may negatively impact the supply of semiconductors needed for our testing and production timeline.</w:t>
      </w:r>
    </w:p>
    <w:p>
      <w:pPr>
        <w:spacing w:after="0" w:line="132"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spacing w:after="0" w:line="102"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spacing w:after="0" w:line="10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do not effectively manage our sales channel inventory and product mix, we may incur costs associated with excess inventory, or lose sales from having too few products.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properly monitor and manage our sales channel inventory and maintain an appropriate level and mix of products with our distributors and</w:t>
      </w:r>
    </w:p>
    <w:p>
      <w:pPr>
        <w:spacing w:after="0" w:line="6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within our sales channels, we may incur increased and unexpected costs associated with this inventory. We determine production levels based on our forecasts of demand for our products. Actual demand for our products 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10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11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1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7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220"/>
        <w:spacing w:after="0" w:line="324"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3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200"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auto"/>
        </w:rPr>
        <w:t>Our “over-the-air” transmission of firmware updates could permit a third party to disable our customers’ in-vehicle devices or introduce malware into our customers’ in-vehicle devices, which could expose us to widespread loss of service and customer claims.</w:t>
      </w:r>
    </w:p>
    <w:p>
      <w:pPr>
        <w:spacing w:after="0" w:line="16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spacing w:after="0" w:line="11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9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12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76"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host our solutions and serve our customers from network servers hosted by third parties, which are located at data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ind w:right="20"/>
        <w:spacing w:after="0" w:line="282" w:lineRule="auto"/>
        <w:rPr>
          <w:sz w:val="20"/>
          <w:szCs w:val="20"/>
          <w:color w:val="auto"/>
        </w:rPr>
      </w:pPr>
      <w:r>
        <w:rPr>
          <w:rFonts w:ascii="Arial" w:cs="Arial" w:eastAsia="Arial" w:hAnsi="Arial"/>
          <w:sz w:val="16"/>
          <w:szCs w:val="16"/>
          <w:color w:val="auto"/>
        </w:rPr>
        <w:t>center facilities in the United States, Europe and Australia. If these data centers are unable to keep up with our growing needs for capacity, this could have an adverse effect on our business. Our disaster recovery systems are located at third-party hosting facilities.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11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system availability,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10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8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11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As cyber-attacks become more sophisticated, the need to develop our infrastructure to secure our business and customer data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w:t>
      </w:r>
    </w:p>
    <w:p>
      <w:pPr>
        <w:spacing w:after="0" w:line="13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 A security breach also exposes us to litigation and legal risks, including regulatory actions by state and federal governmental authorities and non-U.S. authorities. We may not have adequate insurance coverages for a cybersecurity breach or may realize increased insurance premiums as a result of a security breach. Ultimately, a security breach exposes us to potential reputational harm among our customers and investors, along with uncertain damages to our competitiveness, stock price, and long-term shareholder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revenue represents a significant percentage of our worldwide revenue. The risks inherent in global operations include:</w:t>
      </w:r>
    </w:p>
    <w:p>
      <w:pPr>
        <w:spacing w:after="0" w:line="56" w:lineRule="exact"/>
        <w:rPr>
          <w:sz w:val="20"/>
          <w:szCs w:val="20"/>
          <w:color w:val="auto"/>
        </w:rPr>
      </w:pPr>
    </w:p>
    <w:p>
      <w:pPr>
        <w:ind w:left="5540" w:right="3860" w:hanging="4903"/>
        <w:spacing w:after="0" w:line="673" w:lineRule="auto"/>
        <w:tabs>
          <w:tab w:leader="none" w:pos="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-31115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7" w:name="page28"/>
    <w:bookmarkEnd w:id="27"/>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56" w:lineRule="exact"/>
        <w:rPr>
          <w:rFonts w:ascii="Arial" w:cs="Arial" w:eastAsia="Arial" w:hAnsi="Arial"/>
          <w:sz w:val="18"/>
          <w:szCs w:val="18"/>
          <w:color w:val="auto"/>
        </w:rPr>
      </w:pPr>
    </w:p>
    <w:p>
      <w:pPr>
        <w:ind w:left="960" w:right="240" w:hanging="323"/>
        <w:spacing w:after="0" w:line="261" w:lineRule="auto"/>
        <w:tabs>
          <w:tab w:leader="none" w:pos="9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23" w:lineRule="exact"/>
        <w:rPr>
          <w:rFonts w:ascii="Arial" w:cs="Arial" w:eastAsia="Arial" w:hAnsi="Arial"/>
          <w:sz w:val="18"/>
          <w:szCs w:val="18"/>
          <w:color w:val="auto"/>
        </w:rPr>
      </w:pPr>
    </w:p>
    <w:p>
      <w:pPr>
        <w:ind w:left="960" w:right="140" w:hanging="323"/>
        <w:spacing w:after="0" w:line="261" w:lineRule="auto"/>
        <w:tabs>
          <w:tab w:leader="none" w:pos="9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labor laws;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56" w:lineRule="exact"/>
        <w:rPr>
          <w:rFonts w:ascii="Arial" w:cs="Arial" w:eastAsia="Arial" w:hAnsi="Arial"/>
          <w:sz w:val="18"/>
          <w:szCs w:val="18"/>
          <w:color w:val="auto"/>
        </w:rPr>
      </w:pPr>
    </w:p>
    <w:p>
      <w:pPr>
        <w:ind w:left="960" w:right="740" w:hanging="323"/>
        <w:spacing w:after="0" w:line="261" w:lineRule="auto"/>
        <w:tabs>
          <w:tab w:leader="none" w:pos="9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warranty terms and broader product warranty requirements;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56" w:lineRule="exact"/>
        <w:rPr>
          <w:rFonts w:ascii="Arial" w:cs="Arial" w:eastAsia="Arial" w:hAnsi="Arial"/>
          <w:sz w:val="18"/>
          <w:szCs w:val="18"/>
          <w:color w:val="auto"/>
        </w:rPr>
      </w:pPr>
    </w:p>
    <w:p>
      <w:pPr>
        <w:ind w:left="960" w:right="340" w:hanging="323"/>
        <w:spacing w:after="0" w:line="261" w:lineRule="auto"/>
        <w:tabs>
          <w:tab w:leader="none" w:pos="9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w:t>
      </w:r>
    </w:p>
    <w:p>
      <w:pPr>
        <w:spacing w:after="0" w:line="1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a result of weak or deteriorating economic conditions globally, or in certain jurisdictions where we have significant foreign operations,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7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sell to customers throughout the world and we currently have operations and activities in Europe, China and other Asian countries. The political risks associated with the our global operations include: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8" w:name="page29"/>
    <w:bookmarkEnd w:id="28"/>
    <w:p>
      <w:pPr>
        <w:ind w:left="960" w:right="300" w:hanging="323"/>
        <w:spacing w:after="0" w:line="324" w:lineRule="auto"/>
        <w:tabs>
          <w:tab w:leader="none" w:pos="9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29" w:lineRule="exact"/>
        <w:rPr>
          <w:rFonts w:ascii="Arial" w:cs="Arial" w:eastAsia="Arial" w:hAnsi="Arial"/>
          <w:sz w:val="16"/>
          <w:szCs w:val="16"/>
          <w:color w:val="auto"/>
        </w:rPr>
      </w:pPr>
    </w:p>
    <w:p>
      <w:pPr>
        <w:ind w:left="960" w:right="260" w:hanging="323"/>
        <w:spacing w:after="0" w:line="261" w:lineRule="auto"/>
        <w:tabs>
          <w:tab w:leader="none" w:pos="9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civil unrest, expropriation, nationalization of properties by a government, imposition of sanctions and changes to import or export regulations and fees;</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conflicts, territorial disputes, war or terrorist activities;</w:t>
      </w:r>
    </w:p>
    <w:p>
      <w:pPr>
        <w:spacing w:after="0" w:line="108" w:lineRule="exact"/>
        <w:rPr>
          <w:rFonts w:ascii="Arial" w:cs="Arial" w:eastAsia="Arial" w:hAnsi="Arial"/>
          <w:sz w:val="18"/>
          <w:szCs w:val="18"/>
          <w:color w:val="auto"/>
        </w:rPr>
      </w:pPr>
    </w:p>
    <w:p>
      <w:pPr>
        <w:ind w:left="960" w:right="180" w:hanging="323"/>
        <w:spacing w:after="0" w:line="261" w:lineRule="auto"/>
        <w:tabs>
          <w:tab w:leader="none" w:pos="9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major public health issues, such as an outbreak of a pandemic or epidemic, which could cause disruptions in our operations or workforce, or the supply of products; and</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enforcing intellectual property and contractual rights in certain jurisdictions.</w:t>
      </w:r>
    </w:p>
    <w:p>
      <w:pPr>
        <w:spacing w:after="0" w:line="109" w:lineRule="exact"/>
        <w:rPr>
          <w:sz w:val="20"/>
          <w:szCs w:val="20"/>
          <w:color w:val="auto"/>
        </w:rPr>
      </w:pPr>
    </w:p>
    <w:p>
      <w:pPr>
        <w:ind w:right="600"/>
        <w:spacing w:after="0" w:line="324" w:lineRule="auto"/>
        <w:rPr>
          <w:sz w:val="20"/>
          <w:szCs w:val="20"/>
          <w:color w:val="auto"/>
        </w:rPr>
      </w:pPr>
      <w:r>
        <w:rPr>
          <w:rFonts w:ascii="Arial" w:cs="Arial" w:eastAsia="Arial" w:hAnsi="Arial"/>
          <w:sz w:val="16"/>
          <w:szCs w:val="16"/>
          <w:color w:val="auto"/>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 of operations.</w:t>
      </w:r>
    </w:p>
    <w:p>
      <w:pPr>
        <w:spacing w:after="0" w:line="96"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Fluctuations in the value of foreign currencies will create greater uncertainty in our revenues and can significantly and adversely affect our operating results.</w:t>
      </w:r>
    </w:p>
    <w:p>
      <w:pPr>
        <w:spacing w:after="0" w:line="3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efforts in certain countries in which we operate could materially increase our costs or limit our flexibility.</w:t>
      </w:r>
    </w:p>
    <w:p>
      <w:pPr>
        <w:spacing w:after="0" w:line="109" w:lineRule="exact"/>
        <w:rPr>
          <w:sz w:val="20"/>
          <w:szCs w:val="20"/>
          <w:color w:val="auto"/>
        </w:rPr>
      </w:pPr>
    </w:p>
    <w:p>
      <w:pPr>
        <w:jc w:val="both"/>
        <w:ind w:right="320"/>
        <w:spacing w:after="0" w:line="252" w:lineRule="auto"/>
        <w:rPr>
          <w:sz w:val="20"/>
          <w:szCs w:val="20"/>
          <w:color w:val="auto"/>
        </w:rPr>
      </w:pPr>
      <w:r>
        <w:rPr>
          <w:rFonts w:ascii="Arial" w:cs="Arial" w:eastAsia="Arial" w:hAnsi="Arial"/>
          <w:sz w:val="18"/>
          <w:szCs w:val="18"/>
          <w:color w:val="auto"/>
        </w:rPr>
        <w:t>Efforts may be made from time to time to unionize portions of our global workforce. In addition, we may be subject to strikes or work stoppages and other labor disruptions in the future. Unionization efforts, collective bargaining agreements or work stoppages could materially increase our costs, reduce our net revenues or limit our operational flexibility.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0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13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29" w:name="page30"/>
    <w:bookmarkEnd w:id="29"/>
    <w:p>
      <w:pPr>
        <w:spacing w:after="0" w:line="248"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governmental challenge to our transfer pricing policies or practices could impose significant costs on us.</w:t>
      </w:r>
    </w:p>
    <w:p>
      <w:pPr>
        <w:spacing w:after="0" w:line="161"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Our company has intercompany transactions with our subsidiaries and consequently closely monitors the appropriateness of our transfer pricing policies and compliance therewith. The global transfer pricing environment, including with respect to operational and reporting requirements, is continuously evolving and subject to input from multiple sources and jurisdictions. These complexities require management to closely monitor new developments, which it does.</w:t>
      </w:r>
    </w:p>
    <w:p>
      <w:pPr>
        <w:spacing w:after="0" w:line="4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Many countries routinely examine transfer pricing policies of taxpayers subject to their jurisdiction, and authorities challenge transfer pricing policies aggressively where there is potential non-compliance and impose interest and penalties where non-compliance is determined. Although the documentation of and support for our transfer pricing policies has not been the subject of a governmental proceeding beyond examination to date, there can be no assurance that a governmental authority will not challenge these policies more aggressively in the future or, if challenged, that we will prevail. We could suffer costs related to one or more challenges to our transfer pricing policies.</w:t>
      </w:r>
    </w:p>
    <w:p>
      <w:pPr>
        <w:spacing w:after="0" w:line="14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7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In addition, the California Consumer Privacy Act, which took effect on January 1, 2020, provides new data privacy rights for California consumers, including the right to know what personal information is being collected about them and how it is being used. We market our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solutions and products enable us to collect, manage and store a wide range of data related to fleet management such as mobile asset location and fuel usage, speed and mileage.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The European Union and the United Kingdom have adopted legislation (including directives, national laws and regulations) that increase or change the requirements governing data collection, use, storage and disclosure of personal data in these jurisdictions. The current European Union legislation related to data protection is the GDPR, which came into effect on May 25, 2018. We have updated and will continue to evaluate our group data protection and security policies, charters, and</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procedures to assist in maintaining data privacy and data security in line with international practices.</w:t>
      </w:r>
    </w:p>
    <w:p>
      <w:pPr>
        <w:spacing w:after="0" w:line="240" w:lineRule="exact"/>
        <w:rPr>
          <w:sz w:val="20"/>
          <w:szCs w:val="20"/>
          <w:color w:val="auto"/>
        </w:rPr>
      </w:pPr>
    </w:p>
    <w:p>
      <w:pPr>
        <w:jc w:val="both"/>
        <w:ind w:right="300"/>
        <w:spacing w:after="0" w:line="299" w:lineRule="auto"/>
        <w:rPr>
          <w:sz w:val="20"/>
          <w:szCs w:val="20"/>
          <w:color w:val="auto"/>
        </w:rPr>
      </w:pPr>
      <w:r>
        <w:rPr>
          <w:rFonts w:ascii="Arial" w:cs="Arial" w:eastAsia="Arial" w:hAnsi="Arial"/>
          <w:sz w:val="16"/>
          <w:szCs w:val="16"/>
          <w:color w:val="auto"/>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noted above, we have sought to implement internationally recognized practices regarding data privacy and data security. If our privacy or data security measures fail to comply, or are perceived to fail to comply, with current or future laws 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spacing w:after="0" w:line="22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Enhanced United States fiscal, tax and trade restrictions and executive and legislative actions could adversely affect our business, financial condition, and results of operations.</w:t>
      </w:r>
    </w:p>
    <w:p>
      <w:pPr>
        <w:spacing w:after="0" w:line="20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There is currently significant uncertainty about the future relationship between the United States and various other countries, most significantly China, with respect to trade policies, treaties, tariffs and taxes. The current and former U.S. administrations have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that increased to 25% in May 2019. The current U.S. administration has kept the tariffs in place, however trade negotiations between the U.S. and China continue and there is a possibility that certain product exclusions from the tariffs may be reinstated at some point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our move out of mainland China has been completed in prior years.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18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spacing w:after="0" w:line="21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On October 28, 2021, the House Rules Committee, under the Biden Administration released new proposed tax legislation under the “Build Back Better Act” (“BBBA”) which contains potential reversals and revisions of key provisions of the 2017 Tax Cuts and Jobs Act. As the BBBA, which was passed by the U.S. House of Representatives in November 2021, is proposed legislation that has not yet been enacted into law, we have not yet determined the impact on our effective tax rate, though we continue to monitor the Biden Administration’s proposals. We are currently unable to predict whether any future changes will occur or the impact of such changes if the legislation is passed into law, including on the U.S. federal income tax considerations relating to the purchase, ownership, and disposition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can be highly volatile due to the risks and uncertainties described in this report, as well as other factors,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comments by securities analysts; announcements by us or others regarding, among other things,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right="120"/>
        <w:spacing w:after="0" w:line="250" w:lineRule="auto"/>
        <w:rPr>
          <w:sz w:val="20"/>
          <w:szCs w:val="20"/>
          <w:color w:val="auto"/>
        </w:rPr>
      </w:pPr>
      <w:r>
        <w:rPr>
          <w:rFonts w:ascii="Arial" w:cs="Arial" w:eastAsia="Arial" w:hAnsi="Arial"/>
          <w:sz w:val="18"/>
          <w:szCs w:val="18"/>
          <w:color w:val="auto"/>
        </w:rPr>
        <w:t>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spacing w:after="0" w:line="138"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vulnerable to manipulation, including through short sales.</w:t>
      </w:r>
    </w:p>
    <w:p>
      <w:pPr>
        <w:spacing w:after="0" w:line="1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 Authority (“FINRA”). Short sales are transactions in which a market participant sells a security that it does not own. To complete the transaction, the 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spacing w:after="0" w:line="6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2025 Notes may result in dilution to existing stockholders, lower prevailing market prices for our common stock or require a significant cash outlay.</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2025 Notes are currently convertible at the option of the holders at any time until close of business on the business day immediately preceding the maturity date. The 2025 Notes are convertible into shares of the Company’s common stock at a conversion rate of 79.2896 shares of common stock per $1,000 principal amount of 2025 Notes (which is equivalent to an initial conversion price of $12.61 per share of common stock). The conversion rate is subject to adjustment if certain events occur, but in no event will the conversion rate exceed 95.1474 shares of common stock per $1,000 principal amount of 2025 Notes (which is equivalent to a conversion price of $10.51 per share of common stock). Holders of the 2025 Notes who convert may also be entitled to receive, under certain circumstances, an interest make-whole payment payable in, at our election, either cash or shares of common stock. Approximately $18.5 million of 2025 Notes have been converted as of December 31, 2021. If additional holders of the 2025 Notes elect to convert their 2025 Notes into common stock, or if we elect to settle any interest make-whole payments due upon conversion of the 2025 Notes with shares of common stock, this may cause significant dilution to our existing stockholders. Any sales in the public market of the common stock issued upon such conversion could adversely affect prevailing market prices of our common stock. If we do elect to settle any interest make-whole payments due upon conversion of the 2025 Notes with cash, such payments could adversely affect our liquidity.</w:t>
      </w:r>
    </w:p>
    <w:p>
      <w:pPr>
        <w:spacing w:after="0" w:line="187"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Certain provisions in the indenture governing the 2025 Notes (as amended or supplemented, the “Indenture”) could make it more difficult or more expensive for a third party to acquire us and could delay or prevent an otherwise beneficial takeover or takeover attempt. For example, if a takeover would constitute a fundamental change (as defined in the Indenture), holders of the 2025 Notes will have the right to require us to repurchase their notes in cash. In addition, if a takeover constitutes a make-whole fundamental change, we may be required to increase the conversion rate for holders who convert their 2025 Notes in connection with such takeover. In either case, and in other cases, our obligations under the 2025 Notes and the related Indenture could increase the cost of</w:t>
      </w:r>
    </w:p>
    <w:p>
      <w:pPr>
        <w:spacing w:after="0"/>
        <w:rPr>
          <w:sz w:val="20"/>
          <w:szCs w:val="20"/>
          <w:color w:val="auto"/>
        </w:rPr>
      </w:pPr>
      <w:r>
        <w:rPr>
          <w:rFonts w:ascii="Arial" w:cs="Arial" w:eastAsia="Arial" w:hAnsi="Arial"/>
          <w:sz w:val="18"/>
          <w:szCs w:val="18"/>
          <w:color w:val="auto"/>
        </w:rPr>
        <w:t>acquiring us or otherwise discourage a third party from acquiring us</w:t>
      </w:r>
      <w:r>
        <w:rPr>
          <w:rFonts w:ascii="Arial" w:cs="Arial" w:eastAsia="Arial" w:hAnsi="Arial"/>
          <w:sz w:val="21"/>
          <w:szCs w:val="21"/>
          <w:color w:val="008080"/>
        </w:rPr>
        <w: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2" w:name="page33"/>
    <w:bookmarkEnd w:id="32"/>
    <w:p>
      <w:pPr>
        <w:ind w:right="60"/>
        <w:spacing w:after="0" w:line="261"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2021, we had outstanding warrants to purchase 2,500,000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our common stock is concentrated, and as a result, certain stockholders may exercise significant influence over us.</w:t>
      </w:r>
    </w:p>
    <w:p>
      <w:pPr>
        <w:spacing w:after="0" w:line="10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As of December 31, 2021, North Sound Trading, L.P. and Golden Harbor Ltd. (together the “Investors”) and their affiliates own an aggregate of approximately 25.7% of the outstanding shares of our common stock. The Investors and their affiliates also hold approximately $80.4 million of the 2025 Notes (49.7% of the outstanding principal amount). The Indenture relating to the 2025 Notes includes a Section 382 conversion blocker that may prevent the Investors from converting their 2025 Notes unless they receive the prior written approval of our Board of Directors. Assuming the conversion of the 2025 Notes owned by the Investors and their affiliates and the exercise of the warrants also owned by the Investors and their affiliates, the Investors and their affiliates would own approximately 31.4% of the outstanding shares of our common stock. As a result, the Investors have the ability to significantly influence the outcome of any matter submitted for the vote of the holders of our common stock.</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22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addition, pursuant to that certain Securities Purchase Agreement, dated August 6, 2018, by and among Inseego and the Investors (the “Purchase Agreement”), each of the Investors has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outstanding Series E Preferred Stock or future equity offerings could adversely affect the holders of our common stock in some circumstances.</w:t>
      </w:r>
    </w:p>
    <w:p>
      <w:pPr>
        <w:spacing w:after="0" w:line="14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As of December 31, 2021, there were 25,000 shares of Series E Fixed-Rate Cumulative Perpetual Preferred Stock, par value $0.001 per share (the “Series E Preferred Stock”) outstanding with an aggregate liquidation preference of $25 million. The Series E Preferred Stock is senior to our shares of common stock in right of payment of dividends and other distributions.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(as defined below) plus (without duplication) any accrued and unpaid dividends. In the future, we may offer additional shares of Series E Preferred Stock or other equity, equity-linked or debt securities, which may have rights, preferences or privileges senior to our common stock. Because our decision to issue debt or equity securities or incur other borrowings in the future will depend on market conditions and other factors beyond our control, the amount, timing, nature or success of our future capital raising efforts is uncertain. Thus, holders of our common stock bear the risk that our future issuances of debt or equity securities or our incurrence of other borrowings may negatively affect the market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0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3" w:name="page34"/>
    <w:bookmarkEnd w:id="33"/>
    <w:p>
      <w:pPr>
        <w:spacing w:after="0" w:line="248"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273" w:lineRule="exact"/>
        <w:rPr>
          <w:sz w:val="20"/>
          <w:szCs w:val="20"/>
          <w:color w:val="auto"/>
        </w:rPr>
      </w:pPr>
    </w:p>
    <w:p>
      <w:pPr>
        <w:ind w:right="640"/>
        <w:spacing w:after="0" w:line="324"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spacing w:after="0" w:line="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2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2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6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Any changes to the accounting systems or new accounting system implementations may be ineffective or cause delays in our ability to provide timely financial results.</w:t>
      </w:r>
    </w:p>
    <w:p>
      <w:pPr>
        <w:spacing w:after="0" w:line="76"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8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We may be exposed to risks related to litigation and administrative proceedings that could materially and adversely affect our business, results of operations and financial condition.</w:t>
      </w:r>
    </w:p>
    <w:p>
      <w:pPr>
        <w:spacing w:after="0" w:line="1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addition to intellectual property and other claims mentioned above, our business may expose us to litigation and administrative proceedings relating to labor, regulatory, tax proceedings, governmental investigations, tort claims, contractual</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4" w:name="page35"/>
    <w:bookmarkEnd w:id="34"/>
    <w:p>
      <w:pPr>
        <w:ind w:right="60"/>
        <w:spacing w:after="0" w:line="280" w:lineRule="auto"/>
        <w:rPr>
          <w:sz w:val="20"/>
          <w:szCs w:val="20"/>
          <w:color w:val="auto"/>
        </w:rPr>
      </w:pPr>
      <w:r>
        <w:rPr>
          <w:rFonts w:ascii="Arial" w:cs="Arial" w:eastAsia="Arial" w:hAnsi="Arial"/>
          <w:sz w:val="16"/>
          <w:szCs w:val="16"/>
          <w:color w:val="auto"/>
        </w:rPr>
        <w:t>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pacing w:after="0" w:line="2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15"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Our principal executive office is located in Alpharetta, Georgia. Our corporate offices are located in San Diego, California where we lease approximately 25,000 square feet under an arrangement that expires in July 2027 and approximately 13,000 square feet under an arrangement that expires in July 2027. We also currently lease approximately 14,000 square feet in Eugene, Oregon under a lease arrangement that expires in January 2023.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1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67" w:lineRule="exact"/>
        <w:rPr>
          <w:sz w:val="20"/>
          <w:szCs w:val="20"/>
          <w:color w:val="auto"/>
        </w:rPr>
      </w:pPr>
    </w:p>
    <w:p>
      <w:pPr>
        <w:ind w:right="80" w:firstLine="395"/>
        <w:spacing w:after="0" w:line="324" w:lineRule="auto"/>
        <w:rPr>
          <w:sz w:val="20"/>
          <w:szCs w:val="20"/>
          <w:color w:val="auto"/>
        </w:rPr>
      </w:pPr>
      <w:r>
        <w:rPr>
          <w:rFonts w:ascii="Arial" w:cs="Arial" w:eastAsia="Arial" w:hAnsi="Arial"/>
          <w:sz w:val="16"/>
          <w:szCs w:val="16"/>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8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 xml:space="preserve">The disclosure in Part IV Item 15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5" w:name="page36"/>
    <w:bookmarkEnd w:id="35"/>
    <w:p>
      <w:pPr>
        <w:ind w:left="5300"/>
        <w:spacing w:after="0"/>
        <w:rPr>
          <w:sz w:val="20"/>
          <w:szCs w:val="20"/>
          <w:color w:val="auto"/>
        </w:rPr>
      </w:pPr>
      <w:r>
        <w:rPr>
          <w:rFonts w:ascii="Arial" w:cs="Arial" w:eastAsia="Arial" w:hAnsi="Arial"/>
          <w:sz w:val="18"/>
          <w:szCs w:val="18"/>
          <w:b w:val="1"/>
          <w:bCs w:val="1"/>
          <w:color w:val="auto"/>
        </w:rPr>
        <w:t>PART II</w:t>
      </w:r>
    </w:p>
    <w:p>
      <w:pPr>
        <w:spacing w:after="0" w:line="1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are currently quoted and traded on The Nasdaq Global Select Market under the symbol “INSG”.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89"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color w:val="auto"/>
        </w:rPr>
        <w:t xml:space="preserve">As of </w:t>
      </w:r>
      <w:r>
        <w:rPr>
          <w:rFonts w:ascii="Arial" w:cs="Arial" w:eastAsia="Arial" w:hAnsi="Arial"/>
          <w:sz w:val="13"/>
          <w:szCs w:val="13"/>
          <w:color w:val="auto"/>
        </w:rPr>
        <w:t>February 22, 2022</w:t>
      </w:r>
      <w:r>
        <w:rPr>
          <w:rFonts w:ascii="Arial" w:cs="Arial" w:eastAsia="Arial" w:hAnsi="Arial"/>
          <w:sz w:val="15"/>
          <w:szCs w:val="15"/>
          <w:color w:val="auto"/>
        </w:rPr>
        <w:t>, there were approximately 20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 except as previously disclosed in our Quarterly Reports on Form 10-Q and Current Reports on Form 8-K.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i w:val="1"/>
          <w:iCs w:val="1"/>
          <w:color w:val="auto"/>
        </w:rPr>
        <w:t>Reserved</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871" w:right="499" w:bottom="1440" w:gutter="0" w:footer="0" w:header="0"/>
        </w:sectPr>
      </w:pPr>
    </w:p>
    <w:bookmarkStart w:id="36" w:name="page37"/>
    <w:bookmarkEnd w:id="36"/>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Inseego Corp. is a leader in the design and development of fixed and mobile wireless solutions (advanced 4G and 5G NR),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1"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On July 30, 2021, we completed the sale of Ctrack South Africa. Initial cash proceeds of $36.6 million were received. Final cash proceeds were subject to certain post-closing working capital adjustments which totaled $2.6 million, $2.2 million of which was received on October 29, 2021, and the remaining $0.4 million was offset with our existing accounts payable balance to Convergence.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1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do not provide separate segment reporting for our various lines of business. Our Chief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56" w:lineRule="exact"/>
        <w:rPr>
          <w:sz w:val="20"/>
          <w:szCs w:val="20"/>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56" w:lineRule="exact"/>
        <w:rPr>
          <w:rFonts w:ascii="Arial" w:cs="Arial" w:eastAsia="Arial" w:hAnsi="Arial"/>
          <w:sz w:val="18"/>
          <w:szCs w:val="18"/>
          <w:color w:val="auto"/>
        </w:rPr>
      </w:pPr>
    </w:p>
    <w:p>
      <w:pPr>
        <w:ind w:left="960" w:right="100" w:hanging="323"/>
        <w:spacing w:after="0" w:line="261" w:lineRule="auto"/>
        <w:tabs>
          <w:tab w:leader="none" w:pos="9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23"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56" w:lineRule="exact"/>
        <w:rPr>
          <w:rFonts w:ascii="Arial" w:cs="Arial" w:eastAsia="Arial" w:hAnsi="Arial"/>
          <w:sz w:val="18"/>
          <w:szCs w:val="18"/>
          <w:color w:val="auto"/>
        </w:rPr>
      </w:pPr>
    </w:p>
    <w:p>
      <w:pPr>
        <w:ind w:left="940" w:hanging="303"/>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6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anticipate introducing additional products during the next twelve months, including SaaS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4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SaaS services, warranty costs, amortization of intangible assets, royalties, operations overhead, costs associated with cancellation of purchase orders and costs related to outside services. Also included in cost of net revenues are costs related to inventory adjustments, as well as any write downs for excess and obsolete inventory and abandoned product lines. Inventory adjustments are impacted primarily by demand for our products, which is influenced by the factors discussed above.</w:t>
      </w:r>
    </w:p>
    <w:p>
      <w:pPr>
        <w:spacing w:after="0" w:line="14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129"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82" w:lineRule="exact"/>
        <w:rPr>
          <w:sz w:val="20"/>
          <w:szCs w:val="20"/>
          <w:color w:val="auto"/>
        </w:rPr>
      </w:pPr>
    </w:p>
    <w:p>
      <w:pPr>
        <w:jc w:val="both"/>
        <w:ind w:right="460"/>
        <w:spacing w:after="0" w:line="299"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sets forth our consolidated statements of operations in dollars (in thousands) and expressed as a percentage of net revenues, derived from the accompanying consolidated financial statements for the periods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1"/>
        </w:trPr>
        <w:tc>
          <w:tcPr>
            <w:tcW w:w="3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5"/>
                <w:szCs w:val="15"/>
                <w:color w:val="auto"/>
              </w:rPr>
            </w:pPr>
          </w:p>
        </w:tc>
      </w:tr>
      <w:tr>
        <w:trPr>
          <w:trHeight w:val="241"/>
        </w:trPr>
        <w:tc>
          <w:tcPr>
            <w:tcW w:w="372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217,984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261,169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160,873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73.3 %</w:t>
            </w:r>
          </w:p>
        </w:tc>
      </w:tr>
      <w:tr>
        <w:trPr>
          <w:trHeight w:val="207"/>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44,415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52,663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58,623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26.7 %</w:t>
            </w:r>
          </w:p>
        </w:tc>
      </w:tr>
      <w:tr>
        <w:trPr>
          <w:trHeight w:val="207"/>
        </w:trPr>
        <w:tc>
          <w:tcPr>
            <w:tcW w:w="3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262,399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313,832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219,496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7"/>
        </w:trPr>
        <w:tc>
          <w:tcPr>
            <w:tcW w:w="372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168,604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202,421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132,980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60.6 %</w:t>
            </w:r>
          </w:p>
        </w:tc>
      </w:tr>
      <w:tr>
        <w:trPr>
          <w:trHeight w:val="207"/>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17,870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20,568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22,545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r>
      <w:tr>
        <w:trPr>
          <w:trHeight w:val="207"/>
        </w:trPr>
        <w:tc>
          <w:tcPr>
            <w:tcW w:w="3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186,474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222,989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155,525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70.9 %</w:t>
            </w:r>
          </w:p>
        </w:tc>
      </w:tr>
      <w:tr>
        <w:trPr>
          <w:trHeight w:val="200"/>
        </w:trPr>
        <w:tc>
          <w:tcPr>
            <w:tcW w:w="3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75,925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90,843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63,971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29.1 %</w:t>
            </w:r>
          </w:p>
        </w:tc>
      </w:tr>
      <w:tr>
        <w:trPr>
          <w:trHeight w:val="19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7"/>
        </w:trPr>
        <w:tc>
          <w:tcPr>
            <w:tcW w:w="37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280" w:type="dxa"/>
            <w:vAlign w:val="bottom"/>
          </w:tcPr>
          <w:p>
            <w:pPr>
              <w:jc w:val="right"/>
              <w:ind w:right="441"/>
              <w:spacing w:after="0"/>
              <w:rPr>
                <w:sz w:val="20"/>
                <w:szCs w:val="20"/>
                <w:color w:val="auto"/>
              </w:rPr>
            </w:pPr>
            <w:r>
              <w:rPr>
                <w:rFonts w:ascii="Arial" w:cs="Arial" w:eastAsia="Arial" w:hAnsi="Arial"/>
                <w:sz w:val="16"/>
                <w:szCs w:val="16"/>
                <w:color w:val="auto"/>
              </w:rPr>
              <w:t>52,673</w:t>
            </w:r>
          </w:p>
        </w:tc>
        <w:tc>
          <w:tcPr>
            <w:tcW w:w="800" w:type="dxa"/>
            <w:vAlign w:val="bottom"/>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42"/>
              <w:spacing w:after="0"/>
              <w:rPr>
                <w:sz w:val="20"/>
                <w:szCs w:val="20"/>
                <w:color w:val="auto"/>
              </w:rPr>
            </w:pPr>
            <w:r>
              <w:rPr>
                <w:rFonts w:ascii="Arial" w:cs="Arial" w:eastAsia="Arial" w:hAnsi="Arial"/>
                <w:sz w:val="16"/>
                <w:szCs w:val="16"/>
                <w:color w:val="auto"/>
              </w:rPr>
              <w:t>44,953</w:t>
            </w:r>
          </w:p>
        </w:tc>
        <w:tc>
          <w:tcPr>
            <w:tcW w:w="82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461"/>
              <w:spacing w:after="0"/>
              <w:rPr>
                <w:sz w:val="20"/>
                <w:szCs w:val="20"/>
                <w:color w:val="auto"/>
              </w:rPr>
            </w:pPr>
            <w:r>
              <w:rPr>
                <w:rFonts w:ascii="Arial" w:cs="Arial" w:eastAsia="Arial" w:hAnsi="Arial"/>
                <w:sz w:val="16"/>
                <w:szCs w:val="16"/>
                <w:color w:val="auto"/>
              </w:rPr>
              <w:t>23,853</w:t>
            </w:r>
          </w:p>
        </w:tc>
        <w:tc>
          <w:tcPr>
            <w:tcW w:w="820" w:type="dxa"/>
            <w:vAlign w:val="bottom"/>
          </w:tcPr>
          <w:p>
            <w:pPr>
              <w:jc w:val="right"/>
              <w:spacing w:after="0"/>
              <w:rPr>
                <w:sz w:val="20"/>
                <w:szCs w:val="20"/>
                <w:color w:val="auto"/>
              </w:rPr>
            </w:pPr>
            <w:r>
              <w:rPr>
                <w:rFonts w:ascii="Arial" w:cs="Arial" w:eastAsia="Arial" w:hAnsi="Arial"/>
                <w:sz w:val="16"/>
                <w:szCs w:val="16"/>
                <w:color w:val="auto"/>
              </w:rPr>
              <w:t>10.9 %</w:t>
            </w: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38,234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35,750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28,914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r>
      <w:tr>
        <w:trPr>
          <w:trHeight w:val="207"/>
        </w:trPr>
        <w:tc>
          <w:tcPr>
            <w:tcW w:w="37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280" w:type="dxa"/>
            <w:vAlign w:val="bottom"/>
          </w:tcPr>
          <w:p>
            <w:pPr>
              <w:jc w:val="right"/>
              <w:ind w:right="441"/>
              <w:spacing w:after="0"/>
              <w:rPr>
                <w:sz w:val="20"/>
                <w:szCs w:val="20"/>
                <w:color w:val="auto"/>
              </w:rPr>
            </w:pPr>
            <w:r>
              <w:rPr>
                <w:rFonts w:ascii="Arial" w:cs="Arial" w:eastAsia="Arial" w:hAnsi="Arial"/>
                <w:sz w:val="16"/>
                <w:szCs w:val="16"/>
                <w:color w:val="auto"/>
              </w:rPr>
              <w:t>28,250</w:t>
            </w:r>
          </w:p>
        </w:tc>
        <w:tc>
          <w:tcPr>
            <w:tcW w:w="80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42"/>
              <w:spacing w:after="0"/>
              <w:rPr>
                <w:sz w:val="20"/>
                <w:szCs w:val="20"/>
                <w:color w:val="auto"/>
              </w:rPr>
            </w:pPr>
            <w:r>
              <w:rPr>
                <w:rFonts w:ascii="Arial" w:cs="Arial" w:eastAsia="Arial" w:hAnsi="Arial"/>
                <w:sz w:val="16"/>
                <w:szCs w:val="16"/>
                <w:color w:val="auto"/>
              </w:rPr>
              <w:t>30,689</w:t>
            </w:r>
          </w:p>
        </w:tc>
        <w:tc>
          <w:tcPr>
            <w:tcW w:w="8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461"/>
              <w:spacing w:after="0"/>
              <w:rPr>
                <w:sz w:val="20"/>
                <w:szCs w:val="20"/>
                <w:color w:val="auto"/>
              </w:rPr>
            </w:pPr>
            <w:r>
              <w:rPr>
                <w:rFonts w:ascii="Arial" w:cs="Arial" w:eastAsia="Arial" w:hAnsi="Arial"/>
                <w:sz w:val="16"/>
                <w:szCs w:val="16"/>
                <w:color w:val="auto"/>
              </w:rPr>
              <w:t>27,327</w:t>
            </w:r>
          </w:p>
        </w:tc>
        <w:tc>
          <w:tcPr>
            <w:tcW w:w="82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2,092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3,175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3,421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7"/>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Impairment of capitalized software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1,197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1,410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3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122,446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115,977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83,515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38.0 %</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tcPr>
          <w:p>
            <w:pPr>
              <w:spacing w:after="0"/>
              <w:rPr>
                <w:sz w:val="17"/>
                <w:szCs w:val="17"/>
                <w:color w:val="auto"/>
              </w:rPr>
            </w:pPr>
          </w:p>
        </w:tc>
        <w:tc>
          <w:tcPr>
            <w:tcW w:w="1280" w:type="dxa"/>
            <w:vAlign w:val="bottom"/>
          </w:tcPr>
          <w:p>
            <w:pPr>
              <w:jc w:val="right"/>
              <w:ind w:right="401"/>
              <w:spacing w:after="0"/>
              <w:rPr>
                <w:sz w:val="20"/>
                <w:szCs w:val="20"/>
                <w:color w:val="auto"/>
              </w:rPr>
            </w:pPr>
            <w:r>
              <w:rPr>
                <w:rFonts w:ascii="Arial" w:cs="Arial" w:eastAsia="Arial" w:hAnsi="Arial"/>
                <w:sz w:val="16"/>
                <w:szCs w:val="16"/>
                <w:color w:val="auto"/>
              </w:rPr>
              <w:t>(46,521)</w:t>
            </w:r>
          </w:p>
        </w:tc>
        <w:tc>
          <w:tcPr>
            <w:tcW w:w="8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(25,134)</w:t>
            </w: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21"/>
              <w:spacing w:after="0"/>
              <w:rPr>
                <w:sz w:val="20"/>
                <w:szCs w:val="20"/>
                <w:color w:val="auto"/>
              </w:rPr>
            </w:pPr>
            <w:r>
              <w:rPr>
                <w:rFonts w:ascii="Arial" w:cs="Arial" w:eastAsia="Arial" w:hAnsi="Arial"/>
                <w:sz w:val="16"/>
                <w:szCs w:val="16"/>
                <w:color w:val="auto"/>
              </w:rPr>
              <w:t>(19,544)</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7"/>
        </w:trPr>
        <w:tc>
          <w:tcPr>
            <w:tcW w:w="3720" w:type="dxa"/>
            <w:vAlign w:val="bottom"/>
          </w:tcPr>
          <w:p>
            <w:pPr>
              <w:ind w:left="220"/>
              <w:spacing w:after="0"/>
              <w:rPr>
                <w:sz w:val="20"/>
                <w:szCs w:val="20"/>
                <w:color w:val="auto"/>
              </w:rPr>
            </w:pPr>
            <w:r>
              <w:rPr>
                <w:rFonts w:ascii="Arial" w:cs="Arial" w:eastAsia="Arial" w:hAnsi="Arial"/>
                <w:sz w:val="16"/>
                <w:szCs w:val="16"/>
                <w:color w:val="auto"/>
              </w:rPr>
              <w:t>Gain on sale of Ctrack South Africa</w:t>
            </w:r>
          </w:p>
        </w:tc>
        <w:tc>
          <w:tcPr>
            <w:tcW w:w="320" w:type="dxa"/>
            <w:vAlign w:val="bottom"/>
          </w:tcPr>
          <w:p>
            <w:pPr>
              <w:spacing w:after="0"/>
              <w:rPr>
                <w:sz w:val="18"/>
                <w:szCs w:val="18"/>
                <w:color w:val="auto"/>
              </w:rPr>
            </w:pPr>
          </w:p>
        </w:tc>
        <w:tc>
          <w:tcPr>
            <w:tcW w:w="1280" w:type="dxa"/>
            <w:vAlign w:val="bottom"/>
          </w:tcPr>
          <w:p>
            <w:pPr>
              <w:jc w:val="right"/>
              <w:ind w:right="441"/>
              <w:spacing w:after="0"/>
              <w:rPr>
                <w:sz w:val="20"/>
                <w:szCs w:val="20"/>
                <w:color w:val="auto"/>
              </w:rPr>
            </w:pPr>
            <w:r>
              <w:rPr>
                <w:rFonts w:ascii="Arial" w:cs="Arial" w:eastAsia="Arial" w:hAnsi="Arial"/>
                <w:sz w:val="16"/>
                <w:szCs w:val="16"/>
                <w:color w:val="auto"/>
              </w:rPr>
              <w:t>5,262</w:t>
            </w:r>
          </w:p>
        </w:tc>
        <w:tc>
          <w:tcPr>
            <w:tcW w:w="80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30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(432)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(76,354)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372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280" w:type="dxa"/>
            <w:vAlign w:val="bottom"/>
          </w:tcPr>
          <w:p>
            <w:pPr>
              <w:jc w:val="right"/>
              <w:ind w:right="401"/>
              <w:spacing w:after="0"/>
              <w:rPr>
                <w:sz w:val="20"/>
                <w:szCs w:val="20"/>
                <w:color w:val="auto"/>
              </w:rPr>
            </w:pPr>
            <w:r>
              <w:rPr>
                <w:rFonts w:ascii="Arial" w:cs="Arial" w:eastAsia="Arial" w:hAnsi="Arial"/>
                <w:sz w:val="16"/>
                <w:szCs w:val="16"/>
                <w:color w:val="auto"/>
              </w:rPr>
              <w:t>(6,874)</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(9,942)</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421"/>
              <w:spacing w:after="0"/>
              <w:rPr>
                <w:sz w:val="20"/>
                <w:szCs w:val="20"/>
                <w:color w:val="auto"/>
              </w:rPr>
            </w:pPr>
            <w:r>
              <w:rPr>
                <w:rFonts w:ascii="Arial" w:cs="Arial" w:eastAsia="Arial" w:hAnsi="Arial"/>
                <w:sz w:val="16"/>
                <w:szCs w:val="16"/>
                <w:color w:val="auto"/>
              </w:rPr>
              <w:t>(20,381)</w:t>
            </w: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4"/>
        </w:trPr>
        <w:tc>
          <w:tcPr>
            <w:tcW w:w="3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845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992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351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Pr>
          <w:p>
            <w:pPr>
              <w:spacing w:after="0"/>
              <w:rPr>
                <w:sz w:val="17"/>
                <w:szCs w:val="17"/>
                <w:color w:val="auto"/>
              </w:rPr>
            </w:pPr>
          </w:p>
        </w:tc>
        <w:tc>
          <w:tcPr>
            <w:tcW w:w="1280" w:type="dxa"/>
            <w:vAlign w:val="bottom"/>
          </w:tcPr>
          <w:p>
            <w:pPr>
              <w:jc w:val="right"/>
              <w:ind w:right="401"/>
              <w:spacing w:after="0"/>
              <w:rPr>
                <w:sz w:val="20"/>
                <w:szCs w:val="20"/>
                <w:color w:val="auto"/>
              </w:rPr>
            </w:pPr>
            <w:r>
              <w:rPr>
                <w:rFonts w:ascii="Arial" w:cs="Arial" w:eastAsia="Arial" w:hAnsi="Arial"/>
                <w:sz w:val="16"/>
                <w:szCs w:val="16"/>
                <w:color w:val="auto"/>
              </w:rPr>
              <w:t>(47,720)</w:t>
            </w:r>
          </w:p>
        </w:tc>
        <w:tc>
          <w:tcPr>
            <w:tcW w:w="80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(110,438)</w:t>
            </w:r>
          </w:p>
        </w:tc>
        <w:tc>
          <w:tcPr>
            <w:tcW w:w="8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21"/>
              <w:spacing w:after="0"/>
              <w:rPr>
                <w:sz w:val="20"/>
                <w:szCs w:val="20"/>
                <w:color w:val="auto"/>
              </w:rPr>
            </w:pPr>
            <w:r>
              <w:rPr>
                <w:rFonts w:ascii="Arial" w:cs="Arial" w:eastAsia="Arial" w:hAnsi="Arial"/>
                <w:sz w:val="16"/>
                <w:szCs w:val="16"/>
                <w:color w:val="auto"/>
              </w:rPr>
              <w:t>(39,574)</w:t>
            </w: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191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748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color w:val="auto"/>
              </w:rPr>
              <w:t>536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7"/>
                <w:szCs w:val="17"/>
                <w:color w:val="auto"/>
              </w:rPr>
            </w:pPr>
          </w:p>
        </w:tc>
        <w:tc>
          <w:tcPr>
            <w:tcW w:w="1280" w:type="dxa"/>
            <w:vAlign w:val="bottom"/>
          </w:tcPr>
          <w:p>
            <w:pPr>
              <w:jc w:val="right"/>
              <w:ind w:right="401"/>
              <w:spacing w:after="0"/>
              <w:rPr>
                <w:sz w:val="20"/>
                <w:szCs w:val="20"/>
                <w:color w:val="auto"/>
              </w:rPr>
            </w:pPr>
            <w:r>
              <w:rPr>
                <w:rFonts w:ascii="Arial" w:cs="Arial" w:eastAsia="Arial" w:hAnsi="Arial"/>
                <w:sz w:val="16"/>
                <w:szCs w:val="16"/>
                <w:color w:val="auto"/>
              </w:rPr>
              <w:t>(47,911)</w:t>
            </w:r>
          </w:p>
        </w:tc>
        <w:tc>
          <w:tcPr>
            <w:tcW w:w="8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(111,186)</w:t>
            </w:r>
          </w:p>
        </w:tc>
        <w:tc>
          <w:tcPr>
            <w:tcW w:w="82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21"/>
              <w:spacing w:after="0"/>
              <w:rPr>
                <w:sz w:val="20"/>
                <w:szCs w:val="20"/>
                <w:color w:val="auto"/>
              </w:rPr>
            </w:pPr>
            <w:r>
              <w:rPr>
                <w:rFonts w:ascii="Arial" w:cs="Arial" w:eastAsia="Arial" w:hAnsi="Arial"/>
                <w:sz w:val="16"/>
                <w:szCs w:val="16"/>
                <w:color w:val="auto"/>
              </w:rPr>
              <w:t>(40,110)</w:t>
            </w: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Less: Net income attributable to noncontrolling interests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(214)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401"/>
              <w:spacing w:after="0"/>
              <w:rPr>
                <w:sz w:val="20"/>
                <w:szCs w:val="20"/>
                <w:color w:val="auto"/>
              </w:rPr>
            </w:pPr>
            <w:r>
              <w:rPr>
                <w:rFonts w:ascii="Arial" w:cs="Arial" w:eastAsia="Arial" w:hAnsi="Arial"/>
                <w:sz w:val="16"/>
                <w:szCs w:val="16"/>
                <w:color w:val="auto"/>
              </w:rPr>
              <w:t>(48,125)</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color w:val="auto"/>
              </w:rPr>
              <w:t>(111,215)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color w:val="auto"/>
              </w:rPr>
              <w:t>(40,125)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rPr>
              <w:t>(4,243)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(2,904)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rPr>
              <w:t>(361)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0"/>
        </w:trPr>
        <w:tc>
          <w:tcPr>
            <w:tcW w:w="37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(52,368)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(114,119)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(40,486)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3"/>
        </w:trPr>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2021 were $262.4 million, a decrease of $51.4 million, or 16.4%,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94"/>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1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07"/>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7"/>
        </w:trPr>
        <w:tc>
          <w:tcPr>
            <w:tcW w:w="6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(15.7)%</w:t>
            </w: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262,399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46" w:lineRule="exact"/>
        <w:rPr>
          <w:sz w:val="20"/>
          <w:szCs w:val="20"/>
          <w:color w:val="auto"/>
        </w:rPr>
      </w:pPr>
    </w:p>
    <w:p>
      <w:pPr>
        <w:ind w:left="200" w:right="80" w:firstLine="395"/>
        <w:spacing w:after="0" w:line="299"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net revenues is primarily due to decreases in our enterprise and carrier offerings,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lower sales of LTE gigabit hotspots as the COVID-19 pandemic demand eased, partially offset by increased sales of our second-generation 5G hotspot related to our MiFi business and increased revenues in our Inseego Subscribe business due to subscriber growth.</w:t>
      </w:r>
    </w:p>
    <w:p>
      <w:pPr>
        <w:spacing w:after="0" w:line="102" w:lineRule="exact"/>
        <w:rPr>
          <w:sz w:val="20"/>
          <w:szCs w:val="20"/>
          <w:color w:val="auto"/>
        </w:rPr>
      </w:pPr>
    </w:p>
    <w:p>
      <w:pPr>
        <w:ind w:left="200" w:right="20" w:firstLine="395"/>
        <w:spacing w:after="0" w:line="287"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net revenues decreased year-over-year as a result of the divestiture of Ctrack South Africa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July 30, 2021. SaaS revenue was no longer generated in Africa, Pakistan or the Middle East beginning in August 2021. See Part IV Item 15 Note 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Divestiture</w:t>
      </w:r>
      <w:r>
        <w:rPr>
          <w:rFonts w:ascii="Arial" w:cs="Arial" w:eastAsia="Arial" w:hAnsi="Arial"/>
          <w:sz w:val="16"/>
          <w:szCs w:val="16"/>
          <w:color w:val="auto"/>
        </w:rPr>
        <w:t>. Following the divestiture of Ctrack South Africa, we continue to provide telematics solutions in the rest of the world, including in Europe and</w:t>
      </w:r>
      <w:r>
        <w:rPr>
          <w:rFonts w:ascii="Arial" w:cs="Arial" w:eastAsia="Arial" w:hAnsi="Arial"/>
          <w:sz w:val="16"/>
          <w:szCs w:val="16"/>
          <w:i w:val="1"/>
          <w:iCs w:val="1"/>
          <w:color w:val="auto"/>
        </w:rPr>
        <w:t xml:space="preserve"> </w:t>
      </w:r>
      <w:r>
        <w:rPr>
          <w:rFonts w:ascii="Arial" w:cs="Arial" w:eastAsia="Arial" w:hAnsi="Arial"/>
          <w:sz w:val="16"/>
          <w:szCs w:val="16"/>
          <w:color w:val="auto"/>
        </w:rPr>
        <w:t>Australia. Such impact was partially offset by an increase in Enterprise SaaS Solutions net revenue throughout the rest of the world as a result of the lifting of COVID-19 related installation restrictions during fiscal 2021.</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2021 was $186.5 million, or 71.1% of net revenues, compared to $223.0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71.1% of net revenues, for the same period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186,474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decrease in IoT &amp; Mobile Solutions cost of net revenues is primarily a result of lower sales of LTE gigabit hotspots.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decreased as a result of the divestiture of Ctrack South Africa on July 30,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2021. See Part IV Item 15 Note 5. </w:t>
      </w:r>
      <w:r>
        <w:rPr>
          <w:rFonts w:ascii="Arial" w:cs="Arial" w:eastAsia="Arial" w:hAnsi="Arial"/>
          <w:sz w:val="18"/>
          <w:szCs w:val="18"/>
          <w:i w:val="1"/>
          <w:iCs w:val="1"/>
          <w:color w:val="auto"/>
        </w:rPr>
        <w:t>Business Divestiture</w:t>
      </w:r>
      <w:r>
        <w:rPr>
          <w:rFonts w:ascii="Arial" w:cs="Arial" w:eastAsia="Arial" w:hAnsi="Arial"/>
          <w:sz w:val="18"/>
          <w:szCs w:val="18"/>
          <w:color w:val="auto"/>
        </w:rPr>
        <w:t>.</w:t>
      </w:r>
    </w:p>
    <w:p>
      <w:pPr>
        <w:spacing w:after="0" w:line="150"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year ended December 31, 2021 was $75.9 million, or a gross margin of 28.9%, compared to $90.8 million, or a gross margin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28.9%, for the same period in 2020. The gross margin percentage remained stable due to an unfavorable product mix and a decrease in Enterprise SaaS Solutions as a result of the divestiture of Ctrack South Africa which has a higher gross margin, offset by higher Inseego Subscribe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costs and expenses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44,953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07"/>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38,234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35,750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4"/>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4"/>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capitalized software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122,446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115,977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3"/>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40" w:name="page41"/>
    <w:bookmarkEnd w:id="40"/>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2021 were $52.7 million, or 20.1%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$45.0 million, or 14.3% of net revenues, for the same period in 2020. The increase was primarily a result of increased staffing, test units, and other development spending related to 5G product programs.</w:t>
      </w:r>
    </w:p>
    <w:p>
      <w:pPr>
        <w:spacing w:after="0" w:line="13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2021 were $38.2 million, or 14.6% of net revenues,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$35.8 million, or 11.4% of net revenues, for the same period in 2020. The increase was primarily a result of higher spend on the marketing of our 5G products. The increase in sales and marketing expenses was partially offset by a decrease in payroll costs for Ctrack South Africa employees, given the divestiture that was completed on July 30, 2021. See Part IV Item 15. Note 5. </w:t>
      </w:r>
      <w:r>
        <w:rPr>
          <w:rFonts w:ascii="Arial" w:cs="Arial" w:eastAsia="Arial" w:hAnsi="Arial"/>
          <w:sz w:val="16"/>
          <w:szCs w:val="16"/>
          <w:i w:val="1"/>
          <w:iCs w:val="1"/>
          <w:color w:val="auto"/>
        </w:rPr>
        <w:t>Business Divestiture</w:t>
      </w:r>
      <w:r>
        <w:rPr>
          <w:rFonts w:ascii="Arial" w:cs="Arial" w:eastAsia="Arial" w:hAnsi="Arial"/>
          <w:sz w:val="16"/>
          <w:szCs w:val="16"/>
          <w:color w:val="auto"/>
        </w:rPr>
        <w:t>.</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2021 were $28.3 million, or 10.8%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compared to $30.7 million, or 9.8% of net revenues, for the same period in 2020. The decrease was primarily due to the decrease in payroll costs for Ctrack South Africa employees, given the divestiture that was completed on July 30, 2021. See Part IV Item 15. Note 5. </w:t>
      </w:r>
      <w:r>
        <w:rPr>
          <w:rFonts w:ascii="Arial" w:cs="Arial" w:eastAsia="Arial" w:hAnsi="Arial"/>
          <w:sz w:val="16"/>
          <w:szCs w:val="16"/>
          <w:i w:val="1"/>
          <w:iCs w:val="1"/>
          <w:color w:val="auto"/>
        </w:rPr>
        <w:t>Business Divestiture</w:t>
      </w:r>
      <w:r>
        <w:rPr>
          <w:rFonts w:ascii="Arial" w:cs="Arial" w:eastAsia="Arial" w:hAnsi="Arial"/>
          <w:sz w:val="16"/>
          <w:szCs w:val="16"/>
          <w:color w:val="auto"/>
        </w:rPr>
        <w:t xml:space="preserve">. The decrease in general and administrative expenses was partially offset by the impact of bonus grants to employees who contributed to completion of the Ctrack South Africa sale. See Part IV Item 15. Note 9.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the accompanying consolidated financial statements for further information.</w:t>
      </w:r>
    </w:p>
    <w:p>
      <w:pPr>
        <w:spacing w:after="0" w:line="10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2021 and 2020 was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$3.2 million, respectively. The decrease was related to the divestiture of Ctrack South Africa as well as certain purchased intangibles becoming fully amortized for the year ended December 31, 2021.</w:t>
      </w:r>
    </w:p>
    <w:p>
      <w:pPr>
        <w:spacing w:after="0" w:line="13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 xml:space="preserve">Impairment of capitalized software. </w:t>
      </w:r>
      <w:r>
        <w:rPr>
          <w:rFonts w:ascii="Arial" w:cs="Arial" w:eastAsia="Arial" w:hAnsi="Arial"/>
          <w:sz w:val="18"/>
          <w:szCs w:val="18"/>
          <w:color w:val="auto"/>
        </w:rPr>
        <w:t>For the years ended December 31, 2021 and 2020, we recorded losses of $1.2 million and $1.4 million, respectively,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related to an internal enterprise resource planning project.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(expense)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Ctrack South Africa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Loss on debt conversion and extinguishment,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75,922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84,105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Gain on sale of Ctrack South Africa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on sale of Ctrack South Africa during the year ended December 31, 2021 was $5.3 million, related to the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on sale of Ctrack South Africa, while there was no such gain for the same period in fiscal 2020.</w:t>
      </w:r>
    </w:p>
    <w:p>
      <w:pPr>
        <w:spacing w:after="0" w:line="1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The loss on debt conversion and extinguishment, net for each of the years ended December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$0.4 million and $76.4 million, respectively. These amounts represent the loss on debt conversion of the 2025 Notes during fiscal 2021 and the debt conversion and extinguishment of the 2022 Notes during fiscal 2020, respectively.</w:t>
      </w:r>
    </w:p>
    <w:p>
      <w:pPr>
        <w:spacing w:after="0" w:line="138"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years ended December 31, 2021 and 2020 was $6.9 million and $9.9 million, respectively. The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was primarily due to the lower interest rate on the 2025 Notes, as compared to the 2022 Notes and our previous term loan, partially offset by the higher principal amount of the 2025 Notes.</w:t>
      </w:r>
    </w:p>
    <w:p>
      <w:pPr>
        <w:spacing w:after="0" w:line="138"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year ended December 31, 2021 was $0.8 million, which primarily included the fair value adjustment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interest make-whole payment on the 2025 Notes as well as foreign currency transaction gains and losses. Other income, net for the same period in 2020 was $1.0 million, which primarily consisted of the fair value adjustment related to our interest make-whole payment on the 2025 Notes as well as foreign currency transaction gains and losses.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ind w:right="180"/>
        <w:spacing w:after="0" w:line="261" w:lineRule="auto"/>
        <w:rPr>
          <w:sz w:val="20"/>
          <w:szCs w:val="20"/>
          <w:color w:val="auto"/>
        </w:rPr>
      </w:pPr>
      <w:r>
        <w:rPr>
          <w:rFonts w:ascii="Arial" w:cs="Arial" w:eastAsia="Arial" w:hAnsi="Arial"/>
          <w:sz w:val="18"/>
          <w:szCs w:val="18"/>
          <w:color w:val="auto"/>
        </w:rPr>
        <w:t>The following table summarizes income tax provision, net income attributable to noncontrolling interests, and Series E preferred stock dividends and deemed dividends from the preferred stock exchange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5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637.9 %</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 and deemed dividends from the preferred stock exchange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years ended December 31, 2021 and 2020 was $0.2 million and $0.7 million, respectively, which, in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primarily related to certain of our profitable subsidiaries in foreign jurisdictions. The effective tax rate for the year ended December 31, 2021 is different than the U.S. statutory rate primarily due to a valuation allowance recorded against additional tax assets generated during the year and certain profitable foreign subsidiaries.</w:t>
      </w:r>
    </w:p>
    <w:p>
      <w:pPr>
        <w:spacing w:after="0" w:line="1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For the years ended December 31, 2021 and 2020 there was $214,000 and $29,000, respectively,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attributable to noncontrolling interests.</w:t>
      </w:r>
    </w:p>
    <w:p>
      <w:pPr>
        <w:spacing w:after="0" w:line="1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i w:val="1"/>
          <w:iCs w:val="1"/>
          <w:color w:val="auto"/>
        </w:rPr>
        <w:t xml:space="preserve">Series E Preferred Stock dividends and deemed dividend from the preferred stock exchange. </w:t>
      </w:r>
      <w:r>
        <w:rPr>
          <w:rFonts w:ascii="Arial" w:cs="Arial" w:eastAsia="Arial" w:hAnsi="Arial"/>
          <w:sz w:val="16"/>
          <w:szCs w:val="16"/>
          <w:color w:val="auto"/>
        </w:rPr>
        <w:t>During the years ended December 31, 2021 and 2020,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recorded dividends of $4.2 million and $2.9 million, respectively, on our Series E Preferred Stock. The increase was primarily attributable to the impact of the deemed dividend of $1.1 million as part of the preferred stock exchange, offset by a decrease in the recurring preferred stock dividends as 10,000 shares of Series E Preferred Stock were extinguished in September 2021, resulting in a lower preferred stock dividends accrued through the end of 2021. See Part IV Item 15. Note 8.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in the accompanying consolidated financial statements for further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2020 were $313.8 million, an increase of $94.3 million, or 43.0%,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6"/>
                <w:szCs w:val="16"/>
                <w:color w:val="auto"/>
              </w:rPr>
            </w:pPr>
          </w:p>
        </w:tc>
      </w:tr>
      <w:tr>
        <w:trPr>
          <w:trHeight w:val="19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07"/>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100,296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62.3 %</w:t>
            </w:r>
          </w:p>
        </w:tc>
      </w:tr>
      <w:tr>
        <w:trPr>
          <w:trHeight w:val="207"/>
        </w:trPr>
        <w:tc>
          <w:tcPr>
            <w:tcW w:w="6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w:t>
            </w: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94,336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159" w:lineRule="exact"/>
        <w:rPr>
          <w:sz w:val="20"/>
          <w:szCs w:val="20"/>
          <w:color w:val="auto"/>
        </w:rPr>
      </w:pPr>
    </w:p>
    <w:p>
      <w:pPr>
        <w:ind w:left="200" w:firstLine="434"/>
        <w:spacing w:after="0" w:line="250"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our second-generation 5G hotspot related to our MiFi business, and increased revenues in our Inseego Subscribe business due to subscriber growth. As a result of the COVID-19 pandemic, there has been an increase in demand for our products due to a dramatic increase around the world in remote or tele-working and learning.</w:t>
      </w:r>
    </w:p>
    <w:p>
      <w:pPr>
        <w:spacing w:after="0" w:line="138" w:lineRule="exact"/>
        <w:rPr>
          <w:sz w:val="20"/>
          <w:szCs w:val="20"/>
          <w:color w:val="auto"/>
        </w:rPr>
      </w:pPr>
    </w:p>
    <w:p>
      <w:pPr>
        <w:ind w:left="200" w:right="260" w:firstLine="395"/>
        <w:spacing w:after="0" w:line="307"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were down year-over-year due to the effects of strengthening U.S. Dollar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on international sales and the effect of COVID-19.</w:t>
      </w:r>
    </w:p>
    <w:p>
      <w:pPr>
        <w:spacing w:after="0" w:line="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2020 was $223.0 million, or 71.1% of net revenues, compared to $155.5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70.9% of net revenues, for the same period in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69,441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4"/>
              </w:rPr>
              <w:t>(1,977)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w w:val="98"/>
              </w:rPr>
              <w:t>67,464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00" w:right="60" w:firstLine="395"/>
        <w:spacing w:after="0" w:line="299" w:lineRule="auto"/>
        <w:rPr>
          <w:sz w:val="20"/>
          <w:szCs w:val="20"/>
          <w:color w:val="auto"/>
        </w:rPr>
      </w:pPr>
      <w:r>
        <w:rPr>
          <w:rFonts w:ascii="Arial" w:cs="Arial" w:eastAsia="Arial" w:hAnsi="Arial"/>
          <w:sz w:val="16"/>
          <w:szCs w:val="16"/>
          <w:i w:val="1"/>
          <w:iCs w:val="1"/>
          <w:color w:val="auto"/>
        </w:rPr>
        <w:t xml:space="preserve">IoT &amp; Mobile Solutions. </w:t>
      </w:r>
      <w:r>
        <w:rPr>
          <w:rFonts w:ascii="Arial" w:cs="Arial" w:eastAsia="Arial" w:hAnsi="Arial"/>
          <w:sz w:val="16"/>
          <w:szCs w:val="16"/>
          <w:color w:val="auto"/>
        </w:rPr>
        <w:t>The increase in IoT &amp; Mobile Solutions cost of net revenues is primarily a result of increased sales of our LTE gigabit</w:t>
      </w:r>
      <w:r>
        <w:rPr>
          <w:rFonts w:ascii="Arial" w:cs="Arial" w:eastAsia="Arial" w:hAnsi="Arial"/>
          <w:sz w:val="16"/>
          <w:szCs w:val="16"/>
          <w:i w:val="1"/>
          <w:iCs w:val="1"/>
          <w:color w:val="auto"/>
        </w:rPr>
        <w:t xml:space="preserve"> </w:t>
      </w:r>
      <w:r>
        <w:rPr>
          <w:rFonts w:ascii="Arial" w:cs="Arial" w:eastAsia="Arial" w:hAnsi="Arial"/>
          <w:sz w:val="16"/>
          <w:szCs w:val="16"/>
          <w:color w:val="auto"/>
        </w:rPr>
        <w:t>hotspots, and 5G hotspots, as well as associated expenses such as freight and royalties. As a result of the COVID-19 pandemic, there has been an increase in demand in our products due to a dramatic increase around the world in remote or tele-working and learning.</w:t>
      </w:r>
    </w:p>
    <w:p>
      <w:pPr>
        <w:spacing w:after="0" w:line="102" w:lineRule="exact"/>
        <w:rPr>
          <w:sz w:val="20"/>
          <w:szCs w:val="20"/>
          <w:color w:val="auto"/>
        </w:rPr>
      </w:pPr>
    </w:p>
    <w:p>
      <w:pPr>
        <w:ind w:left="200" w:right="120" w:firstLine="39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decreased as a result of lower Ctrack system revenue,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strengthening U.S. Dollar foreign exchange rates on international costs.</w:t>
      </w:r>
    </w:p>
    <w:p>
      <w:pPr>
        <w:spacing w:after="0" w:line="1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2020 was $90.8 million, or a gross margin of 28.9%, compared to $64.0 million, or a gross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29.1%, for the same period in 2019. The slight decrease in the gross profit percentage was primarily attributable to an unfavorable product mix offset by improvements in IoT &amp; Mobile Solutions gross margin.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costs and expenses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88.5 %</w:t>
            </w:r>
          </w:p>
        </w:tc>
        <w:tc>
          <w:tcPr>
            <w:tcW w:w="0" w:type="dxa"/>
            <w:vAlign w:val="bottom"/>
          </w:tcPr>
          <w:p>
            <w:pPr>
              <w:spacing w:after="0"/>
              <w:rPr>
                <w:sz w:val="1"/>
                <w:szCs w:val="1"/>
                <w:color w:val="auto"/>
              </w:rPr>
            </w:pPr>
          </w:p>
        </w:tc>
      </w:tr>
      <w:tr>
        <w:trPr>
          <w:trHeight w:val="20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28,914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6,836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0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 of capitalized software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0"/>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115,977</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83,515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32,462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3"/>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2020 were $45.0 million, or 14.3%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$23.9 million, or 10.9% of net revenues, for the same period in 2019. The increase was primarily a result of increased staffing, test units, and other development spending related to 5G product programs.</w:t>
      </w:r>
    </w:p>
    <w:p>
      <w:pPr>
        <w:spacing w:after="0" w:line="138"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2020 were $35.8 million, or 11.4% of net revenues,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$28.9 million, or 13.2% of net revenues, for the same period in 2019. The increase was primarily a result of an increase in headcount.</w:t>
      </w:r>
    </w:p>
    <w:p>
      <w:pPr>
        <w:spacing w:after="0" w:line="8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2020 were $30.7 million, or 9.8%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$27.3 million, or 12.4% of net revenues, for the same period in 2019. The increase was primarily a result of an increase in employment costs attributable to an increase in headcount and non-recurring legal expenses.</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2020 and 2019 was $3.2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$3.4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Impairment of capitalized software. </w:t>
      </w:r>
      <w:r>
        <w:rPr>
          <w:rFonts w:ascii="Arial" w:cs="Arial" w:eastAsia="Arial" w:hAnsi="Arial"/>
          <w:sz w:val="15"/>
          <w:szCs w:val="15"/>
          <w:color w:val="auto"/>
        </w:rPr>
        <w:t>During the year ended December 31, 2020, we recorded a loss of $1.4 million on capitalized software development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was no such expense for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summarizes other income (expense)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5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0"/>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Loss on debt conversion and extinguishment, net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(76,354)</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10,439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182.6 %</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(85,304)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325.9 %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During the year ended December 31, 2020, we recorded a loss of $76.4 million, which primarily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loss on debt conversion and extinguishment of the 2022 Notes, including a $7.9 million inducement expense incurred in connection with certain conversions of the 2022 Notes, and a $67.2 million loss recorded on debt conversion of the 2025 Notes. There was no such expense for the same period in 2019.</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years ended December 31, 2020 and 2019 was $9.9 million and $20.4 million, respectively. Interest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primarily a result of the interest expense and amortization of the debt discount and debt issuance costs related to our previous term loan, the 2022 Notes and the 2025 Notes. The decrease in interest expense was due to the conversion of debt into equity in 2020, payment in full of our previous term loan during 2020, as well as a lower interest rate on the 2025 Notes, as compared to the 2022 Notes.</w:t>
      </w:r>
    </w:p>
    <w:p>
      <w:pPr>
        <w:spacing w:after="0" w:line="108" w:lineRule="exact"/>
        <w:rPr>
          <w:sz w:val="20"/>
          <w:szCs w:val="20"/>
          <w:color w:val="auto"/>
        </w:rPr>
      </w:pPr>
    </w:p>
    <w:p>
      <w:pPr>
        <w:jc w:val="both"/>
        <w:ind w:right="240"/>
        <w:spacing w:after="0" w:line="252"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year ended December 31, 2020 was $1.0 million, which primarily included the fair value adjustment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interest-make-whole payment on the 2025 Notes as well as foreign currency transaction gains and losses. Other income, net for the same period in 2019 was $0.4 million, which primarily consisted of foreign currency transaction gains and losses.</w:t>
      </w:r>
    </w:p>
    <w:p>
      <w:pPr>
        <w:spacing w:after="0" w:line="1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summarizes income tax provision, net income attributable to noncontrolling interests, and Series E preferred stock dividends and deemed dividends from the preferred stock exchange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c>
          <w:tcPr>
            <w:tcW w:w="0" w:type="dxa"/>
            <w:vAlign w:val="bottom"/>
          </w:tcPr>
          <w:p>
            <w:pPr>
              <w:spacing w:after="0"/>
              <w:rPr>
                <w:sz w:val="1"/>
                <w:szCs w:val="1"/>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93.3 %</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 and deemed dividends from the preferred stock exchange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704.4 %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years ended December 31, 2020 and 2019 was $0.7 million and $0.5 million, respectively, which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certain of our profitable subsidiaries in foreign jurisdictions.</w:t>
      </w:r>
    </w:p>
    <w:p>
      <w:pPr>
        <w:spacing w:after="0" w:line="1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effective tax rate for the year ended December 31, 2020 is different than the U.S. statutory rate primarily due to a valuation allowance recorded against additional tax assets generated during the year and certain profitable foreign subsidiaries.</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For the years ended December 31, 2020 and 2019 there was $0.03 million and $0.02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income or loss attributable to noncontrolling interests.</w:t>
      </w:r>
    </w:p>
    <w:p>
      <w:pPr>
        <w:spacing w:after="0" w:line="12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year ended December 31, 2020 and 2019, we recorded $2.9 million and $0.4 million, respectively, of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E Preferred Stock dividends.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principal sources of liquidity are our existing cash and cash equivalents and cash generated from operations. As of December 31, 2021, we had cash and cash equivalents of $46.5 million, as well as $3.3 million of restricted cash that will become available in July 2022, compared with cash and cash equivalents of $40.0 million as of December 31, 2020. As of December 31, 2021, we had working capital of $52.8 million compared to working capital as of December 31, 2020 of $38.4 million.</w:t>
      </w:r>
    </w:p>
    <w:p>
      <w:pPr>
        <w:spacing w:after="0" w:line="1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30, 2021, we completed the sale of our Ctrack South Africa operations in Africa, Pakistan and the Middle East. Initial cash proceeds of $36.6 million were received. Net cash proceeds received were $31.5 million, net of cash divested of $5.0 million. Final cash proceeds were subject to certain post-closing working capital adjustments which totaled $2.6 million, out of which $2.2 million was received on October 29, 2021, and the remaining $0.4 million was offset with our existing accounts payable balance to an affiliate of Convergence, an investment management firm in South Africa.</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January 25, 2021, we entered into an Equity Distribution Agreement with Canaccord Genuity LLC (the “Agent”), pursuant to which we may offer and sell, from time to time, through or to the Agent, up to $40.0 million of shares of our common stock (the “ATM Offering”) pursuant to the Company’s Registration Statement on Form S-3ASR (File No. 333-238057), which was filed with the Securities and Exchange Commission on May 7, 2020 and amended on February 14, 2022. In January 2021, we sold 1,516,073 shares of common stock, at an average price of $20.11 per share, for net proceeds of $29.4 million, after deducting underwriter fees and discounts of $0.9 million, and other offering fees, pursuant to the ATM Offering. As of December 31, 2021, there was approximately $9.5 million of shares of our common stock available for issuance pursuant to the ATM Offering.</w:t>
      </w:r>
    </w:p>
    <w:p>
      <w:pPr>
        <w:spacing w:after="0" w:line="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December 31, 2021, our outstanding debt primarily consisted of $161.9 million in principal amount of 2025 Notes.</w:t>
      </w:r>
    </w:p>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first quarter of 2020, $59.9 million of our 2022 Notes were exchanged for common stock in private exchange transactions. Additionally, in the second quarter of 2020, we restructured our outstanding debt by completing a $100.0 million registered public offering (the “Offering”) of 2025 Notes and also entered into privately-negotiated Exchange Agreements, pursuant to which an aggregate of $45.0 million in principal amount of the 2022 Notes were exchanged for an aggregate of $32.0 million in cash and $80.4 million in principal amount of the 2025 Notes (the “Private Exchange Transactions”). We also used a portion of the proceeds from the Offering to repay in full our previous term loan. In the third quarter of 2020, we redeemed the remaining $2,000 principal amount of the 2022 Notes.</w:t>
      </w:r>
    </w:p>
    <w:p>
      <w:pPr>
        <w:spacing w:after="0" w:line="14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order to make continued growth investments, on March 6, 2020, we issued and sold 25,000 shares of our Series E Preferred Stock, for an aggregate purchase price of $25.0 million. There are currently 25,000 shares of Series E Preferred Stock outstanding with an aggregate liquidation preference of $25 million.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we may, at our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6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our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5" w:name="page46"/>
    <w:bookmarkEnd w:id="45"/>
    <w:p>
      <w:pPr>
        <w:ind w:right="60"/>
        <w:spacing w:after="0" w:line="300" w:lineRule="auto"/>
        <w:rPr>
          <w:sz w:val="20"/>
          <w:szCs w:val="20"/>
          <w:color w:val="auto"/>
        </w:rPr>
      </w:pPr>
      <w:r>
        <w:rPr>
          <w:rFonts w:ascii="Arial" w:cs="Arial" w:eastAsia="Arial" w:hAnsi="Arial"/>
          <w:sz w:val="15"/>
          <w:szCs w:val="15"/>
          <w:color w:val="auto"/>
        </w:rPr>
        <w:t>Our liquidity could be compromised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Ultimately, our ability to attain profitability and to generate positive cash flow is dependent upon achieving a level of revenues adequate to support our evolving cost structure and increasing working capital needs. If events or circumstances occur such that we do not meet our operating plan as expected, we may be required to raise additional capital, reduce planned research and development activities, incur additional restructuring charges or reduce other operating expenses which could have an adverse impact on our ability to achieve our intended business objectives. There can be no assurance that any required or desired restructuring or financing will be available on terms favorable to us, or at all.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we may be subject to additional limitations on our operations. Additionally, we are uncertain of the full extent to which the COVID-19 pandemic will impact our business, operations and financial results.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Pursuant to the amended merger agreement with respect to our acquisition of R.E.R. Enterprises, Inc. (“RER”) and its wholly-owned subsidiary and principal operating asset, Feeney Wireless, LLC (which has been renamed Inseego North America, LLC), we agreed to pay a total of $15.0 million in deferred purchase price in five cash installments over a four-year period, beginning in March 2016. We also agreed to provide earn-out consideration to the former stockholders of RER in the form of $6.1 million in cash over a four-year period, beginning in March 2016, and issuance of up to 2,920,000 shares of our common stock in three equal annual installments, beginning in March 2016, contingent upon retention of certain key personnel of RER.</w:t>
      </w:r>
    </w:p>
    <w:p>
      <w:pPr>
        <w:spacing w:after="0" w:line="58"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On May 11, 2017, we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we agreed to (i) pay the former stockholders of RER $1.0 million in cash by August 17, 2018, (ii) immediately instruct our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in satisfaction of all remaining liabilities under the Settlement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20,050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6,078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(28,213)</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27,469</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7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(19,002)</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40,015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12,074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31,076</w:t>
            </w:r>
          </w:p>
        </w:tc>
      </w:tr>
      <w:tr>
        <w:trPr>
          <w:trHeight w:val="22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49,812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$25.2 million for the year ended December 31, 2021 compared to net cash provided by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of $20.1 million for the same period in 2020. Net cash used in operating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6" w:name="page47"/>
    <w:bookmarkEnd w:id="46"/>
    <w:p>
      <w:pPr>
        <w:spacing w:after="0" w:line="282" w:lineRule="auto"/>
        <w:rPr>
          <w:sz w:val="20"/>
          <w:szCs w:val="20"/>
          <w:color w:val="auto"/>
        </w:rPr>
      </w:pPr>
      <w:r>
        <w:rPr>
          <w:rFonts w:ascii="Arial" w:cs="Arial" w:eastAsia="Arial" w:hAnsi="Arial"/>
          <w:sz w:val="16"/>
          <w:szCs w:val="16"/>
          <w:color w:val="auto"/>
        </w:rPr>
        <w:t>activities for the year ended December 31, 2021 was primarily attributable to the net cash used by changes in working capital, and the adjustments to the net loss such as share-based compensation expense, depreciation and amortization, including the amortization of debt discount and debt issuance costs, partially offset by the gain on sale of Ctrack South Africa and a non-cash fair value adjustment on derivative instrument. Net cash provided by operating activities for the year ended December 31, 2020 was primarily attributable to non-cash charges for depreciation and amortization, including the amortization of debt discount and debt issuance costs, and share-based compensation expense as add backs to the net loss incurred during the period. Net cash used in operating activities for the year ended December 31, 2019 was primarily attributable to the net losses incurred during the period, partially offset by non-cash charges for depreciation and amortization, including the amortization of debt discount and debt issuance costs, and share-based compensation expense.</w:t>
      </w:r>
    </w:p>
    <w:p>
      <w:pPr>
        <w:spacing w:after="0" w:line="11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during the year ended December 31, 2021 was $6.1 million compared to $34.7 million used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investing activities for the same period in 2020. Cash provided by investing activities during the year ended December 31, 2021 was primarily from the proceeds from sale of Ctrack South Africa, partially offset by purchases of intangible assets and additions to capitalized software, as well as purchases of property, plant and equipment. Cash used in investing activities during the year ended December 31, 2020 was primarily related to the purchases of property, plant and equipment and capitalization of certain costs related to the development of software to be sold in our products, in large part due to the increase in development in support of 5G products and services as well as certain internally developed software projects. Cash used in investing activities during the same period in 2019 was primarily attributable to the purchases of property, plant and equipment and the capitalization of certain costs related to the development of software to be sold in our products.</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year ended December 31, 2021 was $29.9 million, compared to net cash provided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activities of $42.1 million for the same period in 2020. Net cash provided by financing activities during the year ended December 31, 2021 was primarily related to net proceeds received from the ATM Offering, stock option exercises and purchases through our employee stock purchase plan, partially offset by principal payments under finance lease arrangements. Net cash provided by financing activities during the year ended December 31, 2020 was primarily attributable to the proceeds received from the issuance and sale of Series E Preferred Stock and the exercise of warrants to purchase common stock, as well as proceeds received from stock option exercises and purchases made under the employee stock purchase plan, partially offset by net repayments of bank and overdraft facilities, principal payments under our previous term loan and taxes paid on vested restricted stock units. Net cash provided by financing activities during the year ended December 31, 2019 was primarily attributable to the proceeds received from the issuance and sale of Series E Preferred Stock and the exercise of warrants to purchase common stock, as well as proceeds received from stock option exercises and purchases made under the employee stock purchase plan, partially offset by net repayments of bank and overdraft facilities, principal payments under our previous term loan and taxes paid on vested restricted stock units.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6"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 order 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2021, our material contractual obligations consisted of the following:</w:t>
      </w:r>
    </w:p>
    <w:p>
      <w:pPr>
        <w:spacing w:after="0" w:line="217" w:lineRule="exact"/>
        <w:rPr>
          <w:sz w:val="20"/>
          <w:szCs w:val="20"/>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$161.9 million in outstanding principal amount of 2025 Notes with required interest payments; see Part IV Item 15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operating lease liabilities that are included on our consolidated balance sheet; see Part IV Item 15 Note 12.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other non-cancellable unconditional purchase obligations; see Part IV Item 15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Software Development Costs for External Use</w:t>
      </w:r>
    </w:p>
    <w:p>
      <w:pPr>
        <w:spacing w:after="0" w:line="10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Software development costs for external use are expensed as incurred until technological feasibility has been established, at which time those costs are capitalized as intangible assets until the software is available for general release to customers.</w:t>
      </w:r>
    </w:p>
    <w:p>
      <w:pPr>
        <w:spacing w:after="0" w:line="129"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The establishment of technological feasibility and the ongoing assessment for recoverability of capitalized computer software development costs require considerable judgment by management with respect to certain external factors including, but not limited to, technological feasibility, anticipated future gross revenues, estimated economic life and changes in software and hardware technologies. Capitalized software development costs are comprised primarily of salaries, other direct payroll-related costs and payments to third party vendors.</w:t>
      </w:r>
    </w:p>
    <w:p>
      <w:pPr>
        <w:spacing w:after="0" w:line="13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Capitalized software development costs are amortized on a straight-line basis over the estimated economic life. Costs incurred to enhance existing software or after the software is available for general release to customers are expensed in the period they are incurred and included in research and development expense in the consolidated statements of operations. The straight-line recognition method approximates the manner in which the expected benefit will be derived. At each balance sheet date, the unamortized capitalized software development costs for external use is compared to the net realizable value of that product by analyzing critical inputs such as expected future lifetime revenue. The amount by which unamortized software costs exceed the net realizable value, if any, is recognized as a charge to amortization expense in the period it is determined.</w:t>
      </w:r>
    </w:p>
    <w:p>
      <w:pPr>
        <w:spacing w:after="0" w:line="1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 and Embedded Derivative</w:t>
      </w:r>
    </w:p>
    <w:p>
      <w:pPr>
        <w:spacing w:after="0" w:line="24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Our total fixed-rate borrowings under the 2025 Notes as of December 31, 2021 and 2020 were $161.9 million and $166.9 million, respectively. We record all of our fixed-rate borrowings at amortized cost and therefore, any changes in interest rates do not impact the values that we report for these senior notes on our consolidated financial statements. As of December 31, 2021 and 2020, we had no variable-rate borrowings.</w:t>
      </w:r>
    </w:p>
    <w:p>
      <w:pPr>
        <w:spacing w:after="0" w:line="18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The 2025 Notes include an embedded derivative which was marked to fair value at December 31, 2021 and 2020 of $0.9 million and $4.9 million, respectively.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Notes and the embedded derivative are included in Item IV Part 15 Note 4. </w:t>
      </w:r>
      <w:r>
        <w:rPr>
          <w:rFonts w:ascii="Arial" w:cs="Arial" w:eastAsia="Arial" w:hAnsi="Arial"/>
          <w:sz w:val="18"/>
          <w:szCs w:val="18"/>
          <w:i w:val="1"/>
          <w:iCs w:val="1"/>
          <w:color w:val="auto"/>
        </w:rPr>
        <w:t>Fair Value Measurement of Assets and Liabilities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this Annual Report on Form 10-K.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 Risk</w:t>
      </w:r>
    </w:p>
    <w:p>
      <w:pPr>
        <w:spacing w:after="0" w:line="24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A majority of our revenue is denominated in U.S. Dollars, and therefore, our revenue is not directly subject to foreign currency risk.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4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For the fiscal year ended December 31, 2021, sales denominated in foreign currencies were approximately 17.9% of total revenue. Our expenses are generally denominated in the currencies in which our operations are located, which are primarily in the U.S. and to a lesser extent in Europe. Our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pound sterling, Euro, and Australian Dollar (collectively, the “Foreign Functional Currencies”). For the twelve months ended December 31, 2021, a hypothetical 10% change in Foreign Functional Currency exchange rates would have increased or decreased our revenue by approximately $4.4 million. Actual gains and losses in the future may differ materially from the hypothetical gains and losses discussed above based on changes in the timing and amount of foreign currency exchange rate movements. With the completion of Ctrack South Africa divestiture in July 2021, our foreign currency transaction risk is expected to decrease.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Foreign Currency Translation Risk</w:t>
      </w:r>
    </w:p>
    <w:p>
      <w:pPr>
        <w:spacing w:after="0" w:line="2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Fluctuations in foreign currencies impact the amount of total assets, liabilities, earnings and cash flows that we report for our foreign subsidiaries upon the translation of these amounts into U.S. Dollars for, and as of the end of, each reporting period. In particular, the strengthening of the U.S. Dollar generally will reduce the reported amount of our foreign-denominated cash, cash equivalents, marketable securities, total revenues and total expense that we translate into U.S. Dollars and report in our consolidated financial statements for, and as of the end of, each reporting period. With the completion of the Ctrack South Africa divestiture in July 2021, our foreign currency translation risk is expected to decrease.</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and the Reports of Independent Registered Public Accounting Firms appear in Part IV of this report.</w:t>
      </w:r>
    </w:p>
    <w:p>
      <w:pPr>
        <w:spacing w:after="0" w:line="208" w:lineRule="exact"/>
        <w:rPr>
          <w:sz w:val="20"/>
          <w:szCs w:val="20"/>
          <w:color w:val="auto"/>
        </w:rPr>
      </w:pPr>
    </w:p>
    <w:p>
      <w:pPr>
        <w:ind w:right="3900"/>
        <w:spacing w:after="0" w:line="451"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5"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2021, the end of the period covered by this report. Based on the foregoing, our principal executive officer and principal financial and accounting officer concluded that our disclosure controls and procedures were effective as of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15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2021.</w:t>
      </w:r>
    </w:p>
    <w:p>
      <w:pPr>
        <w:spacing w:after="0" w:line="12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Marcum LLP, the independent registered public accounting firm that audited the consolidated financial statements included in this Annual Report on Form 10-K, has also audited our internal control over financial reporting as of December 31, 2021. Their report on the effectiveness of the Company’s internal control over financial reporting is included below.</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spacing w:after="0" w:line="280" w:lineRule="auto"/>
        <w:rPr>
          <w:sz w:val="20"/>
          <w:szCs w:val="20"/>
          <w:color w:val="auto"/>
        </w:rPr>
      </w:pPr>
      <w:r>
        <w:rPr>
          <w:rFonts w:ascii="Arial" w:cs="Arial" w:eastAsia="Arial" w:hAnsi="Arial"/>
          <w:sz w:val="21"/>
          <w:szCs w:val="21"/>
          <w:b w:val="1"/>
          <w:bCs w:val="1"/>
          <w:color w:val="auto"/>
        </w:rPr>
        <w:t>REPORT OF INDEPENDENT REGISTERED PUBLIC ACCOUNTING FIRM ON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Inseego Corp.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We have audited Inseego Corp.'s (the “Company”) internal control over financial reporting as of December 31, 2021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(2013) </w:t>
      </w:r>
      <w:r>
        <w:rPr>
          <w:rFonts w:ascii="Arial" w:cs="Arial" w:eastAsia="Arial" w:hAnsi="Arial"/>
          <w:sz w:val="16"/>
          <w:szCs w:val="16"/>
          <w:color w:val="auto"/>
        </w:rPr>
        <w:t>issued by the Committee of Sponsoring Organizations of the Treadway Commission. In our opinion,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balance sheets as of December 31, 2021 and 2020 and the related consolidated statements of operations, comprehensive loss, stockholders’ deficit, and cash flows and the related notes for each of the three years in the period ended December 31, 2021 of the Company, and our report dated March 1, 2022 expressed an unqualified opinion on those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0" w:name="page51"/>
    <w:bookmarkEnd w:id="50"/>
    <w:p>
      <w:pPr>
        <w:jc w:val="both"/>
        <w:spacing w:after="0" w:line="252"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2022 Annual Meeting of Stockholders or an amendment to this report, which the Company intends to file with the SEC within 120 days of the end of the fiscal year end to which this report relates.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 and Financial Statement Schedules</w:t>
      </w:r>
    </w:p>
    <w:p>
      <w:pPr>
        <w:spacing w:after="0" w:line="102" w:lineRule="exact"/>
        <w:rPr>
          <w:sz w:val="20"/>
          <w:szCs w:val="20"/>
          <w:color w:val="auto"/>
        </w:rPr>
      </w:pPr>
    </w:p>
    <w:p>
      <w:pPr>
        <w:ind w:left="960" w:right="60" w:hanging="552"/>
        <w:spacing w:after="0" w:line="261" w:lineRule="auto"/>
        <w:tabs>
          <w:tab w:leader="none" w:pos="940" w:val="left"/>
        </w:tabs>
        <w:rPr>
          <w:sz w:val="20"/>
          <w:szCs w:val="20"/>
          <w:color w:val="auto"/>
        </w:rPr>
      </w:pPr>
      <w:r>
        <w:rPr>
          <w:rFonts w:ascii="Arial" w:cs="Arial" w:eastAsia="Arial" w:hAnsi="Arial"/>
          <w:sz w:val="18"/>
          <w:szCs w:val="18"/>
          <w:color w:val="auto"/>
        </w:rPr>
        <w:t>(a)(1)</w:t>
        <w:tab/>
        <w:t>The Company’s consolidated financial statements and report of the Marcum LLP, Independent Registered Public Accounting Firm, are included in Section IV of this report beginning on page F-1.</w:t>
      </w:r>
    </w:p>
    <w:p>
      <w:pPr>
        <w:spacing w:after="0" w:line="50" w:lineRule="exact"/>
        <w:rPr>
          <w:sz w:val="20"/>
          <w:szCs w:val="20"/>
          <w:color w:val="auto"/>
        </w:rPr>
      </w:pPr>
    </w:p>
    <w:p>
      <w:pPr>
        <w:ind w:left="960" w:right="60" w:hanging="552"/>
        <w:spacing w:after="0" w:line="261" w:lineRule="auto"/>
        <w:tabs>
          <w:tab w:leader="none" w:pos="940" w:val="left"/>
        </w:tabs>
        <w:rPr>
          <w:sz w:val="20"/>
          <w:szCs w:val="20"/>
          <w:color w:val="auto"/>
        </w:rPr>
      </w:pPr>
      <w:r>
        <w:rPr>
          <w:rFonts w:ascii="Arial" w:cs="Arial" w:eastAsia="Arial" w:hAnsi="Arial"/>
          <w:sz w:val="18"/>
          <w:szCs w:val="18"/>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76"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Exhibits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34"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7110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61" w:lineRule="exact"/>
        <w:rPr>
          <w:sz w:val="20"/>
          <w:szCs w:val="20"/>
          <w:color w:val="auto"/>
        </w:rPr>
      </w:pPr>
    </w:p>
    <w:p>
      <w:pPr>
        <w:ind w:left="1260" w:right="100" w:hanging="784"/>
        <w:spacing w:after="0" w:line="21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61">
        <w:r>
          <w:rPr>
            <w:rFonts w:ascii="Arial" w:cs="Arial" w:eastAsia="Arial" w:hAnsi="Arial"/>
            <w:sz w:val="18"/>
            <w:szCs w:val="18"/>
            <w:u w:val="single" w:color="auto"/>
            <w:color w:val="0000FF"/>
          </w:rPr>
          <w:t>Share Purchase Agreement, dated as of February 24, 2021, by and between Inseego Corp. and Main Street 1816 Proprietary Limited (in the</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process of being renamed Convergence CTSA Proprietary Limited)(incorporated by reference to Exhibit 10.1 to the Company’s Current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Report on Form 8-K, filed February 25, 2021).</w:t>
        </w:r>
      </w:hyperlink>
    </w:p>
    <w:p>
      <w:pPr>
        <w:spacing w:after="0" w:line="200" w:lineRule="exact"/>
        <w:rPr>
          <w:rFonts w:ascii="Arial" w:cs="Arial" w:eastAsia="Arial" w:hAnsi="Arial"/>
          <w:sz w:val="18"/>
          <w:szCs w:val="18"/>
          <w:u w:val="single" w:color="auto"/>
          <w:color w:val="0000FF"/>
        </w:rPr>
      </w:pPr>
    </w:p>
    <w:p>
      <w:pPr>
        <w:spacing w:after="0" w:line="328" w:lineRule="exact"/>
        <w:rPr>
          <w:rFonts w:ascii="Arial" w:cs="Arial" w:eastAsia="Arial" w:hAnsi="Arial"/>
          <w:sz w:val="18"/>
          <w:szCs w:val="18"/>
          <w:u w:val="single" w:color="auto"/>
          <w:color w:val="0000FF"/>
        </w:rPr>
      </w:pPr>
    </w:p>
    <w:p>
      <w:pPr>
        <w:ind w:left="1260" w:right="80" w:hanging="784"/>
        <w:spacing w:after="0" w:line="21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62">
        <w:r>
          <w:rPr>
            <w:rFonts w:ascii="Arial" w:cs="Arial" w:eastAsia="Arial" w:hAnsi="Arial"/>
            <w:sz w:val="18"/>
            <w:szCs w:val="18"/>
            <w:u w:val="single" w:color="auto"/>
            <w:color w:val="0000FF"/>
          </w:rPr>
          <w:t>First Addendum dated March 17, 2021 to the Share Purchase Agreement dated February 24, 2021 between Main Street 1816 Proprietary</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Limited (in the process of being renamed Convergence CTSA Proprietary Limited) and Inseego Corp. (incorporated by reference to Exhibit</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10.3 to the Company’s Current Report on Form 8-K filed June 30, 2021.)</w:t>
        </w:r>
      </w:hyperlink>
    </w:p>
    <w:p>
      <w:pPr>
        <w:spacing w:after="0" w:line="54" w:lineRule="exact"/>
        <w:rPr>
          <w:rFonts w:ascii="Arial" w:cs="Arial" w:eastAsia="Arial" w:hAnsi="Arial"/>
          <w:sz w:val="18"/>
          <w:szCs w:val="18"/>
          <w:u w:val="single" w:color="auto"/>
          <w:color w:val="0000FF"/>
        </w:rPr>
      </w:pPr>
    </w:p>
    <w:p>
      <w:pPr>
        <w:ind w:left="1260" w:right="80" w:hanging="784"/>
        <w:spacing w:after="0" w:line="21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r:id="rId63">
        <w:r>
          <w:rPr>
            <w:rFonts w:ascii="Arial" w:cs="Arial" w:eastAsia="Arial" w:hAnsi="Arial"/>
            <w:sz w:val="18"/>
            <w:szCs w:val="18"/>
            <w:u w:val="single" w:color="auto"/>
            <w:color w:val="0000FF"/>
          </w:rPr>
          <w:t>Second Addendum dated April 30, 2021 to the Share Purchase Agreement dated February 24, 2021 between Main Street 1816 Proprietary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Limited (in the process of being renamed Convergence CTSA Proprietary Limited) and Inseego Corp. (incorporated by reference to Exhibit</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10.2 to the Company’s Current Report on Form 8-K filed June 30, 2021).</w:t>
        </w:r>
      </w:hyperlink>
    </w:p>
    <w:p>
      <w:pPr>
        <w:spacing w:after="0" w:line="54" w:lineRule="exact"/>
        <w:rPr>
          <w:rFonts w:ascii="Arial" w:cs="Arial" w:eastAsia="Arial" w:hAnsi="Arial"/>
          <w:sz w:val="18"/>
          <w:szCs w:val="18"/>
          <w:u w:val="single" w:color="auto"/>
          <w:color w:val="0000FF"/>
        </w:rPr>
      </w:pPr>
    </w:p>
    <w:p>
      <w:pPr>
        <w:ind w:left="1260" w:right="80" w:hanging="784"/>
        <w:spacing w:after="0" w:line="21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64">
        <w:r>
          <w:rPr>
            <w:rFonts w:ascii="Arial" w:cs="Arial" w:eastAsia="Arial" w:hAnsi="Arial"/>
            <w:sz w:val="18"/>
            <w:szCs w:val="18"/>
            <w:u w:val="single" w:color="auto"/>
            <w:color w:val="0000FF"/>
          </w:rPr>
          <w:t>Third Addendum dated June 30, 2021 to the Share Purchase Agreement dated February 24, 2021 between Main Street 1816 Proprietary</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Limited (in the process of being renamed Convergence CTSA Proprietary Limited) and Inseego Corp. (incorporated by reference to Exhibit</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10.1 to the Company’s Current Report on Form 8-K filed June 30, 2021.)</w:t>
        </w:r>
      </w:hyperlink>
    </w:p>
    <w:p>
      <w:pPr>
        <w:spacing w:after="0" w:line="54" w:lineRule="exact"/>
        <w:rPr>
          <w:rFonts w:ascii="Arial" w:cs="Arial" w:eastAsia="Arial" w:hAnsi="Arial"/>
          <w:sz w:val="18"/>
          <w:szCs w:val="18"/>
          <w:u w:val="single" w:color="auto"/>
          <w:color w:val="0000FF"/>
        </w:rPr>
      </w:pPr>
    </w:p>
    <w:p>
      <w:pPr>
        <w:ind w:left="1260" w:hanging="784"/>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65">
        <w:r>
          <w:rPr>
            <w:rFonts w:ascii="Arial" w:cs="Arial" w:eastAsia="Arial" w:hAnsi="Arial"/>
            <w:sz w:val="18"/>
            <w:szCs w:val="18"/>
            <w:u w:val="single" w:color="auto"/>
            <w:color w:val="0000FF"/>
          </w:rPr>
          <w:t>Amended and Restated Certificate of Incorporation (incorporated by reference to Exhibit 3.1 to the Company’s Current Report on Form 8-K,</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filed November 9, 2016).</w:t>
        </w:r>
      </w:hyperlink>
    </w:p>
    <w:p>
      <w:pPr>
        <w:spacing w:after="0" w:line="68" w:lineRule="exact"/>
        <w:rPr>
          <w:sz w:val="20"/>
          <w:szCs w:val="20"/>
          <w:color w:val="auto"/>
        </w:rPr>
      </w:pPr>
    </w:p>
    <w:p>
      <w:pPr>
        <w:ind w:left="1260" w:right="180" w:hanging="784"/>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66">
        <w:r>
          <w:rPr>
            <w:rFonts w:ascii="Arial" w:cs="Arial" w:eastAsia="Arial" w:hAnsi="Arial"/>
            <w:sz w:val="18"/>
            <w:szCs w:val="18"/>
            <w:u w:val="single" w:color="auto"/>
            <w:color w:val="0000FF"/>
          </w:rPr>
          <w:t>Amended and Restated Bylaws of Inseego Corp. (incorporated by reference to Exhibit 3.2 to the Company’s Current Report on Form 8-K,</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filed November 9, 2016).</w:t>
        </w:r>
      </w:hyperlink>
    </w:p>
    <w:p>
      <w:pPr>
        <w:spacing w:after="0" w:line="68" w:lineRule="exact"/>
        <w:rPr>
          <w:sz w:val="20"/>
          <w:szCs w:val="20"/>
          <w:color w:val="auto"/>
        </w:rPr>
      </w:pPr>
    </w:p>
    <w:p>
      <w:pPr>
        <w:ind w:left="1260" w:right="10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67">
        <w:r>
          <w:rPr>
            <w:rFonts w:ascii="Arial" w:cs="Arial" w:eastAsia="Arial" w:hAnsi="Arial"/>
            <w:sz w:val="18"/>
            <w:szCs w:val="18"/>
            <w:u w:val="single" w:color="auto"/>
            <w:color w:val="0000FF"/>
          </w:rPr>
          <w:t>Certificate of Designation of Series D Junior Participating Preferred Stock of Inseego Corp. (incorporated by reference to Exhibit 3.1 to the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Company’s Current Report on Form 8-K, filed January 22, 2018).</w:t>
        </w:r>
      </w:hyperlink>
    </w:p>
    <w:p>
      <w:pPr>
        <w:spacing w:after="0" w:line="54" w:lineRule="exact"/>
        <w:rPr>
          <w:sz w:val="20"/>
          <w:szCs w:val="20"/>
          <w:color w:val="auto"/>
        </w:rPr>
      </w:pPr>
    </w:p>
    <w:p>
      <w:pPr>
        <w:ind w:left="1260" w:right="38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68">
        <w:r>
          <w:rPr>
            <w:rFonts w:ascii="Arial" w:cs="Arial" w:eastAsia="Arial" w:hAnsi="Arial"/>
            <w:sz w:val="18"/>
            <w:szCs w:val="18"/>
            <w:u w:val="single" w:color="auto"/>
            <w:color w:val="0000FF"/>
          </w:rPr>
          <w:t>Certificate of Designation of Series E Fixed-Rate Cumulative Perpetual Preferred Stock (incorporated by reference to Exhibit 3.1 to the</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Company’s Current Report on Form 8-K, filed August 13, 2019).</w:t>
        </w:r>
      </w:hyperlink>
    </w:p>
    <w:p>
      <w:pPr>
        <w:spacing w:after="0" w:line="54" w:lineRule="exact"/>
        <w:rPr>
          <w:sz w:val="20"/>
          <w:szCs w:val="20"/>
          <w:color w:val="auto"/>
        </w:rPr>
      </w:pPr>
    </w:p>
    <w:p>
      <w:pPr>
        <w:ind w:left="1260" w:right="44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69">
        <w:r>
          <w:rPr>
            <w:rFonts w:ascii="Arial" w:cs="Arial" w:eastAsia="Arial" w:hAnsi="Arial"/>
            <w:sz w:val="18"/>
            <w:szCs w:val="18"/>
            <w:u w:val="single" w:color="auto"/>
            <w:color w:val="0000FF"/>
          </w:rPr>
          <w:t>Certificate of Amendment to Certificate of Designation of Series E Fixed-Rate Cumulative Perpetual Preferred Stock (incorporated by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reference to Exhibit 3.1 to the Company’s Current Report on Form 8-K, filed March 10, 2020).</w:t>
        </w:r>
      </w:hyperlink>
    </w:p>
    <w:p>
      <w:pPr>
        <w:spacing w:after="0" w:line="107" w:lineRule="exact"/>
        <w:rPr>
          <w:sz w:val="20"/>
          <w:szCs w:val="20"/>
          <w:color w:val="auto"/>
        </w:rPr>
      </w:pPr>
    </w:p>
    <w:p>
      <w:pPr>
        <w:ind w:left="1260" w:right="12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70">
        <w:r>
          <w:rPr>
            <w:rFonts w:ascii="Arial" w:cs="Arial" w:eastAsia="Arial" w:hAnsi="Arial"/>
            <w:sz w:val="18"/>
            <w:szCs w:val="18"/>
            <w:u w:val="single" w:color="auto"/>
            <w:color w:val="0000FF"/>
          </w:rPr>
          <w:t>Form of Inseego Corp. Common Stock Certificate (incorporated by reference to Exhibit 4.1 to the Company’s Current Report on Form 8-K</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filed November 9, 2016).</w:t>
        </w:r>
      </w:hyperlink>
    </w:p>
    <w:p>
      <w:pPr>
        <w:spacing w:after="0" w:line="107" w:lineRule="exact"/>
        <w:rPr>
          <w:sz w:val="20"/>
          <w:szCs w:val="20"/>
          <w:color w:val="auto"/>
        </w:rPr>
      </w:pPr>
    </w:p>
    <w:p>
      <w:pPr>
        <w:ind w:left="1260" w:right="74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71">
        <w:r>
          <w:rPr>
            <w:rFonts w:ascii="Arial" w:cs="Arial" w:eastAsia="Arial" w:hAnsi="Arial"/>
            <w:sz w:val="18"/>
            <w:szCs w:val="18"/>
            <w:u w:val="single" w:color="auto"/>
            <w:color w:val="0000FF"/>
          </w:rPr>
          <w:t>Description of Equity Securities Registered under Section 12 of the Exchange Act. (incorporated by reference to Exhibit 4.2 to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Company’s Annual Report on Form 10-K filed on March 1, 2021).</w:t>
        </w:r>
      </w:hyperlink>
    </w:p>
    <w:p>
      <w:pPr>
        <w:spacing w:after="0" w:line="107" w:lineRule="exact"/>
        <w:rPr>
          <w:sz w:val="20"/>
          <w:szCs w:val="20"/>
          <w:color w:val="auto"/>
        </w:rPr>
      </w:pPr>
    </w:p>
    <w:p>
      <w:pPr>
        <w:ind w:left="1260" w:right="540" w:hanging="784"/>
        <w:spacing w:after="0" w:line="228"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72">
        <w:r>
          <w:rPr>
            <w:rFonts w:ascii="Arial" w:cs="Arial" w:eastAsia="Arial" w:hAnsi="Arial"/>
            <w:sz w:val="18"/>
            <w:szCs w:val="18"/>
            <w:u w:val="single" w:color="auto"/>
            <w:color w:val="0000FF"/>
          </w:rPr>
          <w:t>Base Indenture, dated May 12, 2020, between Inseego Corp. and Wilmington Trust, National Association, as trustee (incorporated by</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reference to Exhibit 4.1 to the Company’s Current Report on Form 8-K, filed May 12,</w:t>
        </w:r>
      </w:hyperlink>
    </w:p>
    <w:p>
      <w:pPr>
        <w:spacing w:after="0" w:line="107" w:lineRule="exact"/>
        <w:rPr>
          <w:sz w:val="20"/>
          <w:szCs w:val="20"/>
          <w:color w:val="auto"/>
        </w:rPr>
      </w:pPr>
    </w:p>
    <w:p>
      <w:pPr>
        <w:ind w:left="1260" w:right="760" w:hanging="784"/>
        <w:spacing w:after="0" w:line="273"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r:id="rId73">
        <w:r>
          <w:rPr>
            <w:rFonts w:ascii="Arial" w:cs="Arial" w:eastAsia="Arial" w:hAnsi="Arial"/>
            <w:sz w:val="16"/>
            <w:szCs w:val="16"/>
            <w:u w:val="single" w:color="auto"/>
            <w:color w:val="0000FF"/>
          </w:rPr>
          <w:t>First Supplemental Indenture, dated May 12, 2020, between Inseego Corp. and Wilmington Trust, National Association, as trustee</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(incorporated by reference to Exhibit 4.2 to the Company’s Current Report on Form 8-K, filed May 12, 2020).</w:t>
        </w:r>
      </w:hyperlink>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71" w:right="439" w:bottom="1440" w:gutter="0" w:footer="0" w:header="0"/>
        </w:sectPr>
      </w:pPr>
    </w:p>
    <w:bookmarkStart w:id="52" w:name="page53"/>
    <w:bookmarkEnd w:id="52"/>
    <w:p>
      <w:pPr>
        <w:spacing w:after="0"/>
        <w:tabs>
          <w:tab w:leader="none" w:pos="1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7110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21" w:lineRule="exact"/>
        <w:rPr>
          <w:sz w:val="20"/>
          <w:szCs w:val="20"/>
          <w:color w:val="auto"/>
        </w:rPr>
      </w:pPr>
    </w:p>
    <w:p>
      <w:pPr>
        <w:ind w:left="1060" w:right="120" w:hanging="784"/>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73">
        <w:r>
          <w:rPr>
            <w:rFonts w:ascii="Arial" w:cs="Arial" w:eastAsia="Arial" w:hAnsi="Arial"/>
            <w:sz w:val="18"/>
            <w:szCs w:val="18"/>
            <w:u w:val="single" w:color="auto"/>
            <w:color w:val="0000FF"/>
          </w:rPr>
          <w:t>Form of 3.25% convertible senior note due 2025 (incorporated by reference Exhibit 10.5 to the Company’s Quarterly Report on Form 10-Q,</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filed August 10, 2020).</w:t>
        </w:r>
      </w:hyperlink>
    </w:p>
    <w:p>
      <w:pPr>
        <w:spacing w:after="0" w:line="107" w:lineRule="exact"/>
        <w:rPr>
          <w:sz w:val="20"/>
          <w:szCs w:val="20"/>
          <w:color w:val="auto"/>
        </w:rPr>
      </w:pPr>
    </w:p>
    <w:p>
      <w:pPr>
        <w:ind w:left="1060" w:right="480" w:hanging="784"/>
        <w:spacing w:after="0" w:line="246"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76">
        <w:r>
          <w:rPr>
            <w:rFonts w:ascii="Arial" w:cs="Arial" w:eastAsia="Arial" w:hAnsi="Arial"/>
            <w:sz w:val="18"/>
            <w:szCs w:val="18"/>
            <w:u w:val="single" w:color="auto"/>
            <w:color w:val="0000FF"/>
          </w:rPr>
          <w:t>Common Stock Purchase Warrant issued to Golden Harbor Ltd., dated March 28, 2019, by Inseego Corp. (incorporated by reference to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Exhibit 4.1 to the Company’s Current Report on Form 8-K, filed March 29, 2019).</w:t>
        </w:r>
      </w:hyperlink>
    </w:p>
    <w:p>
      <w:pPr>
        <w:spacing w:after="0" w:line="128" w:lineRule="exact"/>
        <w:rPr>
          <w:sz w:val="20"/>
          <w:szCs w:val="20"/>
          <w:color w:val="auto"/>
        </w:rPr>
      </w:pPr>
    </w:p>
    <w:p>
      <w:pPr>
        <w:ind w:left="1060" w:hanging="784"/>
        <w:spacing w:after="0" w:line="246"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77">
        <w:r>
          <w:rPr>
            <w:rFonts w:ascii="Arial" w:cs="Arial" w:eastAsia="Arial" w:hAnsi="Arial"/>
            <w:sz w:val="18"/>
            <w:szCs w:val="18"/>
            <w:u w:val="single" w:color="auto"/>
            <w:color w:val="0000FF"/>
          </w:rPr>
          <w:t>Common Stock Purchase Warrant issued to North Sound Trading, L.P., dated March 28, 2019, by Inseego Corp. (incorporated by reference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Exhibit 4.2 to the Company’s Current Report on Form 8-K, filed March 29, 2019).</w:t>
        </w:r>
      </w:hyperlink>
    </w:p>
    <w:p>
      <w:pPr>
        <w:spacing w:after="0" w:line="128" w:lineRule="exact"/>
        <w:rPr>
          <w:sz w:val="20"/>
          <w:szCs w:val="20"/>
          <w:color w:val="auto"/>
        </w:rPr>
      </w:pPr>
    </w:p>
    <w:p>
      <w:pPr>
        <w:ind w:left="1060" w:right="380" w:hanging="784"/>
        <w:spacing w:after="0" w:line="23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78">
        <w:r>
          <w:rPr>
            <w:rFonts w:ascii="Arial" w:cs="Arial" w:eastAsia="Arial" w:hAnsi="Arial"/>
            <w:sz w:val="18"/>
            <w:szCs w:val="18"/>
            <w:u w:val="single" w:color="auto"/>
            <w:color w:val="0000FF"/>
          </w:rPr>
          <w:t>Registration Rights Agreement, dated August 6, 2018, by and among Inseego Corp. and the Investors identified on Exhibit A to the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Securities Purchase Agreement (incorporated by reference to Exhibit 4.3 to the Company’s Current Report on Form 8-K, filed August 7,</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2018).</w:t>
        </w:r>
      </w:hyperlink>
    </w:p>
    <w:p>
      <w:pPr>
        <w:spacing w:after="0" w:line="187" w:lineRule="exact"/>
        <w:rPr>
          <w:rFonts w:ascii="Arial" w:cs="Arial" w:eastAsia="Arial" w:hAnsi="Arial"/>
          <w:sz w:val="18"/>
          <w:szCs w:val="18"/>
          <w:u w:val="single" w:color="auto"/>
          <w:color w:val="0000FF"/>
        </w:rPr>
      </w:pPr>
    </w:p>
    <w:p>
      <w:pPr>
        <w:ind w:left="1060" w:right="400" w:hanging="872"/>
        <w:spacing w:after="0" w:line="235"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9">
        <w:r>
          <w:rPr>
            <w:rFonts w:ascii="Arial" w:cs="Arial" w:eastAsia="Arial" w:hAnsi="Arial"/>
            <w:sz w:val="18"/>
            <w:szCs w:val="18"/>
            <w:u w:val="single" w:color="auto"/>
            <w:color w:val="0000FF"/>
          </w:rPr>
          <w:t>Amended and Restated Inseego Corp. 2000 Employee Stock Purchase Plan (incorporated by reference to Exhibit 10.2 to the Company’s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Current Report on Form 8-K, filed July 18, 2018).</w:t>
        </w:r>
      </w:hyperlink>
    </w:p>
    <w:p>
      <w:pPr>
        <w:spacing w:after="0" w:line="68" w:lineRule="exact"/>
        <w:rPr>
          <w:sz w:val="20"/>
          <w:szCs w:val="20"/>
          <w:color w:val="auto"/>
        </w:rPr>
      </w:pPr>
    </w:p>
    <w:p>
      <w:pPr>
        <w:ind w:left="1060" w:right="36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80">
        <w:r>
          <w:rPr>
            <w:rFonts w:ascii="Arial" w:cs="Arial" w:eastAsia="Arial" w:hAnsi="Arial"/>
            <w:sz w:val="18"/>
            <w:szCs w:val="18"/>
            <w:u w:val="single" w:color="auto"/>
            <w:color w:val="0000FF"/>
          </w:rPr>
          <w:t>Offer Letter dated July 26, 2020 between Inseego Corp. a</w:t>
        </w:r>
        <w:r>
          <w:rPr>
            <w:rFonts w:ascii="Arial" w:cs="Arial" w:eastAsia="Arial" w:hAnsi="Arial"/>
            <w:sz w:val="18"/>
            <w:szCs w:val="18"/>
            <w:color w:val="0000FF"/>
          </w:rPr>
          <w:t>n</w:t>
        </w:r>
        <w:r>
          <w:rPr>
            <w:rFonts w:ascii="Arial" w:cs="Arial" w:eastAsia="Arial" w:hAnsi="Arial"/>
            <w:sz w:val="18"/>
            <w:szCs w:val="18"/>
            <w:u w:val="single" w:color="auto"/>
            <w:color w:val="0000FF"/>
          </w:rPr>
          <w:t>d Craig L. Foster (incorporated by reference to Exhibit 10.3 to the Company’s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Quarterly Report on Form 10-Q, filed November 6, 2020)</w:t>
        </w:r>
        <w:r>
          <w:rPr>
            <w:rFonts w:ascii="Arial" w:cs="Arial" w:eastAsia="Arial" w:hAnsi="Arial"/>
            <w:sz w:val="18"/>
            <w:szCs w:val="18"/>
            <w:u w:val="single" w:color="auto"/>
            <w:color w:val="0000FF"/>
            <w:highlight w:val="white"/>
          </w:rPr>
          <w:t>.</w:t>
        </w:r>
      </w:hyperlink>
    </w:p>
    <w:p>
      <w:pPr>
        <w:spacing w:after="0" w:line="54" w:lineRule="exact"/>
        <w:rPr>
          <w:sz w:val="20"/>
          <w:szCs w:val="20"/>
          <w:color w:val="auto"/>
        </w:rPr>
      </w:pPr>
    </w:p>
    <w:p>
      <w:pPr>
        <w:ind w:left="1060" w:right="14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81">
        <w:r>
          <w:rPr>
            <w:rFonts w:ascii="Arial" w:cs="Arial" w:eastAsia="Arial" w:hAnsi="Arial"/>
            <w:sz w:val="18"/>
            <w:szCs w:val="18"/>
            <w:u w:val="single" w:color="auto"/>
            <w:color w:val="0000FF"/>
          </w:rPr>
          <w:t>Change in Control Agreement dated August 17, 2020 between Inseego Corp. and Craig L. Foster (incorporated by reference to Exhibit 10.4</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to the Company’s Quarterly Report on Form 10-Q, filed November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-132715</wp:posOffset>
            </wp:positionV>
            <wp:extent cx="24765" cy="125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24765" cy="125095"/>
                    </a:xfrm>
                    <a:prstGeom prst="rect">
                      <a:avLst/>
                    </a:prstGeom>
                    <a:noFill/>
                  </pic:spPr>
                </pic:pic>
              </a:graphicData>
            </a:graphic>
          </wp:anchor>
        </w:drawing>
      </w:r>
    </w:p>
    <w:p>
      <w:pPr>
        <w:spacing w:after="0" w:line="34" w:lineRule="exact"/>
        <w:rPr>
          <w:sz w:val="20"/>
          <w:szCs w:val="20"/>
          <w:color w:val="auto"/>
        </w:rPr>
      </w:pPr>
    </w:p>
    <w:p>
      <w:pPr>
        <w:ind w:left="180"/>
        <w:spacing w:after="0"/>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83">
        <w:r>
          <w:rPr>
            <w:rFonts w:ascii="Arial" w:cs="Arial" w:eastAsia="Arial" w:hAnsi="Arial"/>
            <w:sz w:val="16"/>
            <w:szCs w:val="16"/>
            <w:u w:val="single" w:color="auto"/>
            <w:color w:val="0000FF"/>
          </w:rPr>
          <w:t>Form of Indemnification (incorporated by reference to Exhibit 10.3 to the Company’s Current Report on Form 8-K, filed August 21, 2017).</w:t>
        </w:r>
      </w:hyperlink>
    </w:p>
    <w:p>
      <w:pPr>
        <w:spacing w:after="0" w:line="83" w:lineRule="exact"/>
        <w:rPr>
          <w:sz w:val="20"/>
          <w:szCs w:val="20"/>
          <w:color w:val="auto"/>
        </w:rPr>
      </w:pPr>
    </w:p>
    <w:p>
      <w:pPr>
        <w:ind w:left="1060" w:right="380" w:hanging="872"/>
        <w:spacing w:after="0" w:line="235"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84">
        <w:r>
          <w:rPr>
            <w:rFonts w:ascii="Arial" w:cs="Arial" w:eastAsia="Arial" w:hAnsi="Arial"/>
            <w:sz w:val="18"/>
            <w:szCs w:val="18"/>
            <w:u w:val="single" w:color="auto"/>
            <w:color w:val="0000FF"/>
          </w:rPr>
          <w:t>Employment Offer Letter, dated June 6, 2017, between Inseego Corp. and Dan Mondor (incorporated by reference to Exhibit 10.1 to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Company’s Current Report on Form 8-K, filed June 9, 2017).</w:t>
        </w:r>
      </w:hyperlink>
    </w:p>
    <w:p>
      <w:pPr>
        <w:spacing w:after="0" w:line="68" w:lineRule="exact"/>
        <w:rPr>
          <w:sz w:val="20"/>
          <w:szCs w:val="20"/>
          <w:color w:val="auto"/>
        </w:rPr>
      </w:pPr>
    </w:p>
    <w:p>
      <w:pPr>
        <w:ind w:left="1060" w:right="220" w:hanging="872"/>
        <w:spacing w:after="0" w:line="235"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85">
        <w:r>
          <w:rPr>
            <w:rFonts w:ascii="Arial" w:cs="Arial" w:eastAsia="Arial" w:hAnsi="Arial"/>
            <w:sz w:val="18"/>
            <w:szCs w:val="18"/>
            <w:u w:val="single" w:color="auto"/>
            <w:color w:val="0000FF"/>
          </w:rPr>
          <w:t>Indemnification Agreement, dated June 6, 2017, between Inseego Corp. and Dan Mondor (incorporated by reference to Exhibit 10.3 to the</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Company’s Current Report on Form 8-K, filed June 9, 2017).</w:t>
        </w:r>
      </w:hyperlink>
    </w:p>
    <w:p>
      <w:pPr>
        <w:spacing w:after="0" w:line="60" w:lineRule="exact"/>
        <w:rPr>
          <w:sz w:val="20"/>
          <w:szCs w:val="20"/>
          <w:color w:val="auto"/>
        </w:rPr>
      </w:pPr>
    </w:p>
    <w:p>
      <w:pPr>
        <w:ind w:left="180"/>
        <w:spacing w:after="0"/>
        <w:tabs>
          <w:tab w:leader="none" w:pos="1040" w:val="left"/>
        </w:tabs>
        <w:rPr>
          <w:rFonts w:ascii="Arial" w:cs="Arial" w:eastAsia="Arial" w:hAnsi="Arial"/>
          <w:sz w:val="15"/>
          <w:szCs w:val="15"/>
          <w:u w:val="single" w:color="auto"/>
          <w:color w:val="0000FF"/>
        </w:rPr>
      </w:pPr>
      <w:r>
        <w:rPr>
          <w:rFonts w:ascii="Arial" w:cs="Arial" w:eastAsia="Arial" w:hAnsi="Arial"/>
          <w:sz w:val="18"/>
          <w:szCs w:val="18"/>
          <w:color w:val="auto"/>
        </w:rPr>
        <w:t>10.7*</w:t>
      </w:r>
      <w:r>
        <w:rPr>
          <w:sz w:val="20"/>
          <w:szCs w:val="20"/>
          <w:color w:val="auto"/>
        </w:rPr>
        <w:tab/>
      </w:r>
      <w:hyperlink r:id="rId86">
        <w:r>
          <w:rPr>
            <w:rFonts w:ascii="Arial" w:cs="Arial" w:eastAsia="Arial" w:hAnsi="Arial"/>
            <w:sz w:val="15"/>
            <w:szCs w:val="15"/>
            <w:u w:val="single" w:color="auto"/>
            <w:color w:val="0000FF"/>
          </w:rPr>
          <w:t>Amendment to Offer Letter, dated October 26, 2017, by and between the Company and Dan Mondor (incorporated by reference to Exhibit</w:t>
        </w:r>
      </w:hyperlink>
    </w:p>
    <w:p>
      <w:pPr>
        <w:ind w:left="106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10.8 to the Company’s Quarterly Report on Form 10-Q, filed on November 7, 2017).</w:t>
        </w:r>
      </w:hyperlink>
    </w:p>
    <w:p>
      <w:pPr>
        <w:spacing w:after="0" w:line="69" w:lineRule="exact"/>
        <w:rPr>
          <w:sz w:val="20"/>
          <w:szCs w:val="20"/>
          <w:color w:val="auto"/>
        </w:rPr>
      </w:pPr>
    </w:p>
    <w:p>
      <w:pPr>
        <w:ind w:left="1060" w:right="10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87">
        <w:r>
          <w:rPr>
            <w:rFonts w:ascii="Arial" w:cs="Arial" w:eastAsia="Arial" w:hAnsi="Arial"/>
            <w:sz w:val="18"/>
            <w:szCs w:val="18"/>
            <w:u w:val="single" w:color="auto"/>
            <w:color w:val="0000FF"/>
          </w:rPr>
          <w:t>Inseego Corp. 2015 Incentive Compensation Plan (incorporated by reference to Exhibit 10.26 to the Company’s Annual Report on Form 10-</w:t>
        </w:r>
      </w:hyperlink>
      <w:hyperlink r:id="rId87">
        <w:r>
          <w:rPr>
            <w:rFonts w:ascii="Arial" w:cs="Arial" w:eastAsia="Arial" w:hAnsi="Arial"/>
            <w:sz w:val="18"/>
            <w:szCs w:val="18"/>
            <w:u w:val="single" w:color="auto"/>
            <w:color w:val="0000FF"/>
          </w:rPr>
          <w:t>K, filed on March 16, 2018).</w:t>
        </w:r>
      </w:hyperlink>
    </w:p>
    <w:p>
      <w:pPr>
        <w:spacing w:after="0" w:line="54" w:lineRule="exact"/>
        <w:rPr>
          <w:sz w:val="20"/>
          <w:szCs w:val="20"/>
          <w:color w:val="auto"/>
        </w:rPr>
      </w:pPr>
    </w:p>
    <w:p>
      <w:pPr>
        <w:ind w:left="1060" w:right="30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88">
        <w:r>
          <w:rPr>
            <w:rFonts w:ascii="Arial" w:cs="Arial" w:eastAsia="Arial" w:hAnsi="Arial"/>
            <w:sz w:val="18"/>
            <w:szCs w:val="18"/>
            <w:u w:val="single" w:color="auto"/>
            <w:color w:val="0000FF"/>
          </w:rPr>
          <w:t>Form of Nonstatutory Stock Option Agreement under the Inseego Corp. 2015 Incentive Compensation Plan (incorporated by reference to</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Exhibit 10.27 to the Company’s Annual Report on Form 10-K, filed on March 16, 2018).</w:t>
        </w:r>
      </w:hyperlink>
    </w:p>
    <w:p>
      <w:pPr>
        <w:spacing w:after="0" w:line="54" w:lineRule="exact"/>
        <w:rPr>
          <w:sz w:val="20"/>
          <w:szCs w:val="20"/>
          <w:color w:val="auto"/>
        </w:rPr>
      </w:pPr>
    </w:p>
    <w:p>
      <w:pPr>
        <w:ind w:left="1060" w:right="200" w:hanging="916"/>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89">
        <w:r>
          <w:rPr>
            <w:rFonts w:ascii="Arial" w:cs="Arial" w:eastAsia="Arial" w:hAnsi="Arial"/>
            <w:sz w:val="18"/>
            <w:szCs w:val="18"/>
            <w:u w:val="single" w:color="auto"/>
            <w:color w:val="0000FF"/>
          </w:rPr>
          <w:t>Amended Inseego Corp. 2018 Omnibus Incentive Compensation Plan (incorporated by reference to Exhibit 10.1 to the Company’s Current</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Report on Form 8-K, filed July 30, 2021).</w:t>
        </w:r>
      </w:hyperlink>
    </w:p>
    <w:p>
      <w:pPr>
        <w:spacing w:after="0" w:line="54" w:lineRule="exact"/>
        <w:rPr>
          <w:sz w:val="20"/>
          <w:szCs w:val="20"/>
          <w:color w:val="auto"/>
        </w:rPr>
      </w:pPr>
    </w:p>
    <w:p>
      <w:pPr>
        <w:ind w:left="1060" w:right="620" w:hanging="868"/>
        <w:spacing w:after="0" w:line="273"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90">
        <w:r>
          <w:rPr>
            <w:rFonts w:ascii="Arial" w:cs="Arial" w:eastAsia="Arial" w:hAnsi="Arial"/>
            <w:sz w:val="16"/>
            <w:szCs w:val="16"/>
            <w:u w:val="single" w:color="auto"/>
            <w:color w:val="0000FF"/>
          </w:rPr>
          <w:t>Securities Purchase Agreement, dated August 6, 2018, by and among Inseego Corp. and the Investors identified on Exhibit A thereto</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(incorporated by reference to Exhibit 4.1 to the Company’s Current Report on Form 8-K, filed August 7, 2018).</w:t>
        </w:r>
      </w:hyperlink>
    </w:p>
    <w:p>
      <w:pPr>
        <w:spacing w:after="0" w:line="29" w:lineRule="exact"/>
        <w:rPr>
          <w:sz w:val="20"/>
          <w:szCs w:val="20"/>
          <w:color w:val="auto"/>
        </w:rPr>
      </w:pPr>
    </w:p>
    <w:p>
      <w:pPr>
        <w:ind w:left="1060" w:right="620" w:hanging="872"/>
        <w:spacing w:after="0" w:line="290"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91">
        <w:r>
          <w:rPr>
            <w:rFonts w:ascii="Arial" w:cs="Arial" w:eastAsia="Arial" w:hAnsi="Arial"/>
            <w:sz w:val="16"/>
            <w:szCs w:val="16"/>
            <w:u w:val="single" w:color="auto"/>
            <w:color w:val="0000FF"/>
          </w:rPr>
          <w:t>Securities Purchase Agreement, dated August 9, 2019, by and among Inseego Corp. and the Investors identified on Exhibit A thereto</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(incorporated by reference to Exhibit 10.1 to the Company’s Current Report on Form 8-K, filed August 13, 2019).</w:t>
        </w:r>
      </w:hyperlink>
    </w:p>
    <w:p>
      <w:pPr>
        <w:spacing w:after="0" w:line="29" w:lineRule="exact"/>
        <w:rPr>
          <w:sz w:val="20"/>
          <w:szCs w:val="20"/>
          <w:color w:val="auto"/>
        </w:rPr>
      </w:pPr>
    </w:p>
    <w:p>
      <w:pPr>
        <w:ind w:left="1060" w:right="740" w:hanging="872"/>
        <w:spacing w:after="0" w:line="290" w:lineRule="auto"/>
        <w:tabs>
          <w:tab w:leader="none" w:pos="104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92">
        <w:r>
          <w:rPr>
            <w:rFonts w:ascii="Arial" w:cs="Arial" w:eastAsia="Arial" w:hAnsi="Arial"/>
            <w:sz w:val="16"/>
            <w:szCs w:val="16"/>
            <w:u w:val="single" w:color="auto"/>
            <w:color w:val="0000FF"/>
          </w:rPr>
          <w:t>Securities Purchase Agreement, dated March 6, 2020, by and among Inseego Corp. and the Investor identified on Exhibit A thereto</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(incorporated by reference to Exhibit 10.1 to the Company’s Current Report on Form 8-K, filed on March 10, 2020).</w:t>
        </w:r>
      </w:hyperlink>
    </w:p>
    <w:p>
      <w:pPr>
        <w:spacing w:after="0" w:line="29" w:lineRule="exact"/>
        <w:rPr>
          <w:sz w:val="20"/>
          <w:szCs w:val="20"/>
          <w:color w:val="auto"/>
        </w:rPr>
      </w:pPr>
    </w:p>
    <w:p>
      <w:pPr>
        <w:ind w:left="1060" w:right="160" w:hanging="872"/>
        <w:spacing w:after="0" w:line="21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93">
        <w:r>
          <w:rPr>
            <w:rFonts w:ascii="Arial" w:cs="Arial" w:eastAsia="Arial" w:hAnsi="Arial"/>
            <w:sz w:val="18"/>
            <w:szCs w:val="18"/>
            <w:u w:val="single" w:color="auto"/>
            <w:color w:val="0000FF"/>
          </w:rPr>
          <w:t>Assignment and License Agreement, dated as of February 24, 2021, by and between Inseego Corp. and certain entities that will be acquired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by Purchaser in the Sale Transaction (incorporated by reference to Exhibit 10.2 to the Company’s Current Report on Form 8-K, filed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February 25, 2021).</w:t>
        </w:r>
      </w:hyperlink>
    </w:p>
    <w:p>
      <w:pPr>
        <w:spacing w:after="0" w:line="54" w:lineRule="exact"/>
        <w:rPr>
          <w:rFonts w:ascii="Arial" w:cs="Arial" w:eastAsia="Arial" w:hAnsi="Arial"/>
          <w:sz w:val="18"/>
          <w:szCs w:val="18"/>
          <w:u w:val="single" w:color="auto"/>
          <w:color w:val="0000FF"/>
        </w:rPr>
      </w:pPr>
    </w:p>
    <w:p>
      <w:pPr>
        <w:jc w:val="both"/>
        <w:ind w:left="1060" w:right="18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94">
        <w:r>
          <w:rPr>
            <w:rFonts w:ascii="Arial" w:cs="Arial" w:eastAsia="Arial" w:hAnsi="Arial"/>
            <w:sz w:val="18"/>
            <w:szCs w:val="18"/>
            <w:u w:val="single" w:color="auto"/>
            <w:color w:val="0000FF"/>
          </w:rPr>
          <w:t>Transitional Services Agreement, dated as of February 24, 2021, by and between Inseego Corp. and certain entities that will be acquired by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Purchaser in the Sale Transaction (incorporated by reference to Exhibit 10.3 to the Company’s Current Report on Form 8-K, filed February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25, 2021).</w:t>
        </w:r>
      </w:hyperlink>
    </w:p>
    <w:p>
      <w:pPr>
        <w:spacing w:after="0" w:line="68" w:lineRule="exact"/>
        <w:rPr>
          <w:rFonts w:ascii="Arial" w:cs="Arial" w:eastAsia="Arial" w:hAnsi="Arial"/>
          <w:sz w:val="18"/>
          <w:szCs w:val="18"/>
          <w:u w:val="single" w:color="auto"/>
          <w:color w:val="0000FF"/>
        </w:rPr>
      </w:pPr>
    </w:p>
    <w:p>
      <w:pPr>
        <w:jc w:val="both"/>
        <w:ind w:left="1060" w:hanging="872"/>
        <w:spacing w:after="0" w:line="228" w:lineRule="auto"/>
        <w:tabs>
          <w:tab w:leader="none" w:pos="10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95">
        <w:r>
          <w:rPr>
            <w:rFonts w:ascii="Arial" w:cs="Arial" w:eastAsia="Arial" w:hAnsi="Arial"/>
            <w:sz w:val="18"/>
            <w:szCs w:val="18"/>
            <w:u w:val="single" w:color="auto"/>
            <w:color w:val="0000FF"/>
          </w:rPr>
          <w:t>Trademark Agreement, dated as of February 24, 2021, by and between Inseego Corp. Ctrack Holdings (Pty) Limited, and certain entities that</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will be acquired by Purchaser in the Sale Transaction (incorporated by reference to Exhibit 10.5 to the Company’s Current Report on Form 8-</w:t>
        </w:r>
      </w:hyperlink>
      <w:hyperlink r:id="rId95">
        <w:r>
          <w:rPr>
            <w:rFonts w:ascii="Arial" w:cs="Arial" w:eastAsia="Arial" w:hAnsi="Arial"/>
            <w:sz w:val="18"/>
            <w:szCs w:val="18"/>
            <w:u w:val="single" w:color="auto"/>
            <w:color w:val="0000FF"/>
          </w:rPr>
          <w:t>K, filed February 25, 2021).</w:t>
        </w:r>
      </w:hyperlink>
    </w:p>
    <w:p>
      <w:pPr>
        <w:spacing w:after="0" w:line="200" w:lineRule="exact"/>
        <w:rPr>
          <w:rFonts w:ascii="Arial" w:cs="Arial" w:eastAsia="Arial" w:hAnsi="Arial"/>
          <w:sz w:val="18"/>
          <w:szCs w:val="18"/>
          <w:u w:val="single" w:color="auto"/>
          <w:color w:val="0000FF"/>
        </w:rPr>
      </w:pPr>
    </w:p>
    <w:p>
      <w:pPr>
        <w:spacing w:after="0" w:line="276" w:lineRule="exact"/>
        <w:rPr>
          <w:rFonts w:ascii="Arial" w:cs="Arial" w:eastAsia="Arial" w:hAnsi="Arial"/>
          <w:sz w:val="18"/>
          <w:szCs w:val="18"/>
          <w:u w:val="single" w:color="auto"/>
          <w:color w:val="0000FF"/>
        </w:rPr>
      </w:pPr>
    </w:p>
    <w:p>
      <w:pPr>
        <w:jc w:val="center"/>
        <w:ind w:right="140"/>
        <w:spacing w:after="0"/>
        <w:rPr>
          <w:sz w:val="20"/>
          <w:szCs w:val="20"/>
          <w:color w:val="auto"/>
        </w:rPr>
      </w:pPr>
      <w:r>
        <w:rPr>
          <w:rFonts w:ascii="Arial" w:cs="Arial" w:eastAsia="Arial" w:hAnsi="Arial"/>
          <w:sz w:val="18"/>
          <w:szCs w:val="18"/>
          <w:color w:val="auto"/>
        </w:rPr>
        <w:t>53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-135890</wp:posOffset>
            </wp:positionH>
            <wp:positionV relativeFrom="paragraph">
              <wp:posOffset>214630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520" w:top="1007" w:right="37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208"/>
        </w:trPr>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Exhibit No.</w:t>
            </w:r>
          </w:p>
        </w:tc>
        <w:tc>
          <w:tcPr>
            <w:tcW w:w="20" w:type="dxa"/>
            <w:vAlign w:val="bottom"/>
          </w:tcPr>
          <w:p>
            <w:pPr>
              <w:spacing w:after="0"/>
              <w:rPr>
                <w:sz w:val="18"/>
                <w:szCs w:val="18"/>
                <w:color w:val="auto"/>
              </w:rPr>
            </w:pPr>
          </w:p>
        </w:tc>
        <w:tc>
          <w:tcPr>
            <w:tcW w:w="9920" w:type="dxa"/>
            <w:vAlign w:val="bottom"/>
            <w:gridSpan w:val="22"/>
          </w:tcPr>
          <w:p>
            <w:pPr>
              <w:spacing w:after="0"/>
              <w:rPr>
                <w:sz w:val="20"/>
                <w:szCs w:val="20"/>
                <w:color w:val="auto"/>
              </w:rPr>
            </w:pPr>
            <w:r>
              <w:rPr>
                <w:rFonts w:ascii="Arial" w:cs="Arial" w:eastAsia="Arial" w:hAnsi="Arial"/>
                <w:sz w:val="16"/>
                <w:szCs w:val="16"/>
                <w:b w:val="1"/>
                <w:bCs w:val="1"/>
                <w:color w:val="auto"/>
              </w:rPr>
              <w:t>Description</w:t>
            </w:r>
          </w:p>
        </w:tc>
      </w:tr>
      <w:tr>
        <w:trPr>
          <w:trHeight w:val="181"/>
        </w:trPr>
        <w:tc>
          <w:tcPr>
            <w:tcW w:w="11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88"/>
              </w:rPr>
              <w:t>10.17</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22"/>
          </w:tcPr>
          <w:p>
            <w:pPr>
              <w:spacing w:after="0" w:line="181" w:lineRule="exact"/>
              <w:rPr>
                <w:rFonts w:ascii="Arial" w:cs="Arial" w:eastAsia="Arial" w:hAnsi="Arial"/>
                <w:sz w:val="18"/>
                <w:szCs w:val="18"/>
                <w:color w:val="0000FF"/>
                <w:w w:val="89"/>
              </w:rPr>
            </w:pPr>
            <w:hyperlink r:id="rId97">
              <w:r>
                <w:rPr>
                  <w:rFonts w:ascii="Arial" w:cs="Arial" w:eastAsia="Arial" w:hAnsi="Arial"/>
                  <w:sz w:val="18"/>
                  <w:szCs w:val="18"/>
                  <w:color w:val="0000FF"/>
                  <w:w w:val="89"/>
                </w:rPr>
                <w:t>Equity Distribution Agreement, dated as of January 25, 2021, by and between Inseego Corp. and Canaccord Genuity LLC (incorporated by</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40" w:type="dxa"/>
            <w:vAlign w:val="bottom"/>
            <w:tcBorders>
              <w:top w:val="single" w:sz="8" w:color="0000FF"/>
              <w:bottom w:val="single" w:sz="8" w:color="0000FF"/>
            </w:tcBorders>
            <w:gridSpan w:val="7"/>
          </w:tcPr>
          <w:p>
            <w:pPr>
              <w:spacing w:after="0" w:line="164" w:lineRule="exact"/>
              <w:rPr>
                <w:rFonts w:ascii="Arial" w:cs="Arial" w:eastAsia="Arial" w:hAnsi="Arial"/>
                <w:sz w:val="18"/>
                <w:szCs w:val="18"/>
                <w:color w:val="0000FF"/>
                <w:w w:val="88"/>
              </w:rPr>
            </w:pPr>
            <w:hyperlink r:id="rId97">
              <w:r>
                <w:rPr>
                  <w:rFonts w:ascii="Arial" w:cs="Arial" w:eastAsia="Arial" w:hAnsi="Arial"/>
                  <w:sz w:val="18"/>
                  <w:szCs w:val="18"/>
                  <w:color w:val="0000FF"/>
                  <w:w w:val="88"/>
                </w:rPr>
                <w:t>reference to Exhibit 10.1 to the Company’s Current Report on Form 8-K, filed January 26, 2021).</w:t>
              </w:r>
            </w:hyperlink>
          </w:p>
        </w:tc>
        <w:tc>
          <w:tcPr>
            <w:tcW w:w="296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10.18*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89"/>
              </w:rPr>
            </w:pPr>
            <w:hyperlink r:id="rId98">
              <w:r>
                <w:rPr>
                  <w:rFonts w:ascii="Arial" w:cs="Arial" w:eastAsia="Arial" w:hAnsi="Arial"/>
                  <w:sz w:val="18"/>
                  <w:szCs w:val="18"/>
                  <w:color w:val="0000FF"/>
                  <w:w w:val="89"/>
                </w:rPr>
                <w:t>Amended and Restated Change in Control and Severance Agreement, dated June 7, 2021, by and between the Company and Dan Mondor</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tcBorders>
              <w:top w:val="single" w:sz="8" w:color="0000FF"/>
              <w:bottom w:val="single" w:sz="8" w:color="0000FF"/>
            </w:tcBorders>
            <w:gridSpan w:val="9"/>
          </w:tcPr>
          <w:p>
            <w:pPr>
              <w:spacing w:after="0" w:line="164" w:lineRule="exact"/>
              <w:rPr>
                <w:rFonts w:ascii="Arial" w:cs="Arial" w:eastAsia="Arial" w:hAnsi="Arial"/>
                <w:sz w:val="18"/>
                <w:szCs w:val="18"/>
                <w:color w:val="0000FF"/>
                <w:w w:val="88"/>
              </w:rPr>
            </w:pPr>
            <w:hyperlink r:id="rId98">
              <w:r>
                <w:rPr>
                  <w:rFonts w:ascii="Arial" w:cs="Arial" w:eastAsia="Arial" w:hAnsi="Arial"/>
                  <w:sz w:val="18"/>
                  <w:szCs w:val="18"/>
                  <w:color w:val="0000FF"/>
                  <w:w w:val="88"/>
                </w:rPr>
                <w:t>(incorporated by reference to Exhibit 10.1 to the Company’s Current Report on Form 8-K, filed June 10, 2021).</w:t>
              </w:r>
            </w:hyperlink>
          </w:p>
        </w:tc>
        <w:tc>
          <w:tcPr>
            <w:tcW w:w="184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10.19*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89"/>
              </w:rPr>
            </w:pPr>
            <w:hyperlink r:id="rId99">
              <w:r>
                <w:rPr>
                  <w:rFonts w:ascii="Arial" w:cs="Arial" w:eastAsia="Arial" w:hAnsi="Arial"/>
                  <w:sz w:val="18"/>
                  <w:szCs w:val="18"/>
                  <w:color w:val="0000FF"/>
                  <w:w w:val="89"/>
                </w:rPr>
                <w:t>Independent Contractor Services Agreement, dated as of August 5, 2021, by and between the Company and TechCXO, LLC (incorporated</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8"/>
          </w:tcPr>
          <w:p>
            <w:pPr>
              <w:spacing w:after="0" w:line="164" w:lineRule="exact"/>
              <w:rPr>
                <w:rFonts w:ascii="Arial" w:cs="Arial" w:eastAsia="Arial" w:hAnsi="Arial"/>
                <w:sz w:val="18"/>
                <w:szCs w:val="18"/>
                <w:color w:val="0000FF"/>
                <w:w w:val="89"/>
              </w:rPr>
            </w:pPr>
            <w:hyperlink r:id="rId99">
              <w:r>
                <w:rPr>
                  <w:rFonts w:ascii="Arial" w:cs="Arial" w:eastAsia="Arial" w:hAnsi="Arial"/>
                  <w:sz w:val="18"/>
                  <w:szCs w:val="18"/>
                  <w:color w:val="0000FF"/>
                  <w:w w:val="89"/>
                </w:rPr>
                <w:t>by reference to Exhibit 10.2 to the Company’s Quarterly Report on Form 10-Q, filed August 5, 2021).</w:t>
              </w:r>
            </w:hyperlink>
          </w:p>
        </w:tc>
        <w:tc>
          <w:tcPr>
            <w:tcW w:w="256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10.20*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94"/>
              </w:rPr>
            </w:pPr>
            <w:hyperlink r:id="rId100">
              <w:r>
                <w:rPr>
                  <w:rFonts w:ascii="Arial" w:cs="Arial" w:eastAsia="Arial" w:hAnsi="Arial"/>
                  <w:sz w:val="18"/>
                  <w:szCs w:val="18"/>
                  <w:color w:val="0000FF"/>
                  <w:w w:val="94"/>
                </w:rPr>
                <w:t>Offer Letter dated October 13, 2021 between Inseego Corp. and Robert G. Barbieri. (incorporated by reference to Exhibit 10.1 to the</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2"/>
          </w:tcPr>
          <w:p>
            <w:pPr>
              <w:spacing w:after="0" w:line="164" w:lineRule="exact"/>
              <w:rPr>
                <w:rFonts w:ascii="Arial" w:cs="Arial" w:eastAsia="Arial" w:hAnsi="Arial"/>
                <w:sz w:val="18"/>
                <w:szCs w:val="18"/>
                <w:color w:val="0000FF"/>
              </w:rPr>
            </w:pPr>
            <w:hyperlink r:id="rId100">
              <w:r>
                <w:rPr>
                  <w:rFonts w:ascii="Arial" w:cs="Arial" w:eastAsia="Arial" w:hAnsi="Arial"/>
                  <w:sz w:val="18"/>
                  <w:szCs w:val="18"/>
                  <w:color w:val="0000FF"/>
                </w:rPr>
                <w:t>Company’s Current on Form 8-K/A, filed October 26, 2021).</w:t>
              </w:r>
            </w:hyperlink>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Form of Inducement Stock Option Agreement, by and between Inseego Corp. and Robert G. Barbieri (incorporated by reference to Exhibit</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5"/>
          </w:tcPr>
          <w:p>
            <w:pPr>
              <w:spacing w:after="0" w:line="164"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to the Company’s Current on Form 8-K/A, filed October 26, 2021).</w:t>
              </w:r>
            </w:hyperlink>
          </w:p>
        </w:tc>
        <w:tc>
          <w:tcPr>
            <w:tcW w:w="46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Change in Control Agreement dated October 25, 2021 between Inseego Corp. and Robert G. Barbieri (incorporated by reference to Exhibit</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5"/>
          </w:tcPr>
          <w:p>
            <w:pPr>
              <w:spacing w:after="0" w:line="164"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3</w:t>
              </w:r>
              <w:r>
                <w:rPr>
                  <w:rFonts w:ascii="Arial" w:cs="Arial" w:eastAsia="Arial" w:hAnsi="Arial"/>
                  <w:sz w:val="18"/>
                  <w:szCs w:val="18"/>
                  <w:color w:val="0000FF"/>
                  <w:w w:val="89"/>
                </w:rPr>
                <w:t xml:space="preserve"> to the Company’s Current on Form 8-K/A, filed October 26, 2021).</w:t>
              </w:r>
            </w:hyperlink>
          </w:p>
        </w:tc>
        <w:tc>
          <w:tcPr>
            <w:tcW w:w="4700" w:type="dxa"/>
            <w:vAlign w:val="bottom"/>
            <w:tcBorders>
              <w:top w:val="single" w:sz="8" w:color="0000FF"/>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309"/>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rFonts w:ascii="Arial" w:cs="Arial" w:eastAsia="Arial" w:hAnsi="Arial"/>
                <w:sz w:val="18"/>
                <w:szCs w:val="18"/>
                <w:color w:val="0000FF"/>
                <w:w w:val="88"/>
              </w:rPr>
            </w:pPr>
            <w:hyperlink r:id="rId103">
              <w:r>
                <w:rPr>
                  <w:rFonts w:ascii="Arial" w:cs="Arial" w:eastAsia="Arial" w:hAnsi="Arial"/>
                  <w:sz w:val="18"/>
                  <w:szCs w:val="18"/>
                  <w:color w:val="0000FF"/>
                  <w:w w:val="88"/>
                </w:rPr>
                <w:t>Form of Exchange Agreement, dated September 3, between Inseego Corp. and certain investors holding the Company’s Series E Fixed-Rate</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21"/>
          </w:tcPr>
          <w:p>
            <w:pPr>
              <w:spacing w:after="0" w:line="164" w:lineRule="exact"/>
              <w:rPr>
                <w:rFonts w:ascii="Arial" w:cs="Arial" w:eastAsia="Arial" w:hAnsi="Arial"/>
                <w:sz w:val="18"/>
                <w:szCs w:val="18"/>
                <w:color w:val="0000FF"/>
                <w:w w:val="94"/>
              </w:rPr>
            </w:pPr>
            <w:hyperlink r:id="rId103">
              <w:r>
                <w:rPr>
                  <w:rFonts w:ascii="Arial" w:cs="Arial" w:eastAsia="Arial" w:hAnsi="Arial"/>
                  <w:sz w:val="18"/>
                  <w:szCs w:val="18"/>
                  <w:color w:val="0000FF"/>
                  <w:w w:val="94"/>
                </w:rPr>
                <w:t>Cumulative Perpetual Preferred Stock (incorporated by reference to Exhibit 1.2 to the Company’s Current Report on Form 8-K, filed</w:t>
              </w:r>
            </w:hyperlink>
          </w:p>
        </w:tc>
        <w:tc>
          <w:tcPr>
            <w:tcW w:w="80" w:type="dxa"/>
            <w:vAlign w:val="bottom"/>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2"/>
          </w:tcPr>
          <w:p>
            <w:pPr>
              <w:spacing w:after="0" w:line="164" w:lineRule="exact"/>
              <w:rPr>
                <w:rFonts w:ascii="Arial" w:cs="Arial" w:eastAsia="Arial" w:hAnsi="Arial"/>
                <w:sz w:val="18"/>
                <w:szCs w:val="18"/>
                <w:color w:val="0000FF"/>
                <w:w w:val="85"/>
              </w:rPr>
            </w:pPr>
            <w:hyperlink r:id="rId103">
              <w:r>
                <w:rPr>
                  <w:rFonts w:ascii="Arial" w:cs="Arial" w:eastAsia="Arial" w:hAnsi="Arial"/>
                  <w:sz w:val="18"/>
                  <w:szCs w:val="18"/>
                  <w:color w:val="0000FF"/>
                  <w:w w:val="85"/>
                </w:rPr>
                <w:t>September 3, 2021).</w:t>
              </w:r>
            </w:hyperlink>
          </w:p>
        </w:tc>
        <w:tc>
          <w:tcPr>
            <w:tcW w:w="7900" w:type="dxa"/>
            <w:vAlign w:val="bottom"/>
            <w:tcBorders>
              <w:top w:val="single" w:sz="8" w:color="0000FF"/>
            </w:tcBorders>
            <w:gridSpan w:val="11"/>
          </w:tcPr>
          <w:p>
            <w:pPr>
              <w:spacing w:after="0"/>
              <w:rPr>
                <w:sz w:val="14"/>
                <w:szCs w:val="14"/>
                <w:color w:val="auto"/>
              </w:rPr>
            </w:pPr>
          </w:p>
        </w:tc>
        <w:tc>
          <w:tcPr>
            <w:tcW w:w="3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22"/>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Subsidiaries of Inseego Corp.</w:t>
              </w:r>
            </w:hyperlink>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6"/>
        </w:trPr>
        <w:tc>
          <w:tcPr>
            <w:tcW w:w="1100" w:type="dxa"/>
            <w:vAlign w:val="bottom"/>
          </w:tcPr>
          <w:p>
            <w:pPr>
              <w:jc w:val="center"/>
              <w:spacing w:after="0"/>
              <w:rPr>
                <w:sz w:val="20"/>
                <w:szCs w:val="20"/>
                <w:color w:val="auto"/>
              </w:rPr>
            </w:pPr>
            <w:r>
              <w:rPr>
                <w:rFonts w:ascii="Arial" w:cs="Arial" w:eastAsia="Arial" w:hAnsi="Arial"/>
                <w:sz w:val="18"/>
                <w:szCs w:val="18"/>
                <w:color w:val="auto"/>
                <w:w w:val="97"/>
              </w:rPr>
              <w:t>23.1**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6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Consent of Independent Registered Public Accounting Firm (Marcum LLP).</w:t>
              </w:r>
            </w:hyperlink>
          </w:p>
        </w:tc>
        <w:tc>
          <w:tcPr>
            <w:tcW w:w="4560" w:type="dxa"/>
            <w:vAlign w:val="bottom"/>
            <w:gridSpan w:val="16"/>
          </w:tcPr>
          <w:p>
            <w:pPr>
              <w:spacing w:after="0"/>
              <w:rPr>
                <w:sz w:val="22"/>
                <w:szCs w:val="22"/>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7"/>
              </w:rPr>
              <w:t>31.1**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Certification of our Principal Executive Officer adopted pursuant to Section 302 of the Sarbanes-Oxley Act of 2002.</w:t>
              </w:r>
            </w:hyperlink>
          </w:p>
        </w:tc>
        <w:tc>
          <w:tcPr>
            <w:tcW w:w="1760" w:type="dxa"/>
            <w:vAlign w:val="bottom"/>
            <w:gridSpan w:val="11"/>
          </w:tcPr>
          <w:p>
            <w:pPr>
              <w:spacing w:after="0"/>
              <w:rPr>
                <w:sz w:val="23"/>
                <w:szCs w:val="23"/>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7"/>
              </w:rPr>
              <w:t>31.2**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2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Certification of our Principal Financial Officer adopted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20" w:type="dxa"/>
            <w:vAlign w:val="bottom"/>
            <w:gridSpan w:val="9"/>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22"/>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4"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Act of 2002.</w:t>
              </w:r>
            </w:hyperlink>
          </w:p>
        </w:tc>
        <w:tc>
          <w:tcPr>
            <w:tcW w:w="8860" w:type="dxa"/>
            <w:vAlign w:val="bottom"/>
            <w:tcBorders>
              <w:top w:val="single" w:sz="8" w:color="0000FF"/>
            </w:tcBorders>
            <w:gridSpan w:val="16"/>
          </w:tcPr>
          <w:p>
            <w:pPr>
              <w:spacing w:after="0"/>
              <w:rPr>
                <w:sz w:val="14"/>
                <w:szCs w:val="14"/>
                <w:color w:val="auto"/>
              </w:rPr>
            </w:pPr>
          </w:p>
        </w:tc>
        <w:tc>
          <w:tcPr>
            <w:tcW w:w="180" w:type="dxa"/>
            <w:vAlign w:val="bottom"/>
            <w:gridSpan w:val="5"/>
          </w:tcPr>
          <w:p>
            <w:pPr>
              <w:spacing w:after="0"/>
              <w:rPr>
                <w:sz w:val="14"/>
                <w:szCs w:val="14"/>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20" w:type="dxa"/>
            <w:vAlign w:val="bottom"/>
            <w:gridSpan w:val="22"/>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r>
      <w:tr>
        <w:trPr>
          <w:trHeight w:val="164"/>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4" w:lineRule="exact"/>
              <w:rPr>
                <w:rFonts w:ascii="Arial" w:cs="Arial" w:eastAsia="Arial" w:hAnsi="Arial"/>
                <w:sz w:val="18"/>
                <w:szCs w:val="18"/>
                <w:color w:val="0000FF"/>
                <w:w w:val="89"/>
              </w:rPr>
            </w:pPr>
            <w:hyperlink w:anchor="page105">
              <w:r>
                <w:rPr>
                  <w:rFonts w:ascii="Arial" w:cs="Arial" w:eastAsia="Arial" w:hAnsi="Arial"/>
                  <w:sz w:val="18"/>
                  <w:szCs w:val="18"/>
                  <w:color w:val="0000FF"/>
                  <w:w w:val="89"/>
                </w:rPr>
                <w:t>Act of 2002.</w:t>
              </w:r>
            </w:hyperlink>
          </w:p>
        </w:tc>
        <w:tc>
          <w:tcPr>
            <w:tcW w:w="8800" w:type="dxa"/>
            <w:vAlign w:val="bottom"/>
            <w:tcBorders>
              <w:top w:val="single" w:sz="8" w:color="0000FF"/>
            </w:tcBorders>
            <w:gridSpan w:val="14"/>
          </w:tcPr>
          <w:p>
            <w:pPr>
              <w:spacing w:after="0"/>
              <w:rPr>
                <w:sz w:val="14"/>
                <w:szCs w:val="14"/>
                <w:color w:val="auto"/>
              </w:rPr>
            </w:pPr>
          </w:p>
        </w:tc>
        <w:tc>
          <w:tcPr>
            <w:tcW w:w="240" w:type="dxa"/>
            <w:vAlign w:val="bottom"/>
            <w:gridSpan w:val="7"/>
          </w:tcPr>
          <w:p>
            <w:pPr>
              <w:spacing w:after="0"/>
              <w:rPr>
                <w:sz w:val="14"/>
                <w:szCs w:val="14"/>
                <w:color w:val="auto"/>
              </w:rPr>
            </w:pPr>
          </w:p>
        </w:tc>
      </w:tr>
      <w:tr>
        <w:trPr>
          <w:trHeight w:val="270"/>
        </w:trPr>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3"/>
                <w:szCs w:val="23"/>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22"/>
        </w:trPr>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r>
      <w:tr>
        <w:trPr>
          <w:trHeight w:val="289"/>
        </w:trPr>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101.SCH</w:t>
            </w: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9"/>
        </w:trPr>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9"/>
        </w:trPr>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9"/>
        </w:trPr>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9"/>
        </w:trPr>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42"/>
        </w:trPr>
        <w:tc>
          <w:tcPr>
            <w:tcW w:w="11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 w:lineRule="exact"/>
        <w:rPr>
          <w:sz w:val="20"/>
          <w:szCs w:val="20"/>
          <w:color w:val="auto"/>
        </w:rPr>
      </w:pPr>
    </w:p>
    <w:p>
      <w:pPr>
        <w:ind w:left="1300" w:hanging="76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30" w:lineRule="exact"/>
        <w:rPr>
          <w:sz w:val="20"/>
          <w:szCs w:val="20"/>
          <w:color w:val="auto"/>
        </w:rPr>
      </w:pPr>
    </w:p>
    <w:p>
      <w:pPr>
        <w:ind w:left="1300" w:hanging="81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4" w:lineRule="exact"/>
        <w:rPr>
          <w:rFonts w:ascii="Arial" w:cs="Arial" w:eastAsia="Arial" w:hAnsi="Arial"/>
          <w:sz w:val="18"/>
          <w:szCs w:val="18"/>
          <w:color w:val="auto"/>
        </w:rPr>
      </w:pPr>
    </w:p>
    <w:p>
      <w:pPr>
        <w:ind w:left="900" w:hanging="263"/>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43" w:lineRule="exact"/>
        <w:rPr>
          <w:rFonts w:ascii="Arial" w:cs="Arial" w:eastAsia="Arial" w:hAnsi="Arial"/>
          <w:sz w:val="18"/>
          <w:szCs w:val="18"/>
          <w:color w:val="auto"/>
        </w:rPr>
      </w:pPr>
    </w:p>
    <w:p>
      <w:pPr>
        <w:ind w:left="880" w:hanging="243"/>
        <w:spacing w:after="0"/>
        <w:tabs>
          <w:tab w:leader="none" w:pos="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7"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5"/>
          <w:szCs w:val="15"/>
          <w:color w:val="auto"/>
        </w:rPr>
        <w:t>INSEEGO CORP.</w:t>
      </w:r>
    </w:p>
    <w:p>
      <w:pPr>
        <w:spacing w:after="0" w:line="69" w:lineRule="exact"/>
        <w:rPr>
          <w:sz w:val="20"/>
          <w:szCs w:val="20"/>
          <w:color w:val="auto"/>
        </w:rPr>
      </w:pPr>
    </w:p>
    <w:p>
      <w:pPr>
        <w:ind w:left="6580"/>
        <w:spacing w:after="0"/>
        <w:tabs>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10160</wp:posOffset>
            </wp:positionV>
            <wp:extent cx="2498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4"/>
          <w:szCs w:val="14"/>
          <w:b w:val="1"/>
          <w:bCs w:val="1"/>
          <w:color w:val="auto"/>
        </w:rPr>
        <w:t>Dan Mondor</w:t>
      </w:r>
    </w:p>
    <w:p>
      <w:pPr>
        <w:spacing w:after="0" w:line="1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Chief Executive Officer</w:t>
      </w:r>
    </w:p>
    <w:p>
      <w:pPr>
        <w:ind w:left="8220"/>
        <w:spacing w:after="0"/>
        <w:rPr>
          <w:sz w:val="20"/>
          <w:szCs w:val="20"/>
          <w:color w:val="auto"/>
        </w:rPr>
      </w:pPr>
      <w:r>
        <w:rPr>
          <w:rFonts w:ascii="Arial" w:cs="Arial" w:eastAsia="Arial" w:hAnsi="Arial"/>
          <w:sz w:val="14"/>
          <w:szCs w:val="14"/>
          <w:b w:val="1"/>
          <w:bCs w:val="1"/>
          <w:color w:val="auto"/>
        </w:rPr>
        <w:t>(Principal Executive Officer)</w:t>
      </w:r>
    </w:p>
    <w:p>
      <w:pPr>
        <w:spacing w:after="0" w:line="16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100" w:type="dxa"/>
            <w:vAlign w:val="bottom"/>
          </w:tcPr>
          <w:p>
            <w:pPr>
              <w:spacing w:after="0"/>
              <w:rPr>
                <w:sz w:val="14"/>
                <w:szCs w:val="14"/>
                <w:color w:val="auto"/>
              </w:rPr>
            </w:pPr>
          </w:p>
        </w:tc>
        <w:tc>
          <w:tcPr>
            <w:tcW w:w="5620" w:type="dxa"/>
            <w:vAlign w:val="bottom"/>
            <w:gridSpan w:val="3"/>
          </w:tcPr>
          <w:p>
            <w:pPr>
              <w:ind w:left="3180"/>
              <w:spacing w:after="0"/>
              <w:rPr>
                <w:sz w:val="20"/>
                <w:szCs w:val="20"/>
                <w:color w:val="auto"/>
              </w:rPr>
            </w:pPr>
            <w:r>
              <w:rPr>
                <w:rFonts w:ascii="Arial" w:cs="Arial" w:eastAsia="Arial" w:hAnsi="Arial"/>
                <w:sz w:val="14"/>
                <w:szCs w:val="14"/>
                <w:b w:val="1"/>
                <w:bCs w:val="1"/>
                <w:color w:val="auto"/>
              </w:rPr>
              <w:t>Title</w:t>
            </w:r>
          </w:p>
        </w:tc>
        <w:tc>
          <w:tcPr>
            <w:tcW w:w="282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/s/ Dan Mondor</w:t>
            </w:r>
          </w:p>
        </w:tc>
        <w:tc>
          <w:tcPr>
            <w:tcW w:w="5620" w:type="dxa"/>
            <w:vAlign w:val="bottom"/>
            <w:gridSpan w:val="3"/>
          </w:tcPr>
          <w:p>
            <w:pPr>
              <w:ind w:left="1280"/>
              <w:spacing w:after="0" w:line="191" w:lineRule="exact"/>
              <w:rPr>
                <w:sz w:val="20"/>
                <w:szCs w:val="20"/>
                <w:color w:val="auto"/>
              </w:rPr>
            </w:pPr>
            <w:r>
              <w:rPr>
                <w:rFonts w:ascii="Arial" w:cs="Arial" w:eastAsia="Arial" w:hAnsi="Arial"/>
                <w:sz w:val="18"/>
                <w:szCs w:val="18"/>
                <w:color w:val="auto"/>
              </w:rPr>
              <w:t>Chief Executive Officer</w:t>
            </w:r>
          </w:p>
        </w:tc>
        <w:tc>
          <w:tcPr>
            <w:tcW w:w="2820" w:type="dxa"/>
            <w:vAlign w:val="bottom"/>
            <w:gridSpan w:val="3"/>
            <w:vMerge w:val="restart"/>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228"/>
        </w:trPr>
        <w:tc>
          <w:tcPr>
            <w:tcW w:w="2800" w:type="dxa"/>
            <w:vAlign w:val="bottom"/>
            <w:tcBorders>
              <w:bottom w:val="single" w:sz="8" w:color="auto"/>
            </w:tcBorders>
            <w:gridSpan w:val="3"/>
            <w:vMerge w:val="continue"/>
          </w:tcPr>
          <w:p>
            <w:pPr>
              <w:spacing w:after="0"/>
              <w:rPr>
                <w:sz w:val="19"/>
                <w:szCs w:val="19"/>
                <w:color w:val="auto"/>
              </w:rPr>
            </w:pP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Dan Mondor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8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/s/ Robert G. Barbieri</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2820" w:type="dxa"/>
            <w:vAlign w:val="bottom"/>
            <w:gridSpan w:val="3"/>
            <w:vMerge w:val="restart"/>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228"/>
        </w:trPr>
        <w:tc>
          <w:tcPr>
            <w:tcW w:w="2800" w:type="dxa"/>
            <w:vAlign w:val="bottom"/>
            <w:tcBorders>
              <w:bottom w:val="single" w:sz="8" w:color="auto"/>
            </w:tcBorders>
            <w:gridSpan w:val="3"/>
            <w:vMerge w:val="continue"/>
          </w:tcPr>
          <w:p>
            <w:pPr>
              <w:spacing w:after="0"/>
              <w:rPr>
                <w:sz w:val="19"/>
                <w:szCs w:val="19"/>
                <w:color w:val="auto"/>
              </w:rPr>
            </w:pP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Robert G. Barbieri</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Christopher Harland</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Christopher Harland</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Christopher Lytle</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Christopher Lytle</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Jeffrey Tuder</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Jeffrey Tuder</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James B. Avery</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James B. Avery</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Stephanie Bowers</w:t>
            </w:r>
          </w:p>
        </w:tc>
        <w:tc>
          <w:tcPr>
            <w:tcW w:w="562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474"/>
              <w:spacing w:after="0"/>
              <w:rPr>
                <w:sz w:val="20"/>
                <w:szCs w:val="20"/>
                <w:color w:val="auto"/>
              </w:rPr>
            </w:pPr>
            <w:r>
              <w:rPr>
                <w:rFonts w:ascii="Arial" w:cs="Arial" w:eastAsia="Arial" w:hAnsi="Arial"/>
                <w:sz w:val="18"/>
                <w:szCs w:val="18"/>
                <w:color w:val="auto"/>
                <w:w w:val="88"/>
              </w:rPr>
              <w:t>March 1, 2022</w:t>
            </w:r>
          </w:p>
        </w:tc>
        <w:tc>
          <w:tcPr>
            <w:tcW w:w="0" w:type="dxa"/>
            <w:vAlign w:val="bottom"/>
          </w:tcPr>
          <w:p>
            <w:pPr>
              <w:spacing w:after="0"/>
              <w:rPr>
                <w:sz w:val="1"/>
                <w:szCs w:val="1"/>
                <w:color w:val="auto"/>
              </w:rPr>
            </w:pPr>
          </w:p>
        </w:tc>
      </w:tr>
      <w:tr>
        <w:trPr>
          <w:trHeight w:val="176"/>
        </w:trPr>
        <w:tc>
          <w:tcPr>
            <w:tcW w:w="2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Stephanie Bowers</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ind w:left="274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gridSpan w:val="3"/>
          </w:tcPr>
          <w:p>
            <w:pPr>
              <w:jc w:val="center"/>
              <w:ind w:right="223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6"/>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40" w:type="dxa"/>
            <w:vAlign w:val="bottom"/>
            <w:tcBorders>
              <w:right w:val="single" w:sz="8" w:color="CCEEFF"/>
            </w:tcBorders>
          </w:tcPr>
          <w:p>
            <w:pPr>
              <w:spacing w:after="0"/>
              <w:rPr>
                <w:sz w:val="16"/>
                <w:szCs w:val="16"/>
                <w:color w:val="auto"/>
              </w:rPr>
            </w:pPr>
          </w:p>
        </w:tc>
        <w:tc>
          <w:tcPr>
            <w:tcW w:w="10420" w:type="dxa"/>
            <w:vAlign w:val="bottom"/>
            <w:gridSpan w:val="6"/>
            <w:shd w:val="clear" w:color="auto" w:fill="CCEEFF"/>
          </w:tcPr>
          <w:p>
            <w:pPr>
              <w:spacing w:after="0" w:line="184" w:lineRule="exact"/>
              <w:rPr>
                <w:rFonts w:ascii="Arial" w:cs="Arial" w:eastAsia="Arial" w:hAnsi="Arial"/>
                <w:sz w:val="18"/>
                <w:szCs w:val="18"/>
                <w:color w:val="0000FF"/>
              </w:rPr>
            </w:pPr>
            <w:hyperlink w:anchor="page56">
              <w:r>
                <w:rPr>
                  <w:rFonts w:ascii="Arial" w:cs="Arial" w:eastAsia="Arial" w:hAnsi="Arial"/>
                  <w:sz w:val="18"/>
                  <w:szCs w:val="18"/>
                  <w:color w:val="0000FF"/>
                </w:rPr>
                <w:t>Report of Independent Registered Public Accounting Firm (PCAOB ID #</w:t>
              </w:r>
            </w:hyperlink>
            <w:r>
              <w:rPr>
                <w:rFonts w:ascii="Arial" w:cs="Arial" w:eastAsia="Arial" w:hAnsi="Arial"/>
                <w:sz w:val="18"/>
                <w:szCs w:val="18"/>
                <w:color w:val="000000"/>
              </w:rPr>
              <w:t>688</w:t>
            </w:r>
            <w:hyperlink w:anchor="page56">
              <w:r>
                <w:rPr>
                  <w:rFonts w:ascii="Arial" w:cs="Arial" w:eastAsia="Arial" w:hAnsi="Arial"/>
                  <w:sz w:val="18"/>
                  <w:szCs w:val="18"/>
                  <w:u w:val="single" w:color="auto"/>
                  <w:color w:val="0000FF"/>
                </w:rPr>
                <w:t>)</w:t>
              </w:r>
            </w:hyperlink>
          </w:p>
        </w:tc>
        <w:tc>
          <w:tcPr>
            <w:tcW w:w="180" w:type="dxa"/>
            <w:vAlign w:val="bottom"/>
            <w:gridSpan w:val="2"/>
            <w:shd w:val="clear" w:color="auto" w:fill="CCEEFF"/>
          </w:tcPr>
          <w:p>
            <w:pPr>
              <w:spacing w:after="0" w:line="184" w:lineRule="exact"/>
              <w:rPr>
                <w:rFonts w:ascii="Arial" w:cs="Arial" w:eastAsia="Arial" w:hAnsi="Arial"/>
                <w:sz w:val="18"/>
                <w:szCs w:val="18"/>
                <w:color w:val="0000FF"/>
              </w:rPr>
            </w:pPr>
            <w:hyperlink w:anchor="page56">
              <w:r>
                <w:rPr>
                  <w:rFonts w:ascii="Arial" w:cs="Arial" w:eastAsia="Arial" w:hAnsi="Arial"/>
                  <w:sz w:val="18"/>
                  <w:szCs w:val="18"/>
                  <w:color w:val="0000FF"/>
                </w:rPr>
                <w:t>2</w:t>
              </w:r>
            </w:hyperlink>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40" w:type="dxa"/>
            <w:vAlign w:val="bottom"/>
            <w:tcBorders>
              <w:right w:val="single" w:sz="8" w:color="CCEEFF"/>
            </w:tcBorders>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720" w:type="dxa"/>
            <w:vAlign w:val="bottom"/>
            <w:tcBorders>
              <w:left w:val="single" w:sz="8" w:color="0000FF"/>
            </w:tcBorders>
            <w:shd w:val="clear" w:color="auto" w:fill="0000FF"/>
          </w:tcPr>
          <w:p>
            <w:pPr>
              <w:spacing w:after="0"/>
              <w:rPr>
                <w:sz w:val="3"/>
                <w:szCs w:val="3"/>
                <w:color w:val="auto"/>
              </w:rPr>
            </w:pPr>
          </w:p>
        </w:tc>
        <w:tc>
          <w:tcPr>
            <w:tcW w:w="5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2040" w:type="dxa"/>
            <w:vAlign w:val="bottom"/>
          </w:tcPr>
          <w:p>
            <w:pPr>
              <w:spacing w:after="0" w:line="184" w:lineRule="exact"/>
              <w:rPr>
                <w:rFonts w:ascii="Arial" w:cs="Arial" w:eastAsia="Arial" w:hAnsi="Arial"/>
                <w:sz w:val="18"/>
                <w:szCs w:val="18"/>
                <w:color w:val="0000FF"/>
                <w:w w:val="85"/>
              </w:rPr>
            </w:pPr>
            <w:hyperlink w:anchor="page57">
              <w:r>
                <w:rPr>
                  <w:rFonts w:ascii="Arial" w:cs="Arial" w:eastAsia="Arial" w:hAnsi="Arial"/>
                  <w:sz w:val="18"/>
                  <w:szCs w:val="18"/>
                  <w:color w:val="0000FF"/>
                  <w:w w:val="85"/>
                </w:rPr>
                <w:t>Consolidated Balance Sheets</w:t>
              </w:r>
            </w:hyperlink>
          </w:p>
        </w:tc>
        <w:tc>
          <w:tcPr>
            <w:tcW w:w="3120" w:type="dxa"/>
            <w:vAlign w:val="bottom"/>
            <w:gridSpan w:val="4"/>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gridSpan w:val="2"/>
          </w:tcPr>
          <w:p>
            <w:pPr>
              <w:spacing w:after="0" w:line="184" w:lineRule="exact"/>
              <w:rPr>
                <w:rFonts w:ascii="Arial" w:cs="Arial" w:eastAsia="Arial" w:hAnsi="Arial"/>
                <w:sz w:val="18"/>
                <w:szCs w:val="18"/>
                <w:color w:val="0000FF"/>
              </w:rPr>
            </w:pPr>
            <w:hyperlink w:anchor="page57">
              <w:r>
                <w:rPr>
                  <w:rFonts w:ascii="Arial" w:cs="Arial" w:eastAsia="Arial" w:hAnsi="Arial"/>
                  <w:sz w:val="18"/>
                  <w:szCs w:val="18"/>
                  <w:color w:val="0000FF"/>
                </w:rPr>
                <w:t>3</w:t>
              </w:r>
            </w:hyperlink>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2800" w:type="dxa"/>
            <w:vAlign w:val="bottom"/>
            <w:tcBorders>
              <w:right w:val="single" w:sz="8" w:color="CCEEFF"/>
            </w:tcBorders>
            <w:gridSpan w:val="2"/>
            <w:shd w:val="clear" w:color="auto" w:fill="CCEEFF"/>
          </w:tcPr>
          <w:p>
            <w:pPr>
              <w:spacing w:after="0" w:line="194" w:lineRule="exact"/>
              <w:rPr>
                <w:rFonts w:ascii="Arial" w:cs="Arial" w:eastAsia="Arial" w:hAnsi="Arial"/>
                <w:sz w:val="18"/>
                <w:szCs w:val="18"/>
                <w:color w:val="0000FF"/>
                <w:w w:val="87"/>
              </w:rPr>
            </w:pPr>
            <w:hyperlink w:anchor="page58">
              <w:r>
                <w:rPr>
                  <w:rFonts w:ascii="Arial" w:cs="Arial" w:eastAsia="Arial" w:hAnsi="Arial"/>
                  <w:sz w:val="18"/>
                  <w:szCs w:val="18"/>
                  <w:color w:val="0000FF"/>
                  <w:w w:val="87"/>
                </w:rPr>
                <w:t>Consolidated Statements of Operations</w:t>
              </w:r>
            </w:hyperlink>
          </w:p>
        </w:tc>
        <w:tc>
          <w:tcPr>
            <w:tcW w:w="7620" w:type="dxa"/>
            <w:vAlign w:val="bottom"/>
            <w:gridSpan w:val="4"/>
            <w:shd w:val="clear" w:color="auto" w:fill="CCEEFF"/>
          </w:tcPr>
          <w:p>
            <w:pPr>
              <w:spacing w:after="0"/>
              <w:rPr>
                <w:sz w:val="16"/>
                <w:szCs w:val="16"/>
                <w:color w:val="auto"/>
              </w:rPr>
            </w:pPr>
          </w:p>
        </w:tc>
        <w:tc>
          <w:tcPr>
            <w:tcW w:w="180" w:type="dxa"/>
            <w:vAlign w:val="bottom"/>
            <w:gridSpan w:val="2"/>
            <w:shd w:val="clear" w:color="auto" w:fill="CCEEFF"/>
          </w:tcPr>
          <w:p>
            <w:pPr>
              <w:spacing w:after="0" w:line="194" w:lineRule="exact"/>
              <w:rPr>
                <w:rFonts w:ascii="Arial" w:cs="Arial" w:eastAsia="Arial" w:hAnsi="Arial"/>
                <w:sz w:val="18"/>
                <w:szCs w:val="18"/>
                <w:color w:val="0000FF"/>
              </w:rPr>
            </w:pPr>
            <w:hyperlink w:anchor="page58">
              <w:r>
                <w:rPr>
                  <w:rFonts w:ascii="Arial" w:cs="Arial" w:eastAsia="Arial" w:hAnsi="Arial"/>
                  <w:sz w:val="18"/>
                  <w:szCs w:val="18"/>
                  <w:color w:val="0000FF"/>
                </w:rPr>
                <w:t>4</w:t>
              </w:r>
            </w:hyperlink>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40" w:type="dxa"/>
            <w:vAlign w:val="bottom"/>
            <w:tcBorders>
              <w:right w:val="single" w:sz="8" w:color="CCEEFF"/>
            </w:tcBorders>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6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720" w:type="dxa"/>
            <w:vAlign w:val="bottom"/>
            <w:tcBorders>
              <w:left w:val="single" w:sz="8" w:color="CCEEFF"/>
            </w:tcBorders>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10420" w:type="dxa"/>
            <w:vAlign w:val="bottom"/>
            <w:gridSpan w:val="6"/>
          </w:tcPr>
          <w:p>
            <w:pPr>
              <w:spacing w:after="0" w:line="184" w:lineRule="exact"/>
              <w:rPr>
                <w:rFonts w:ascii="Arial" w:cs="Arial" w:eastAsia="Arial" w:hAnsi="Arial"/>
                <w:sz w:val="18"/>
                <w:szCs w:val="18"/>
                <w:color w:val="0000FF"/>
              </w:rPr>
            </w:pPr>
            <w:hyperlink w:anchor="page59">
              <w:r>
                <w:rPr>
                  <w:rFonts w:ascii="Arial" w:cs="Arial" w:eastAsia="Arial" w:hAnsi="Arial"/>
                  <w:sz w:val="18"/>
                  <w:szCs w:val="18"/>
                  <w:color w:val="0000FF"/>
                </w:rPr>
                <w:t>Consolidated Statements of Comprehensive Loss</w:t>
              </w:r>
            </w:hyperlink>
          </w:p>
        </w:tc>
        <w:tc>
          <w:tcPr>
            <w:tcW w:w="180" w:type="dxa"/>
            <w:vAlign w:val="bottom"/>
            <w:gridSpan w:val="2"/>
          </w:tcPr>
          <w:p>
            <w:pPr>
              <w:spacing w:after="0" w:line="184" w:lineRule="exact"/>
              <w:rPr>
                <w:rFonts w:ascii="Arial" w:cs="Arial" w:eastAsia="Arial" w:hAnsi="Arial"/>
                <w:sz w:val="18"/>
                <w:szCs w:val="18"/>
                <w:color w:val="0000FF"/>
              </w:rPr>
            </w:pPr>
            <w:hyperlink w:anchor="page59">
              <w:r>
                <w:rPr>
                  <w:rFonts w:ascii="Arial" w:cs="Arial" w:eastAsia="Arial" w:hAnsi="Arial"/>
                  <w:sz w:val="18"/>
                  <w:szCs w:val="18"/>
                  <w:color w:val="0000FF"/>
                </w:rPr>
                <w:t>5</w:t>
              </w:r>
            </w:hyperlink>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40" w:type="dxa"/>
            <w:vAlign w:val="bottom"/>
            <w:tcBorders>
              <w:right w:val="single" w:sz="8" w:color="CCEEFF"/>
            </w:tcBorders>
          </w:tcPr>
          <w:p>
            <w:pPr>
              <w:spacing w:after="0"/>
              <w:rPr>
                <w:sz w:val="16"/>
                <w:szCs w:val="16"/>
                <w:color w:val="auto"/>
              </w:rPr>
            </w:pPr>
          </w:p>
        </w:tc>
        <w:tc>
          <w:tcPr>
            <w:tcW w:w="3440" w:type="dxa"/>
            <w:vAlign w:val="bottom"/>
            <w:gridSpan w:val="4"/>
            <w:shd w:val="clear" w:color="auto" w:fill="CCEEFF"/>
          </w:tcPr>
          <w:p>
            <w:pPr>
              <w:spacing w:after="0" w:line="194" w:lineRule="exact"/>
              <w:rPr>
                <w:rFonts w:ascii="Arial" w:cs="Arial" w:eastAsia="Arial" w:hAnsi="Arial"/>
                <w:sz w:val="18"/>
                <w:szCs w:val="18"/>
                <w:color w:val="0000FF"/>
                <w:w w:val="87"/>
              </w:rPr>
            </w:pPr>
            <w:hyperlink w:anchor="page60">
              <w:r>
                <w:rPr>
                  <w:rFonts w:ascii="Arial" w:cs="Arial" w:eastAsia="Arial" w:hAnsi="Arial"/>
                  <w:sz w:val="18"/>
                  <w:szCs w:val="18"/>
                  <w:color w:val="0000FF"/>
                  <w:w w:val="87"/>
                </w:rPr>
                <w:t>Consolidated Statements of Stockholders’ Deficit</w:t>
              </w:r>
            </w:hyperlink>
          </w:p>
        </w:tc>
        <w:tc>
          <w:tcPr>
            <w:tcW w:w="6980" w:type="dxa"/>
            <w:vAlign w:val="bottom"/>
            <w:tcBorders>
              <w:left w:val="single" w:sz="8" w:color="CCEEFF"/>
            </w:tcBorders>
            <w:gridSpan w:val="2"/>
            <w:shd w:val="clear" w:color="auto" w:fill="CCEEFF"/>
          </w:tcPr>
          <w:p>
            <w:pPr>
              <w:spacing w:after="0"/>
              <w:rPr>
                <w:sz w:val="16"/>
                <w:szCs w:val="16"/>
                <w:color w:val="auto"/>
              </w:rPr>
            </w:pPr>
          </w:p>
        </w:tc>
        <w:tc>
          <w:tcPr>
            <w:tcW w:w="180" w:type="dxa"/>
            <w:vAlign w:val="bottom"/>
            <w:gridSpan w:val="2"/>
            <w:shd w:val="clear" w:color="auto" w:fill="CCEEFF"/>
          </w:tcPr>
          <w:p>
            <w:pPr>
              <w:spacing w:after="0" w:line="194" w:lineRule="exact"/>
              <w:rPr>
                <w:rFonts w:ascii="Arial" w:cs="Arial" w:eastAsia="Arial" w:hAnsi="Arial"/>
                <w:sz w:val="18"/>
                <w:szCs w:val="18"/>
                <w:color w:val="0000FF"/>
              </w:rPr>
            </w:pPr>
            <w:hyperlink w:anchor="page60">
              <w:r>
                <w:rPr>
                  <w:rFonts w:ascii="Arial" w:cs="Arial" w:eastAsia="Arial" w:hAnsi="Arial"/>
                  <w:sz w:val="18"/>
                  <w:szCs w:val="18"/>
                  <w:color w:val="0000FF"/>
                </w:rPr>
                <w:t>6</w:t>
              </w:r>
            </w:hyperlink>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9"/>
        </w:trPr>
        <w:tc>
          <w:tcPr>
            <w:tcW w:w="40" w:type="dxa"/>
            <w:vAlign w:val="bottom"/>
            <w:tcBorders>
              <w:right w:val="single" w:sz="8" w:color="CCEEFF"/>
            </w:tcBorders>
          </w:tcPr>
          <w:p>
            <w:pPr>
              <w:spacing w:after="0"/>
              <w:rPr>
                <w:sz w:val="3"/>
                <w:szCs w:val="3"/>
                <w:color w:val="auto"/>
              </w:rPr>
            </w:pPr>
          </w:p>
        </w:tc>
        <w:tc>
          <w:tcPr>
            <w:tcW w:w="204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720" w:type="dxa"/>
            <w:vAlign w:val="bottom"/>
            <w:tcBorders>
              <w:left w:val="single" w:sz="8" w:color="0000FF"/>
            </w:tcBorders>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40" w:type="dxa"/>
            <w:vAlign w:val="bottom"/>
          </w:tcPr>
          <w:p>
            <w:pPr>
              <w:spacing w:after="0"/>
              <w:rPr>
                <w:sz w:val="16"/>
                <w:szCs w:val="16"/>
                <w:color w:val="auto"/>
              </w:rPr>
            </w:pPr>
          </w:p>
        </w:tc>
        <w:tc>
          <w:tcPr>
            <w:tcW w:w="2800" w:type="dxa"/>
            <w:vAlign w:val="bottom"/>
            <w:gridSpan w:val="2"/>
          </w:tcPr>
          <w:p>
            <w:pPr>
              <w:spacing w:after="0" w:line="184" w:lineRule="exact"/>
              <w:rPr>
                <w:rFonts w:ascii="Arial" w:cs="Arial" w:eastAsia="Arial" w:hAnsi="Arial"/>
                <w:sz w:val="18"/>
                <w:szCs w:val="18"/>
                <w:color w:val="0000FF"/>
                <w:w w:val="86"/>
              </w:rPr>
            </w:pPr>
            <w:hyperlink w:anchor="page62">
              <w:r>
                <w:rPr>
                  <w:rFonts w:ascii="Arial" w:cs="Arial" w:eastAsia="Arial" w:hAnsi="Arial"/>
                  <w:sz w:val="18"/>
                  <w:szCs w:val="18"/>
                  <w:color w:val="0000FF"/>
                  <w:w w:val="86"/>
                </w:rPr>
                <w:t>Consolidated Statements of Cash Flows</w:t>
              </w:r>
            </w:hyperlink>
          </w:p>
        </w:tc>
        <w:tc>
          <w:tcPr>
            <w:tcW w:w="640" w:type="dxa"/>
            <w:vAlign w:val="bottom"/>
            <w:gridSpan w:val="2"/>
          </w:tcPr>
          <w:p>
            <w:pPr>
              <w:spacing w:after="0"/>
              <w:rPr>
                <w:sz w:val="16"/>
                <w:szCs w:val="16"/>
                <w:color w:val="auto"/>
              </w:rPr>
            </w:pPr>
          </w:p>
        </w:tc>
        <w:tc>
          <w:tcPr>
            <w:tcW w:w="6980" w:type="dxa"/>
            <w:vAlign w:val="bottom"/>
            <w:gridSpan w:val="2"/>
          </w:tcPr>
          <w:p>
            <w:pPr>
              <w:spacing w:after="0"/>
              <w:rPr>
                <w:sz w:val="16"/>
                <w:szCs w:val="16"/>
                <w:color w:val="auto"/>
              </w:rPr>
            </w:pPr>
          </w:p>
        </w:tc>
        <w:tc>
          <w:tcPr>
            <w:tcW w:w="180" w:type="dxa"/>
            <w:vAlign w:val="bottom"/>
            <w:gridSpan w:val="2"/>
          </w:tcPr>
          <w:p>
            <w:pPr>
              <w:spacing w:after="0" w:line="184" w:lineRule="exact"/>
              <w:rPr>
                <w:rFonts w:ascii="Arial" w:cs="Arial" w:eastAsia="Arial" w:hAnsi="Arial"/>
                <w:sz w:val="18"/>
                <w:szCs w:val="18"/>
                <w:color w:val="0000FF"/>
              </w:rPr>
            </w:pPr>
            <w:hyperlink w:anchor="page62">
              <w:r>
                <w:rPr>
                  <w:rFonts w:ascii="Arial" w:cs="Arial" w:eastAsia="Arial" w:hAnsi="Arial"/>
                  <w:sz w:val="18"/>
                  <w:szCs w:val="18"/>
                  <w:color w:val="0000FF"/>
                </w:rPr>
                <w:t>8</w:t>
              </w:r>
            </w:hyperlink>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40" w:type="dxa"/>
            <w:vAlign w:val="bottom"/>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40" w:type="dxa"/>
            <w:vAlign w:val="bottom"/>
            <w:tcBorders>
              <w:right w:val="single" w:sz="8" w:color="CCEEFF"/>
            </w:tcBorders>
          </w:tcPr>
          <w:p>
            <w:pPr>
              <w:spacing w:after="0"/>
              <w:rPr>
                <w:sz w:val="18"/>
                <w:szCs w:val="18"/>
                <w:color w:val="auto"/>
              </w:rPr>
            </w:pPr>
          </w:p>
        </w:tc>
        <w:tc>
          <w:tcPr>
            <w:tcW w:w="10420" w:type="dxa"/>
            <w:vAlign w:val="bottom"/>
            <w:gridSpan w:val="6"/>
            <w:shd w:val="clear" w:color="auto" w:fill="CCEEFF"/>
          </w:tcPr>
          <w:p>
            <w:pPr>
              <w:spacing w:after="0" w:line="194" w:lineRule="exact"/>
              <w:rPr>
                <w:rFonts w:ascii="Arial" w:cs="Arial" w:eastAsia="Arial" w:hAnsi="Arial"/>
                <w:sz w:val="18"/>
                <w:szCs w:val="18"/>
                <w:color w:val="0000FF"/>
              </w:rPr>
            </w:pPr>
            <w:hyperlink w:anchor="page64">
              <w:r>
                <w:rPr>
                  <w:rFonts w:ascii="Arial" w:cs="Arial" w:eastAsia="Arial" w:hAnsi="Arial"/>
                  <w:sz w:val="18"/>
                  <w:szCs w:val="18"/>
                  <w:color w:val="0000FF"/>
                </w:rPr>
                <w:t>Notes to Consolidated Financial Statements</w:t>
              </w:r>
            </w:hyperlink>
          </w:p>
        </w:tc>
        <w:tc>
          <w:tcPr>
            <w:tcW w:w="760" w:type="dxa"/>
            <w:vAlign w:val="bottom"/>
            <w:gridSpan w:val="3"/>
            <w:shd w:val="clear" w:color="auto" w:fill="CCEEFF"/>
          </w:tcPr>
          <w:p>
            <w:pPr>
              <w:spacing w:after="0" w:line="194" w:lineRule="exact"/>
              <w:rPr>
                <w:rFonts w:ascii="Arial" w:cs="Arial" w:eastAsia="Arial" w:hAnsi="Arial"/>
                <w:sz w:val="18"/>
                <w:szCs w:val="18"/>
                <w:color w:val="0000FF"/>
              </w:rPr>
            </w:pPr>
            <w:hyperlink w:anchor="page64">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r>
      <w:tr>
        <w:trPr>
          <w:trHeight w:val="592"/>
        </w:trPr>
        <w:tc>
          <w:tcPr>
            <w:tcW w:w="4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5260" w:type="dxa"/>
            <w:vAlign w:val="bottom"/>
            <w:tcBorders>
              <w:top w:val="single" w:sz="8" w:color="CCEEFF"/>
            </w:tcBorders>
          </w:tcPr>
          <w:p>
            <w:pPr>
              <w:jc w:val="center"/>
              <w:ind w:right="4332"/>
              <w:spacing w:after="0"/>
              <w:rPr>
                <w:sz w:val="20"/>
                <w:szCs w:val="20"/>
                <w:color w:val="auto"/>
              </w:rPr>
            </w:pPr>
            <w:r>
              <w:rPr>
                <w:rFonts w:ascii="Arial" w:cs="Arial" w:eastAsia="Arial" w:hAnsi="Arial"/>
                <w:sz w:val="18"/>
                <w:szCs w:val="18"/>
                <w:color w:val="auto"/>
                <w:w w:val="88"/>
              </w:rPr>
              <w:t>F-1</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p>
      <w:pPr>
        <w:ind w:left="232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Inseego Corp.</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audited the accompanying consolidated balance sheets of Inseego Corp. (the “Company”) as of December 31, 2021 and 2020, the related consolidated statements of operations, comprehensive loss, stockholders’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the criteria established in Internal Control - Integrated Framework issued by the Committee of Sponsoring Organizations of the Treadway Commission (COSO) in 2013 and our report dated March 1, 2022, expressed an unqualified opinion on the effectiveness of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Marcum</w:t>
      </w:r>
      <w:r>
        <w:rPr>
          <w:rFonts w:ascii="Arial" w:cs="Arial" w:eastAsia="Arial" w:hAnsi="Arial"/>
          <w:sz w:val="18"/>
          <w:szCs w:val="18"/>
          <w:b w:val="1"/>
          <w:bCs w:val="1"/>
          <w:color w:val="auto"/>
        </w:rPr>
        <w:t xml:space="preserve"> </w:t>
      </w:r>
      <w:r>
        <w:rPr>
          <w:rFonts w:ascii="Arial" w:cs="Arial" w:eastAsia="Arial" w:hAnsi="Arial"/>
          <w:sz w:val="14"/>
          <w:szCs w:val="14"/>
          <w:color w:val="auto"/>
        </w:rPr>
        <w:t>LLP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INSEEGO CORP.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0"/>
        </w:trPr>
        <w:tc>
          <w:tcPr>
            <w:tcW w:w="8240" w:type="dxa"/>
            <w:vAlign w:val="bottom"/>
          </w:tcPr>
          <w:p>
            <w:pPr>
              <w:ind w:left="38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3,338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$408 and $1,384, respectively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37,402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33,952</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13,624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127,619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114,108</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of accumulated depreciation of $26,692 and $21,715, respectively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Rental assets, net of accumulated depreciation of $5,392 and $15,754, respectively</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 of accumulated amortization of $48,404 and $63,020, respectively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46,995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20,336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32,511</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215,843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380"/>
              <w:spacing w:after="0"/>
              <w:rPr>
                <w:sz w:val="20"/>
                <w:szCs w:val="20"/>
                <w:color w:val="auto"/>
              </w:rPr>
            </w:pPr>
            <w:r>
              <w:rPr>
                <w:rFonts w:ascii="Arial" w:cs="Arial" w:eastAsia="Arial" w:hAnsi="Arial"/>
                <w:sz w:val="16"/>
                <w:szCs w:val="16"/>
                <w:b w:val="1"/>
                <w:bCs w:val="1"/>
                <w:color w:val="auto"/>
              </w:rPr>
              <w:t>LIABILITIES AND STOCKHOLDERS’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48,577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52,339</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26,253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74,830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75,712</w:t>
            </w:r>
          </w:p>
        </w:tc>
        <w:tc>
          <w:tcPr>
            <w:tcW w:w="0" w:type="dxa"/>
            <w:vAlign w:val="bottom"/>
          </w:tcPr>
          <w:p>
            <w:pPr>
              <w:spacing w:after="0"/>
              <w:rPr>
                <w:sz w:val="1"/>
                <w:szCs w:val="1"/>
                <w:color w:val="auto"/>
              </w:rPr>
            </w:pPr>
          </w:p>
        </w:tc>
      </w:tr>
      <w:tr>
        <w:trPr>
          <w:trHeight w:val="19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2025 Notes, net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157,866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165,147</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liabilities,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7,149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240,697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255,293</w:t>
            </w:r>
          </w:p>
        </w:tc>
        <w:tc>
          <w:tcPr>
            <w:tcW w:w="0" w:type="dxa"/>
            <w:vAlign w:val="bottom"/>
          </w:tcPr>
          <w:p>
            <w:pPr>
              <w:spacing w:after="0"/>
              <w:rPr>
                <w:sz w:val="1"/>
                <w:szCs w:val="1"/>
                <w:color w:val="auto"/>
              </w:rPr>
            </w:pPr>
          </w:p>
        </w:tc>
      </w:tr>
      <w:tr>
        <w:trPr>
          <w:trHeight w:val="187"/>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Preferred stock, par value $0.001; 2,000,000 shares authorized: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shd w:val="clear" w:color="auto" w:fill="CCEEFF"/>
          </w:tcPr>
          <w:p>
            <w:pPr>
              <w:ind w:left="640"/>
              <w:spacing w:after="0" w:line="165" w:lineRule="exact"/>
              <w:rPr>
                <w:sz w:val="20"/>
                <w:szCs w:val="20"/>
                <w:color w:val="auto"/>
              </w:rPr>
            </w:pPr>
            <w:r>
              <w:rPr>
                <w:rFonts w:ascii="Arial" w:cs="Arial" w:eastAsia="Arial" w:hAnsi="Arial"/>
                <w:sz w:val="16"/>
                <w:szCs w:val="16"/>
                <w:color w:val="auto"/>
                <w:w w:val="87"/>
              </w:rPr>
              <w:t>Series E Preferred stock, par value $0.001; 39,500 shares designated, respectively, 25,000 and 35,000 shares issued and</w:t>
            </w:r>
          </w:p>
        </w:tc>
        <w:tc>
          <w:tcPr>
            <w:tcW w:w="3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8"/>
              </w:rPr>
              <w:t>outstanding, respectively, liquidation preference of $1,000 per share (plus any accrued but unpaid dividends)</w:t>
            </w:r>
          </w:p>
        </w:tc>
        <w:tc>
          <w:tcPr>
            <w:tcW w:w="3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240" w:type="dxa"/>
            <w:vAlign w:val="bottom"/>
          </w:tcPr>
          <w:p>
            <w:pPr>
              <w:ind w:left="220"/>
              <w:spacing w:after="0" w:line="161" w:lineRule="exact"/>
              <w:rPr>
                <w:sz w:val="20"/>
                <w:szCs w:val="20"/>
                <w:color w:val="auto"/>
              </w:rPr>
            </w:pPr>
            <w:r>
              <w:rPr>
                <w:rFonts w:ascii="Arial" w:cs="Arial" w:eastAsia="Arial" w:hAnsi="Arial"/>
                <w:sz w:val="16"/>
                <w:szCs w:val="16"/>
                <w:color w:val="auto"/>
                <w:w w:val="88"/>
              </w:rPr>
              <w:t>Common stock, par value $0.001; 150,000,000 shares authorized, 105,380,533 and 99,399,029 shares issued and outstanding,</w:t>
            </w:r>
          </w:p>
        </w:tc>
        <w:tc>
          <w:tcPr>
            <w:tcW w:w="32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4"/>
        </w:trPr>
        <w:tc>
          <w:tcPr>
            <w:tcW w:w="824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770,619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711,487</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(787,047)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(732,422)</w:t>
            </w:r>
          </w:p>
        </w:tc>
        <w:tc>
          <w:tcPr>
            <w:tcW w:w="0" w:type="dxa"/>
            <w:vAlign w:val="bottom"/>
          </w:tcPr>
          <w:p>
            <w:pPr>
              <w:spacing w:after="0"/>
              <w:rPr>
                <w:sz w:val="1"/>
                <w:szCs w:val="1"/>
                <w:color w:val="auto"/>
              </w:rPr>
            </w:pPr>
          </w:p>
        </w:tc>
      </w:tr>
      <w:tr>
        <w:trPr>
          <w:trHeight w:val="200"/>
        </w:trPr>
        <w:tc>
          <w:tcPr>
            <w:tcW w:w="8240" w:type="dxa"/>
            <w:vAlign w:val="bottom"/>
          </w:tcPr>
          <w:p>
            <w:pPr>
              <w:ind w:left="640"/>
              <w:spacing w:after="0"/>
              <w:rPr>
                <w:sz w:val="20"/>
                <w:szCs w:val="20"/>
                <w:color w:val="auto"/>
              </w:rPr>
            </w:pPr>
            <w:r>
              <w:rPr>
                <w:rFonts w:ascii="Arial" w:cs="Arial" w:eastAsia="Arial" w:hAnsi="Arial"/>
                <w:sz w:val="16"/>
                <w:szCs w:val="16"/>
                <w:color w:val="auto"/>
              </w:rPr>
              <w:t>Total stockholders’ deficit attributable to Inseego Corp.</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(24,854)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(27,808)</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Noncontrolling interests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stockholders’ deficit</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(24,854)</w:t>
            </w:r>
          </w:p>
        </w:tc>
        <w:tc>
          <w:tcPr>
            <w:tcW w:w="10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(27,899)</w:t>
            </w:r>
          </w:p>
        </w:tc>
        <w:tc>
          <w:tcPr>
            <w:tcW w:w="0" w:type="dxa"/>
            <w:vAlign w:val="bottom"/>
          </w:tcPr>
          <w:p>
            <w:pPr>
              <w:spacing w:after="0"/>
              <w:rPr>
                <w:sz w:val="1"/>
                <w:szCs w:val="1"/>
                <w:color w:val="auto"/>
              </w:rPr>
            </w:pPr>
          </w:p>
        </w:tc>
      </w:tr>
      <w:tr>
        <w:trPr>
          <w:trHeight w:val="232"/>
        </w:trPr>
        <w:tc>
          <w:tcPr>
            <w:tcW w:w="82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Total liabilities and stockholders’ deficit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215,843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214630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871"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INSEEGO CORP.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217,984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44,415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revenues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262,399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219,496</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168,604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22,545</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cost of net revenues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186,474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155,525</w:t>
            </w:r>
          </w:p>
        </w:tc>
        <w:tc>
          <w:tcPr>
            <w:tcW w:w="0" w:type="dxa"/>
            <w:vAlign w:val="bottom"/>
          </w:tcPr>
          <w:p>
            <w:pPr>
              <w:spacing w:after="0"/>
              <w:rPr>
                <w:sz w:val="1"/>
                <w:szCs w:val="1"/>
                <w:color w:val="auto"/>
              </w:rPr>
            </w:pPr>
          </w:p>
        </w:tc>
      </w:tr>
      <w:tr>
        <w:trPr>
          <w:trHeight w:val="200"/>
        </w:trPr>
        <w:tc>
          <w:tcPr>
            <w:tcW w:w="78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75,925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90,843</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63,971</w:t>
            </w:r>
          </w:p>
        </w:tc>
        <w:tc>
          <w:tcPr>
            <w:tcW w:w="0" w:type="dxa"/>
            <w:vAlign w:val="bottom"/>
          </w:tcPr>
          <w:p>
            <w:pPr>
              <w:spacing w:after="0"/>
              <w:rPr>
                <w:sz w:val="1"/>
                <w:szCs w:val="1"/>
                <w:color w:val="auto"/>
              </w:rPr>
            </w:pPr>
          </w:p>
        </w:tc>
      </w:tr>
      <w:tr>
        <w:trPr>
          <w:trHeight w:val="19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52,673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23,853</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28,914</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28,250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27,327</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Impairment of capitalized software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costs and expenses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122,446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115,977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83,515</w:t>
            </w:r>
          </w:p>
        </w:tc>
        <w:tc>
          <w:tcPr>
            <w:tcW w:w="0" w:type="dxa"/>
            <w:vAlign w:val="bottom"/>
          </w:tcPr>
          <w:p>
            <w:pPr>
              <w:spacing w:after="0"/>
              <w:rPr>
                <w:sz w:val="1"/>
                <w:szCs w:val="1"/>
                <w:color w:val="auto"/>
              </w:rPr>
            </w:pP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(19,544)</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Gain on sale of Ctrack South Africa</w:t>
            </w:r>
          </w:p>
        </w:tc>
        <w:tc>
          <w:tcPr>
            <w:tcW w:w="1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5,262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(20,381)</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(110,438)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(39,574)</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(40,110)</w:t>
            </w:r>
          </w:p>
        </w:tc>
        <w:tc>
          <w:tcPr>
            <w:tcW w:w="0" w:type="dxa"/>
            <w:vAlign w:val="bottom"/>
          </w:tcPr>
          <w:p>
            <w:pPr>
              <w:spacing w:after="0"/>
              <w:rPr>
                <w:sz w:val="1"/>
                <w:szCs w:val="1"/>
                <w:color w:val="auto"/>
              </w:rPr>
            </w:pP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(111,215)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(40,125)</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 and deemed dividends from the preferred stock exchange</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(114,119)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(40,486)</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Per share data: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2"/>
              </w:rPr>
              <w:t>103,246,308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96,111,547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78,322,496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INSEEGO CORP.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2"/>
        </w:trPr>
        <w:tc>
          <w:tcPr>
            <w:tcW w:w="78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w:t>
            </w:r>
          </w:p>
        </w:tc>
      </w:tr>
      <w:tr>
        <w:trPr>
          <w:trHeight w:val="207"/>
        </w:trPr>
        <w:tc>
          <w:tcPr>
            <w:tcW w:w="784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4"/>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9"/>
              </w:rPr>
              <w:t>Release of cumulative foreign currency translation adjustments as a result of the sale of Ctrack South Africa</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4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(49,470)</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(114,279)</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(39,112)</w:t>
            </w:r>
          </w:p>
        </w:tc>
      </w:tr>
      <w:tr>
        <w:trPr>
          <w:trHeight w:val="211"/>
        </w:trPr>
        <w:tc>
          <w:tcPr>
            <w:tcW w:w="7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Comprehensive loss attributable to Inseego Corp.</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(49,684)</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(114,308)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(39,127)</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INSEEGO CORP.</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75" w:lineRule="exact"/>
        <w:rPr>
          <w:sz w:val="20"/>
          <w:szCs w:val="20"/>
          <w:color w:val="auto"/>
        </w:rPr>
      </w:pPr>
    </w:p>
    <w:tbl>
      <w:tblPr>
        <w:tblLayout w:type="fixed"/>
        <w:tblInd w:w="2480" w:type="dxa"/>
        <w:tblCellMar>
          <w:top w:w="0" w:type="dxa"/>
          <w:left w:w="0" w:type="dxa"/>
          <w:bottom w:w="0" w:type="dxa"/>
          <w:right w:w="0" w:type="dxa"/>
        </w:tblCellMar>
      </w:tblPr>
      <w:tr>
        <w:trPr>
          <w:trHeight w:val="169"/>
        </w:trPr>
        <w:tc>
          <w:tcPr>
            <w:tcW w:w="1520" w:type="dxa"/>
            <w:vAlign w:val="bottom"/>
            <w:gridSpan w:val="3"/>
          </w:tcPr>
          <w:p>
            <w:pPr>
              <w:ind w:left="280"/>
              <w:spacing w:after="0"/>
              <w:rPr>
                <w:sz w:val="20"/>
                <w:szCs w:val="20"/>
                <w:color w:val="auto"/>
              </w:rPr>
            </w:pPr>
            <w:r>
              <w:rPr>
                <w:rFonts w:ascii="Arial" w:cs="Arial" w:eastAsia="Arial" w:hAnsi="Arial"/>
                <w:sz w:val="12"/>
                <w:szCs w:val="12"/>
                <w:b w:val="1"/>
                <w:bCs w:val="1"/>
                <w:color w:val="auto"/>
              </w:rPr>
              <w:t>Preferred Stock</w:t>
            </w:r>
          </w:p>
        </w:tc>
        <w:tc>
          <w:tcPr>
            <w:tcW w:w="1440" w:type="dxa"/>
            <w:vAlign w:val="bottom"/>
            <w:gridSpan w:val="2"/>
          </w:tcPr>
          <w:p>
            <w:pPr>
              <w:ind w:left="300"/>
              <w:spacing w:after="0"/>
              <w:rPr>
                <w:sz w:val="20"/>
                <w:szCs w:val="20"/>
                <w:color w:val="auto"/>
              </w:rPr>
            </w:pPr>
            <w:r>
              <w:rPr>
                <w:rFonts w:ascii="Arial" w:cs="Arial" w:eastAsia="Arial" w:hAnsi="Arial"/>
                <w:sz w:val="12"/>
                <w:szCs w:val="12"/>
                <w:b w:val="1"/>
                <w:bCs w:val="1"/>
                <w:color w:val="auto"/>
              </w:rPr>
              <w:t>Common Stock</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6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vMerge w:val="restart"/>
          </w:tcPr>
          <w:p>
            <w:pPr>
              <w:jc w:val="center"/>
              <w:ind w:left="15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Additional</w:t>
            </w:r>
          </w:p>
        </w:tc>
        <w:tc>
          <w:tcPr>
            <w:tcW w:w="1060" w:type="dxa"/>
            <w:vAlign w:val="bottom"/>
            <w:vMerge w:val="restart"/>
          </w:tcPr>
          <w:p>
            <w:pPr>
              <w:jc w:val="center"/>
              <w:ind w:right="19"/>
              <w:spacing w:after="0"/>
              <w:rPr>
                <w:sz w:val="20"/>
                <w:szCs w:val="20"/>
                <w:color w:val="auto"/>
              </w:rPr>
            </w:pPr>
            <w:r>
              <w:rPr>
                <w:rFonts w:ascii="Arial" w:cs="Arial" w:eastAsia="Arial" w:hAnsi="Arial"/>
                <w:sz w:val="12"/>
                <w:szCs w:val="12"/>
                <w:b w:val="1"/>
                <w:bCs w:val="1"/>
                <w:color w:val="auto"/>
                <w:w w:val="92"/>
              </w:rPr>
              <w:t>Accumulated</w:t>
            </w:r>
          </w:p>
        </w:tc>
        <w:tc>
          <w:tcPr>
            <w:tcW w:w="12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Other</w:t>
            </w: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Noncontrolling</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8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0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20" w:type="dxa"/>
            <w:vAlign w:val="bottom"/>
            <w:vMerge w:val="continue"/>
          </w:tcPr>
          <w:p>
            <w:pPr>
              <w:spacing w:after="0"/>
              <w:rPr>
                <w:sz w:val="10"/>
                <w:szCs w:val="10"/>
                <w:color w:val="auto"/>
              </w:rPr>
            </w:pPr>
          </w:p>
        </w:tc>
        <w:tc>
          <w:tcPr>
            <w:tcW w:w="940" w:type="dxa"/>
            <w:vAlign w:val="bottom"/>
          </w:tcPr>
          <w:p>
            <w:pPr>
              <w:jc w:val="center"/>
              <w:ind w:left="159"/>
              <w:spacing w:after="0" w:line="11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59"/>
        </w:trPr>
        <w:tc>
          <w:tcPr>
            <w:tcW w:w="68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5"/>
              </w:rPr>
              <w:t>Paid-in Capital</w:t>
            </w:r>
          </w:p>
        </w:tc>
        <w:tc>
          <w:tcPr>
            <w:tcW w:w="1060" w:type="dxa"/>
            <w:vAlign w:val="bottom"/>
          </w:tcPr>
          <w:p>
            <w:pPr>
              <w:jc w:val="center"/>
              <w:ind w:right="19"/>
              <w:spacing w:after="0"/>
              <w:rPr>
                <w:sz w:val="20"/>
                <w:szCs w:val="20"/>
                <w:color w:val="auto"/>
              </w:rPr>
            </w:pPr>
            <w:r>
              <w:rPr>
                <w:rFonts w:ascii="Arial" w:cs="Arial" w:eastAsia="Arial" w:hAnsi="Arial"/>
                <w:sz w:val="12"/>
                <w:szCs w:val="12"/>
                <w:b w:val="1"/>
                <w:bCs w:val="1"/>
                <w:color w:val="auto"/>
                <w:w w:val="92"/>
              </w:rPr>
              <w:t>Deficit</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87"/>
              </w:rPr>
              <w:t>Interests</w:t>
            </w:r>
          </w:p>
        </w:tc>
        <w:tc>
          <w:tcPr>
            <w:tcW w:w="940" w:type="dxa"/>
            <w:vAlign w:val="bottom"/>
          </w:tcPr>
          <w:p>
            <w:pPr>
              <w:jc w:val="center"/>
              <w:ind w:left="159"/>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7094220" cy="125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094220" cy="125095"/>
                    </a:xfrm>
                    <a:prstGeom prst="rect">
                      <a:avLst/>
                    </a:prstGeom>
                    <a:noFill/>
                  </pic:spPr>
                </pic:pic>
              </a:graphicData>
            </a:graphic>
          </wp:anchor>
        </w:drawing>
      </w:r>
    </w:p>
    <w:p>
      <w:pPr>
        <w:sectPr>
          <w:pgSz w:w="11900" w:h="16838" w:orient="portrait"/>
          <w:cols w:equalWidth="0" w:num="1">
            <w:col w:w="11160"/>
          </w:cols>
          <w:pgMar w:left="380" w:top="976" w:right="35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tcPr>
          <w:p>
            <w:pPr>
              <w:ind w:left="160"/>
              <w:spacing w:after="0"/>
              <w:rPr>
                <w:sz w:val="20"/>
                <w:szCs w:val="20"/>
                <w:color w:val="auto"/>
              </w:rPr>
            </w:pPr>
            <w:r>
              <w:rPr>
                <w:rFonts w:ascii="Arial" w:cs="Arial" w:eastAsia="Arial" w:hAnsi="Arial"/>
                <w:sz w:val="14"/>
                <w:szCs w:val="14"/>
                <w:color w:val="auto"/>
              </w:rPr>
              <w:t>Balance, December 31, 2018</w:t>
            </w:r>
          </w:p>
        </w:tc>
        <w:tc>
          <w:tcPr>
            <w:tcW w:w="1020" w:type="dxa"/>
            <w:vAlign w:val="bottom"/>
            <w:gridSpan w:val="3"/>
          </w:tcPr>
          <w:p>
            <w:pPr>
              <w:ind w:left="420"/>
              <w:spacing w:after="0"/>
              <w:rPr>
                <w:sz w:val="20"/>
                <w:szCs w:val="20"/>
                <w:color w:val="auto"/>
              </w:rPr>
            </w:pPr>
            <w:r>
              <w:rPr>
                <w:rFonts w:ascii="Arial" w:cs="Arial" w:eastAsia="Arial" w:hAnsi="Arial"/>
                <w:sz w:val="14"/>
                <w:szCs w:val="14"/>
                <w:color w:val="auto"/>
              </w:rPr>
              <w:t>—   $</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73,980</w:t>
            </w:r>
          </w:p>
        </w:tc>
        <w:tc>
          <w:tcPr>
            <w:tcW w:w="100" w:type="dxa"/>
            <w:vAlign w:val="bottom"/>
          </w:tcPr>
          <w:p>
            <w:pPr>
              <w:spacing w:after="0"/>
              <w:rPr>
                <w:sz w:val="14"/>
                <w:szCs w:val="14"/>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4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160"/>
              <w:spacing w:after="0"/>
              <w:rPr>
                <w:sz w:val="20"/>
                <w:szCs w:val="20"/>
                <w:color w:val="auto"/>
              </w:rPr>
            </w:pPr>
            <w:r>
              <w:rPr>
                <w:rFonts w:ascii="Arial" w:cs="Arial" w:eastAsia="Arial" w:hAnsi="Arial"/>
                <w:sz w:val="14"/>
                <w:szCs w:val="14"/>
                <w:color w:val="auto"/>
                <w:w w:val="93"/>
              </w:rPr>
              <w:t>Foreign currency translation adjustment</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160"/>
              <w:spacing w:after="0" w:line="143"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80" w:type="dxa"/>
            <w:vAlign w:val="bottom"/>
          </w:tcPr>
          <w:p>
            <w:pPr>
              <w:ind w:left="160"/>
              <w:spacing w:after="0" w:line="132" w:lineRule="exact"/>
              <w:rPr>
                <w:sz w:val="20"/>
                <w:szCs w:val="20"/>
                <w:color w:val="auto"/>
              </w:rPr>
            </w:pPr>
            <w:r>
              <w:rPr>
                <w:rFonts w:ascii="Arial" w:cs="Arial" w:eastAsia="Arial" w:hAnsi="Arial"/>
                <w:sz w:val="14"/>
                <w:szCs w:val="14"/>
                <w:color w:val="auto"/>
                <w:w w:val="97"/>
              </w:rPr>
              <w:t>restricted stock units and stock issued</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under employee stock purchase plan</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Issuance of Series E preferred stock</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160"/>
              <w:spacing w:after="0" w:line="143" w:lineRule="exact"/>
              <w:rPr>
                <w:sz w:val="20"/>
                <w:szCs w:val="20"/>
                <w:color w:val="auto"/>
              </w:rPr>
            </w:pPr>
            <w:r>
              <w:rPr>
                <w:rFonts w:ascii="Arial" w:cs="Arial" w:eastAsia="Arial" w:hAnsi="Arial"/>
                <w:sz w:val="14"/>
                <w:szCs w:val="14"/>
                <w:color w:val="auto"/>
                <w:w w:val="93"/>
              </w:rPr>
              <w:t>Taxes withheld on net settled vesting of</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Exercise of warrants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5,477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160"/>
              <w:spacing w:after="0"/>
              <w:rPr>
                <w:sz w:val="20"/>
                <w:szCs w:val="20"/>
                <w:color w:val="auto"/>
              </w:rPr>
            </w:pPr>
            <w:r>
              <w:rPr>
                <w:rFonts w:ascii="Arial" w:cs="Arial" w:eastAsia="Arial" w:hAnsi="Arial"/>
                <w:sz w:val="14"/>
                <w:szCs w:val="14"/>
                <w:color w:val="auto"/>
              </w:rPr>
              <w:t>Issuance of common shares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16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160"/>
              <w:spacing w:after="0"/>
              <w:rPr>
                <w:sz w:val="20"/>
                <w:szCs w:val="20"/>
                <w:color w:val="auto"/>
              </w:rPr>
            </w:pPr>
            <w:r>
              <w:rPr>
                <w:rFonts w:ascii="Arial" w:cs="Arial" w:eastAsia="Arial" w:hAnsi="Arial"/>
                <w:sz w:val="14"/>
                <w:szCs w:val="14"/>
                <w:color w:val="auto"/>
              </w:rPr>
              <w:t>Series E preferred stock dividends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160"/>
              <w:spacing w:after="0"/>
              <w:rPr>
                <w:sz w:val="20"/>
                <w:szCs w:val="20"/>
                <w:color w:val="auto"/>
              </w:rPr>
            </w:pPr>
            <w:r>
              <w:rPr>
                <w:rFonts w:ascii="Arial" w:cs="Arial" w:eastAsia="Arial" w:hAnsi="Arial"/>
                <w:sz w:val="14"/>
                <w:szCs w:val="14"/>
                <w:color w:val="auto"/>
              </w:rPr>
              <w:t>Balance, December 31, 2019</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81,974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0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w w:val="93"/>
              </w:rPr>
              <w:t>Foreign currency translation adjustment</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200"/>
              <w:spacing w:after="0" w:line="143" w:lineRule="exact"/>
              <w:rPr>
                <w:sz w:val="20"/>
                <w:szCs w:val="20"/>
                <w:color w:val="auto"/>
              </w:rPr>
            </w:pPr>
            <w:r>
              <w:rPr>
                <w:rFonts w:ascii="Arial" w:cs="Arial" w:eastAsia="Arial" w:hAnsi="Arial"/>
                <w:sz w:val="14"/>
                <w:szCs w:val="14"/>
                <w:color w:val="auto"/>
                <w:w w:val="91"/>
              </w:rPr>
              <w:t>Exercise of stock options and vesting of</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360"/>
              <w:spacing w:after="0"/>
              <w:rPr>
                <w:sz w:val="20"/>
                <w:szCs w:val="20"/>
                <w:color w:val="auto"/>
              </w:rPr>
            </w:pPr>
            <w:r>
              <w:rPr>
                <w:rFonts w:ascii="Arial" w:cs="Arial" w:eastAsia="Arial" w:hAnsi="Arial"/>
                <w:sz w:val="14"/>
                <w:szCs w:val="14"/>
                <w:color w:val="auto"/>
              </w:rPr>
              <w:t>restricted stock units</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Issuance of Series E preferred stock</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160"/>
              <w:spacing w:after="0" w:line="143" w:lineRule="exact"/>
              <w:rPr>
                <w:sz w:val="20"/>
                <w:szCs w:val="20"/>
                <w:color w:val="auto"/>
              </w:rPr>
            </w:pPr>
            <w:r>
              <w:rPr>
                <w:rFonts w:ascii="Arial" w:cs="Arial" w:eastAsia="Arial" w:hAnsi="Arial"/>
                <w:sz w:val="14"/>
                <w:szCs w:val="14"/>
                <w:color w:val="auto"/>
                <w:w w:val="95"/>
              </w:rPr>
              <w:t>Issuance of Series E preferred stock in</w:t>
            </w: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lieu of interest</w:t>
            </w: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w w:val="93"/>
              </w:rPr>
              <w:t>Repurchase of Series E preferred stock</w:t>
            </w: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160"/>
              <w:spacing w:after="0" w:line="143" w:lineRule="exact"/>
              <w:rPr>
                <w:sz w:val="20"/>
                <w:szCs w:val="20"/>
                <w:color w:val="auto"/>
              </w:rPr>
            </w:pPr>
            <w:r>
              <w:rPr>
                <w:rFonts w:ascii="Arial" w:cs="Arial" w:eastAsia="Arial" w:hAnsi="Arial"/>
                <w:sz w:val="14"/>
                <w:szCs w:val="14"/>
                <w:color w:val="auto"/>
              </w:rPr>
              <w:t>Issuance of common shares in</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13,739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connection with Notes Exchange</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160"/>
              <w:spacing w:after="0" w:line="137" w:lineRule="exact"/>
              <w:rPr>
                <w:sz w:val="20"/>
                <w:szCs w:val="20"/>
                <w:color w:val="auto"/>
              </w:rPr>
            </w:pPr>
            <w:r>
              <w:rPr>
                <w:rFonts w:ascii="Arial" w:cs="Arial" w:eastAsia="Arial" w:hAnsi="Arial"/>
                <w:sz w:val="14"/>
                <w:szCs w:val="14"/>
                <w:color w:val="auto"/>
              </w:rPr>
              <w:t>Issuance of common shares in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80" w:type="dxa"/>
            <w:vAlign w:val="bottom"/>
          </w:tcPr>
          <w:p>
            <w:pPr>
              <w:ind w:left="160"/>
              <w:spacing w:after="0" w:line="132" w:lineRule="exact"/>
              <w:rPr>
                <w:sz w:val="20"/>
                <w:szCs w:val="20"/>
                <w:color w:val="auto"/>
              </w:rPr>
            </w:pPr>
            <w:r>
              <w:rPr>
                <w:rFonts w:ascii="Arial" w:cs="Arial" w:eastAsia="Arial" w:hAnsi="Arial"/>
                <w:sz w:val="14"/>
                <w:szCs w:val="14"/>
                <w:color w:val="auto"/>
              </w:rPr>
              <w:t>connection with conversion of 2025</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Notes</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160"/>
              <w:spacing w:after="0" w:line="137" w:lineRule="exact"/>
              <w:rPr>
                <w:sz w:val="20"/>
                <w:szCs w:val="20"/>
                <w:color w:val="auto"/>
              </w:rPr>
            </w:pPr>
            <w:r>
              <w:rPr>
                <w:rFonts w:ascii="Arial" w:cs="Arial" w:eastAsia="Arial" w:hAnsi="Arial"/>
                <w:sz w:val="14"/>
                <w:szCs w:val="14"/>
                <w:color w:val="auto"/>
                <w:w w:val="93"/>
              </w:rPr>
              <w:t>Taxes withheld on net settled vesting of</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Exercise of warrants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160"/>
              <w:spacing w:after="0"/>
              <w:rPr>
                <w:sz w:val="20"/>
                <w:szCs w:val="20"/>
                <w:color w:val="auto"/>
              </w:rPr>
            </w:pPr>
            <w:r>
              <w:rPr>
                <w:rFonts w:ascii="Arial" w:cs="Arial" w:eastAsia="Arial" w:hAnsi="Arial"/>
                <w:sz w:val="14"/>
                <w:szCs w:val="14"/>
                <w:color w:val="auto"/>
              </w:rPr>
              <w:t>Share-based compensation</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200"/>
              <w:spacing w:after="0"/>
              <w:rPr>
                <w:sz w:val="20"/>
                <w:szCs w:val="20"/>
                <w:color w:val="auto"/>
              </w:rPr>
            </w:pPr>
            <w:r>
              <w:rPr>
                <w:rFonts w:ascii="Arial" w:cs="Arial" w:eastAsia="Arial" w:hAnsi="Arial"/>
                <w:sz w:val="14"/>
                <w:szCs w:val="14"/>
                <w:color w:val="auto"/>
              </w:rPr>
              <w:t>Series E preferred stock dividends</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80" w:type="dxa"/>
            <w:vAlign w:val="bottom"/>
          </w:tcPr>
          <w:p>
            <w:pPr>
              <w:ind w:left="160"/>
              <w:spacing w:after="0" w:line="143" w:lineRule="exact"/>
              <w:rPr>
                <w:sz w:val="20"/>
                <w:szCs w:val="20"/>
                <w:color w:val="auto"/>
              </w:rPr>
            </w:pPr>
            <w:r>
              <w:rPr>
                <w:rFonts w:ascii="Arial" w:cs="Arial" w:eastAsia="Arial" w:hAnsi="Arial"/>
                <w:sz w:val="14"/>
                <w:szCs w:val="14"/>
                <w:color w:val="auto"/>
              </w:rPr>
              <w:t>Issuance of common shares under</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60"/>
              <w:spacing w:after="0"/>
              <w:rPr>
                <w:sz w:val="20"/>
                <w:szCs w:val="20"/>
                <w:color w:val="auto"/>
              </w:rPr>
            </w:pPr>
            <w:r>
              <w:rPr>
                <w:rFonts w:ascii="Arial" w:cs="Arial" w:eastAsia="Arial" w:hAnsi="Arial"/>
                <w:sz w:val="14"/>
                <w:szCs w:val="14"/>
                <w:color w:val="auto"/>
              </w:rPr>
              <w:t>settlement agreement</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160"/>
              <w:spacing w:after="0"/>
              <w:rPr>
                <w:sz w:val="20"/>
                <w:szCs w:val="20"/>
                <w:color w:val="auto"/>
              </w:rPr>
            </w:pPr>
            <w:r>
              <w:rPr>
                <w:rFonts w:ascii="Arial" w:cs="Arial" w:eastAsia="Arial" w:hAnsi="Arial"/>
                <w:sz w:val="14"/>
                <w:szCs w:val="14"/>
                <w:color w:val="auto"/>
              </w:rPr>
              <w:t>Balance, December 31, 2020</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99,399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w w:val="93"/>
              </w:rPr>
              <w:t>Foreign currency translation adjustment</w:t>
            </w:r>
          </w:p>
        </w:tc>
        <w:tc>
          <w:tcPr>
            <w:tcW w:w="10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line="143"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80" w:type="dxa"/>
            <w:vAlign w:val="bottom"/>
          </w:tcPr>
          <w:p>
            <w:pPr>
              <w:ind w:left="160"/>
              <w:spacing w:after="0" w:line="132" w:lineRule="exact"/>
              <w:rPr>
                <w:sz w:val="20"/>
                <w:szCs w:val="20"/>
                <w:color w:val="auto"/>
              </w:rPr>
            </w:pPr>
            <w:r>
              <w:rPr>
                <w:rFonts w:ascii="Arial" w:cs="Arial" w:eastAsia="Arial" w:hAnsi="Arial"/>
                <w:sz w:val="14"/>
                <w:szCs w:val="14"/>
                <w:color w:val="auto"/>
                <w:w w:val="97"/>
              </w:rPr>
              <w:t>restricted stock units and stock issued</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under employee stock purchase plan</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line="137" w:lineRule="exact"/>
              <w:rPr>
                <w:sz w:val="20"/>
                <w:szCs w:val="20"/>
                <w:color w:val="auto"/>
              </w:rPr>
            </w:pPr>
            <w:r>
              <w:rPr>
                <w:rFonts w:ascii="Arial" w:cs="Arial" w:eastAsia="Arial" w:hAnsi="Arial"/>
                <w:sz w:val="14"/>
                <w:szCs w:val="14"/>
                <w:color w:val="auto"/>
              </w:rPr>
              <w:t>Taxes withheld on net settled vesting of</w:t>
            </w: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ind w:left="18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160"/>
              <w:spacing w:after="0"/>
              <w:rPr>
                <w:sz w:val="20"/>
                <w:szCs w:val="20"/>
                <w:color w:val="auto"/>
              </w:rPr>
            </w:pPr>
            <w:r>
              <w:rPr>
                <w:rFonts w:ascii="Arial" w:cs="Arial" w:eastAsia="Arial" w:hAnsi="Arial"/>
                <w:sz w:val="14"/>
                <w:szCs w:val="14"/>
                <w:color w:val="auto"/>
              </w:rPr>
              <w:t>restricted stock units</w:t>
            </w:r>
          </w:p>
        </w:tc>
        <w:tc>
          <w:tcPr>
            <w:tcW w:w="1020" w:type="dxa"/>
            <w:vAlign w:val="bottom"/>
            <w:gridSpan w:val="3"/>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-4324350</wp:posOffset>
            </wp:positionV>
            <wp:extent cx="7094220" cy="116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-3923030</wp:posOffset>
            </wp:positionV>
            <wp:extent cx="7094220" cy="116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-3605530</wp:posOffset>
            </wp:positionV>
            <wp:extent cx="7094220" cy="116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-3371850</wp:posOffset>
            </wp:positionV>
            <wp:extent cx="7094220" cy="1168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-2861945</wp:posOffset>
            </wp:positionV>
            <wp:extent cx="7094220" cy="116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-2544445</wp:posOffset>
            </wp:positionV>
            <wp:extent cx="7094220" cy="116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-2226945</wp:posOffset>
            </wp:positionV>
            <wp:extent cx="7094220" cy="116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-1909445</wp:posOffset>
            </wp:positionV>
            <wp:extent cx="7094220" cy="283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094220" cy="28384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-1424940</wp:posOffset>
            </wp:positionV>
            <wp:extent cx="7094220" cy="116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-1190625</wp:posOffset>
            </wp:positionV>
            <wp:extent cx="7094220" cy="116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-597535</wp:posOffset>
            </wp:positionV>
            <wp:extent cx="7094220" cy="116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-196850</wp:posOffset>
            </wp:positionV>
            <wp:extent cx="7094220" cy="200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094220" cy="2006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-873125</wp:posOffset>
            </wp:positionV>
            <wp:extent cx="7094220"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094220" cy="14224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-3137535</wp:posOffset>
            </wp:positionV>
            <wp:extent cx="7094220" cy="142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094220"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546,230</w:t>
            </w: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(4,877)</w:t>
            </w:r>
          </w:p>
        </w:tc>
        <w:tc>
          <w:tcPr>
            <w:tcW w:w="120" w:type="dxa"/>
            <w:vAlign w:val="bottom"/>
          </w:tcPr>
          <w:p>
            <w:pPr>
              <w:spacing w:after="0"/>
              <w:rPr>
                <w:sz w:val="15"/>
                <w:szCs w:val="15"/>
                <w:color w:val="auto"/>
              </w:rPr>
            </w:pPr>
          </w:p>
        </w:tc>
        <w:tc>
          <w:tcPr>
            <w:tcW w:w="42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(40,110)</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44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3,263</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316"/>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(1,269)</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17,536</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17,542</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1,439</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7,302</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188"/>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361</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584,862</w:t>
            </w: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25"/>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(111,215)</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(111,186)</w:t>
            </w:r>
          </w:p>
        </w:tc>
        <w:tc>
          <w:tcPr>
            <w:tcW w:w="0" w:type="dxa"/>
            <w:vAlign w:val="bottom"/>
          </w:tcPr>
          <w:p>
            <w:pPr>
              <w:spacing w:after="0"/>
              <w:rPr>
                <w:sz w:val="1"/>
                <w:szCs w:val="1"/>
                <w:color w:val="auto"/>
              </w:rPr>
            </w:pP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(3,093)</w:t>
            </w:r>
          </w:p>
        </w:tc>
        <w:tc>
          <w:tcPr>
            <w:tcW w:w="0" w:type="dxa"/>
            <w:vAlign w:val="bottom"/>
          </w:tcPr>
          <w:p>
            <w:pPr>
              <w:spacing w:after="0"/>
              <w:rPr>
                <w:sz w:val="1"/>
                <w:szCs w:val="1"/>
                <w:color w:val="auto"/>
              </w:rPr>
            </w:pPr>
          </w:p>
        </w:tc>
      </w:tr>
      <w:tr>
        <w:trPr>
          <w:trHeight w:val="316"/>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5,420</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25,000</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316"/>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2,330</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84"/>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(2,354)</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316"/>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66,074</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66,088</w:t>
            </w:r>
          </w:p>
        </w:tc>
        <w:tc>
          <w:tcPr>
            <w:tcW w:w="0" w:type="dxa"/>
            <w:vAlign w:val="bottom"/>
          </w:tcPr>
          <w:p>
            <w:pPr>
              <w:spacing w:after="0"/>
              <w:rPr>
                <w:sz w:val="1"/>
                <w:szCs w:val="1"/>
                <w:color w:val="auto"/>
              </w:rPr>
            </w:pPr>
          </w:p>
        </w:tc>
      </w:tr>
      <w:tr>
        <w:trPr>
          <w:trHeight w:val="44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14,353</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14,354</w:t>
            </w:r>
          </w:p>
        </w:tc>
        <w:tc>
          <w:tcPr>
            <w:tcW w:w="0" w:type="dxa"/>
            <w:vAlign w:val="bottom"/>
          </w:tcPr>
          <w:p>
            <w:pPr>
              <w:spacing w:after="0"/>
              <w:rPr>
                <w:sz w:val="1"/>
                <w:szCs w:val="1"/>
                <w:color w:val="auto"/>
              </w:rPr>
            </w:pPr>
          </w:p>
        </w:tc>
      </w:tr>
      <w:tr>
        <w:trPr>
          <w:trHeight w:val="316"/>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(354)</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1,861</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10,419</w:t>
            </w:r>
          </w:p>
        </w:tc>
        <w:tc>
          <w:tcPr>
            <w:tcW w:w="26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84"/>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2,904</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972</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711,487</w:t>
            </w: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(732,422)</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(6,972)</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25"/>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(47,911)</w:t>
            </w:r>
          </w:p>
        </w:tc>
        <w:tc>
          <w:tcPr>
            <w:tcW w:w="0" w:type="dxa"/>
            <w:vAlign w:val="bottom"/>
          </w:tcPr>
          <w:p>
            <w:pPr>
              <w:spacing w:after="0"/>
              <w:rPr>
                <w:sz w:val="1"/>
                <w:szCs w:val="1"/>
                <w:color w:val="auto"/>
              </w:rPr>
            </w:pPr>
          </w:p>
        </w:tc>
      </w:tr>
      <w:tr>
        <w:trPr>
          <w:trHeight w:val="179"/>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(3,167)</w:t>
            </w:r>
          </w:p>
        </w:tc>
        <w:tc>
          <w:tcPr>
            <w:tcW w:w="0" w:type="dxa"/>
            <w:vAlign w:val="bottom"/>
          </w:tcPr>
          <w:p>
            <w:pPr>
              <w:spacing w:after="0"/>
              <w:rPr>
                <w:sz w:val="1"/>
                <w:szCs w:val="1"/>
                <w:color w:val="auto"/>
              </w:rPr>
            </w:pPr>
          </w:p>
        </w:tc>
      </w:tr>
      <w:tr>
        <w:trPr>
          <w:trHeight w:val="44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4,763</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4,765</w:t>
            </w:r>
          </w:p>
        </w:tc>
        <w:tc>
          <w:tcPr>
            <w:tcW w:w="0" w:type="dxa"/>
            <w:vAlign w:val="bottom"/>
          </w:tcPr>
          <w:p>
            <w:pPr>
              <w:spacing w:after="0"/>
              <w:rPr>
                <w:sz w:val="1"/>
                <w:szCs w:val="1"/>
                <w:color w:val="auto"/>
              </w:rPr>
            </w:pPr>
          </w:p>
        </w:tc>
      </w:tr>
      <w:tr>
        <w:trPr>
          <w:trHeight w:val="316"/>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(1,279)</w:t>
            </w:r>
          </w:p>
        </w:tc>
        <w:tc>
          <w:tcPr>
            <w:tcW w:w="26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-719455</wp:posOffset>
            </wp:positionV>
            <wp:extent cx="5346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-2983865</wp:posOffset>
            </wp:positionV>
            <wp:extent cx="534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5620" w:space="240"/>
            <w:col w:w="5300"/>
          </w:cols>
          <w:pgMar w:left="380" w:top="976" w:right="359" w:bottom="1440" w:gutter="0" w:footer="0" w:header="0"/>
          <w:type w:val="continuous"/>
        </w:sectPr>
      </w:pP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236855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80" w:top="976" w:right="35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2540" w:type="dxa"/>
            <w:vAlign w:val="bottom"/>
          </w:tcPr>
          <w:p>
            <w:pPr>
              <w:ind w:left="20"/>
              <w:spacing w:after="0"/>
              <w:rPr>
                <w:sz w:val="20"/>
                <w:szCs w:val="20"/>
                <w:color w:val="auto"/>
              </w:rPr>
            </w:pPr>
            <w:r>
              <w:rPr>
                <w:rFonts w:ascii="Arial" w:cs="Arial" w:eastAsia="Arial" w:hAnsi="Arial"/>
                <w:sz w:val="14"/>
                <w:szCs w:val="14"/>
                <w:color w:val="auto"/>
              </w:rPr>
              <w:t>Divestiture of Ctrack South Africa</w:t>
            </w:r>
          </w:p>
        </w:tc>
        <w:tc>
          <w:tcPr>
            <w:tcW w:w="740" w:type="dxa"/>
            <w:vAlign w:val="bottom"/>
            <w:gridSpan w:val="2"/>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37"/>
        </w:trPr>
        <w:tc>
          <w:tcPr>
            <w:tcW w:w="25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common shares related to</w:t>
            </w:r>
          </w:p>
        </w:tc>
        <w:tc>
          <w:tcPr>
            <w:tcW w:w="740" w:type="dxa"/>
            <w:vAlign w:val="bottom"/>
            <w:gridSpan w:val="2"/>
            <w:vMerge w:val="restart"/>
            <w:shd w:val="clear" w:color="auto" w:fill="CCEEFF"/>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5,382</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84"/>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2025 Notes</w:t>
            </w:r>
          </w:p>
        </w:tc>
        <w:tc>
          <w:tcPr>
            <w:tcW w:w="74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40" w:type="dxa"/>
            <w:vAlign w:val="bottom"/>
          </w:tcPr>
          <w:p>
            <w:pPr>
              <w:ind w:left="180"/>
              <w:spacing w:after="0" w:line="132" w:lineRule="exact"/>
              <w:rPr>
                <w:sz w:val="20"/>
                <w:szCs w:val="20"/>
                <w:color w:val="auto"/>
              </w:rPr>
            </w:pPr>
            <w:r>
              <w:rPr>
                <w:rFonts w:ascii="Arial" w:cs="Arial" w:eastAsia="Arial" w:hAnsi="Arial"/>
                <w:sz w:val="14"/>
                <w:szCs w:val="14"/>
                <w:color w:val="auto"/>
                <w:w w:val="89"/>
              </w:rPr>
              <w:t>Issuance of common shares in connection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tcPr>
          <w:p>
            <w:pPr>
              <w:ind w:left="180"/>
              <w:spacing w:after="0" w:line="132" w:lineRule="exact"/>
              <w:rPr>
                <w:sz w:val="20"/>
                <w:szCs w:val="20"/>
                <w:color w:val="auto"/>
              </w:rPr>
            </w:pPr>
            <w:r>
              <w:rPr>
                <w:rFonts w:ascii="Arial" w:cs="Arial" w:eastAsia="Arial" w:hAnsi="Arial"/>
                <w:sz w:val="14"/>
                <w:szCs w:val="14"/>
                <w:color w:val="auto"/>
              </w:rPr>
              <w:t>with a public offering, net of issuance</w:t>
            </w:r>
          </w:p>
        </w:tc>
        <w:tc>
          <w:tcPr>
            <w:tcW w:w="740" w:type="dxa"/>
            <w:vAlign w:val="bottom"/>
            <w:gridSpan w:val="2"/>
            <w:vMerge w:val="restart"/>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29,368</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29,370</w:t>
            </w:r>
          </w:p>
        </w:tc>
        <w:tc>
          <w:tcPr>
            <w:tcW w:w="0" w:type="dxa"/>
            <w:vAlign w:val="bottom"/>
          </w:tcPr>
          <w:p>
            <w:pPr>
              <w:spacing w:after="0"/>
              <w:rPr>
                <w:sz w:val="1"/>
                <w:szCs w:val="1"/>
                <w:color w:val="auto"/>
              </w:rPr>
            </w:pPr>
          </w:p>
        </w:tc>
      </w:tr>
      <w:tr>
        <w:trPr>
          <w:trHeight w:val="182"/>
        </w:trPr>
        <w:tc>
          <w:tcPr>
            <w:tcW w:w="2540" w:type="dxa"/>
            <w:vAlign w:val="bottom"/>
          </w:tcPr>
          <w:p>
            <w:pPr>
              <w:ind w:left="180"/>
              <w:spacing w:after="0"/>
              <w:rPr>
                <w:sz w:val="20"/>
                <w:szCs w:val="20"/>
                <w:color w:val="auto"/>
              </w:rPr>
            </w:pPr>
            <w:r>
              <w:rPr>
                <w:rFonts w:ascii="Arial" w:cs="Arial" w:eastAsia="Arial" w:hAnsi="Arial"/>
                <w:sz w:val="14"/>
                <w:szCs w:val="14"/>
                <w:color w:val="auto"/>
              </w:rPr>
              <w:t>costs</w:t>
            </w:r>
          </w:p>
        </w:tc>
        <w:tc>
          <w:tcPr>
            <w:tcW w:w="7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16,649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16,649</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E preferred stock exchange</w:t>
            </w:r>
          </w:p>
        </w:tc>
        <w:tc>
          <w:tcPr>
            <w:tcW w:w="640" w:type="dxa"/>
            <w:vAlign w:val="bottom"/>
            <w:shd w:val="clear" w:color="auto" w:fill="CCEEFF"/>
          </w:tcPr>
          <w:p>
            <w:pPr>
              <w:jc w:val="center"/>
              <w:ind w:left="250"/>
              <w:spacing w:after="0"/>
              <w:rPr>
                <w:sz w:val="20"/>
                <w:szCs w:val="20"/>
                <w:color w:val="auto"/>
              </w:rPr>
            </w:pPr>
            <w:r>
              <w:rPr>
                <w:rFonts w:ascii="Arial" w:cs="Arial" w:eastAsia="Arial" w:hAnsi="Arial"/>
                <w:sz w:val="14"/>
                <w:szCs w:val="14"/>
                <w:color w:val="auto"/>
                <w:w w:val="96"/>
              </w:rPr>
              <w:t>(10)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Net noncontrolling interest acquired</w:t>
            </w:r>
          </w:p>
        </w:tc>
        <w:tc>
          <w:tcPr>
            <w:tcW w:w="740" w:type="dxa"/>
            <w:vAlign w:val="bottom"/>
            <w:gridSpan w:val="2"/>
          </w:tcPr>
          <w:p>
            <w:pPr>
              <w:jc w:val="center"/>
              <w:ind w:left="17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5"/>
        </w:trPr>
        <w:tc>
          <w:tcPr>
            <w:tcW w:w="2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Balance, December 31, 2021</w:t>
            </w:r>
          </w:p>
        </w:tc>
        <w:tc>
          <w:tcPr>
            <w:tcW w:w="640" w:type="dxa"/>
            <w:vAlign w:val="bottom"/>
            <w:tcBorders>
              <w:top w:val="single" w:sz="8" w:color="auto"/>
              <w:bottom w:val="single" w:sz="8" w:color="auto"/>
            </w:tcBorders>
            <w:shd w:val="clear" w:color="auto" w:fill="CCEEFF"/>
          </w:tcPr>
          <w:p>
            <w:pPr>
              <w:jc w:val="center"/>
              <w:ind w:left="270"/>
              <w:spacing w:after="0"/>
              <w:rPr>
                <w:sz w:val="20"/>
                <w:szCs w:val="20"/>
                <w:color w:val="auto"/>
              </w:rPr>
            </w:pPr>
            <w:r>
              <w:rPr>
                <w:rFonts w:ascii="Arial" w:cs="Arial" w:eastAsia="Arial" w:hAnsi="Arial"/>
                <w:sz w:val="14"/>
                <w:szCs w:val="14"/>
                <w:color w:val="auto"/>
                <w:w w:val="89"/>
              </w:rPr>
              <w:t>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770,619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(787,047)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(24,854)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214630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016"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INSEEGO CORP.</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1"/>
        </w:trPr>
        <w:tc>
          <w:tcPr>
            <w:tcW w:w="7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2019</w:t>
            </w:r>
          </w:p>
        </w:tc>
      </w:tr>
      <w:tr>
        <w:trPr>
          <w:trHeight w:val="162"/>
        </w:trPr>
        <w:tc>
          <w:tcPr>
            <w:tcW w:w="7840" w:type="dxa"/>
            <w:vAlign w:val="bottom"/>
          </w:tcPr>
          <w:p>
            <w:pPr>
              <w:ind w:left="20"/>
              <w:spacing w:after="0" w:line="159" w:lineRule="exact"/>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(47,911)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(111,186)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(40,110)</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27,946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18,426</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Fair value adjustment on derivative instrument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bad debts, net of recoveries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Impairment of capitalized software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excess and obsolete inventory</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Share-based compensation expense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7,302</w:t>
            </w: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 of debt discount and debt issuance costs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9,772</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Loss on debt conversion and extinguishment, net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76,354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Ctrack South Africa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(598)</w:t>
            </w:r>
          </w:p>
        </w:tc>
      </w:tr>
      <w:tr>
        <w:trPr>
          <w:trHeight w:val="187"/>
        </w:trPr>
        <w:tc>
          <w:tcPr>
            <w:tcW w:w="7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r>
      <w:tr>
        <w:trPr>
          <w:trHeight w:val="182"/>
        </w:trPr>
        <w:tc>
          <w:tcPr>
            <w:tcW w:w="7840" w:type="dxa"/>
            <w:vAlign w:val="bottom"/>
          </w:tcPr>
          <w:p>
            <w:pPr>
              <w:ind w:left="460"/>
              <w:spacing w:after="0"/>
              <w:rPr>
                <w:sz w:val="20"/>
                <w:szCs w:val="20"/>
                <w:color w:val="auto"/>
              </w:rPr>
            </w:pPr>
            <w:r>
              <w:rPr>
                <w:rFonts w:ascii="Arial" w:cs="Arial" w:eastAsia="Arial" w:hAnsi="Arial"/>
                <w:sz w:val="14"/>
                <w:szCs w:val="14"/>
                <w:color w:val="auto"/>
              </w:rPr>
              <w:t>Changes in assets and liabilities, net of effects of divestiture:</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7"/>
        </w:trPr>
        <w:tc>
          <w:tcPr>
            <w:tcW w:w="78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82"/>
        </w:trPr>
        <w:tc>
          <w:tcPr>
            <w:tcW w:w="7840" w:type="dxa"/>
            <w:vAlign w:val="bottom"/>
          </w:tcPr>
          <w:p>
            <w:pPr>
              <w:ind w:left="66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(12,494)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(3,077)</w:t>
            </w:r>
          </w:p>
        </w:tc>
      </w:tr>
      <w:tr>
        <w:trPr>
          <w:trHeight w:val="187"/>
        </w:trPr>
        <w:tc>
          <w:tcPr>
            <w:tcW w:w="78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r>
      <w:tr>
        <w:trPr>
          <w:trHeight w:val="182"/>
        </w:trPr>
        <w:tc>
          <w:tcPr>
            <w:tcW w:w="784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27,087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(12,996)</w:t>
            </w:r>
          </w:p>
        </w:tc>
      </w:tr>
      <w:tr>
        <w:trPr>
          <w:trHeight w:val="187"/>
        </w:trPr>
        <w:tc>
          <w:tcPr>
            <w:tcW w:w="78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income taxes, and 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2,987</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r>
      <w:tr>
        <w:trPr>
          <w:trHeight w:val="175"/>
        </w:trPr>
        <w:tc>
          <w:tcPr>
            <w:tcW w:w="7840" w:type="dxa"/>
            <w:vAlign w:val="bottom"/>
          </w:tcPr>
          <w:p>
            <w:pPr>
              <w:ind w:left="980"/>
              <w:spacing w:after="0" w:line="159" w:lineRule="exact"/>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20,050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(17,999)</w:t>
            </w:r>
          </w:p>
        </w:tc>
      </w:tr>
      <w:tr>
        <w:trPr>
          <w:trHeight w:val="18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Acquisition of noncontrolling interest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(6,621)</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Proceeds from the sale of property, plant and equipment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87"/>
        </w:trPr>
        <w:tc>
          <w:tcPr>
            <w:tcW w:w="7840" w:type="dxa"/>
            <w:vAlign w:val="bottom"/>
            <w:shd w:val="clear" w:color="auto" w:fill="CCEEFF"/>
          </w:tcPr>
          <w:p>
            <w:pPr>
              <w:ind w:left="220"/>
              <w:spacing w:after="0" w:line="187" w:lineRule="exact"/>
              <w:rPr>
                <w:sz w:val="20"/>
                <w:szCs w:val="20"/>
                <w:color w:val="auto"/>
              </w:rPr>
            </w:pPr>
            <w:r>
              <w:rPr>
                <w:rFonts w:ascii="Arial" w:cs="Arial" w:eastAsia="Arial" w:hAnsi="Arial"/>
                <w:sz w:val="14"/>
                <w:szCs w:val="14"/>
                <w:color w:val="auto"/>
              </w:rPr>
              <w:t>Proceeds from sale of Ctrack South Africa, net of cash divested</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Additions to capitalized software development costs and purchases of intangible assets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(29,369)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(22,109)</w:t>
            </w:r>
          </w:p>
        </w:tc>
      </w:tr>
      <w:tr>
        <w:trPr>
          <w:trHeight w:val="180"/>
        </w:trPr>
        <w:tc>
          <w:tcPr>
            <w:tcW w:w="7840" w:type="dxa"/>
            <w:vAlign w:val="bottom"/>
            <w:shd w:val="clear" w:color="auto" w:fill="CCEEFF"/>
          </w:tcPr>
          <w:p>
            <w:pPr>
              <w:ind w:left="98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(28,213)</w:t>
            </w:r>
          </w:p>
        </w:tc>
      </w:tr>
      <w:tr>
        <w:trPr>
          <w:trHeight w:val="162"/>
        </w:trPr>
        <w:tc>
          <w:tcPr>
            <w:tcW w:w="7840" w:type="dxa"/>
            <w:vAlign w:val="bottom"/>
          </w:tcPr>
          <w:p>
            <w:pPr>
              <w:ind w:left="20"/>
              <w:spacing w:after="0" w:line="159" w:lineRule="exact"/>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proceeds received from issuance of Series E preferred stock</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Gross proceeds from the issuance of 2025 Notes</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issuance costs related to 2025 Notes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Cash paid to investors in private exchange transactions</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Payoff of term loan and related extinguishment costs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Repurchase of Series E preferred stock</w:t>
            </w: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exercise of warrants to purchase common stock</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17,542</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Net borrowing of bank and overdraft facilities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(1,047)</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under finance lease obligations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r>
      <w:tr>
        <w:trPr>
          <w:trHeight w:val="182"/>
        </w:trPr>
        <w:tc>
          <w:tcPr>
            <w:tcW w:w="7840" w:type="dxa"/>
            <w:vAlign w:val="bottom"/>
          </w:tcPr>
          <w:p>
            <w:pPr>
              <w:ind w:left="220"/>
              <w:spacing w:after="0"/>
              <w:rPr>
                <w:sz w:val="20"/>
                <w:szCs w:val="20"/>
                <w:color w:val="auto"/>
              </w:rPr>
            </w:pPr>
            <w:r>
              <w:rPr>
                <w:rFonts w:ascii="Arial" w:cs="Arial" w:eastAsia="Arial" w:hAnsi="Arial"/>
                <w:sz w:val="14"/>
                <w:szCs w:val="14"/>
                <w:color w:val="auto"/>
              </w:rPr>
              <w:t>Proceeds from a public offering, net of issuance costs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29,370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stock option exercises and employee stock purchase plan, net of taxes paid on vested restricted stock units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r>
      <w:tr>
        <w:trPr>
          <w:trHeight w:val="175"/>
        </w:trPr>
        <w:tc>
          <w:tcPr>
            <w:tcW w:w="7840" w:type="dxa"/>
            <w:vAlign w:val="bottom"/>
          </w:tcPr>
          <w:p>
            <w:pPr>
              <w:ind w:left="980"/>
              <w:spacing w:after="0" w:line="159" w:lineRule="exact"/>
              <w:rPr>
                <w:sz w:val="20"/>
                <w:szCs w:val="20"/>
                <w:color w:val="auto"/>
              </w:rPr>
            </w:pPr>
            <w:r>
              <w:rPr>
                <w:rFonts w:ascii="Arial" w:cs="Arial" w:eastAsia="Arial" w:hAnsi="Arial"/>
                <w:sz w:val="14"/>
                <w:szCs w:val="14"/>
                <w:color w:val="auto"/>
              </w:rPr>
              <w:t>Net cash provided by financing activities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42,081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27,469</w:t>
            </w:r>
          </w:p>
        </w:tc>
      </w:tr>
      <w:tr>
        <w:trPr>
          <w:trHeight w:val="18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75"/>
        </w:trPr>
        <w:tc>
          <w:tcPr>
            <w:tcW w:w="7840" w:type="dxa"/>
            <w:vAlign w:val="bottom"/>
          </w:tcPr>
          <w:p>
            <w:pPr>
              <w:ind w:left="980"/>
              <w:spacing w:after="0" w:line="159" w:lineRule="exact"/>
              <w:rPr>
                <w:sz w:val="20"/>
                <w:szCs w:val="20"/>
                <w:color w:val="auto"/>
              </w:rPr>
            </w:pPr>
            <w:r>
              <w:rPr>
                <w:rFonts w:ascii="Arial" w:cs="Arial" w:eastAsia="Arial" w:hAnsi="Arial"/>
                <w:sz w:val="14"/>
                <w:szCs w:val="14"/>
                <w:color w:val="auto"/>
              </w:rPr>
              <w:t>Net increase (decrease) in cash, cash equivalents and restricted cash</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27,941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(19,002)</w:t>
            </w:r>
          </w:p>
        </w:tc>
      </w:tr>
      <w:tr>
        <w:trPr>
          <w:trHeight w:val="18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31,076</w:t>
            </w:r>
          </w:p>
        </w:tc>
      </w:tr>
      <w:tr>
        <w:trPr>
          <w:trHeight w:val="175"/>
        </w:trPr>
        <w:tc>
          <w:tcPr>
            <w:tcW w:w="78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49,812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12,074</w:t>
            </w:r>
          </w:p>
        </w:tc>
      </w:tr>
      <w:tr>
        <w:trPr>
          <w:trHeight w:val="22"/>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63" w:name="page64"/>
    <w:bookmarkEnd w:id="63"/>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w:t>
            </w:r>
          </w:p>
        </w:tc>
        <w:tc>
          <w:tcPr>
            <w:tcW w:w="1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2"/>
        </w:trPr>
        <w:tc>
          <w:tcPr>
            <w:tcW w:w="6760" w:type="dxa"/>
            <w:vAlign w:val="bottom"/>
          </w:tcPr>
          <w:p>
            <w:pPr>
              <w:ind w:left="460"/>
              <w:spacing w:after="0"/>
              <w:rPr>
                <w:sz w:val="20"/>
                <w:szCs w:val="20"/>
                <w:color w:val="auto"/>
              </w:rPr>
            </w:pPr>
            <w:r>
              <w:rPr>
                <w:rFonts w:ascii="Arial" w:cs="Arial" w:eastAsia="Arial" w:hAnsi="Arial"/>
                <w:sz w:val="14"/>
                <w:szCs w:val="14"/>
                <w:color w:val="auto"/>
              </w:rPr>
              <w:t>Interest</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5,387</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3,215</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187"/>
        </w:trPr>
        <w:tc>
          <w:tcPr>
            <w:tcW w:w="67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523</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82"/>
        </w:trPr>
        <w:tc>
          <w:tcPr>
            <w:tcW w:w="6760" w:type="dxa"/>
            <w:vAlign w:val="bottom"/>
          </w:tcPr>
          <w:p>
            <w:pPr>
              <w:ind w:left="20"/>
              <w:spacing w:after="0"/>
              <w:rPr>
                <w:sz w:val="20"/>
                <w:szCs w:val="20"/>
                <w:color w:val="auto"/>
              </w:rPr>
            </w:pPr>
            <w:r>
              <w:rPr>
                <w:rFonts w:ascii="Arial" w:cs="Arial" w:eastAsia="Arial" w:hAnsi="Arial"/>
                <w:sz w:val="14"/>
                <w:szCs w:val="14"/>
                <w:color w:val="auto"/>
              </w:rPr>
              <w:t>Supplemental disclosures of non-cash activities:</w:t>
            </w:r>
          </w:p>
        </w:tc>
        <w:tc>
          <w:tcPr>
            <w:tcW w:w="1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Transfer of inventories to rental assets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5,142</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4,036</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 under capital lease</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664</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Right-of-use assets obtained in exchange for operating leases liabilities</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7,931</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Proceeds related to divestiture of Ctrack South Africa in exchange for settlement of tax liabilities</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421</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Exchange of Series E Preferred Stock for common stock</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11,982</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Issuance of common stock in exchange for Series E Preferred Stock</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13,086</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Deemed dividend on exchange of Series E Preferred Stock for common stock</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1,104</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Capital expenditures financed through accounts payable or accrued liabilities</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748</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5,710</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2,926</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common stock under Settlement Agreement</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Preferred stock issued in extinguishment of term loan accrued interest</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2,330</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discount and issuance costs extinguished in notes conversion</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1,728</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2022 Notes conversion to equity</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59,907</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Novatel Wireless Notes conversion to equity</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760" w:type="dxa"/>
            <w:vAlign w:val="bottom"/>
          </w:tcPr>
          <w:p>
            <w:pPr>
              <w:ind w:left="220"/>
              <w:spacing w:after="0"/>
              <w:rPr>
                <w:sz w:val="20"/>
                <w:szCs w:val="20"/>
                <w:color w:val="auto"/>
              </w:rPr>
            </w:pPr>
            <w:r>
              <w:rPr>
                <w:rFonts w:ascii="Arial" w:cs="Arial" w:eastAsia="Arial" w:hAnsi="Arial"/>
                <w:sz w:val="14"/>
                <w:szCs w:val="14"/>
                <w:color w:val="auto"/>
              </w:rPr>
              <w:t>2025 Notes issued to extinguish 2022 Notes</w:t>
            </w:r>
          </w:p>
        </w:tc>
        <w:tc>
          <w:tcPr>
            <w:tcW w:w="14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80,375</w:t>
            </w:r>
          </w:p>
        </w:tc>
        <w:tc>
          <w:tcPr>
            <w:tcW w:w="46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2025 Notes conversion, including shares issued in satisfaction of interest-make-whole payment</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5,382</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14,353</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The amount for the year ended December 31, 2021 is net of cash divested of $5.0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1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Inseego Corp. (the “Company” or “Inseego”) is a leader in the design and development of fixed and mobile wireless solutions (advanced 4G and 5G New Radio (“5G NR”)), industrial Internet of Things (“IIoT”) and cloud solutions for large enterprise verticals, service providers and small and medium-sized businesses around the globe. Inseego’s customers include wireless service providers, Fortune 500 enterprises, consumers, governments, and first responders.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5G fixed wireless access (“FWA”) gateway solutions, 4G and 5G mobile broadband, IIoT applications such as SD WAN failover management, asset tracking and fleet management services. Inseego’s solutions are powered by its key wireless innovations in mobile and FWA technologies, including a suite of products employing the 5G NR standards, and purpose-built SaaS cloud platforms.</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Inseego is a Delaware corporation formed in 2016 and is the successor to Novatel Wireless, Inc., a Delaware corporation formed in 1996 (“Novatel Wireless”), resulting from an internal reorganization that was completed in November 2016. The Company’s principal executive office is located at 12600 Deerfield Parkway, Suite 100, Alpharetta, GA 30004, its corporate offices are located at 9710 Scranton Road, Suite 200, San Diego CA 92121 and its sales and engineering offices are located throughout the world. Inseego’s common stock trades on the NASDAQ Global Select Market under the trading symbol “INSG”.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had a net loss attributable to Inseego Corp. of $48.1 million during the year ended December 31, 2021. As of December 31, 2021, the Company had available cash and cash equivalents totaling $46.5 million and working capital of $52.8 million.</w:t>
      </w:r>
    </w:p>
    <w:p>
      <w:pPr>
        <w:spacing w:after="0" w:line="12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July 30, 2021, the Company completed the sale of its Ctrack business operations in Africa, Pakistan and the Middle East (together “Ctrack South Africa”). Initial cash proceeds of approximately $36.6 million were received. Net cash proceeds received were $31.5 million, net of cash divested of $5.0 million. Final cash proceeds were subject to certain post-closing working capital adjustments which totaled $2.6 million, out of which $2.2 million was received on October 29, 2021, and the remaining $0.4 million was offset with the Company’s existing accounts payable balance to an affiliate of Convergence Partners (“Convergence”), an investment management firm in South Africa.</w:t>
      </w:r>
    </w:p>
    <w:p>
      <w:pPr>
        <w:spacing w:after="0" w:line="14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108"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December 31, 2021, the Company’s outstanding debt primarily consisted of $161.9 million in principal amount of 2025 Notes.</w:t>
      </w:r>
    </w:p>
    <w:p>
      <w:pPr>
        <w:spacing w:after="0" w:line="13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into privately-negotiated exchange agreements (“Exchange Agreements”), pursuant to which an aggregate of $45.0 million in principal amount of the 2022 Notes were exchanged for an aggregate of $32.0 million in cash and $80.4 million in principal amount of the 2025 Notes (the “Private Exchange Transactions”). The Company also used a portion of the proceeds from the Offering to repay in full its previous term loan. In the third quarter of 2020, the Company redeemed the remaining $2,000 principal amount of the 2022 Notes.</w:t>
      </w:r>
    </w:p>
    <w:p>
      <w:pPr>
        <w:spacing w:after="0" w:line="11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March 6, 2020, the Company issued and sold 25,000 shares of Fixed-Rate Cumulative Perpetual Preferred Stock, Series E, par value $0.001 per share (the “Series E Preferred Stock”), for an aggregate purchase price of $25.0 million.</w:t>
      </w:r>
    </w:p>
    <w:p>
      <w:pPr>
        <w:spacing w:after="0" w:line="1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has a history of operating and net losses and overall usage of cash from operating and investing activities. The Company believes that its cash and cash equivalents, together with anticipated cash flows from operations, will be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9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Estimates are assessed each period and updated to reflect current information, such as the economic considerations related to the impact that the novel coronavirus pandemic ("COVID-19") could have on our significant accounting estimates. Significant estimates include revenue recognition, capitalized software costs, allowance for credit losses, provision for excess and obsolete inventory, valuation of intangible and long-lived assets, valuation of goodwill, valuation of derivatives, accruals relating to litigation, income taxes, and share-based compensation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9" w:lineRule="exact"/>
        <w:rPr>
          <w:sz w:val="20"/>
          <w:szCs w:val="20"/>
          <w:color w:val="auto"/>
        </w:rPr>
      </w:pPr>
    </w:p>
    <w:p>
      <w:pPr>
        <w:jc w:val="both"/>
        <w:ind w:right="320"/>
        <w:spacing w:after="0" w:line="298" w:lineRule="auto"/>
        <w:rPr>
          <w:sz w:val="20"/>
          <w:szCs w:val="20"/>
          <w:color w:val="auto"/>
        </w:rPr>
      </w:pPr>
      <w:r>
        <w:rPr>
          <w:rFonts w:ascii="Arial" w:cs="Arial" w:eastAsia="Arial" w:hAnsi="Arial"/>
          <w:sz w:val="15"/>
          <w:szCs w:val="15"/>
          <w:color w:val="auto"/>
        </w:rPr>
        <w:t>Cash and cash equivalents include highly liquid investments with original maturities of three months or less. The Company’s cash and cash equivalents are generally held with large financial institutions worldwide to reduce the amount of exposure to any credit risk. Restricted cash consists of Company funds in escrow with a financial institution as collateral for potential future uninsured warranty claims related to the divestiture of Ctrack South Africa. See Note 5.</w:t>
      </w:r>
    </w:p>
    <w:p>
      <w:pPr>
        <w:spacing w:after="0" w:line="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i w:val="1"/>
          <w:iCs w:val="1"/>
          <w:color w:val="auto"/>
        </w:rPr>
        <w:t xml:space="preserve">Business Divestiture </w:t>
      </w:r>
      <w:r>
        <w:rPr>
          <w:rFonts w:ascii="Arial" w:cs="Arial" w:eastAsia="Arial" w:hAnsi="Arial"/>
          <w:sz w:val="18"/>
          <w:szCs w:val="18"/>
          <w:color w:val="auto"/>
        </w:rPr>
        <w:t>for additional information about the divestiture of Ctrack South Africa. Cash, cash equivalents and restricted cash are recorded 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cost. Gains and losses associated with the Company’s foreign currency denominated demand deposits are recorded as a component of other income, net, in the consolidated statements of operations. The following table provides a reconciliation of cash, cash equivalents and restricted cash as reported within the consolidated balance sheets to “Cash, cash equivalents, and restricted cash, end of period” as reported within the consolidated statements of cash flows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2"/>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20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46,474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3,338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49,812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138" w:lineRule="exact"/>
        <w:rPr>
          <w:sz w:val="20"/>
          <w:szCs w:val="20"/>
          <w:color w:val="auto"/>
        </w:rPr>
      </w:pPr>
    </w:p>
    <w:p>
      <w:pPr>
        <w:ind w:right="780"/>
        <w:spacing w:after="0" w:line="252"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grouping for the years ended December 31, 2021, 2020 and 2019 were as follows (in thousands):</w:t>
      </w:r>
    </w:p>
    <w:p>
      <w:pPr>
        <w:spacing w:after="0" w:line="112"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Year Ended</w:t>
      </w:r>
    </w:p>
    <w:p>
      <w:pPr>
        <w:jc w:val="center"/>
        <w:ind w:left="7680"/>
        <w:spacing w:after="0"/>
        <w:rPr>
          <w:sz w:val="20"/>
          <w:szCs w:val="20"/>
          <w:color w:val="auto"/>
        </w:rPr>
      </w:pPr>
      <w:r>
        <w:rPr>
          <w:rFonts w:ascii="Arial" w:cs="Arial" w:eastAsia="Arial" w:hAnsi="Arial"/>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r>
      <w:tr>
        <w:trPr>
          <w:trHeight w:val="204"/>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261,169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160,873</w:t>
            </w:r>
          </w:p>
        </w:tc>
      </w:tr>
      <w:tr>
        <w:trPr>
          <w:trHeight w:val="207"/>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52,663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58,623</w:t>
            </w:r>
          </w:p>
        </w:tc>
      </w:tr>
      <w:tr>
        <w:trPr>
          <w:trHeight w:val="23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313,832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219,496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geographic disaggregation information in Note 13.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i w:val="1"/>
          <w:iCs w:val="1"/>
          <w:color w:val="auto"/>
        </w:rPr>
        <w:t>IoT &amp; Mobile Solutions</w:t>
      </w:r>
      <w:r>
        <w:rPr>
          <w:rFonts w:ascii="Arial" w:cs="Arial" w:eastAsia="Arial" w:hAnsi="Arial"/>
          <w:sz w:val="16"/>
          <w:szCs w:val="16"/>
          <w:color w:val="auto"/>
        </w:rPr>
        <w:t>. The IoT &amp; Mobile Solutions portfolio is comprised of end-to-end edge to cloud solutions including 4G LTE mobile broadband</w:t>
      </w:r>
      <w:r>
        <w:rPr>
          <w:rFonts w:ascii="Arial" w:cs="Arial" w:eastAsia="Arial" w:hAnsi="Arial"/>
          <w:sz w:val="16"/>
          <w:szCs w:val="16"/>
          <w:i w:val="1"/>
          <w:iCs w:val="1"/>
          <w:color w:val="auto"/>
        </w:rPr>
        <w:t xml:space="preserve"> </w:t>
      </w:r>
      <w:r>
        <w:rPr>
          <w:rFonts w:ascii="Arial" w:cs="Arial" w:eastAsia="Arial" w:hAnsi="Arial"/>
          <w:sz w:val="16"/>
          <w:szCs w:val="16"/>
          <w:color w:val="auto"/>
        </w:rPr>
        <w:t>gateways, routers, modems, hotspots, HD quality VoLTE based wireless home phones, cloud management software and an advanced 5G portfolio of products (currently in various stages of development). The solutions are offered under the MiFi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brand for consumer and business markets, and under the Skyus brand for industrial IoT markets. IoT &amp; Mobile Solutions also includes Inseego Subscribe</w:t>
      </w:r>
      <w:r>
        <w:rPr>
          <w:rFonts w:ascii="Arial" w:cs="Arial" w:eastAsia="Arial" w:hAnsi="Arial"/>
          <w:sz w:val="20"/>
          <w:szCs w:val="20"/>
          <w:color w:val="auto"/>
          <w:vertAlign w:val="superscript"/>
        </w:rPr>
        <w:t>TM</w:t>
      </w:r>
      <w:r>
        <w:rPr>
          <w:rFonts w:ascii="Arial" w:cs="Arial" w:eastAsia="Arial" w:hAnsi="Arial"/>
          <w:sz w:val="16"/>
          <w:szCs w:val="16"/>
          <w:color w:val="auto"/>
        </w:rPr>
        <w:t>, a hosted SaaS platform that helps organizations manage the selection, deployment and spend of their customer’s wireless assets, helping them save money on personnel and telecom expenses.</w:t>
      </w:r>
    </w:p>
    <w:p>
      <w:pPr>
        <w:spacing w:after="0" w:line="131"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i w:val="1"/>
          <w:iCs w:val="1"/>
          <w:color w:val="auto"/>
        </w:rPr>
        <w:t>Enterprise SaaS Solutions</w:t>
      </w:r>
      <w:r>
        <w:rPr>
          <w:rFonts w:ascii="Arial" w:cs="Arial" w:eastAsia="Arial" w:hAnsi="Arial"/>
          <w:sz w:val="16"/>
          <w:szCs w:val="16"/>
          <w:color w:val="auto"/>
        </w:rPr>
        <w:t>. The Enterprise SaaS Solutions portfolio consists of various subscription offerings to gain access to the Company’s Ctrack telematics</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which provide fleet vehicle, aviation ground vehicle and asset tracking and performance information, and other telematics applications.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16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The Company follows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spacing w:after="0" w:line="13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56" w:lineRule="exact"/>
        <w:rPr>
          <w:sz w:val="20"/>
          <w:szCs w:val="20"/>
          <w:color w:val="auto"/>
        </w:rPr>
      </w:pPr>
    </w:p>
    <w:p>
      <w:pPr>
        <w:ind w:left="940" w:hanging="30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 w:lineRule="exact"/>
        <w:rPr>
          <w:rFonts w:ascii="Arial" w:cs="Arial" w:eastAsia="Arial" w:hAnsi="Arial"/>
          <w:sz w:val="18"/>
          <w:szCs w:val="18"/>
          <w:color w:val="auto"/>
        </w:rPr>
      </w:pPr>
    </w:p>
    <w:p>
      <w:pPr>
        <w:ind w:left="940" w:hanging="30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3" w:lineRule="exact"/>
        <w:rPr>
          <w:rFonts w:ascii="Arial" w:cs="Arial" w:eastAsia="Arial" w:hAnsi="Arial"/>
          <w:sz w:val="18"/>
          <w:szCs w:val="18"/>
          <w:color w:val="auto"/>
        </w:rPr>
      </w:pPr>
    </w:p>
    <w:p>
      <w:pPr>
        <w:ind w:left="940" w:hanging="30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138" w:lineRule="exact"/>
        <w:rPr>
          <w:sz w:val="20"/>
          <w:szCs w:val="20"/>
          <w:color w:val="auto"/>
        </w:rPr>
      </w:pPr>
    </w:p>
    <w:p>
      <w:pPr>
        <w:jc w:val="both"/>
        <w:ind w:right="580"/>
        <w:spacing w:after="0" w:line="252"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13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i w:val="1"/>
          <w:iCs w:val="1"/>
          <w:color w:val="auto"/>
        </w:rPr>
        <w:t xml:space="preserve">SaaS and Other Services. </w:t>
      </w:r>
      <w:r>
        <w:rPr>
          <w:rFonts w:ascii="Arial" w:cs="Arial" w:eastAsia="Arial" w:hAnsi="Arial"/>
          <w:sz w:val="16"/>
          <w:szCs w:val="16"/>
          <w:color w:val="auto"/>
        </w:rPr>
        <w:t>SaaS subscription revenue is recognized over time on a ratable basis over the contract term beginning on the date that its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Because the Company’s rental asset lease contracts qualify as operating leases under Accounting Standards Codification (“ASC”) 842, </w:t>
      </w:r>
      <w:r>
        <w:rPr>
          <w:rFonts w:ascii="Arial" w:cs="Arial" w:eastAsia="Arial" w:hAnsi="Arial"/>
          <w:sz w:val="16"/>
          <w:szCs w:val="16"/>
          <w:i w:val="1"/>
          <w:iCs w:val="1"/>
          <w:color w:val="auto"/>
        </w:rPr>
        <w:t>Leases (“ASC 842”)</w:t>
      </w:r>
      <w:r>
        <w:rPr>
          <w:rFonts w:ascii="Arial" w:cs="Arial" w:eastAsia="Arial" w:hAnsi="Arial"/>
          <w:sz w:val="16"/>
          <w:szCs w:val="16"/>
          <w:color w:val="auto"/>
        </w:rPr>
        <w:t>,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5"/>
          <w:szCs w:val="15"/>
          <w:i w:val="1"/>
          <w:iCs w:val="1"/>
          <w:color w:val="auto"/>
        </w:rPr>
        <w:t xml:space="preserve">Maintenance and support services revenue. </w:t>
      </w:r>
      <w:r>
        <w:rPr>
          <w:rFonts w:ascii="Arial" w:cs="Arial" w:eastAsia="Arial" w:hAnsi="Arial"/>
          <w:sz w:val="15"/>
          <w:szCs w:val="15"/>
          <w:color w:val="auto"/>
        </w:rPr>
        <w:t>Within cost of revenue, the Company records an estimate to reflect its standard warranty obligation to end users to</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for replacement of a defective product. The standard obligation period for most regions is 12 months. Factors that affect the warranty obligation include product failure rates, material usage, and service delivery costs incurred in correcting product failures. The Company’s estimated allowances for product warranties can vary from actual results and the Company may have to record additional charges to cost of revenue. Periodically, the Company sells separately-priced warranty contracts that extend beyond the 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112"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i w:val="1"/>
          <w:iCs w:val="1"/>
          <w:color w:val="auto"/>
        </w:rPr>
        <w:t xml:space="preserve">Professional services revenue. </w:t>
      </w:r>
      <w:r>
        <w:rPr>
          <w:rFonts w:ascii="Arial" w:cs="Arial" w:eastAsia="Arial" w:hAnsi="Arial"/>
          <w:sz w:val="15"/>
          <w:szCs w:val="15"/>
          <w:color w:val="auto"/>
        </w:rPr>
        <w:t>From time to time, the Company enters into special engineering design service agreements. Revenues from engineering design</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8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recognizes revenue on a net basis. The portion of the gross amount billed to customers that is remitted by the Company to another party is not reflected as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6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41"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8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09"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2021 or 2020.</w:t>
      </w:r>
    </w:p>
    <w:p>
      <w:pPr>
        <w:spacing w:after="0" w:line="1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Applying the practical expedient in paragraph 40-25-4 of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0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 As of December 31, 2021 and 2020, the Company had $3.8 million and $3.0 million, respectively, of contract liabilities included within accrued expenses and other current liabilities, and other long-term liabilities on the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16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10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16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Company recognizes an allowance for credit loss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the Company reported $26.8 million and $29.9 million, respectively, of accounts receivable, net of allowances of</w:t>
      </w:r>
    </w:p>
    <w:p>
      <w:pPr>
        <w:spacing w:after="0" w:line="38"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$0.4 million and $1.4 million, respectively. The Company has not seen significant changes to the recovery rate of its accounts receivable as a result of the COVID-19 pandemic, but it is continuing to actively monitor the impact of the COVID-19 pandemic on its expected credit losses.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Inventories are stated at the lower of cost (first-in, first-out method) or net realizable value.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115" w:lineRule="exact"/>
        <w:rPr>
          <w:sz w:val="20"/>
          <w:szCs w:val="20"/>
          <w:color w:val="auto"/>
        </w:rPr>
      </w:pPr>
    </w:p>
    <w:p>
      <w:pPr>
        <w:jc w:val="both"/>
        <w:ind w:right="340"/>
        <w:spacing w:after="0" w:line="252"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Intangible assets include purchased finite-lived and indefinite-lived intangible assets resulting from the acquisitions of DigiCore Holdings Limited (“DigiCore” or “Ctrack”) and R.E.R. Enterprises, Inc. (“RER”) and its wholly owned subsidiary and principal operating asset, Feeney Wireless, LLC (which was renamed Inseego North America, LLC) (“INA”), along with the costs of non-exclusive and perpetual worldwide software technology licenses and capitalized software developments costs for both internal and external use. Finite-lived intangible assets are amortized on a straight-line basis over the estimated useful lives of the assets (see Note 3.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 for External Use</w:t>
      </w:r>
    </w:p>
    <w:p>
      <w:pPr>
        <w:spacing w:after="0" w:line="1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Software development costs for external use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At each balance sheet date, the unamortized capitalized software development costs for external use is compared to the net realizable value of that product by analyzing critical inputs such as expected future lifetime revenue. The amount by which unamortized software costs exceed the net realizable value, if any, is recognized as a charge to amortization expense in the period it is determined. Costs incurred to enhance existing software or after the software is available for general release to customers are expensed in the period they are incurred and included in research and development expense in the consolidated statements of operations.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 for Internal Use</w:t>
      </w:r>
    </w:p>
    <w:p>
      <w:pPr>
        <w:spacing w:after="0" w:line="16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and included in general and administrative expense in the consolidated statement of operations. The Company tests these assets for impairment whenever events or circumstances occur that could impact their recoverability. For the years ended December 31, 2021, 2020, and 2019 the Company recorded $1.2 million, $1.4 million and zero impairment loss, respectively, related to software development costs for internal 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Indefinite-Lived Intangible Assets</w:t>
      </w:r>
    </w:p>
    <w:p>
      <w:pPr>
        <w:spacing w:after="0" w:line="10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Indefinite-lived intangible assets, including in-process capitalized software development costs, are not amortized; however, they are tested for impairment annually, and between annual tests, if certain events occur indicating that the carrying amounts may be impaired. The Company performs an annual impairment review of indefinite-lived assets during the fourth fiscal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Company’s reporting unit is less than its carrying amount. The Company’s qualitative assessment of the recoverability of indefinite-lived assets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net book value. For the years ended December 31, 2021, 2020 and 2019 the Company recorded zero impairment loss related to indefinite-lived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Goodwill represents the excess purchase price over estimated fair value of net assets of businesses acquired in a business combination. The Company’s goodwill results from the acquisitions of Ctrack and RER.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w:t>
      </w:r>
    </w:p>
    <w:p>
      <w:pPr>
        <w:spacing w:after="0" w:line="1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Indefinite-lived intangible assets, including goodwill, are not amortized; however, they are tested for impairment annually, and between annual tests, if certain events occur indicating that the carrying amounts may be impaired. The Company performs an annual impairment review of indefinite-lived assets during the fourth fiscal quarter of each year, and more frequently if the Company believes indicators of impairment exist. 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of the recoverability of indefinite-lived assets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net book value. The Company identified two reporting units for the purpose of goodwill impairment testing, Ctrack and INA, and performed a qualitative test for goodwill impairment of the two reporting units during the fourth fiscal quarter. Based upon the results of the qualitative testing, the Company believed that it was more-likely-than-not that the fair value of these reporting units were greater than their respective carrying values and therefore performing the next step of impairment test for these reporting units was unnecessary. For the years ended December 31, 2021, 2020 and 2019 the Company recorded zero impairment loss related to goodwill.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1" w:lineRule="exact"/>
        <w:rPr>
          <w:sz w:val="20"/>
          <w:szCs w:val="20"/>
          <w:color w:val="auto"/>
        </w:rPr>
      </w:pPr>
    </w:p>
    <w:p>
      <w:pPr>
        <w:ind w:right="20"/>
        <w:spacing w:after="0" w:line="215" w:lineRule="exact"/>
        <w:rPr>
          <w:sz w:val="20"/>
          <w:szCs w:val="20"/>
          <w:color w:val="auto"/>
        </w:rPr>
      </w:pPr>
      <w:r>
        <w:rPr>
          <w:rFonts w:ascii="Arial" w:cs="Arial" w:eastAsia="Arial" w:hAnsi="Arial"/>
          <w:sz w:val="15"/>
          <w:szCs w:val="15"/>
          <w:color w:val="auto"/>
        </w:rPr>
        <w:t>Research and development expense consists primarily of personnel costs for our engineers engaged in the design and development of our products, software and technologies, including salary, bonus and share</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project material costs, services, depreciation and amortization. Such costs are charged to research and development expense as they are incurred, to the extent not capitalized as software development costs for external or internal use.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1"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5"/>
          <w:szCs w:val="15"/>
          <w:i w:val="1"/>
          <w:iCs w:val="1"/>
          <w:color w:val="auto"/>
        </w:rPr>
        <w:t>.</w:t>
      </w:r>
      <w:r>
        <w:rPr>
          <w:rFonts w:ascii="Arial" w:cs="Arial" w:eastAsia="Arial" w:hAnsi="Arial"/>
          <w:sz w:val="15"/>
          <w:szCs w:val="15"/>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years ended December 31, 2021, 2020 and 2019 the Company had zero impairment loss related to long-lived assets, except for the impairment of the capitalized software development costs for internal use, noted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Property, plant and equipment are initially stated at cost and depreciated using the straight-line method. Land is not depreciated. Buildings are depreciated over 50 years. Leasehold improvements are depreciated over the shorter of the related remaining lease period or useful life, not to exceed 5 years. Product tooling is depreciated over 13 months. Computer equipment, purchased software, vehicles, production equipment, and furniture and fixtures, are depreciated over lives ranging from 2 to 7 years. Amortization of equipment under capital leases is included in depreciation expense.</w:t>
      </w:r>
    </w:p>
    <w:p>
      <w:pPr>
        <w:spacing w:after="0" w:line="55"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09" w:lineRule="exact"/>
        <w:rPr>
          <w:sz w:val="20"/>
          <w:szCs w:val="20"/>
          <w:color w:val="auto"/>
        </w:rPr>
      </w:pPr>
    </w:p>
    <w:p>
      <w:pPr>
        <w:spacing w:after="0" w:line="327" w:lineRule="auto"/>
        <w:rPr>
          <w:sz w:val="20"/>
          <w:szCs w:val="20"/>
          <w:color w:val="auto"/>
        </w:rPr>
      </w:pPr>
      <w:r>
        <w:rPr>
          <w:rFonts w:ascii="Arial" w:cs="Arial" w:eastAsia="Arial" w:hAnsi="Arial"/>
          <w:sz w:val="15"/>
          <w:szCs w:val="15"/>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Instruments</w:t>
      </w:r>
    </w:p>
    <w:p>
      <w:pPr>
        <w:spacing w:after="0" w:line="16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The Company evaluates embedded features within convertible debt that will be settled in shares upon conversion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to determine whether the embedded feature(s) should be bifurcated from the host instrument and accounted for as a derivative at fair value with changes in fair value recorded in earnings.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If an embedded derivative is bifurcated from share-settled convertible debt,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total on the consolidated balance sheet. The derivative liability will be remeasured at each reporting period with changes in fair value recorded in the consolidated statements of operations in 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Inseego as a Lessee</w:t>
      </w:r>
    </w:p>
    <w:p>
      <w:pPr>
        <w:spacing w:after="0" w:line="161"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Company determines if an arrangement is a lease at inception. The Company’s operating lease agreements are primarily for real estate and are included within right-of-use assets, net, accrued expenses and other current liabilities, and other long-term liabilities on the consolidated balance sheets. The Company elected the practical expedient to combine its lease and related non-lease components for all its leases.</w:t>
      </w:r>
    </w:p>
    <w:p>
      <w:pPr>
        <w:spacing w:after="0" w:line="10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Variable lease payments that do not depend on an index or rate are excluded from the ROU assets and lease liabilities and are recognized in the period in which the obligation for those payments is incurred. The Company uses its incremental borrowing rate based on the information available at commencement date in determining the present value of lease payments. ROU assets also include any lease prepayments made and exclude lease incentives. Many of the Company’s lessee agreements include options to extend the lease, which are not included in the Company’s minimum lease terms unless they are reasonably certain to be exercised. Rental expense for lease payments related to operating leases is recognized on a straight-line basis over the lease term.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Inseego as a Lessor</w:t>
      </w:r>
    </w:p>
    <w:p>
      <w:pPr>
        <w:spacing w:after="0" w:line="161" w:lineRule="exact"/>
        <w:rPr>
          <w:sz w:val="20"/>
          <w:szCs w:val="20"/>
          <w:color w:val="auto"/>
        </w:rPr>
      </w:pPr>
    </w:p>
    <w:p>
      <w:pPr>
        <w:ind w:right="120"/>
        <w:spacing w:after="0" w:line="362" w:lineRule="auto"/>
        <w:rPr>
          <w:sz w:val="20"/>
          <w:szCs w:val="20"/>
          <w:color w:val="auto"/>
        </w:rPr>
      </w:pPr>
      <w:r>
        <w:rPr>
          <w:rFonts w:ascii="Arial" w:cs="Arial" w:eastAsia="Arial" w:hAnsi="Arial"/>
          <w:sz w:val="15"/>
          <w:szCs w:val="15"/>
          <w:color w:val="auto"/>
        </w:rPr>
        <w:t>The Company serves as lessor for certain monitoring device leases and classifies such arrangements as operating leases. Accordingly, the Company carries rental devices at historical cost less accumulated depreciation and impairment, if any, and are included in rental assets, net, on the consolidated balance sheets.</w:t>
      </w:r>
    </w:p>
    <w:p>
      <w:pPr>
        <w:spacing w:after="0" w:line="59"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0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these transactions that result from foreign currency changes in the period in which they occur as foreign currency transaction gain (loss), which is recorded as other income (expense), net, in the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9" w:lineRule="exact"/>
        <w:rPr>
          <w:sz w:val="20"/>
          <w:szCs w:val="20"/>
          <w:color w:val="auto"/>
        </w:rPr>
      </w:pPr>
    </w:p>
    <w:p>
      <w:pPr>
        <w:jc w:val="both"/>
        <w:ind w:right="420"/>
        <w:spacing w:after="0" w:line="299" w:lineRule="auto"/>
        <w:rPr>
          <w:sz w:val="20"/>
          <w:szCs w:val="20"/>
          <w:color w:val="auto"/>
        </w:rPr>
      </w:pPr>
      <w:r>
        <w:rPr>
          <w:rFonts w:ascii="Arial" w:cs="Arial" w:eastAsia="Arial" w:hAnsi="Arial"/>
          <w:sz w:val="16"/>
          <w:szCs w:val="16"/>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108"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10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has granted stock options and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a blended volatility estimate that consists of implied volatility and historical volatility in order to estimate the expected volatility assumption of the Black-Scholes model.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11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common stock on the date of grant.</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138" w:lineRule="exact"/>
        <w:rPr>
          <w:sz w:val="20"/>
          <w:szCs w:val="20"/>
          <w:color w:val="auto"/>
        </w:rPr>
      </w:pPr>
    </w:p>
    <w:p>
      <w:pPr>
        <w:ind w:right="260"/>
        <w:spacing w:after="0" w:line="327" w:lineRule="auto"/>
        <w:rPr>
          <w:sz w:val="20"/>
          <w:szCs w:val="20"/>
          <w:color w:val="auto"/>
        </w:rPr>
      </w:pPr>
      <w:r>
        <w:rPr>
          <w:rFonts w:ascii="Arial" w:cs="Arial" w:eastAsia="Arial" w:hAnsi="Arial"/>
          <w:sz w:val="15"/>
          <w:szCs w:val="15"/>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Inseego Corp.</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earnings per share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9"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color w:val="auto"/>
        </w:rPr>
        <w:t>The Company’s fair value measurements relate to its cash equivalents, money market funds and an embedded derivative in the 2025 Notes, which are classified pursuant to authoritative guidance for fair value measurements. The Company places its cash equivalents in instruments that meet credit quality standards, as specified in its investment policy guidelines. These guidelines also limit the amount of credit exposure to any one issue, issuer or type of instrument.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consist principally of long-term debt. From time to time, the Company may utilize foreign exchange forward contracts.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valued using pricing models that take into account the currency rates as of the balance sheet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consists of net earnings and foreign currency translation adjustments.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4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In December 2019, the Financial Accounting Standards Board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which simplifies the accounting for income taxes, eliminates certain exceptions within ASC 740, Income Taxes, and clarifies certain aspects of the current guidance to promote consistency among reporting entities. ASU 2019-12 is effective for the Company no later than the first quarter of fiscal 2021. Most amendments within the standard are required to be applied on a prospective basis, while certain amendments must be applied on a retrospective or modified retrospective basis. The Company adopted the provisions of ASU 2019-12 in the first quarter of fiscal 2021. There was no material impact from the adoption of this pronouncement to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Debt-Modifications and Extinguishments (Subtopic 470-50), Compensation-Stock Compensation (Topic 718), and Derivatives and Hedging-Contracts in Entity’s Own Equity (Subtopic 815-40)</w:t>
      </w:r>
      <w:r>
        <w:rPr>
          <w:rFonts w:ascii="Arial" w:cs="Arial" w:eastAsia="Arial" w:hAnsi="Arial"/>
          <w:sz w:val="16"/>
          <w:szCs w:val="16"/>
          <w:color w:val="auto"/>
        </w:rPr>
        <w:t>. The new ASU addresses issuer’s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certain modifications or exchanges of freestanding equity-classified written call options. This amendment is effective for all entities for fiscal years beginning after December 15, 2021, including interim periods within those fiscal years. Early adoption is permitted. The Company is currently evaluating the impact that this new guidance will have on its consolidated financial statements.</w:t>
      </w:r>
    </w:p>
    <w:p>
      <w:pPr>
        <w:spacing w:after="0" w:line="11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 xml:space="preserve">In August 2020, the FASB issued Accounting Standards Update (“ASU”) 2020-06, </w:t>
      </w:r>
      <w:r>
        <w:rPr>
          <w:rFonts w:ascii="Arial" w:cs="Arial" w:eastAsia="Arial" w:hAnsi="Arial"/>
          <w:sz w:val="16"/>
          <w:szCs w:val="16"/>
          <w:i w:val="1"/>
          <w:iCs w:val="1"/>
          <w:color w:val="auto"/>
        </w:rPr>
        <w: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Hedging-Contracts in Entity's Own Equity (Subtopic 815-40)-Accounting For Convertible Instruments and Contracts in an Entity's Own Equity</w:t>
      </w:r>
      <w:r>
        <w:rPr>
          <w:rFonts w:ascii="Arial" w:cs="Arial" w:eastAsia="Arial" w:hAnsi="Arial"/>
          <w:sz w:val="16"/>
          <w:szCs w:val="16"/>
          <w:color w:val="auto"/>
        </w:rPr>
        <w:t>. The ASU simplifies accounting for convertible instruments by removing major separation models required under current GAAP. Consequently, more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The new guidance is effective for annual and interim periods beginning after December 15, 2021, and early adoption is permitted for fiscal years beginning after December 15, 2020, and interim periods within those fiscal years. The Company is currently evaluating the impact that this new guidance will have on its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2"/>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20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33,112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4,290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r>
      <w:tr>
        <w:trPr>
          <w:trHeight w:val="229"/>
        </w:trPr>
        <w:tc>
          <w:tcPr>
            <w:tcW w:w="8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37,402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consists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2"/>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20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Rebate receivables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Receivables from contract manufacturers</w:t>
            </w: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2,626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licenses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Financed assets</w:t>
            </w: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04"/>
        </w:trPr>
        <w:tc>
          <w:tcPr>
            <w:tcW w:w="87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13,624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10,201</w:t>
            </w:r>
          </w:p>
        </w:tc>
      </w:tr>
      <w:tr>
        <w:trPr>
          <w:trHeight w:val="23"/>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1"/>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2,213</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Test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16,775</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Computer equipment and purchased software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7,618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7,899</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tooling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r>
      <w:tr>
        <w:trPr>
          <w:trHeight w:val="207"/>
        </w:trPr>
        <w:tc>
          <w:tcPr>
            <w:tcW w:w="8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34,794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35,414</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Less—accumulated depreciation and amortization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(21,715)</w:t>
            </w:r>
          </w:p>
        </w:tc>
      </w:tr>
      <w:tr>
        <w:trPr>
          <w:trHeight w:val="229"/>
        </w:trPr>
        <w:tc>
          <w:tcPr>
            <w:tcW w:w="8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8,102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right="360" w:firstLine="395"/>
        <w:spacing w:after="0" w:line="252" w:lineRule="auto"/>
        <w:rPr>
          <w:sz w:val="20"/>
          <w:szCs w:val="20"/>
          <w:color w:val="auto"/>
        </w:rPr>
      </w:pPr>
      <w:r>
        <w:rPr>
          <w:rFonts w:ascii="Arial" w:cs="Arial" w:eastAsia="Arial" w:hAnsi="Arial"/>
          <w:sz w:val="18"/>
          <w:szCs w:val="18"/>
          <w:color w:val="auto"/>
        </w:rPr>
        <w:t>At December 31, 2021, the Company had property, plant and equipment under finance leases with an aggregate carrying value of $3.1 million, net of accumulated amortization of $1.3 million. At December 31, 2020, the Company had property, plant and equipment under finance leases with an aggregate carrying value of $2.6 million, net of accumulated amortization of $1.0 million.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Rental assets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91"/>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345"/>
              <w:spacing w:after="0"/>
              <w:rPr>
                <w:sz w:val="20"/>
                <w:szCs w:val="20"/>
                <w:color w:val="auto"/>
              </w:rPr>
            </w:pPr>
            <w:r>
              <w:rPr>
                <w:rFonts w:ascii="Arial" w:cs="Arial" w:eastAsia="Arial" w:hAnsi="Arial"/>
                <w:sz w:val="16"/>
                <w:szCs w:val="16"/>
                <w:color w:val="auto"/>
                <w:w w:val="84"/>
              </w:rPr>
              <w:t>9,967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21,863</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Less—accumulated depreciation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305"/>
              <w:spacing w:after="0"/>
              <w:rPr>
                <w:sz w:val="20"/>
                <w:szCs w:val="20"/>
                <w:color w:val="auto"/>
              </w:rPr>
            </w:pPr>
            <w:r>
              <w:rPr>
                <w:rFonts w:ascii="Arial" w:cs="Arial" w:eastAsia="Arial" w:hAnsi="Arial"/>
                <w:sz w:val="16"/>
                <w:szCs w:val="16"/>
                <w:color w:val="auto"/>
                <w:w w:val="90"/>
              </w:rPr>
              <w:t>(5,392)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(15,754)</w:t>
            </w:r>
          </w:p>
        </w:tc>
      </w:tr>
      <w:tr>
        <w:trPr>
          <w:trHeight w:val="229"/>
        </w:trPr>
        <w:tc>
          <w:tcPr>
            <w:tcW w:w="8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center"/>
              <w:ind w:left="345"/>
              <w:spacing w:after="0"/>
              <w:rPr>
                <w:sz w:val="20"/>
                <w:szCs w:val="20"/>
                <w:color w:val="auto"/>
              </w:rPr>
            </w:pPr>
            <w:r>
              <w:rPr>
                <w:rFonts w:ascii="Arial" w:cs="Arial" w:eastAsia="Arial" w:hAnsi="Arial"/>
                <w:sz w:val="16"/>
                <w:szCs w:val="16"/>
                <w:color w:val="auto"/>
                <w:w w:val="84"/>
              </w:rPr>
              <w:t>4,575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385" w:lineRule="exact"/>
        <w:rPr>
          <w:sz w:val="20"/>
          <w:szCs w:val="20"/>
          <w:color w:val="auto"/>
        </w:rPr>
      </w:pPr>
    </w:p>
    <w:p>
      <w:pPr>
        <w:ind w:right="200" w:firstLine="395"/>
        <w:spacing w:after="0" w:line="324" w:lineRule="auto"/>
        <w:rPr>
          <w:sz w:val="20"/>
          <w:szCs w:val="20"/>
          <w:color w:val="auto"/>
        </w:rPr>
      </w:pPr>
      <w:r>
        <w:rPr>
          <w:rFonts w:ascii="Arial" w:cs="Arial" w:eastAsia="Arial" w:hAnsi="Arial"/>
          <w:sz w:val="16"/>
          <w:szCs w:val="16"/>
          <w:color w:val="auto"/>
        </w:rPr>
        <w:t>Depreciation and amortization expense related to property, plant and equipment, including rental assets and property, plant and equipment under capital leases was $9.8 million, $10.0 million and $8.8 million for the years ended December 31, 2021, 2020 and 2019,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2"/>
        </w:trPr>
        <w:tc>
          <w:tcPr>
            <w:tcW w:w="87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96"/>
              </w:rPr>
              <w:t>2020</w:t>
            </w:r>
          </w:p>
        </w:tc>
      </w:tr>
      <w:tr>
        <w:trPr>
          <w:trHeight w:val="20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07"/>
        </w:trPr>
        <w:tc>
          <w:tcPr>
            <w:tcW w:w="874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6,006</w:t>
            </w:r>
          </w:p>
        </w:tc>
      </w:tr>
      <w:tr>
        <w:trPr>
          <w:trHeight w:val="21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obligations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7"/>
        </w:trPr>
        <w:tc>
          <w:tcPr>
            <w:tcW w:w="87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overdrafts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07"/>
        </w:trPr>
        <w:tc>
          <w:tcPr>
            <w:tcW w:w="87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r>
      <w:tr>
        <w:trPr>
          <w:trHeight w:val="207"/>
        </w:trPr>
        <w:tc>
          <w:tcPr>
            <w:tcW w:w="87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1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contract manufacturing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07"/>
        </w:trPr>
        <w:tc>
          <w:tcPr>
            <w:tcW w:w="8740" w:type="dxa"/>
            <w:vAlign w:val="bottom"/>
          </w:tcPr>
          <w:p>
            <w:pPr>
              <w:ind w:left="20"/>
              <w:spacing w:after="0"/>
              <w:rPr>
                <w:sz w:val="20"/>
                <w:szCs w:val="20"/>
                <w:color w:val="auto"/>
              </w:rPr>
            </w:pPr>
            <w:r>
              <w:rPr>
                <w:rFonts w:ascii="Arial" w:cs="Arial" w:eastAsia="Arial" w:hAnsi="Arial"/>
                <w:sz w:val="16"/>
                <w:szCs w:val="16"/>
                <w:color w:val="auto"/>
              </w:rPr>
              <w:t>Liabilities related to financed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2,686</w:t>
            </w:r>
          </w:p>
        </w:tc>
      </w:tr>
      <w:tr>
        <w:trPr>
          <w:trHeight w:val="214"/>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Value added tax payables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r>
      <w:tr>
        <w:trPr>
          <w:trHeight w:val="207"/>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w:t>
            </w:r>
          </w:p>
        </w:tc>
      </w:tr>
      <w:tr>
        <w:trPr>
          <w:trHeight w:val="229"/>
        </w:trPr>
        <w:tc>
          <w:tcPr>
            <w:tcW w:w="8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33,659</w:t>
            </w:r>
          </w:p>
        </w:tc>
      </w:tr>
      <w:tr>
        <w:trPr>
          <w:trHeight w:val="207"/>
        </w:trPr>
        <w:tc>
          <w:tcPr>
            <w:tcW w:w="10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Effect of change in foreign currency exchange rates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r>
      <w:tr>
        <w:trPr>
          <w:trHeight w:val="207"/>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32,511</w:t>
            </w:r>
          </w:p>
        </w:tc>
      </w:tr>
      <w:tr>
        <w:trPr>
          <w:trHeight w:val="207"/>
        </w:trPr>
        <w:tc>
          <w:tcPr>
            <w:tcW w:w="10000" w:type="dxa"/>
            <w:vAlign w:val="bottom"/>
          </w:tcPr>
          <w:p>
            <w:pPr>
              <w:ind w:left="220"/>
              <w:spacing w:after="0"/>
              <w:rPr>
                <w:sz w:val="20"/>
                <w:szCs w:val="20"/>
                <w:color w:val="auto"/>
              </w:rPr>
            </w:pPr>
            <w:r>
              <w:rPr>
                <w:rFonts w:ascii="Arial" w:cs="Arial" w:eastAsia="Arial" w:hAnsi="Arial"/>
                <w:sz w:val="16"/>
                <w:szCs w:val="16"/>
                <w:color w:val="auto"/>
              </w:rPr>
              <w:t>Effect of Ctrack South Africa divestiture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(10,734)</w:t>
            </w:r>
          </w:p>
        </w:tc>
      </w:tr>
      <w:tr>
        <w:trPr>
          <w:trHeight w:val="214"/>
        </w:trPr>
        <w:tc>
          <w:tcPr>
            <w:tcW w:w="10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change in foreign currency exchange rates</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00"/>
        </w:trPr>
        <w:tc>
          <w:tcPr>
            <w:tcW w:w="100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20,336</w:t>
            </w:r>
          </w:p>
        </w:tc>
      </w:tr>
      <w:tr>
        <w:trPr>
          <w:trHeight w:val="23"/>
        </w:trPr>
        <w:tc>
          <w:tcPr>
            <w:tcW w:w="10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080" w:type="dxa"/>
            <w:vAlign w:val="bottom"/>
          </w:tcPr>
          <w:p>
            <w:pPr>
              <w:spacing w:after="0"/>
              <w:rPr>
                <w:sz w:val="11"/>
                <w:szCs w:val="11"/>
                <w:color w:val="auto"/>
              </w:rPr>
            </w:pPr>
          </w:p>
        </w:tc>
        <w:tc>
          <w:tcPr>
            <w:tcW w:w="13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9"/>
              </w:rPr>
              <w:t>Weighted-Average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32"/>
        </w:trPr>
        <w:tc>
          <w:tcPr>
            <w:tcW w:w="6080" w:type="dxa"/>
            <w:vAlign w:val="bottom"/>
          </w:tcPr>
          <w:p>
            <w:pPr>
              <w:spacing w:after="0"/>
              <w:rPr>
                <w:sz w:val="11"/>
                <w:szCs w:val="11"/>
                <w:color w:val="auto"/>
              </w:rPr>
            </w:pPr>
          </w:p>
        </w:tc>
        <w:tc>
          <w:tcPr>
            <w:tcW w:w="130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8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6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technologies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Trademarks and trade names</w:t>
            </w: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relationships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1180" w:type="dxa"/>
            <w:vAlign w:val="bottom"/>
          </w:tcPr>
          <w:p>
            <w:pPr>
              <w:jc w:val="center"/>
              <w:spacing w:after="0"/>
              <w:rPr>
                <w:sz w:val="20"/>
                <w:szCs w:val="20"/>
                <w:color w:val="auto"/>
              </w:rPr>
            </w:pPr>
            <w:r>
              <w:rPr>
                <w:rFonts w:ascii="Arial" w:cs="Arial" w:eastAsia="Arial" w:hAnsi="Arial"/>
                <w:sz w:val="16"/>
                <w:szCs w:val="16"/>
                <w:color w:val="auto"/>
                <w:w w:val="80"/>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54,581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29,977</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3.0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00"/>
        </w:trPr>
        <w:tc>
          <w:tcPr>
            <w:tcW w:w="6080" w:type="dxa"/>
            <w:vAlign w:val="bottom"/>
          </w:tcPr>
          <w:p>
            <w:pPr>
              <w:ind w:left="460"/>
              <w:spacing w:after="0"/>
              <w:rPr>
                <w:sz w:val="20"/>
                <w:szCs w:val="20"/>
                <w:color w:val="auto"/>
              </w:rPr>
            </w:pPr>
            <w:r>
              <w:rPr>
                <w:rFonts w:ascii="Arial" w:cs="Arial" w:eastAsia="Arial" w:hAnsi="Arial"/>
                <w:sz w:val="16"/>
                <w:szCs w:val="16"/>
                <w:color w:val="auto"/>
              </w:rPr>
              <w:t>Total finite-lived intangible assets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86,854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(48,404)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38,450</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Indefinite-lived intangible assets:</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In-process capitalized software development costs</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gridSpan w:val="5"/>
            <w:vMerge w:val="restart"/>
          </w:tcPr>
          <w:p>
            <w:pPr>
              <w:ind w:left="5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5"/>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6080" w:type="dxa"/>
            <w:vAlign w:val="bottom"/>
          </w:tcPr>
          <w:p>
            <w:pPr>
              <w:spacing w:after="0"/>
              <w:rPr>
                <w:sz w:val="11"/>
                <w:szCs w:val="11"/>
                <w:color w:val="auto"/>
              </w:rPr>
            </w:pPr>
          </w:p>
        </w:tc>
        <w:tc>
          <w:tcPr>
            <w:tcW w:w="13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9"/>
              </w:rPr>
              <w:t>Weighted-Average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32"/>
        </w:trPr>
        <w:tc>
          <w:tcPr>
            <w:tcW w:w="6080" w:type="dxa"/>
            <w:vAlign w:val="bottom"/>
          </w:tcPr>
          <w:p>
            <w:pPr>
              <w:spacing w:after="0"/>
              <w:rPr>
                <w:sz w:val="11"/>
                <w:szCs w:val="11"/>
                <w:color w:val="auto"/>
              </w:rPr>
            </w:pPr>
          </w:p>
        </w:tc>
        <w:tc>
          <w:tcPr>
            <w:tcW w:w="130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08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6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6080" w:type="dxa"/>
            <w:vAlign w:val="bottom"/>
          </w:tcPr>
          <w:p>
            <w:pPr>
              <w:ind w:left="20"/>
              <w:spacing w:after="0"/>
              <w:rPr>
                <w:sz w:val="20"/>
                <w:szCs w:val="20"/>
                <w:color w:val="auto"/>
              </w:rPr>
            </w:pPr>
            <w:r>
              <w:rPr>
                <w:rFonts w:ascii="Arial" w:cs="Arial" w:eastAsia="Arial" w:hAnsi="Arial"/>
                <w:sz w:val="16"/>
                <w:szCs w:val="16"/>
                <w:color w:val="auto"/>
              </w:rPr>
              <w:t>Finite-lived intangible assets:</w:t>
            </w: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technologies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Trademarks and trade names</w:t>
            </w: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17,823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relationships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Capitalized software development costs</w:t>
            </w:r>
          </w:p>
        </w:tc>
        <w:tc>
          <w:tcPr>
            <w:tcW w:w="1180" w:type="dxa"/>
            <w:vAlign w:val="bottom"/>
          </w:tcPr>
          <w:p>
            <w:pPr>
              <w:jc w:val="center"/>
              <w:spacing w:after="0"/>
              <w:rPr>
                <w:sz w:val="20"/>
                <w:szCs w:val="20"/>
                <w:color w:val="auto"/>
              </w:rPr>
            </w:pPr>
            <w:r>
              <w:rPr>
                <w:rFonts w:ascii="Arial" w:cs="Arial" w:eastAsia="Arial" w:hAnsi="Arial"/>
                <w:sz w:val="16"/>
                <w:szCs w:val="16"/>
                <w:color w:val="auto"/>
                <w:w w:val="80"/>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47,818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16,767</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2.5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0"/>
        </w:trPr>
        <w:tc>
          <w:tcPr>
            <w:tcW w:w="6080" w:type="dxa"/>
            <w:vAlign w:val="bottom"/>
          </w:tcPr>
          <w:p>
            <w:pPr>
              <w:ind w:left="460"/>
              <w:spacing w:after="0"/>
              <w:rPr>
                <w:sz w:val="20"/>
                <w:szCs w:val="20"/>
                <w:color w:val="auto"/>
              </w:rPr>
            </w:pPr>
            <w:r>
              <w:rPr>
                <w:rFonts w:ascii="Arial" w:cs="Arial" w:eastAsia="Arial" w:hAnsi="Arial"/>
                <w:sz w:val="16"/>
                <w:szCs w:val="16"/>
                <w:color w:val="auto"/>
              </w:rPr>
              <w:t>Total finite-lived intangible assets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94,028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31,008</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Indefinite-lived intangible assets:</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In-process capitalized software development costs</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460" w:firstLine="395"/>
        <w:spacing w:after="0" w:line="252" w:lineRule="auto"/>
        <w:rPr>
          <w:sz w:val="20"/>
          <w:szCs w:val="20"/>
          <w:color w:val="auto"/>
        </w:rPr>
      </w:pPr>
      <w:r>
        <w:rPr>
          <w:rFonts w:ascii="Arial" w:cs="Arial" w:eastAsia="Arial" w:hAnsi="Arial"/>
          <w:sz w:val="18"/>
          <w:szCs w:val="18"/>
          <w:color w:val="auto"/>
        </w:rPr>
        <w:t>Amortization expense for the years ended December 31, 2021, 2020 and 2019 was approximately $15.5 million, $18.0 million and $9.7 million, respectively, including approximately $12.2 million, $12.9 million and $4.1 million related to capitalized software development costs for the years ended December 31, 2021, 2020 and 2019, respectively.</w:t>
      </w:r>
    </w:p>
    <w:p>
      <w:pPr>
        <w:spacing w:after="0" w:line="138" w:lineRule="exact"/>
        <w:rPr>
          <w:sz w:val="20"/>
          <w:szCs w:val="20"/>
          <w:color w:val="auto"/>
        </w:rPr>
      </w:pPr>
    </w:p>
    <w:p>
      <w:pPr>
        <w:ind w:right="40" w:firstLine="395"/>
        <w:spacing w:after="0" w:line="324" w:lineRule="auto"/>
        <w:rPr>
          <w:sz w:val="20"/>
          <w:szCs w:val="20"/>
          <w:color w:val="auto"/>
        </w:rPr>
      </w:pPr>
      <w:r>
        <w:rPr>
          <w:rFonts w:ascii="Arial" w:cs="Arial" w:eastAsia="Arial" w:hAnsi="Arial"/>
          <w:sz w:val="16"/>
          <w:szCs w:val="16"/>
          <w:color w:val="auto"/>
        </w:rPr>
        <w:t>The Company recorded impairment losses on intangible assets related to internal use capitalized software during the years ended December 31, 2021 and 2020 of $1.2 million and $1.4 million, respectively. No impairment loss was recorded during the year ended December 31, 2019.</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16,672</w:t>
            </w:r>
          </w:p>
        </w:tc>
      </w:tr>
      <w:tr>
        <w:trPr>
          <w:trHeight w:val="207"/>
        </w:trPr>
        <w:tc>
          <w:tcPr>
            <w:tcW w:w="10000" w:type="dxa"/>
            <w:vAlign w:val="bottom"/>
          </w:tcPr>
          <w:p>
            <w:pPr>
              <w:ind w:left="20"/>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11,572</w:t>
            </w:r>
          </w:p>
        </w:tc>
      </w:tr>
      <w:tr>
        <w:trPr>
          <w:trHeight w:val="214"/>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r>
      <w:tr>
        <w:trPr>
          <w:trHeight w:val="207"/>
        </w:trPr>
        <w:tc>
          <w:tcPr>
            <w:tcW w:w="10000" w:type="dxa"/>
            <w:vAlign w:val="bottom"/>
          </w:tcPr>
          <w:p>
            <w:pPr>
              <w:ind w:left="20"/>
              <w:spacing w:after="0"/>
              <w:rPr>
                <w:sz w:val="20"/>
                <w:szCs w:val="20"/>
                <w:color w:val="auto"/>
              </w:rPr>
            </w:pPr>
            <w:r>
              <w:rPr>
                <w:rFonts w:ascii="Arial" w:cs="Arial" w:eastAsia="Arial" w:hAnsi="Arial"/>
                <w:sz w:val="16"/>
                <w:szCs w:val="16"/>
                <w:color w:val="auto"/>
              </w:rPr>
              <w:t>2025</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2,749</w:t>
            </w:r>
          </w:p>
        </w:tc>
      </w:tr>
      <w:tr>
        <w:trPr>
          <w:trHeight w:val="214"/>
        </w:trPr>
        <w:tc>
          <w:tcPr>
            <w:tcW w:w="10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07"/>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w:t>
            </w:r>
          </w:p>
        </w:tc>
      </w:tr>
      <w:tr>
        <w:trPr>
          <w:trHeight w:val="229"/>
        </w:trPr>
        <w:tc>
          <w:tcPr>
            <w:tcW w:w="10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38,450</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595"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11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7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5" w:lineRule="exact"/>
        <w:rPr>
          <w:sz w:val="20"/>
          <w:szCs w:val="20"/>
          <w:color w:val="auto"/>
        </w:rPr>
      </w:pPr>
    </w:p>
    <w:p>
      <w:pPr>
        <w:ind w:left="1040" w:right="120" w:hanging="631"/>
        <w:spacing w:after="0" w:line="252"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85" w:lineRule="exact"/>
        <w:rPr>
          <w:sz w:val="20"/>
          <w:szCs w:val="20"/>
          <w:color w:val="auto"/>
        </w:rPr>
      </w:pPr>
    </w:p>
    <w:p>
      <w:pPr>
        <w:ind w:left="1040" w:right="280" w:hanging="631"/>
        <w:spacing w:after="0" w:line="250"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5"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Pricing inputs include significant inputs that are generally less observable from objective sources, including the Company’s own assumptions.</w:t>
      </w:r>
    </w:p>
    <w:p>
      <w:pPr>
        <w:spacing w:after="0" w:line="109" w:lineRule="exact"/>
        <w:rPr>
          <w:sz w:val="20"/>
          <w:szCs w:val="20"/>
          <w:color w:val="auto"/>
        </w:rPr>
      </w:pPr>
    </w:p>
    <w:p>
      <w:pPr>
        <w:ind w:right="660" w:firstLine="395"/>
        <w:spacing w:after="0" w:line="252"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years ended December 31, 2021 or 2020.</w:t>
      </w:r>
    </w:p>
    <w:p>
      <w:pPr>
        <w:spacing w:after="0" w:line="138" w:lineRule="exact"/>
        <w:rPr>
          <w:sz w:val="20"/>
          <w:szCs w:val="20"/>
          <w:color w:val="auto"/>
        </w:rPr>
      </w:pPr>
    </w:p>
    <w:p>
      <w:pPr>
        <w:ind w:right="380" w:firstLine="395"/>
        <w:spacing w:after="0" w:line="261"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2021 and 2020 (in thousands):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9"/>
              </w:rPr>
              <w:t>December 31,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1"/>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3"/>
              <w:spacing w:after="0"/>
              <w:rPr>
                <w:sz w:val="20"/>
                <w:szCs w:val="20"/>
                <w:color w:val="auto"/>
              </w:rPr>
            </w:pPr>
            <w:r>
              <w:rPr>
                <w:rFonts w:ascii="Arial" w:cs="Arial" w:eastAsia="Arial" w:hAnsi="Arial"/>
                <w:sz w:val="14"/>
                <w:szCs w:val="14"/>
                <w:b w:val="1"/>
                <w:bCs w:val="1"/>
                <w:color w:val="auto"/>
                <w:w w:val="92"/>
              </w:rPr>
              <w:t>Total Fair Value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940" w:type="dxa"/>
            <w:vAlign w:val="bottom"/>
          </w:tcPr>
          <w:p>
            <w:pPr>
              <w:jc w:val="right"/>
              <w:ind w:right="28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Arial" w:cs="Arial" w:eastAsia="Arial" w:hAnsi="Arial"/>
                <w:sz w:val="14"/>
                <w:szCs w:val="14"/>
                <w:b w:val="1"/>
                <w:bCs w:val="1"/>
                <w:color w:val="auto"/>
              </w:rPr>
              <w:t>Level 1</w:t>
            </w:r>
          </w:p>
        </w:tc>
      </w:tr>
      <w:tr>
        <w:trPr>
          <w:trHeight w:val="185"/>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4"/>
        </w:trPr>
        <w:tc>
          <w:tcPr>
            <w:tcW w:w="36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00"/>
        </w:trPr>
        <w:tc>
          <w:tcPr>
            <w:tcW w:w="36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3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7"/>
        </w:trPr>
        <w:tc>
          <w:tcPr>
            <w:tcW w:w="366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926</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4,898</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fair value of the interest make-whole payment derivative liability was determined using a Monte Carlo model with the following key assumptions: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spacing w:after="0"/>
              <w:rPr>
                <w:sz w:val="16"/>
                <w:szCs w:val="16"/>
                <w:color w:val="auto"/>
              </w:rPr>
            </w:pP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2021</w:t>
            </w:r>
          </w:p>
        </w:tc>
        <w:tc>
          <w:tcPr>
            <w:tcW w:w="17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$5.83 per share</w:t>
            </w:r>
          </w:p>
        </w:tc>
        <w:tc>
          <w:tcPr>
            <w:tcW w:w="1740" w:type="dxa"/>
            <w:vAlign w:val="bottom"/>
          </w:tcPr>
          <w:p>
            <w:pPr>
              <w:jc w:val="right"/>
              <w:spacing w:after="0"/>
              <w:rPr>
                <w:sz w:val="20"/>
                <w:szCs w:val="20"/>
                <w:color w:val="auto"/>
              </w:rPr>
            </w:pPr>
            <w:r>
              <w:rPr>
                <w:rFonts w:ascii="Arial" w:cs="Arial" w:eastAsia="Arial" w:hAnsi="Arial"/>
                <w:sz w:val="16"/>
                <w:szCs w:val="16"/>
                <w:color w:val="auto"/>
              </w:rPr>
              <w:t>$15.47 per share</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15.93 %</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19.25 %</w:t>
            </w:r>
          </w:p>
        </w:tc>
      </w:tr>
      <w:tr>
        <w:trPr>
          <w:trHeight w:val="207"/>
        </w:trPr>
        <w:tc>
          <w:tcPr>
            <w:tcW w:w="7680" w:type="dxa"/>
            <w:vAlign w:val="bottom"/>
          </w:tcPr>
          <w:p>
            <w:pPr>
              <w:ind w:left="20"/>
              <w:spacing w:after="0"/>
              <w:rPr>
                <w:sz w:val="20"/>
                <w:szCs w:val="20"/>
                <w:color w:val="auto"/>
              </w:rPr>
            </w:pPr>
            <w:r>
              <w:rPr>
                <w:rFonts w:ascii="Arial" w:cs="Arial" w:eastAsia="Arial" w:hAnsi="Arial"/>
                <w:sz w:val="16"/>
                <w:szCs w:val="16"/>
                <w:color w:val="auto"/>
              </w:rPr>
              <w:t>Term</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3.34 years</w:t>
            </w:r>
          </w:p>
        </w:tc>
        <w:tc>
          <w:tcPr>
            <w:tcW w:w="1740" w:type="dxa"/>
            <w:vAlign w:val="bottom"/>
          </w:tcPr>
          <w:p>
            <w:pPr>
              <w:jc w:val="right"/>
              <w:spacing w:after="0"/>
              <w:rPr>
                <w:sz w:val="20"/>
                <w:szCs w:val="20"/>
                <w:color w:val="auto"/>
              </w:rPr>
            </w:pPr>
            <w:r>
              <w:rPr>
                <w:rFonts w:ascii="Arial" w:cs="Arial" w:eastAsia="Arial" w:hAnsi="Arial"/>
                <w:sz w:val="16"/>
                <w:szCs w:val="16"/>
                <w:color w:val="auto"/>
              </w:rPr>
              <w:t>4.34 years</w:t>
            </w:r>
          </w:p>
        </w:tc>
      </w:tr>
      <w:tr>
        <w:trPr>
          <w:trHeight w:val="214"/>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4"/>
        </w:trPr>
        <w:tc>
          <w:tcPr>
            <w:tcW w:w="768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40" w:type="dxa"/>
            <w:vAlign w:val="bottom"/>
          </w:tcPr>
          <w:p>
            <w:pPr>
              <w:jc w:val="right"/>
              <w:spacing w:after="0"/>
              <w:rPr>
                <w:sz w:val="20"/>
                <w:szCs w:val="20"/>
                <w:color w:val="auto"/>
              </w:rPr>
            </w:pPr>
            <w:r>
              <w:rPr>
                <w:rFonts w:ascii="Arial" w:cs="Arial" w:eastAsia="Arial" w:hAnsi="Arial"/>
                <w:sz w:val="16"/>
                <w:szCs w:val="16"/>
                <w:color w:val="auto"/>
              </w:rPr>
              <w:t>1.02 %</w:t>
            </w:r>
          </w:p>
        </w:tc>
        <w:tc>
          <w:tcPr>
            <w:tcW w:w="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0.30 %</w:t>
            </w:r>
          </w:p>
        </w:tc>
      </w:tr>
    </w:tbl>
    <w:p>
      <w:pPr>
        <w:spacing w:after="0" w:line="310" w:lineRule="exact"/>
        <w:rPr>
          <w:sz w:val="20"/>
          <w:szCs w:val="20"/>
          <w:color w:val="auto"/>
        </w:rPr>
      </w:pPr>
    </w:p>
    <w:p>
      <w:pPr>
        <w:ind w:right="840" w:firstLine="395"/>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twelve months ended December 31, 2021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as of</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Additions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w w:val="91"/>
              </w:rPr>
              <w:t>Conversions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200" w:type="dxa"/>
            <w:vAlign w:val="bottom"/>
          </w:tcPr>
          <w:p>
            <w:pPr>
              <w:spacing w:after="0"/>
              <w:rPr>
                <w:sz w:val="14"/>
                <w:szCs w:val="14"/>
                <w:color w:val="auto"/>
              </w:rPr>
            </w:pPr>
          </w:p>
        </w:tc>
        <w:tc>
          <w:tcPr>
            <w:tcW w:w="1520" w:type="dxa"/>
            <w:vAlign w:val="bottom"/>
          </w:tcPr>
          <w:p>
            <w:pPr>
              <w:jc w:val="center"/>
              <w:ind w:right="167"/>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2020</w:t>
            </w:r>
          </w:p>
        </w:tc>
        <w:tc>
          <w:tcPr>
            <w:tcW w:w="1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7"/>
              <w:spacing w:after="0"/>
              <w:rPr>
                <w:sz w:val="20"/>
                <w:szCs w:val="20"/>
                <w:color w:val="auto"/>
              </w:rPr>
            </w:pPr>
            <w:r>
              <w:rPr>
                <w:rFonts w:ascii="Arial" w:cs="Arial" w:eastAsia="Arial" w:hAnsi="Arial"/>
                <w:sz w:val="14"/>
                <w:szCs w:val="14"/>
                <w:b w:val="1"/>
                <w:bCs w:val="1"/>
                <w:color w:val="auto"/>
                <w:w w:val="88"/>
              </w:rPr>
              <w:t>December 31, 2021</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68"/>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color w:val="auto"/>
        </w:rPr>
        <w:t xml:space="preserve">The Company evaluated the 2025 Notes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identified an embedded derivative that required bifurcation. The embedded derivative is an interest make-whole payment The estimated fair values of the interest make-whole derivative liability at December 31, 2021 and December 31, 2020 were determined using significant assumptions which include an implied credit spread rate for notes with a similar term, the expected volatility and dividend yield of the Company’s common stock and the risk-free interest rate.</w:t>
      </w:r>
    </w:p>
    <w:p>
      <w:pPr>
        <w:spacing w:after="0" w:line="187" w:lineRule="exact"/>
        <w:rPr>
          <w:sz w:val="20"/>
          <w:szCs w:val="20"/>
          <w:color w:val="auto"/>
        </w:rPr>
      </w:pPr>
    </w:p>
    <w:p>
      <w:pPr>
        <w:ind w:firstLine="395"/>
        <w:spacing w:after="0" w:line="295" w:lineRule="auto"/>
        <w:rPr>
          <w:sz w:val="20"/>
          <w:szCs w:val="20"/>
          <w:color w:val="auto"/>
        </w:rPr>
      </w:pPr>
      <w:r>
        <w:rPr>
          <w:rFonts w:ascii="Arial" w:cs="Arial" w:eastAsia="Arial" w:hAnsi="Arial"/>
          <w:sz w:val="15"/>
          <w:szCs w:val="15"/>
          <w:color w:val="auto"/>
        </w:rPr>
        <w:t>Changes in the fair value of the interest make-whole payment are included in the Company’s consolidated statement of operations for the current fiscal year within other income (expense), net. During the year ended December 31, 2021, certain holders of the 2025 Notes converted an aggregate of approximately $5.0 million in principal amount of the 2025 Notes into shares of the Company’s common stock in accordance with the terms of such notes and a portion of the embedded derivative was settled in shares of the Company’s common stock resulting in $0.1 million of the derivative liability being extinguished upon conversion. As of December 31, 2021 and 2020 the embedded derivative had a fair value of $0.9 million and $4.9 million, respectively. For the years ended December 31, 2021 and 2020 the Company recorded to other income (expense), net, on the consolidated statement of operations a $3.8 million gain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$0.6 million loss, respectively, on the change in fair value.</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years ended December 31, 2021 and 2020, there were no transfers between the levels within the fair value hierarchy.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61"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129"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 xml:space="preserve">On May 12, 2020, the Company issued $180.4 million in aggregate principal amount of 2025 Notes, and restructured its outstanding debt as described further in Note 6. </w:t>
      </w:r>
      <w:r>
        <w:rPr>
          <w:rFonts w:ascii="Arial" w:cs="Arial" w:eastAsia="Arial" w:hAnsi="Arial"/>
          <w:sz w:val="18"/>
          <w:szCs w:val="18"/>
          <w:i w:val="1"/>
          <w:iCs w:val="1"/>
          <w:color w:val="auto"/>
        </w:rPr>
        <w:t>Debt</w:t>
      </w:r>
      <w:r>
        <w:rPr>
          <w:rFonts w:ascii="Arial" w:cs="Arial" w:eastAsia="Arial" w:hAnsi="Arial"/>
          <w:sz w:val="18"/>
          <w:szCs w:val="18"/>
          <w:color w:val="auto"/>
        </w:rPr>
        <w:t>. The Company elected to carry its 2025 Notes at amortized cost adjusted for changes in fair value of the embedded derivative. It is not practicable to determine the fair value of the 2025 Notes due to the lack of information available to calculate the fair value of such notes. As of December 31, 2021, $161.9 million in principal amount of the 2025 Notes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595"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Divestiture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Ctrack South Africa Operations</w:t>
      </w:r>
    </w:p>
    <w:p>
      <w:pPr>
        <w:spacing w:after="0" w:line="161"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On February 24, 2021, the Company entered into a Share Purchase Agreement (the “Purchase Agreement”) with Convergence to sell its Ctrack South Africa business operations in an all-cash transaction for 528.9 million South African Rand (“ZAR”) (approximately $36.6 million United States Dollars). The Purchase Agreement provides for an adjustment to the purchase price based on a normalized level of net working capital.</w:t>
      </w:r>
    </w:p>
    <w:p>
      <w:pPr>
        <w:spacing w:after="0" w:line="102" w:lineRule="exact"/>
        <w:rPr>
          <w:sz w:val="20"/>
          <w:szCs w:val="20"/>
          <w:color w:val="auto"/>
        </w:rPr>
      </w:pPr>
    </w:p>
    <w:p>
      <w:pPr>
        <w:ind w:right="200" w:firstLine="395"/>
        <w:spacing w:after="0" w:line="250" w:lineRule="auto"/>
        <w:rPr>
          <w:sz w:val="20"/>
          <w:szCs w:val="20"/>
          <w:color w:val="auto"/>
        </w:rPr>
      </w:pPr>
      <w:r>
        <w:rPr>
          <w:rFonts w:ascii="Arial" w:cs="Arial" w:eastAsia="Arial" w:hAnsi="Arial"/>
          <w:sz w:val="18"/>
          <w:szCs w:val="18"/>
          <w:color w:val="auto"/>
        </w:rPr>
        <w:t>On July 30, 2021, the Company completed the sale of Ctrack South Africa. Initial cash proceeds of $36.6 million were received. Net cash proceeds received were $31.5 million, net of cash divested of $5.0 million. Final cash proceeds were subject to certain post-closing working capital adjustments which totaled $2.6 million, out of which $2.2 million was received on October 29, 2021, and the remaining $0.4 million was offset with the Company’s existing accounts payable balance to Convergence.</w:t>
      </w:r>
    </w:p>
    <w:p>
      <w:pPr>
        <w:spacing w:after="0" w:line="138" w:lineRule="exact"/>
        <w:rPr>
          <w:sz w:val="20"/>
          <w:szCs w:val="20"/>
          <w:color w:val="auto"/>
        </w:rPr>
      </w:pPr>
    </w:p>
    <w:p>
      <w:pPr>
        <w:ind w:right="140" w:firstLine="395"/>
        <w:spacing w:after="0" w:line="299" w:lineRule="auto"/>
        <w:rPr>
          <w:sz w:val="20"/>
          <w:szCs w:val="20"/>
          <w:color w:val="auto"/>
        </w:rPr>
      </w:pPr>
      <w:r>
        <w:rPr>
          <w:rFonts w:ascii="Arial" w:cs="Arial" w:eastAsia="Arial" w:hAnsi="Arial"/>
          <w:sz w:val="16"/>
          <w:szCs w:val="16"/>
          <w:color w:val="auto"/>
        </w:rPr>
        <w:t>The Purchase Agreement required the Company to place in escrow 52.9 million ZAR, (approximately $3.3 million United States Dollars), which will be released on July 30, 2022. The funds in escrow will allow for Convergence to submit claims that are deemed to be uninsured warranties as defined in the Purchase Agreement. Such funds in escrow is recorded as restricted cash on the consolidated balance sheet.</w:t>
      </w:r>
    </w:p>
    <w:p>
      <w:pPr>
        <w:spacing w:after="0" w:line="102"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 xml:space="preserve">In evaluating the accounting treatment for this sale, the transaction was considered to be the deconsolidation of a subsidiary, as defined in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gain upon sale is $5.3 million. Such gain has been recognized as gain on sale of Ctrack South Africa in the consolidated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during the year ended December 31, 2021. The Company also recorded $2.2 million of transaction expenses, which were expensed as incurred and included within other income (expense), net, in the consolidated results of operations for the year ended December 31, 2021.</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assets and liabilities of Ctrack South Africa that were sold in the transaction as of July 30, 2021, are summarized below:</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4"/>
        </w:trPr>
        <w:tc>
          <w:tcPr>
            <w:tcW w:w="96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5,040</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3,821</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4,545</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 net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11,278</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10,734</w:t>
            </w:r>
          </w:p>
        </w:tc>
      </w:tr>
      <w:tr>
        <w:trPr>
          <w:trHeight w:val="200"/>
        </w:trPr>
        <w:tc>
          <w:tcPr>
            <w:tcW w:w="9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assets</w:t>
            </w: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41,741</w:t>
            </w:r>
          </w:p>
        </w:tc>
      </w:tr>
      <w:tr>
        <w:trPr>
          <w:trHeight w:val="246"/>
        </w:trPr>
        <w:tc>
          <w:tcPr>
            <w:tcW w:w="9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3,961</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3,647</w:t>
            </w: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00"/>
        </w:trPr>
        <w:tc>
          <w:tcPr>
            <w:tcW w:w="9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9,461</w:t>
            </w:r>
          </w:p>
        </w:tc>
      </w:tr>
      <w:tr>
        <w:trPr>
          <w:trHeight w:val="229"/>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w:t>
            </w: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32,280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9600" w:type="dxa"/>
            <w:vAlign w:val="bottom"/>
          </w:tcPr>
          <w:p>
            <w:pPr>
              <w:ind w:left="4940"/>
              <w:spacing w:after="0"/>
              <w:rPr>
                <w:sz w:val="20"/>
                <w:szCs w:val="20"/>
                <w:color w:val="auto"/>
              </w:rPr>
            </w:pPr>
            <w:r>
              <w:rPr>
                <w:rFonts w:ascii="Arial" w:cs="Arial" w:eastAsia="Arial" w:hAnsi="Arial"/>
                <w:sz w:val="18"/>
                <w:szCs w:val="18"/>
                <w:b w:val="1"/>
                <w:bCs w:val="1"/>
                <w:color w:val="auto"/>
              </w:rPr>
              <w:t>INSEEGO CORP.</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600" w:type="dxa"/>
            <w:vAlign w:val="bottom"/>
          </w:tcPr>
          <w:p>
            <w:pPr>
              <w:ind w:left="3320"/>
              <w:spacing w:after="0"/>
              <w:rPr>
                <w:sz w:val="20"/>
                <w:szCs w:val="20"/>
                <w:color w:val="auto"/>
              </w:rPr>
            </w:pPr>
            <w:r>
              <w:rPr>
                <w:rFonts w:ascii="Arial" w:cs="Arial" w:eastAsia="Arial" w:hAnsi="Arial"/>
                <w:sz w:val="18"/>
                <w:szCs w:val="18"/>
                <w:b w:val="1"/>
                <w:bCs w:val="1"/>
                <w:color w:val="auto"/>
              </w:rPr>
              <w:t>NOTES TO CONSOLIDATED FINANCIAL STATEMENTS</w:t>
            </w: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4"/>
        </w:trPr>
        <w:tc>
          <w:tcPr>
            <w:tcW w:w="9600" w:type="dxa"/>
            <w:vAlign w:val="bottom"/>
          </w:tcPr>
          <w:p>
            <w:pPr>
              <w:ind w:left="400"/>
              <w:spacing w:after="0"/>
              <w:rPr>
                <w:sz w:val="20"/>
                <w:szCs w:val="20"/>
                <w:color w:val="auto"/>
              </w:rPr>
            </w:pPr>
            <w:r>
              <w:rPr>
                <w:rFonts w:ascii="Arial" w:cs="Arial" w:eastAsia="Arial" w:hAnsi="Arial"/>
                <w:sz w:val="18"/>
                <w:szCs w:val="18"/>
                <w:color w:val="auto"/>
              </w:rPr>
              <w:t>Net proceeds recognized are comprised of the following:</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600" w:type="dxa"/>
            <w:vAlign w:val="bottom"/>
          </w:tcPr>
          <w:p>
            <w:pPr>
              <w:ind w:left="20"/>
              <w:spacing w:after="0"/>
              <w:rPr>
                <w:sz w:val="20"/>
                <w:szCs w:val="20"/>
                <w:color w:val="auto"/>
              </w:rPr>
            </w:pPr>
            <w:r>
              <w:rPr>
                <w:rFonts w:ascii="Arial" w:cs="Arial" w:eastAsia="Arial" w:hAnsi="Arial"/>
                <w:sz w:val="16"/>
                <w:szCs w:val="16"/>
                <w:color w:val="auto"/>
              </w:rPr>
              <w:t>Initial purchase consideration received, upon close</w:t>
            </w: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36,566</w:t>
            </w:r>
          </w:p>
        </w:tc>
        <w:tc>
          <w:tcPr>
            <w:tcW w:w="0" w:type="dxa"/>
            <w:vAlign w:val="bottom"/>
          </w:tcPr>
          <w:p>
            <w:pPr>
              <w:spacing w:after="0"/>
              <w:rPr>
                <w:sz w:val="1"/>
                <w:szCs w:val="1"/>
                <w:color w:val="auto"/>
              </w:rPr>
            </w:pP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adjustments</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197"/>
        </w:trPr>
        <w:tc>
          <w:tcPr>
            <w:tcW w:w="9600" w:type="dxa"/>
            <w:vAlign w:val="bottom"/>
          </w:tcPr>
          <w:p>
            <w:pPr>
              <w:ind w:left="220"/>
              <w:spacing w:after="0"/>
              <w:rPr>
                <w:sz w:val="20"/>
                <w:szCs w:val="20"/>
                <w:color w:val="auto"/>
              </w:rPr>
            </w:pPr>
            <w:r>
              <w:rPr>
                <w:rFonts w:ascii="Arial" w:cs="Arial" w:eastAsia="Arial" w:hAnsi="Arial"/>
                <w:sz w:val="16"/>
                <w:szCs w:val="16"/>
                <w:color w:val="auto"/>
              </w:rPr>
              <w:t>Net proceeds recognized</w:t>
            </w: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w:t>
            </w:r>
          </w:p>
        </w:tc>
        <w:tc>
          <w:tcPr>
            <w:tcW w:w="0" w:type="dxa"/>
            <w:vAlign w:val="bottom"/>
          </w:tcPr>
          <w:p>
            <w:pPr>
              <w:spacing w:after="0"/>
              <w:rPr>
                <w:sz w:val="1"/>
                <w:szCs w:val="1"/>
                <w:color w:val="auto"/>
              </w:rPr>
            </w:pPr>
          </w:p>
        </w:tc>
      </w:tr>
      <w:tr>
        <w:trPr>
          <w:trHeight w:val="26"/>
        </w:trPr>
        <w:tc>
          <w:tcPr>
            <w:tcW w:w="9600" w:type="dxa"/>
            <w:vAlign w:val="bottom"/>
            <w:vMerge w:val="restart"/>
          </w:tcPr>
          <w:p>
            <w:pPr>
              <w:ind w:left="400"/>
              <w:spacing w:after="0"/>
              <w:rPr>
                <w:sz w:val="20"/>
                <w:szCs w:val="20"/>
                <w:color w:val="auto"/>
              </w:rPr>
            </w:pPr>
            <w:r>
              <w:rPr>
                <w:rFonts w:ascii="Arial" w:cs="Arial" w:eastAsia="Arial" w:hAnsi="Arial"/>
                <w:sz w:val="18"/>
                <w:szCs w:val="18"/>
                <w:color w:val="auto"/>
              </w:rPr>
              <w:t>Net gain on sale is comprised of the following:</w:t>
            </w: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96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600" w:type="dxa"/>
            <w:vAlign w:val="bottom"/>
          </w:tcPr>
          <w:p>
            <w:pPr>
              <w:ind w:left="20"/>
              <w:spacing w:after="0"/>
              <w:rPr>
                <w:sz w:val="20"/>
                <w:szCs w:val="20"/>
                <w:color w:val="auto"/>
              </w:rPr>
            </w:pPr>
            <w:r>
              <w:rPr>
                <w:rFonts w:ascii="Arial" w:cs="Arial" w:eastAsia="Arial" w:hAnsi="Arial"/>
                <w:sz w:val="16"/>
                <w:szCs w:val="16"/>
                <w:color w:val="auto"/>
              </w:rPr>
              <w:t>Gross proceeds recognized</w:t>
            </w: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39,150</w:t>
            </w:r>
          </w:p>
        </w:tc>
        <w:tc>
          <w:tcPr>
            <w:tcW w:w="0" w:type="dxa"/>
            <w:vAlign w:val="bottom"/>
          </w:tcPr>
          <w:p>
            <w:pPr>
              <w:spacing w:after="0"/>
              <w:rPr>
                <w:sz w:val="1"/>
                <w:szCs w:val="1"/>
                <w:color w:val="auto"/>
              </w:rPr>
            </w:pPr>
          </w:p>
        </w:tc>
      </w:tr>
      <w:tr>
        <w:trPr>
          <w:trHeight w:val="214"/>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Book value of net assets sold</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32,280</w:t>
            </w:r>
          </w:p>
        </w:tc>
        <w:tc>
          <w:tcPr>
            <w:tcW w:w="0" w:type="dxa"/>
            <w:vAlign w:val="bottom"/>
          </w:tcPr>
          <w:p>
            <w:pPr>
              <w:spacing w:after="0"/>
              <w:rPr>
                <w:sz w:val="1"/>
                <w:szCs w:val="1"/>
                <w:color w:val="auto"/>
              </w:rPr>
            </w:pPr>
          </w:p>
        </w:tc>
      </w:tr>
      <w:tr>
        <w:trPr>
          <w:trHeight w:val="207"/>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Release of cumulative foreign currency translation adjustments related to Ctrack South Africa</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gain on sale</w:t>
            </w: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161" w:lineRule="exact"/>
        <w:rPr>
          <w:sz w:val="20"/>
          <w:szCs w:val="20"/>
          <w:color w:val="auto"/>
        </w:rPr>
      </w:pPr>
    </w:p>
    <w:p>
      <w:pPr>
        <w:jc w:val="both"/>
        <w:ind w:right="140" w:firstLine="395"/>
        <w:spacing w:after="0" w:line="284" w:lineRule="auto"/>
        <w:rPr>
          <w:sz w:val="20"/>
          <w:szCs w:val="20"/>
          <w:color w:val="auto"/>
        </w:rPr>
      </w:pPr>
      <w:r>
        <w:rPr>
          <w:rFonts w:ascii="Arial" w:cs="Arial" w:eastAsia="Arial" w:hAnsi="Arial"/>
          <w:sz w:val="16"/>
          <w:szCs w:val="16"/>
          <w:color w:val="auto"/>
        </w:rPr>
        <w:t>On May 12, 2020, the Company also entered into Exchange Agreements with certain related party holders of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In connection therewith, the Company recorded $67.2 million in loss on debt conversion and extinguishment, net in the consolidated statement of operations. The 2025 Notes issued in the Private Exchange Transactions are part of the same series as the 2025 Notes issued in the registered Offering.</w:t>
      </w:r>
    </w:p>
    <w:p>
      <w:pPr>
        <w:spacing w:after="0" w:line="194"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During the year ended December 31, 2021, certain holders of the 2025 Notes converted pursuant to the original terms of the 2025 Notes,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consolidated statement of operations.</w:t>
      </w:r>
    </w:p>
    <w:p>
      <w:pPr>
        <w:spacing w:after="0" w:line="217"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16"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1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7"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71" w:lineRule="exact"/>
        <w:rPr>
          <w:sz w:val="20"/>
          <w:szCs w:val="20"/>
          <w:color w:val="auto"/>
        </w:rPr>
      </w:pPr>
    </w:p>
    <w:p>
      <w:pPr>
        <w:ind w:right="180" w:firstLine="395"/>
        <w:spacing w:after="0" w:line="320" w:lineRule="auto"/>
        <w:rPr>
          <w:sz w:val="20"/>
          <w:szCs w:val="20"/>
          <w:color w:val="auto"/>
        </w:rPr>
      </w:pPr>
      <w:r>
        <w:rPr>
          <w:rFonts w:ascii="Arial" w:cs="Arial" w:eastAsia="Arial" w:hAnsi="Arial"/>
          <w:sz w:val="15"/>
          <w:szCs w:val="15"/>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 if</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any, to, but excluding, the fundamental change repurchase date. If a make-whole fundamental change (as defined in the Indenture) occurs, then the Company will in certain circumstances increase the conversion rate for a specified period of time.</w:t>
      </w:r>
    </w:p>
    <w:p>
      <w:pPr>
        <w:spacing w:after="0" w:line="208" w:lineRule="exact"/>
        <w:rPr>
          <w:sz w:val="20"/>
          <w:szCs w:val="20"/>
          <w:color w:val="auto"/>
        </w:rPr>
      </w:pPr>
    </w:p>
    <w:p>
      <w:pPr>
        <w:ind w:right="80" w:firstLine="395"/>
        <w:spacing w:after="0" w:line="316" w:lineRule="auto"/>
        <w:rPr>
          <w:sz w:val="20"/>
          <w:szCs w:val="20"/>
          <w:color w:val="auto"/>
        </w:rPr>
      </w:pPr>
      <w:r>
        <w:rPr>
          <w:rFonts w:ascii="Arial" w:cs="Arial" w:eastAsia="Arial" w:hAnsi="Arial"/>
          <w:sz w:val="15"/>
          <w:szCs w:val="15"/>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595"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trading day immediately before the date the Company sends the related redemption notice; and (ii) the trading day immediately before the date the Company sends such notice.</w:t>
      </w:r>
    </w:p>
    <w:p>
      <w:pPr>
        <w:spacing w:after="0" w:line="208"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40" w:lineRule="exact"/>
        <w:rPr>
          <w:sz w:val="20"/>
          <w:szCs w:val="20"/>
          <w:color w:val="auto"/>
        </w:rPr>
      </w:pPr>
    </w:p>
    <w:p>
      <w:pPr>
        <w:ind w:right="60" w:firstLine="395"/>
        <w:spacing w:after="0" w:line="302" w:lineRule="auto"/>
        <w:rPr>
          <w:sz w:val="20"/>
          <w:szCs w:val="20"/>
          <w:color w:val="auto"/>
        </w:rPr>
      </w:pPr>
      <w:r>
        <w:rPr>
          <w:rFonts w:ascii="Arial" w:cs="Arial" w:eastAsia="Arial" w:hAnsi="Arial"/>
          <w:sz w:val="15"/>
          <w:szCs w:val="15"/>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w:t>
      </w:r>
    </w:p>
    <w:p>
      <w:pPr>
        <w:jc w:val="both"/>
        <w:ind w:right="340"/>
        <w:spacing w:after="0" w:line="252" w:lineRule="auto"/>
        <w:rPr>
          <w:sz w:val="20"/>
          <w:szCs w:val="20"/>
          <w:color w:val="auto"/>
        </w:rPr>
      </w:pPr>
      <w:r>
        <w:rPr>
          <w:rFonts w:ascii="Arial" w:cs="Arial" w:eastAsia="Arial" w:hAnsi="Arial"/>
          <w:sz w:val="18"/>
          <w:szCs w:val="18"/>
          <w:color w:val="auto"/>
        </w:rPr>
        <w:t>stock (together with cash in lieu of fractional shares). 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w:t>
      </w:r>
    </w:p>
    <w:p>
      <w:pPr>
        <w:spacing w:after="0" w:line="216"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As of December 31, 2021 and 2020 $161.9 million and $166.9 million, respectively, principal amount of the 2025 Notes was outstanding. As of both December 31, 2021 and 2020, $80.4 million principal amount of 2025 Notes was held by related parties and $0.4 million of accrued interest due to related parties was included within accrued expenses and other current liabilities on the consolidated balance sheets. Assuming no repurchases or conversion of the 2025 Notes prior to May 1, 2025, the entire principal balance of $161.9 million of the 2025 Notes is due on May 1, 2025.</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2025 Notes consist of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2"/>
        </w:trPr>
        <w:tc>
          <w:tcPr>
            <w:tcW w:w="87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2020</w:t>
            </w:r>
          </w:p>
        </w:tc>
      </w:tr>
      <w:tr>
        <w:trPr>
          <w:trHeight w:val="204"/>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161,898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166,898</w:t>
            </w:r>
          </w:p>
        </w:tc>
      </w:tr>
      <w:tr>
        <w:trPr>
          <w:trHeight w:val="207"/>
        </w:trPr>
        <w:tc>
          <w:tcPr>
            <w:tcW w:w="876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2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4,898</w:t>
            </w:r>
          </w:p>
        </w:tc>
      </w:tr>
      <w:tr>
        <w:trPr>
          <w:trHeight w:val="214"/>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07"/>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r>
      <w:tr>
        <w:trPr>
          <w:trHeight w:val="23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157,866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165,147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The effective interest rate of the 2025 Notes was 4.15% and 4.10%, respectively, for the twelve months ended December 31, 2021 and 2020. The following table sets forth total interest expense recognized related to the 2025 Notes (in thousands):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6" w:name="page87"/>
    <w:bookmarkEnd w:id="86"/>
    <w:p>
      <w:pPr>
        <w:jc w:val="center"/>
        <w:ind w:right="100"/>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2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82"/>
        </w:trPr>
        <w:tc>
          <w:tcPr>
            <w:tcW w:w="84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0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3,434</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960" w:type="dxa"/>
            <w:vAlign w:val="bottom"/>
            <w:tcBorders>
              <w:bottom w:val="single" w:sz="8" w:color="auto"/>
            </w:tcBorders>
          </w:tcPr>
          <w:p>
            <w:pPr>
              <w:jc w:val="right"/>
              <w:ind w:right="78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4,425</w:t>
            </w:r>
          </w:p>
        </w:tc>
      </w:tr>
      <w:tr>
        <w:trPr>
          <w:trHeight w:val="20"/>
        </w:trPr>
        <w:tc>
          <w:tcPr>
            <w:tcW w:w="8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780" w:firstLine="395"/>
        <w:spacing w:after="0" w:line="324" w:lineRule="auto"/>
        <w:rPr>
          <w:sz w:val="20"/>
          <w:szCs w:val="20"/>
          <w:color w:val="auto"/>
        </w:rPr>
      </w:pPr>
      <w:r>
        <w:rPr>
          <w:rFonts w:ascii="Arial" w:cs="Arial" w:eastAsia="Arial" w:hAnsi="Arial"/>
          <w:sz w:val="16"/>
          <w:szCs w:val="16"/>
          <w:color w:val="auto"/>
        </w:rPr>
        <w:t>For the years ended December 31, 2021 and 2020 the contractual interest expense on the 2025 Notes recorded within interest expense, net on the consolidated statements of operations attributable to related parties was $2.6 million and $1.7 million,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161"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On January 9, 2017, in connection with the Note Exchange (as defined below), the Company issued approximately $119.8 million aggregate principal amount of 2022 Notes.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three months ended March 31, 2020, the Company entered into privately-negotiated exchange agreements with certain investors holding the</w:t>
      </w:r>
    </w:p>
    <w:p>
      <w:pPr>
        <w:spacing w:after="0" w:line="3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 xml:space="preserve">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under the original conversion terms. This resulted in a non-cash charge of $7.9 million, which was recorded as inducement expense within loss on debt conversion and extinguishment, net, in the consolidated statement of operations.</w:t>
      </w:r>
    </w:p>
    <w:p>
      <w:pPr>
        <w:spacing w:after="0" w:line="198" w:lineRule="exact"/>
        <w:rPr>
          <w:sz w:val="20"/>
          <w:szCs w:val="20"/>
          <w:color w:val="auto"/>
        </w:rPr>
      </w:pPr>
    </w:p>
    <w:p>
      <w:pPr>
        <w:jc w:val="both"/>
        <w:ind w:right="220" w:firstLine="395"/>
        <w:spacing w:after="0" w:line="291" w:lineRule="auto"/>
        <w:rPr>
          <w:sz w:val="20"/>
          <w:szCs w:val="20"/>
          <w:color w:val="auto"/>
        </w:rPr>
      </w:pPr>
      <w:r>
        <w:rPr>
          <w:rFonts w:ascii="Arial" w:cs="Arial" w:eastAsia="Arial" w:hAnsi="Arial"/>
          <w:sz w:val="16"/>
          <w:szCs w:val="16"/>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 As of December 31, 2020, no amount remained outstanding related to the 2022 Notes.</w:t>
      </w:r>
    </w:p>
    <w:p>
      <w:pPr>
        <w:spacing w:after="0" w:line="187" w:lineRule="exact"/>
        <w:rPr>
          <w:sz w:val="20"/>
          <w:szCs w:val="20"/>
          <w:color w:val="auto"/>
        </w:rPr>
      </w:pPr>
    </w:p>
    <w:p>
      <w:pPr>
        <w:ind w:right="140" w:firstLine="395"/>
        <w:spacing w:after="0" w:line="324" w:lineRule="auto"/>
        <w:rPr>
          <w:sz w:val="20"/>
          <w:szCs w:val="20"/>
          <w:color w:val="auto"/>
        </w:rPr>
      </w:pPr>
      <w:r>
        <w:rPr>
          <w:rFonts w:ascii="Arial" w:cs="Arial" w:eastAsia="Arial" w:hAnsi="Arial"/>
          <w:sz w:val="16"/>
          <w:szCs w:val="16"/>
          <w:color w:val="auto"/>
        </w:rPr>
        <w:t>The effective interest rate on the liability component of the 2022 Notes was 12.89% and 13.88%, respectively, for the twelve months ended December 31, 2020 and 2019. The following table sets forth total interest expense recognized related to the 2022 Notes (in thousands):</w:t>
      </w:r>
    </w:p>
    <w:p>
      <w:pPr>
        <w:spacing w:after="0" w:line="59"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790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323"/>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9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2019</w:t>
            </w:r>
          </w:p>
        </w:tc>
      </w:tr>
      <w:tr>
        <w:trPr>
          <w:trHeight w:val="204"/>
        </w:trPr>
        <w:tc>
          <w:tcPr>
            <w:tcW w:w="7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Contractual interest expense</w:t>
            </w:r>
          </w:p>
        </w:tc>
        <w:tc>
          <w:tcPr>
            <w:tcW w:w="120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7900" w:type="dxa"/>
            <w:vAlign w:val="bottom"/>
          </w:tcPr>
          <w:p>
            <w:pPr>
              <w:ind w:left="420"/>
              <w:spacing w:after="0"/>
              <w:rPr>
                <w:sz w:val="20"/>
                <w:szCs w:val="20"/>
                <w:color w:val="auto"/>
              </w:rPr>
            </w:pPr>
            <w:r>
              <w:rPr>
                <w:rFonts w:ascii="Arial" w:cs="Arial" w:eastAsia="Arial" w:hAnsi="Arial"/>
                <w:sz w:val="16"/>
                <w:szCs w:val="16"/>
                <w:color w:val="auto"/>
              </w:rPr>
              <w:t>Amortization of debt discount</w:t>
            </w:r>
          </w:p>
        </w:tc>
        <w:tc>
          <w:tcPr>
            <w:tcW w:w="1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1,952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1"/>
        </w:trPr>
        <w:tc>
          <w:tcPr>
            <w:tcW w:w="7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debt issuance costs</w:t>
            </w:r>
          </w:p>
        </w:tc>
        <w:tc>
          <w:tcPr>
            <w:tcW w:w="1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r>
      <w:tr>
        <w:trPr>
          <w:trHeight w:val="207"/>
        </w:trPr>
        <w:tc>
          <w:tcPr>
            <w:tcW w:w="7900" w:type="dxa"/>
            <w:vAlign w:val="bottom"/>
          </w:tcPr>
          <w:p>
            <w:pPr>
              <w:ind w:left="420"/>
              <w:spacing w:after="0"/>
              <w:rPr>
                <w:sz w:val="20"/>
                <w:szCs w:val="20"/>
                <w:color w:val="auto"/>
              </w:rPr>
            </w:pPr>
            <w:r>
              <w:rPr>
                <w:rFonts w:ascii="Arial" w:cs="Arial" w:eastAsia="Arial" w:hAnsi="Arial"/>
                <w:sz w:val="16"/>
                <w:szCs w:val="16"/>
                <w:color w:val="auto"/>
              </w:rPr>
              <w:t>Total interest expense</w:t>
            </w: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2,831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7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780" w:firstLine="395"/>
        <w:spacing w:after="0" w:line="324" w:lineRule="auto"/>
        <w:rPr>
          <w:sz w:val="20"/>
          <w:szCs w:val="20"/>
          <w:color w:val="auto"/>
        </w:rPr>
      </w:pPr>
      <w:r>
        <w:rPr>
          <w:rFonts w:ascii="Arial" w:cs="Arial" w:eastAsia="Arial" w:hAnsi="Arial"/>
          <w:sz w:val="16"/>
          <w:szCs w:val="16"/>
          <w:color w:val="auto"/>
        </w:rPr>
        <w:t>For the years ended December 31, 2020 and 2019 the contractual interest expense on the 2022 Notes recorded within interest expense, net on the consolidated statements of operations attributable to related parties was $0.8 million and $2.5 million, respectively</w:t>
      </w: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59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Novatel Wireless Notes</w:t>
      </w:r>
    </w:p>
    <w:p>
      <w:pPr>
        <w:spacing w:after="0" w:line="109" w:lineRule="exact"/>
        <w:rPr>
          <w:sz w:val="20"/>
          <w:szCs w:val="20"/>
          <w:color w:val="auto"/>
        </w:rPr>
      </w:pPr>
    </w:p>
    <w:p>
      <w:pPr>
        <w:ind w:right="100" w:firstLine="395"/>
        <w:spacing w:after="0" w:line="302" w:lineRule="auto"/>
        <w:rPr>
          <w:sz w:val="20"/>
          <w:szCs w:val="20"/>
          <w:color w:val="auto"/>
        </w:rPr>
      </w:pPr>
      <w:r>
        <w:rPr>
          <w:rFonts w:ascii="Arial" w:cs="Arial" w:eastAsia="Arial" w:hAnsi="Arial"/>
          <w:sz w:val="15"/>
          <w:szCs w:val="15"/>
          <w:color w:val="auto"/>
        </w:rPr>
        <w:t>On June 10, 2015, Novatel Wireless issued $120.0 million of 5.50% convertible senior notes due 2020 (the “Novatel Wireless Notes”). The Company incurred issuance costs of approximately $3.9 million,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were validly tendered and accepted for exchange and subsequently canceled. In February 2020, the holders of the remaining $250,000 of the aggregate principal amount of Novatel Wireless Notes that remained outstanding following the Note Exchange, converted their Novatel Wireless Notes into 50,000 shares of Inseego Corp. common stock, at the conversion price of $5.00 per share, in accordance with the terms of the Novatel Indenture. Accordingly, no Novatel Wireless Notes were outstanding as of December 31, 2020.</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Term Loan</w:t>
      </w:r>
    </w:p>
    <w:p>
      <w:pPr>
        <w:spacing w:after="0" w:line="161"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lenders (the “Lenders”). Pursuant to the Credit Agreement, the Lenders provided the Company with a term loan in the principal amount of $48.0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then outstanding 2022 Notes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121" w:lineRule="exact"/>
        <w:rPr>
          <w:sz w:val="20"/>
          <w:szCs w:val="20"/>
          <w:color w:val="auto"/>
        </w:rPr>
      </w:pPr>
    </w:p>
    <w:p>
      <w:pPr>
        <w:ind w:right="180" w:firstLine="395"/>
        <w:spacing w:after="0" w:line="362" w:lineRule="auto"/>
        <w:rPr>
          <w:sz w:val="20"/>
          <w:szCs w:val="20"/>
          <w:color w:val="auto"/>
        </w:rPr>
      </w:pPr>
      <w:r>
        <w:rPr>
          <w:rFonts w:ascii="Arial" w:cs="Arial" w:eastAsia="Arial" w:hAnsi="Arial"/>
          <w:sz w:val="15"/>
          <w:szCs w:val="15"/>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59"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prepayment and exit fees of</w:t>
      </w:r>
    </w:p>
    <w:p>
      <w:pPr>
        <w:ind w:right="140"/>
        <w:spacing w:after="0" w:line="246" w:lineRule="auto"/>
        <w:rPr>
          <w:sz w:val="20"/>
          <w:szCs w:val="20"/>
          <w:color w:val="auto"/>
        </w:rPr>
      </w:pPr>
      <w:r>
        <w:rPr>
          <w:rFonts w:ascii="Arial" w:cs="Arial" w:eastAsia="Arial" w:hAnsi="Arial"/>
          <w:sz w:val="18"/>
          <w:szCs w:val="18"/>
          <w:color w:val="auto"/>
        </w:rPr>
        <w:t>$1.4 million. The Company also used a portion of the proceeds of the Offering to repurchase the 2,330 shares of Series E Preferred Stock that had been issued to South Ocean for $2.4 million. At December 31, 2020 there is no amount outstanding related to the Term Loan. The Term Loan bore interest at a rate per annum equal to the three-month LIBOR, but in no event less than 1.00%, plus 7.625%.</w:t>
      </w:r>
    </w:p>
    <w:p>
      <w:pPr>
        <w:spacing w:after="0" w:line="220"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The effective interest rate on the Term Loan was 15.19% and 13.50%, respectively, for the twelve months ended December 31, 2020 and 2019. The following table sets forth total interest expense recognized related to the Term Loan, 100% of which was attributable to a related party, during the years ended December 31, 2020 and 2019, respectively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182"/>
        </w:trPr>
        <w:tc>
          <w:tcPr>
            <w:tcW w:w="8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r>
      <w:tr>
        <w:trPr>
          <w:trHeight w:val="204"/>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7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1,667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4,789</w:t>
            </w:r>
          </w:p>
        </w:tc>
      </w:tr>
      <w:tr>
        <w:trPr>
          <w:trHeight w:val="207"/>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Amortization of debt discount</w:t>
            </w:r>
          </w:p>
        </w:tc>
        <w:tc>
          <w:tcPr>
            <w:tcW w:w="7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859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1,331</w:t>
            </w:r>
          </w:p>
        </w:tc>
      </w:tr>
      <w:tr>
        <w:trPr>
          <w:trHeight w:val="21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07"/>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Total interest expense</w:t>
            </w:r>
          </w:p>
        </w:tc>
        <w:tc>
          <w:tcPr>
            <w:tcW w:w="780" w:type="dxa"/>
            <w:vAlign w:val="bottom"/>
            <w:tcBorders>
              <w:bottom w:val="single" w:sz="8" w:color="auto"/>
            </w:tcBorders>
          </w:tcPr>
          <w:p>
            <w:pPr>
              <w:jc w:val="right"/>
              <w:ind w:right="60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2,629</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6,281</w:t>
            </w:r>
          </w:p>
        </w:tc>
      </w:tr>
      <w:tr>
        <w:trPr>
          <w:trHeight w:val="20"/>
        </w:trPr>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loss before income taxes for the years ended December 31, 2021, 2020 and 2019 is comprised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(39,187)</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2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(110,438)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 for income taxes for the years ended December 31, 2021, 2020 and 2019 is comprised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1"/>
        </w:trPr>
        <w:tc>
          <w:tcPr>
            <w:tcW w:w="74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188"/>
        </w:trPr>
        <w:tc>
          <w:tcPr>
            <w:tcW w:w="7460" w:type="dxa"/>
            <w:vAlign w:val="bottom"/>
          </w:tcPr>
          <w:p>
            <w:pPr>
              <w:ind w:left="20"/>
              <w:spacing w:after="0"/>
              <w:rPr>
                <w:sz w:val="20"/>
                <w:szCs w:val="20"/>
                <w:color w:val="auto"/>
              </w:rPr>
            </w:pPr>
            <w:r>
              <w:rPr>
                <w:rFonts w:ascii="Arial" w:cs="Arial" w:eastAsia="Arial" w:hAnsi="Arial"/>
                <w:sz w:val="16"/>
                <w:szCs w:val="16"/>
                <w:color w:val="auto"/>
              </w:rPr>
              <w:t>Current:</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4"/>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7460" w:type="dxa"/>
            <w:vAlign w:val="bottom"/>
          </w:tcPr>
          <w:p>
            <w:pPr>
              <w:ind w:left="220"/>
              <w:spacing w:after="0"/>
              <w:rPr>
                <w:sz w:val="20"/>
                <w:szCs w:val="20"/>
                <w:color w:val="auto"/>
              </w:rPr>
            </w:pPr>
            <w:r>
              <w:rPr>
                <w:rFonts w:ascii="Arial" w:cs="Arial" w:eastAsia="Arial" w:hAnsi="Arial"/>
                <w:sz w:val="16"/>
                <w:szCs w:val="16"/>
                <w:color w:val="auto"/>
              </w:rPr>
              <w:t>State</w:t>
            </w:r>
          </w:p>
        </w:tc>
        <w:tc>
          <w:tcPr>
            <w:tcW w:w="800" w:type="dxa"/>
            <w:vAlign w:val="bottom"/>
          </w:tcPr>
          <w:p>
            <w:pPr>
              <w:spacing w:after="0"/>
              <w:rPr>
                <w:sz w:val="18"/>
                <w:szCs w:val="18"/>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0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r>
      <w:tr>
        <w:trPr>
          <w:trHeight w:val="19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7"/>
        </w:trPr>
        <w:tc>
          <w:tcPr>
            <w:tcW w:w="7460" w:type="dxa"/>
            <w:vAlign w:val="bottom"/>
          </w:tcPr>
          <w:p>
            <w:pPr>
              <w:ind w:left="220"/>
              <w:spacing w:after="0"/>
              <w:rPr>
                <w:sz w:val="20"/>
                <w:szCs w:val="20"/>
                <w:color w:val="auto"/>
              </w:rPr>
            </w:pPr>
            <w:r>
              <w:rPr>
                <w:rFonts w:ascii="Arial" w:cs="Arial" w:eastAsia="Arial" w:hAnsi="Arial"/>
                <w:sz w:val="16"/>
                <w:szCs w:val="16"/>
                <w:color w:val="auto"/>
              </w:rPr>
              <w:t>Federal</w:t>
            </w:r>
          </w:p>
        </w:tc>
        <w:tc>
          <w:tcPr>
            <w:tcW w:w="800" w:type="dxa"/>
            <w:vAlign w:val="bottom"/>
          </w:tcPr>
          <w:p>
            <w:pPr>
              <w:spacing w:after="0"/>
              <w:rPr>
                <w:sz w:val="18"/>
                <w:szCs w:val="18"/>
                <w:color w:val="auto"/>
              </w:rPr>
            </w:pPr>
          </w:p>
        </w:tc>
        <w:tc>
          <w:tcPr>
            <w:tcW w:w="40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r>
      <w:tr>
        <w:trPr>
          <w:trHeight w:val="207"/>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00"/>
        </w:trPr>
        <w:tc>
          <w:tcPr>
            <w:tcW w:w="74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r>
      <w:tr>
        <w:trPr>
          <w:trHeight w:val="23"/>
        </w:trPr>
        <w:tc>
          <w:tcPr>
            <w:tcW w:w="7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1"/>
        </w:trPr>
        <w:tc>
          <w:tcPr>
            <w:tcW w:w="8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w w:val="96"/>
              </w:rPr>
              <w:t>2020</w:t>
            </w:r>
          </w:p>
        </w:tc>
      </w:tr>
      <w:tr>
        <w:trPr>
          <w:trHeight w:val="188"/>
        </w:trPr>
        <w:tc>
          <w:tcPr>
            <w:tcW w:w="87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7"/>
        </w:trPr>
        <w:tc>
          <w:tcPr>
            <w:tcW w:w="8700" w:type="dxa"/>
            <w:vAlign w:val="bottom"/>
          </w:tcPr>
          <w:p>
            <w:pPr>
              <w:ind w:left="220"/>
              <w:spacing w:after="0"/>
              <w:rPr>
                <w:sz w:val="20"/>
                <w:szCs w:val="20"/>
                <w:color w:val="auto"/>
              </w:rPr>
            </w:pPr>
            <w:r>
              <w:rPr>
                <w:rFonts w:ascii="Arial" w:cs="Arial" w:eastAsia="Arial" w:hAnsi="Arial"/>
                <w:sz w:val="16"/>
                <w:szCs w:val="16"/>
                <w:color w:val="auto"/>
              </w:rPr>
              <w:t>Provision for excess and obsolete inventory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Convertible debt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13,367</w:t>
            </w:r>
          </w:p>
        </w:tc>
      </w:tr>
      <w:tr>
        <w:trPr>
          <w:trHeight w:val="207"/>
        </w:trPr>
        <w:tc>
          <w:tcPr>
            <w:tcW w:w="8700" w:type="dxa"/>
            <w:vAlign w:val="bottom"/>
          </w:tcPr>
          <w:p>
            <w:pPr>
              <w:ind w:left="220"/>
              <w:spacing w:after="0"/>
              <w:rPr>
                <w:sz w:val="20"/>
                <w:szCs w:val="20"/>
                <w:color w:val="auto"/>
              </w:rPr>
            </w:pPr>
            <w:r>
              <w:rPr>
                <w:rFonts w:ascii="Arial" w:cs="Arial" w:eastAsia="Arial" w:hAnsi="Arial"/>
                <w:sz w:val="16"/>
                <w:szCs w:val="16"/>
                <w:color w:val="auto"/>
              </w:rPr>
              <w:t>Interest expense limitation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7,798</w:t>
            </w: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operating loss and tax credit carryforwards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108,340</w:t>
            </w:r>
          </w:p>
        </w:tc>
      </w:tr>
      <w:tr>
        <w:trPr>
          <w:trHeight w:val="207"/>
        </w:trPr>
        <w:tc>
          <w:tcPr>
            <w:tcW w:w="870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1,911</w:t>
            </w: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Right-of-use-asset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r>
      <w:tr>
        <w:trPr>
          <w:trHeight w:val="207"/>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Unrecognized tax benefits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138,998</w:t>
            </w:r>
          </w:p>
        </w:tc>
      </w:tr>
      <w:tr>
        <w:trPr>
          <w:trHeight w:val="207"/>
        </w:trPr>
        <w:tc>
          <w:tcPr>
            <w:tcW w:w="87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r>
      <w:tr>
        <w:trPr>
          <w:trHeight w:val="207"/>
        </w:trPr>
        <w:tc>
          <w:tcPr>
            <w:tcW w:w="8700" w:type="dxa"/>
            <w:vAlign w:val="bottom"/>
          </w:tcPr>
          <w:p>
            <w:pPr>
              <w:ind w:left="220"/>
              <w:spacing w:after="0"/>
              <w:rPr>
                <w:sz w:val="20"/>
                <w:szCs w:val="20"/>
                <w:color w:val="auto"/>
              </w:rPr>
            </w:pPr>
            <w:r>
              <w:rPr>
                <w:rFonts w:ascii="Arial" w:cs="Arial" w:eastAsia="Arial" w:hAnsi="Arial"/>
                <w:sz w:val="16"/>
                <w:szCs w:val="16"/>
                <w:color w:val="auto"/>
              </w:rPr>
              <w:t>Acquired intangible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214"/>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(5,545)</w:t>
            </w:r>
          </w:p>
        </w:tc>
      </w:tr>
      <w:tr>
        <w:trPr>
          <w:trHeight w:val="207"/>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Unrealized foreign currency gains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(10,134)</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(133,369)</w:t>
            </w:r>
          </w:p>
        </w:tc>
      </w:tr>
      <w:tr>
        <w:trPr>
          <w:trHeight w:val="232"/>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jc w:val="both"/>
        <w:ind w:right="20" w:firstLine="395"/>
        <w:spacing w:after="0" w:line="291"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08"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years ended December 31, 2021, 2020 and 2019, the Company recognized valuation allowances of $6.0 million, $26.4 million and</w:t>
      </w:r>
    </w:p>
    <w:p>
      <w:pPr>
        <w:spacing w:after="0" w:line="3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$9.2 million, respectively, related to its deferred tax assets created in those respective years for entities with historical losses and full valuation allowances. In 2021, certain valuation allowances in the amount of $10.0 million were released related to entities included in the divestiture of Ctrack South Africa. The Company also recognized $3.0 million of additional valuation allowance related to true-up of prior year deferred taxes, partially offset by foreign currency loss of $0.2 million in 2021. Based on the Company’s current position on valuation allowance, no net income tax benefits resulted in the Company’s consolidated statements of operations from the operating losses created during those years.</w:t>
      </w:r>
    </w:p>
    <w:p>
      <w:pPr>
        <w:spacing w:after="0" w:line="114" w:lineRule="exact"/>
        <w:rPr>
          <w:sz w:val="20"/>
          <w:szCs w:val="20"/>
          <w:color w:val="auto"/>
        </w:rPr>
      </w:pPr>
    </w:p>
    <w:p>
      <w:pPr>
        <w:ind w:right="380" w:firstLine="395"/>
        <w:spacing w:after="0" w:line="261"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21% in 2021 and 2020 to loss before income taxes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benefit, at statutory rate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State benefit, net of federal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difference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Valuation allowance against future tax benefits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6,029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26,410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9,168</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foreign subsidiaries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Sub-part F income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conversion of debt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Non-deductible officers compensation</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True-up of prior year provisions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32"/>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2021, the Company had U.S. federal net operating loss carryforwards (“NOLs”) related to tax years 2020 and prior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$439.8 million. Approximately $110.0 million of these NOLs have no expiration date. The remainder begin to expire in 2022, unless previously utilized. Some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of these NOLs may be limited by either past or future changes in control events. The Company has California net operating loss carryforwards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2021 of approximately $58.9 million, which begin to expire in 2028, unless previously utilized, and foreign net operating losses for its active foreign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subsidiaries of approximately $24.3 million, which generally have no expiration date. At December 31, 2021, the Company had federal research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development tax credit carryforwards of approximately $14.2 million, which begin to expire in 2026, unless previously utilized, and California research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development tax credit carryforwards of approximately $15.6 million, which have no expiration date.</w:t>
      </w:r>
    </w:p>
    <w:p>
      <w:pPr>
        <w:spacing w:after="0" w:line="150" w:lineRule="exact"/>
        <w:rPr>
          <w:sz w:val="20"/>
          <w:szCs w:val="20"/>
          <w:color w:val="auto"/>
        </w:rPr>
      </w:pPr>
    </w:p>
    <w:p>
      <w:pPr>
        <w:ind w:right="200" w:firstLine="395"/>
        <w:spacing w:after="0" w:line="250"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2021 and did not identify any events of cumulative change in ownership during the review period. The Company will continue monitoring any future changes in stock ownership.</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138"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which includes modifications to the limitation on business interest expense and net operating loss provisions, and provides a payment delay of employer payroll taxes during 2020 after the date of enactment. Payments of approximately $1.4 million of employer payroll taxes otherwise due in 2020, were delayed with 50% due and paid by December 31, 2021 and the remaining 50% by December 31, 2022. The CARES Act did not have a material impact on the Company’s consolidated financial statements.</w:t>
      </w:r>
    </w:p>
    <w:p>
      <w:pPr>
        <w:spacing w:after="0" w:line="220"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2021 and 2020. At December 31, 2021 and 2020, the Company did not have interest expense related to uncertain tax positions or a liability for unrecognized tax benefits. The Company does not expect changes to its uncertain tax position in the next twelve months.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37,835</w:t>
            </w:r>
          </w:p>
        </w:tc>
      </w:tr>
      <w:tr>
        <w:trPr>
          <w:trHeight w:val="207"/>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w:t>
            </w:r>
          </w:p>
        </w:tc>
      </w:tr>
      <w:tr>
        <w:trPr>
          <w:trHeight w:val="207"/>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39,631</w:t>
            </w:r>
          </w:p>
        </w:tc>
      </w:tr>
      <w:tr>
        <w:trPr>
          <w:trHeight w:val="207"/>
        </w:trPr>
        <w:tc>
          <w:tcPr>
            <w:tcW w:w="9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w:t>
            </w:r>
          </w:p>
        </w:tc>
      </w:tr>
      <w:tr>
        <w:trPr>
          <w:trHeight w:val="232"/>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right="80" w:firstLine="395"/>
        <w:spacing w:after="0" w:line="261"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2021.</w:t>
      </w:r>
    </w:p>
    <w:p>
      <w:pPr>
        <w:spacing w:after="0" w:line="12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2018 and 2017,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Common Stock</w:t>
      </w:r>
    </w:p>
    <w:p>
      <w:pPr>
        <w:spacing w:after="0" w:line="109"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On August 6, 2018, the Company completed a private placement of 12,062,000 shares of its common stock and warrants (the “2018 Warrants”) to purchase an additional 4,221,700 shares of its common stock, subject to adjustment for stock splits, reverse stock splits, stock dividends and similar transactions, to certain accredited investors for gross proceeds of $19.7 million in cash. Each warrant had an initial exercise price of $2.52 per share, subject to adjustment for stock splits, reverse stock splits, stock dividends and similar transactions.</w:t>
      </w:r>
    </w:p>
    <w:p>
      <w:pPr>
        <w:spacing w:after="0" w:line="85"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5"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During the fourth quarter of 2019, the Company received $6.9 million in net cash proceeds from the exercise of 1,255,129 of the Company’s common stock purchase warrants issued in 2015.</w:t>
      </w:r>
    </w:p>
    <w:p>
      <w:pPr>
        <w:spacing w:after="0" w:line="129"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129"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 an average price of $20.11 per share, for net proceeds of $29.4 million, after deducting underwriter fees and discounts of $0.9 million, and other offering fees, pursuant to the ATM Offering.</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Preferred Stock</w:t>
      </w:r>
    </w:p>
    <w:p>
      <w:pPr>
        <w:spacing w:after="0" w:line="109"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August 9, 2019, the Company completed a private placement of 10,000 shares of Series E Preferred Stock for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accordance with the terms and provisions of a Securities Purchase Agreement, dated August 9, 2019, by and among the Company and certain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accredited investors. Each share of Series E Preferred Stock entitles the holder thereof to receive, when, as and if declared by the Company out of assets legally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available therefor, cumulative cash dividends at an annual rate of 9.00% payable quarterly in arrears on January 1, April 1, July 1 and October 1 of each year,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beginning on October 1, 2019. If dividends are not declared and paid in any quarter, or if such dividends are declared but holders of the Series E Preferred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Stock elect not to receive them in cash, the quarterly dividend will be deemed to accrue and will be added to the Series E Base Amount. The Series E Preferred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Stock has no voting rights unless otherwise required by law. The Series E Preferred Stock is perpetual and has no maturity date. However, the Company may,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its option, redeem shares of the Series E Preferred Stock, in whole or in part, on or after July 1, 2022, at a price equal to 110% of the Series E Base Amount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plus (without duplication) any accrued and unpaid dividends. The “Series E Base Amount” means $1,000 per share, plus any accrued but unpaid dividends,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declared by the Company’s board of directors, subject to appropriate adjustment in the event of any stock dividend, stock split, combination 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other similar recapitalization with respect to the Series E Preferred Stock. In the event of a liquidation, dissolution or winding up of the Company, the holders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 the Series E Preferred Stock will be entitled to receive, after satisfaction of liabilities to creditors and subject to the rights of holders of any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but before any distribution of assets is made to holders of common stock or any other junior securities, the Series E Base Amount plus (without duplication)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accrued and unpaid dividends.</w:t>
      </w:r>
    </w:p>
    <w:p>
      <w:pPr>
        <w:spacing w:after="0" w:line="150" w:lineRule="exact"/>
        <w:rPr>
          <w:sz w:val="20"/>
          <w:szCs w:val="20"/>
          <w:color w:val="auto"/>
        </w:rPr>
      </w:pPr>
    </w:p>
    <w:p>
      <w:pPr>
        <w:jc w:val="both"/>
        <w:ind w:right="300" w:firstLine="395"/>
        <w:spacing w:after="0" w:line="299" w:lineRule="auto"/>
        <w:rPr>
          <w:sz w:val="20"/>
          <w:szCs w:val="20"/>
          <w:color w:val="auto"/>
        </w:rPr>
      </w:pPr>
      <w:r>
        <w:rPr>
          <w:rFonts w:ascii="Arial" w:cs="Arial" w:eastAsia="Arial" w:hAnsi="Arial"/>
          <w:sz w:val="16"/>
          <w:szCs w:val="16"/>
          <w:color w:val="auto"/>
        </w:rPr>
        <w:t>On March 6, 2020, the Company entered into a Securities Purchase Agreement with an accredited investor pursuant to which, among other things, the Company issued and sold to the investor, in a private placement transaction, an aggregate of 25,000 shares of the Company’s Series E Preferred Stock, for a purchase price of $1,000 per share of Series E Preferred Stock, resulting in gross proceeds to the Company of $25.0 million.</w:t>
      </w:r>
    </w:p>
    <w:p>
      <w:pPr>
        <w:spacing w:after="0" w:line="18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On September 3, 2021, the Company entered into separate privately-negotiated exchange agreements (the “September Exchange Agreements”) with Golden Harbor Ltd. and North Sound Trading, L.P. (the “Participating Stockholders”), holders of the Company’s outstanding Series E Preferred Stock. Pursuant to each respective September Exchange Agreement, each of the Participating Stockholders agreed to exchange Series E Preferred Stock that they held (representing an aggregate of 10,000 shares of Series E Preferred Stock) for an aggregate of 1,525,207 shares of common stock, of the Company (the “Series E Exchange Transactions”). The Company did not receive any cash proceeds from the Participating Stockholders in connection with the Series E Exchange Transactions.</w:t>
      </w:r>
    </w:p>
    <w:p>
      <w:pPr>
        <w:spacing w:after="0" w:line="222" w:lineRule="exact"/>
        <w:rPr>
          <w:sz w:val="20"/>
          <w:szCs w:val="20"/>
          <w:color w:val="auto"/>
        </w:rPr>
      </w:pPr>
    </w:p>
    <w:p>
      <w:pPr>
        <w:ind w:right="140" w:firstLine="395"/>
        <w:spacing w:after="0" w:line="248" w:lineRule="auto"/>
        <w:rPr>
          <w:sz w:val="20"/>
          <w:szCs w:val="20"/>
          <w:color w:val="auto"/>
        </w:rPr>
      </w:pPr>
      <w:r>
        <w:rPr>
          <w:rFonts w:ascii="Arial" w:cs="Arial" w:eastAsia="Arial" w:hAnsi="Arial"/>
          <w:sz w:val="18"/>
          <w:szCs w:val="18"/>
          <w:color w:val="auto"/>
        </w:rPr>
        <w:t xml:space="preserve">The Company used the Guidance in ASC 470 </w:t>
      </w:r>
      <w:r>
        <w:rPr>
          <w:rFonts w:ascii="Arial" w:cs="Arial" w:eastAsia="Arial" w:hAnsi="Arial"/>
          <w:sz w:val="18"/>
          <w:szCs w:val="18"/>
          <w:i w:val="1"/>
          <w:iCs w:val="1"/>
          <w:color w:val="auto"/>
        </w:rPr>
        <w:t>Debt</w:t>
      </w:r>
      <w:r>
        <w:rPr>
          <w:rFonts w:ascii="Arial" w:cs="Arial" w:eastAsia="Arial" w:hAnsi="Arial"/>
          <w:sz w:val="18"/>
          <w:szCs w:val="18"/>
          <w:color w:val="auto"/>
        </w:rPr>
        <w:t>, regarding the modification of debt instruments and determined that the Series E Exchange Transactions were an extinguishment. If a modification or exchange represents an extinguishment for accounting purposes, it is accounted for as a redemption of the existing equity instrument and the issuance of a new instrument.</w:t>
      </w:r>
    </w:p>
    <w:p>
      <w:pPr>
        <w:spacing w:after="0" w:line="2" w:lineRule="exact"/>
        <w:rPr>
          <w:sz w:val="20"/>
          <w:szCs w:val="20"/>
          <w:color w:val="auto"/>
        </w:rPr>
      </w:pPr>
    </w:p>
    <w:p>
      <w:pPr>
        <w:ind w:right="60" w:firstLine="395"/>
        <w:spacing w:after="0" w:line="310" w:lineRule="auto"/>
        <w:rPr>
          <w:sz w:val="20"/>
          <w:szCs w:val="20"/>
          <w:color w:val="auto"/>
        </w:rPr>
      </w:pPr>
      <w:r>
        <w:rPr>
          <w:rFonts w:ascii="Arial" w:cs="Arial" w:eastAsia="Arial" w:hAnsi="Arial"/>
          <w:sz w:val="15"/>
          <w:szCs w:val="15"/>
          <w:color w:val="auto"/>
        </w:rPr>
        <w:t>ASC 260-10-S99-2 (“SEC Staff Announcement: The Effect on the Calculation of Earnings Per Share for a Period That Includes the Redemption or Induced Conversion of Preferred Stock”) provides guidance on the accounting for extinguishments (redemptions) of equity-classified preferred stock. Under that guidance, an SEC registrant compares (1) the fair value of the consideration transferred to the holders of the preferred stock and (2) the carrying amount of the preferred stock immediately before the modification or exchange (net of issuance costs). The difference is treated as a return to (or from) the holder of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preferred stock in a manner similar to dividends paid on preferred stock. Any excess of fair value of the consideration transferred to the holders of the preferred stock over the carrying amount of the preferred stock in the issuer’s balance sheet is treated as a dividend to those holders and charged against retained earnings.</w:t>
      </w:r>
    </w:p>
    <w:p>
      <w:pPr>
        <w:spacing w:after="0" w:line="2" w:lineRule="exact"/>
        <w:rPr>
          <w:sz w:val="20"/>
          <w:szCs w:val="20"/>
          <w:color w:val="auto"/>
        </w:rPr>
      </w:pPr>
    </w:p>
    <w:p>
      <w:pPr>
        <w:ind w:firstLine="395"/>
        <w:spacing w:after="0" w:line="286" w:lineRule="auto"/>
        <w:rPr>
          <w:sz w:val="20"/>
          <w:szCs w:val="20"/>
          <w:color w:val="auto"/>
        </w:rPr>
      </w:pPr>
      <w:r>
        <w:rPr>
          <w:rFonts w:ascii="Arial" w:cs="Arial" w:eastAsia="Arial" w:hAnsi="Arial"/>
          <w:sz w:val="16"/>
          <w:szCs w:val="16"/>
          <w:color w:val="auto"/>
        </w:rPr>
        <w:t>The Company determined that the Series E Exchange Transactions resulted in an extinguishment of preferred stock and an issuance of common stock. The difference between the carrying amount of the preferred stock plus accrued dividends, and the fair value of the common stock exchanged for such preferred stock, totaled $1.1 million. The difference was treated as a deemed dividend, and was included within the Series E preferred stock dividends and deemed dividends from the preferred stock exchange, in the consolidated results of operations for the year ended December 31, 2021.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were no dividends declared and $3.1 million and $2.9 million of dividends were accrued as of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2021 and 2020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tcPr>
          <w:p>
            <w:pPr>
              <w:spacing w:after="0"/>
              <w:rPr>
                <w:sz w:val="16"/>
                <w:szCs w:val="16"/>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tcBorders>
              <w:bottom w:val="single" w:sz="8" w:color="auto"/>
            </w:tcBorders>
          </w:tcPr>
          <w:p>
            <w:pPr>
              <w:spacing w:after="0"/>
              <w:rPr>
                <w:sz w:val="16"/>
                <w:szCs w:val="16"/>
                <w:color w:val="auto"/>
              </w:rPr>
            </w:pPr>
          </w:p>
        </w:tc>
      </w:tr>
      <w:tr>
        <w:trPr>
          <w:trHeight w:val="204"/>
        </w:trPr>
        <w:tc>
          <w:tcPr>
            <w:tcW w:w="87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warrants outstanding</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Stock options outstanding</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8,085,793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8,479,979</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 outstanding</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1,247,723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Shares available for issuance pursuant to Convertible Notes</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14,340,786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15,879,948</w:t>
            </w:r>
          </w:p>
        </w:tc>
      </w:tr>
      <w:tr>
        <w:trPr>
          <w:trHeight w:val="214"/>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available for future grants of awards under the 2018 Omnibus Incentive Compensation Plan</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3,311,023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2,849,488</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available under the 2000 Employee Stock Purchase Plan</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170,811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391,201</w:t>
            </w:r>
          </w:p>
        </w:tc>
      </w:tr>
      <w:tr>
        <w:trPr>
          <w:trHeight w:val="232"/>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shares of common stock reserved for issuance</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29,656,136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30,517,721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15" w:lineRule="exact"/>
        <w:rPr>
          <w:sz w:val="20"/>
          <w:szCs w:val="20"/>
          <w:color w:val="auto"/>
        </w:rPr>
      </w:pPr>
    </w:p>
    <w:p>
      <w:pPr>
        <w:ind w:right="220" w:firstLine="395"/>
        <w:spacing w:after="0" w:line="248" w:lineRule="auto"/>
        <w:rPr>
          <w:sz w:val="20"/>
          <w:szCs w:val="20"/>
          <w:color w:val="auto"/>
        </w:rPr>
      </w:pPr>
      <w:r>
        <w:rPr>
          <w:rFonts w:ascii="Arial" w:cs="Arial" w:eastAsia="Arial" w:hAnsi="Arial"/>
          <w:sz w:val="18"/>
          <w:szCs w:val="18"/>
          <w:color w:val="auto"/>
        </w:rPr>
        <w:t>During the year ended December 31, 2021,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a maximum of 8,897,084 shares of common stock may be issued upon the exercise of stock options, in the form of restricted stock, or in settlement of RSUs or other awards, including awards with alternative vesting schedules such as performance-based criteria.</w:t>
      </w:r>
    </w:p>
    <w:p>
      <w:pPr>
        <w:spacing w:after="0" w:line="141"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For the years ended December 31, 2021, 2020 and 2019 the following table presents total share-based compensation expense in each functional line item on the consolidated statements of operations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21"/>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2"/>
        </w:trPr>
        <w:tc>
          <w:tcPr>
            <w:tcW w:w="7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2,823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r>
      <w:tr>
        <w:trPr>
          <w:trHeight w:val="20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3,667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r>
      <w:tr>
        <w:trPr>
          <w:trHeight w:val="232"/>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16,649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10,419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During the quarter ended March 31, 2021, the Board of Directors of the Company approved and the Company granted restricted stock units to eligible employees under the 2018 Omnibus Incentive Compensation Plan, previously named the Amended and Restated 2009 Omnibus Incentive Compensation Plan (the “2018 Plan”) that were immediately vested, as fiscal 2020 annual bonus payments. The total charges recorded during the quarter ended March 31, 2021 were $7.0 million. Such bonus payments in fiscal 2020 were paid in the quarter ended June 30, 2020, and total charges related to such bonus payments recorded during the quarter ended June 30, 2020 were $2.7 million. Such bonus payments in fiscal 2019 were paid in the quarter ended September 30, 2019, and total charges related to such bonus payments recorded during the quarter ended September 30, 2019 were $2.4 million. During the year ended December 31, 2021, the Board of Directors of the Company approved, and the Company granted restricted stock units under the 2018 Plan to certain employees that contributed to the completion of the divestiture of Ctrack South Africa. Such grants were immediately vested, and the total charges were $0.6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6" w:lineRule="exact"/>
        <w:rPr>
          <w:sz w:val="20"/>
          <w:szCs w:val="20"/>
          <w:color w:val="auto"/>
        </w:rPr>
      </w:pPr>
    </w:p>
    <w:p>
      <w:pPr>
        <w:ind w:right="380" w:firstLine="395"/>
        <w:spacing w:after="0" w:line="261"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7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w:t>
      </w:r>
    </w:p>
    <w:p>
      <w:pPr>
        <w:spacing w:after="0" w:line="92"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r>
      <w:tr>
        <w:trPr>
          <w:trHeight w:val="204"/>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4"/>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04"/>
        </w:trPr>
        <w:tc>
          <w:tcPr>
            <w:tcW w:w="934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2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weighted-average fair value of stock option awards granted during the years ended December 31, 2021 and 2020 was $5.41 and $7.11, respectively.</w:t>
      </w:r>
    </w:p>
    <w:p>
      <w:pPr>
        <w:spacing w:after="0" w:line="19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2021 and 2020 (dollars 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Weighted-Average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Weighted-Average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080" w:type="dxa"/>
            <w:vAlign w:val="bottom"/>
          </w:tcPr>
          <w:p>
            <w:pPr>
              <w:spacing w:after="0"/>
              <w:rPr>
                <w:sz w:val="11"/>
                <w:szCs w:val="11"/>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100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2"/>
        </w:trPr>
        <w:tc>
          <w:tcPr>
            <w:tcW w:w="60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270"/>
              <w:spacing w:after="0" w:line="132" w:lineRule="exact"/>
              <w:rPr>
                <w:sz w:val="20"/>
                <w:szCs w:val="20"/>
                <w:color w:val="auto"/>
              </w:rPr>
            </w:pPr>
            <w:r>
              <w:rPr>
                <w:rFonts w:ascii="Arial" w:cs="Arial" w:eastAsia="Arial" w:hAnsi="Arial"/>
                <w:sz w:val="14"/>
                <w:szCs w:val="14"/>
                <w:b w:val="1"/>
                <w:bCs w:val="1"/>
                <w:color w:val="auto"/>
                <w:w w:val="86"/>
              </w:rPr>
              <w:t>Exercise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80" w:type="dxa"/>
            <w:vAlign w:val="bottom"/>
          </w:tcPr>
          <w:p>
            <w:pPr>
              <w:spacing w:after="0"/>
              <w:rPr>
                <w:sz w:val="11"/>
                <w:szCs w:val="11"/>
                <w:color w:val="auto"/>
              </w:rPr>
            </w:pPr>
          </w:p>
        </w:tc>
        <w:tc>
          <w:tcPr>
            <w:tcW w:w="118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1"/>
                <w:szCs w:val="11"/>
                <w:color w:val="auto"/>
              </w:rPr>
            </w:pPr>
          </w:p>
        </w:tc>
        <w:tc>
          <w:tcPr>
            <w:tcW w:w="1300" w:type="dxa"/>
            <w:vAlign w:val="bottom"/>
            <w:gridSpan w:val="3"/>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Price Per</w:t>
            </w:r>
          </w:p>
        </w:tc>
        <w:tc>
          <w:tcPr>
            <w:tcW w:w="130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1"/>
                <w:szCs w:val="11"/>
                <w:color w:val="auto"/>
              </w:rPr>
            </w:pPr>
          </w:p>
        </w:tc>
        <w:tc>
          <w:tcPr>
            <w:tcW w:w="1000" w:type="dxa"/>
            <w:vAlign w:val="bottom"/>
          </w:tcPr>
          <w:p>
            <w:pPr>
              <w:jc w:val="center"/>
              <w:ind w:right="125"/>
              <w:spacing w:after="0" w:line="132"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4"/>
        </w:trPr>
        <w:tc>
          <w:tcPr>
            <w:tcW w:w="60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ind w:left="270"/>
              <w:spacing w:after="0"/>
              <w:rPr>
                <w:sz w:val="20"/>
                <w:szCs w:val="20"/>
                <w:color w:val="auto"/>
              </w:rPr>
            </w:pPr>
            <w:r>
              <w:rPr>
                <w:rFonts w:ascii="Arial" w:cs="Arial" w:eastAsia="Arial" w:hAnsi="Arial"/>
                <w:sz w:val="14"/>
                <w:szCs w:val="14"/>
                <w:b w:val="1"/>
                <w:bCs w:val="1"/>
                <w:color w:val="auto"/>
                <w:w w:val="93"/>
              </w:rPr>
              <w:t>Option</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8,796,212</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2.10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2,660,936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w w:val="83"/>
              </w:rPr>
              <w:t>5.17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(1,489,067)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1.69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(923,777)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83"/>
              </w:rPr>
              <w:t>3.64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2019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9,044,304</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2.91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1,526,000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w w:val="83"/>
              </w:rPr>
              <w:t>9.41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(1,357,620)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3.06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(732,705)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83"/>
              </w:rPr>
              <w:t>3.60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8,479,979</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3.99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1,929,500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Arial" w:cs="Arial" w:eastAsia="Arial" w:hAnsi="Arial"/>
                <w:sz w:val="16"/>
                <w:szCs w:val="16"/>
                <w:color w:val="auto"/>
                <w:w w:val="83"/>
              </w:rPr>
              <w:t>8.86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(1,315,552)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3"/>
              </w:rPr>
              <w:t>2.62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(1,008,134)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83"/>
              </w:rPr>
              <w:t>8.60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8,085,793</w:t>
            </w:r>
          </w:p>
        </w:tc>
        <w:tc>
          <w:tcPr>
            <w:tcW w:w="9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3"/>
              </w:rPr>
              <w:t>4.81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Pr>
          <w:p>
            <w:pPr>
              <w:ind w:left="20"/>
              <w:spacing w:after="0"/>
              <w:rPr>
                <w:sz w:val="20"/>
                <w:szCs w:val="20"/>
                <w:color w:val="auto"/>
              </w:rPr>
            </w:pPr>
            <w:r>
              <w:rPr>
                <w:rFonts w:ascii="Arial" w:cs="Arial" w:eastAsia="Arial" w:hAnsi="Arial"/>
                <w:sz w:val="16"/>
                <w:szCs w:val="16"/>
                <w:color w:val="auto"/>
              </w:rPr>
              <w:t>Vested and Expected to Vest — December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7,398,958</w:t>
            </w:r>
          </w:p>
        </w:tc>
        <w:tc>
          <w:tcPr>
            <w:tcW w:w="960" w:type="dxa"/>
            <w:vAlign w:val="bottom"/>
            <w:gridSpan w:val="2"/>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
              <w:spacing w:after="0"/>
              <w:rPr>
                <w:sz w:val="20"/>
                <w:szCs w:val="20"/>
                <w:color w:val="auto"/>
              </w:rPr>
            </w:pPr>
            <w:r>
              <w:rPr>
                <w:rFonts w:ascii="Arial" w:cs="Arial" w:eastAsia="Arial" w:hAnsi="Arial"/>
                <w:sz w:val="16"/>
                <w:szCs w:val="16"/>
                <w:color w:val="auto"/>
                <w:w w:val="83"/>
              </w:rPr>
              <w:t>4.51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16,464</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 December 31, 2021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4,816,773</w:t>
            </w:r>
          </w:p>
        </w:tc>
        <w:tc>
          <w:tcPr>
            <w:tcW w:w="96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3"/>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1" w:lineRule="exact"/>
        <w:rPr>
          <w:sz w:val="20"/>
          <w:szCs w:val="20"/>
          <w:color w:val="auto"/>
        </w:rPr>
      </w:pPr>
    </w:p>
    <w:p>
      <w:pPr>
        <w:ind w:right="880" w:firstLine="395"/>
        <w:spacing w:after="0" w:line="261" w:lineRule="auto"/>
        <w:rPr>
          <w:sz w:val="20"/>
          <w:szCs w:val="20"/>
          <w:color w:val="auto"/>
        </w:rPr>
      </w:pPr>
      <w:r>
        <w:rPr>
          <w:rFonts w:ascii="Arial" w:cs="Arial" w:eastAsia="Arial" w:hAnsi="Arial"/>
          <w:sz w:val="18"/>
          <w:szCs w:val="18"/>
          <w:color w:val="auto"/>
        </w:rPr>
        <w:t>The total intrinsic value of stock options exercised to purchase common stock during the years ended December 31, 2021, 2020 and 2019 was approximately $4.3 million, $11.7 million and $5.6 million, respectively.</w:t>
      </w:r>
    </w:p>
    <w:p>
      <w:pPr>
        <w:spacing w:after="0" w:line="12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As of December 31, 2021, total unrecognized share-based compensation expense related to non-vested stock options was $11.3 million, which is expected to be recognized over a weighted-average period of approximately 2.68 years. The Company recognized approximately $6.3 million, $5.8 million and</w:t>
      </w:r>
    </w:p>
    <w:p>
      <w:pPr>
        <w:ind w:right="320"/>
        <w:spacing w:after="0" w:line="248" w:lineRule="auto"/>
        <w:rPr>
          <w:sz w:val="20"/>
          <w:szCs w:val="20"/>
          <w:color w:val="auto"/>
        </w:rPr>
      </w:pPr>
      <w:r>
        <w:rPr>
          <w:rFonts w:ascii="Arial" w:cs="Arial" w:eastAsia="Arial" w:hAnsi="Arial"/>
          <w:sz w:val="18"/>
          <w:szCs w:val="18"/>
          <w:color w:val="auto"/>
        </w:rPr>
        <w:t>$3.5 million of share-based compensation expense related to the vesting of stock option awards during the years ended December 31, 2021, 2020 and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9" w:lineRule="exact"/>
        <w:rPr>
          <w:sz w:val="20"/>
          <w:szCs w:val="20"/>
          <w:color w:val="auto"/>
        </w:rPr>
      </w:pPr>
    </w:p>
    <w:p>
      <w:pPr>
        <w:ind w:right="380" w:firstLine="395"/>
        <w:spacing w:after="0" w:line="250"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restricted stock unit activity under all plans for the year ended December 31, 2021 is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2"/>
        </w:trPr>
        <w:tc>
          <w:tcPr>
            <w:tcW w:w="85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2"/>
              <w:spacing w:after="0" w:line="132"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84"/>
        </w:trPr>
        <w:tc>
          <w:tcPr>
            <w:tcW w:w="8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4"/>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7"/>
        </w:trPr>
        <w:tc>
          <w:tcPr>
            <w:tcW w:w="85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870,150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(809,482)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(114,735)</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7"/>
        </w:trPr>
        <w:tc>
          <w:tcPr>
            <w:tcW w:w="85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570,368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7"/>
        </w:trPr>
        <w:tc>
          <w:tcPr>
            <w:tcW w:w="85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1,931,263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(1,019,686)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07"/>
        </w:trPr>
        <w:tc>
          <w:tcPr>
            <w:tcW w:w="8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(80,959)</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2"/>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1,247,723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right="640" w:firstLine="395"/>
        <w:spacing w:after="0" w:line="261" w:lineRule="auto"/>
        <w:rPr>
          <w:sz w:val="20"/>
          <w:szCs w:val="20"/>
          <w:color w:val="auto"/>
        </w:rPr>
      </w:pPr>
      <w:r>
        <w:rPr>
          <w:rFonts w:ascii="Arial" w:cs="Arial" w:eastAsia="Arial" w:hAnsi="Arial"/>
          <w:sz w:val="18"/>
          <w:szCs w:val="18"/>
          <w:color w:val="auto"/>
        </w:rPr>
        <w:t>During the years ended December 31, 2021, 2020 and 2019, the total fair value of shares vested was $10.4 million, $5.1 million and $4.0 million, respectively.</w:t>
      </w:r>
    </w:p>
    <w:p>
      <w:pPr>
        <w:spacing w:after="0" w:line="129"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As of December 31, 2021, there was $5.8 million of unrecognized share-based compensation expense related to non-vested RSUs, which is expected to be recognized over a weighted-average period of 3.45 years. The Company recognized approximately $9.6 million and $4.1 million and $3.5 million of share-based compensation expense related to the vesting of RSUs during the years ended December 31, 2021, 2020 and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83" w:lineRule="exact"/>
        <w:rPr>
          <w:sz w:val="20"/>
          <w:szCs w:val="20"/>
          <w:color w:val="auto"/>
        </w:rPr>
      </w:pPr>
    </w:p>
    <w:p>
      <w:pPr>
        <w:jc w:val="both"/>
        <w:ind w:right="140" w:firstLine="395"/>
        <w:spacing w:after="0" w:line="299" w:lineRule="auto"/>
        <w:rPr>
          <w:sz w:val="20"/>
          <w:szCs w:val="20"/>
          <w:color w:val="auto"/>
        </w:rPr>
      </w:pPr>
      <w:r>
        <w:rPr>
          <w:rFonts w:ascii="Arial" w:cs="Arial" w:eastAsia="Arial" w:hAnsi="Arial"/>
          <w:sz w:val="16"/>
          <w:szCs w:val="16"/>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5,324,000 shares of common stock may be purchased by eligible employees.</w:t>
      </w:r>
    </w:p>
    <w:p>
      <w:pPr>
        <w:spacing w:after="0" w:line="102" w:lineRule="exact"/>
        <w:rPr>
          <w:sz w:val="20"/>
          <w:szCs w:val="20"/>
          <w:color w:val="auto"/>
        </w:rPr>
      </w:pPr>
    </w:p>
    <w:p>
      <w:pPr>
        <w:ind w:right="380" w:firstLine="395"/>
        <w:spacing w:after="0" w:line="252" w:lineRule="auto"/>
        <w:rPr>
          <w:sz w:val="20"/>
          <w:szCs w:val="20"/>
          <w:color w:val="auto"/>
        </w:rPr>
      </w:pPr>
      <w:r>
        <w:rPr>
          <w:rFonts w:ascii="Arial" w:cs="Arial" w:eastAsia="Arial" w:hAnsi="Arial"/>
          <w:sz w:val="18"/>
          <w:szCs w:val="18"/>
          <w:color w:val="auto"/>
        </w:rPr>
        <w:t>During the years ended December 31, 2021 and 2020, the Company issued 220,390 shares and 231,275 shares, respectively, under the ESPP. The Company recognized approximately $0.7 million, $0.6 million and $0.3 million of share-based compensation expense related to the ESPP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02" w:lineRule="exact"/>
        <w:rPr>
          <w:sz w:val="20"/>
          <w:szCs w:val="20"/>
          <w:color w:val="auto"/>
        </w:rPr>
      </w:pPr>
    </w:p>
    <w:p>
      <w:pPr>
        <w:ind w:right="200" w:firstLine="395"/>
        <w:spacing w:after="0" w:line="247" w:lineRule="auto"/>
        <w:rPr>
          <w:sz w:val="20"/>
          <w:szCs w:val="20"/>
          <w:color w:val="auto"/>
        </w:rPr>
      </w:pPr>
      <w:r>
        <w:rPr>
          <w:rFonts w:ascii="Arial" w:cs="Arial" w:eastAsia="Arial" w:hAnsi="Arial"/>
          <w:sz w:val="18"/>
          <w:szCs w:val="18"/>
          <w:color w:val="auto"/>
        </w:rPr>
        <w:t>Basic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182"/>
        </w:trPr>
        <w:tc>
          <w:tcPr>
            <w:tcW w:w="74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0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(40,486)</w:t>
            </w:r>
          </w:p>
        </w:tc>
      </w:tr>
      <w:tr>
        <w:trPr>
          <w:trHeight w:val="207"/>
        </w:trPr>
        <w:tc>
          <w:tcPr>
            <w:tcW w:w="74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220" w:type="dxa"/>
            <w:vAlign w:val="bottom"/>
          </w:tcPr>
          <w:p>
            <w:pPr>
              <w:spacing w:after="0"/>
              <w:rPr>
                <w:sz w:val="18"/>
                <w:szCs w:val="18"/>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w w:val="98"/>
              </w:rPr>
              <w:t>103,246,308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96,111,547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78,322,496</w:t>
            </w:r>
          </w:p>
        </w:tc>
      </w:tr>
      <w:tr>
        <w:trPr>
          <w:trHeight w:val="239"/>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right="400" w:firstLine="395"/>
        <w:spacing w:after="0" w:line="261" w:lineRule="auto"/>
        <w:rPr>
          <w:sz w:val="20"/>
          <w:szCs w:val="20"/>
          <w:color w:val="auto"/>
        </w:rPr>
      </w:pPr>
      <w:r>
        <w:rPr>
          <w:rFonts w:ascii="Arial" w:cs="Arial" w:eastAsia="Arial" w:hAnsi="Arial"/>
          <w:sz w:val="18"/>
          <w:szCs w:val="18"/>
          <w:color w:val="auto"/>
        </w:rPr>
        <w:t>For the year ended December 31, 2021, the computation of diluted EPS excluded 26,318,509 shares, primarily related to convertible notes, warrants, stock options, RSUs and ESPP for which the effect would have been anti-dilutive.</w:t>
      </w:r>
    </w:p>
    <w:p>
      <w:pPr>
        <w:spacing w:after="0" w:line="129" w:lineRule="exact"/>
        <w:rPr>
          <w:sz w:val="20"/>
          <w:szCs w:val="20"/>
          <w:color w:val="auto"/>
        </w:rPr>
      </w:pPr>
    </w:p>
    <w:p>
      <w:pPr>
        <w:ind w:right="680" w:firstLine="395"/>
        <w:spacing w:after="0" w:line="261" w:lineRule="auto"/>
        <w:rPr>
          <w:sz w:val="20"/>
          <w:szCs w:val="20"/>
          <w:color w:val="auto"/>
        </w:rPr>
      </w:pPr>
      <w:r>
        <w:rPr>
          <w:rFonts w:ascii="Arial" w:cs="Arial" w:eastAsia="Arial" w:hAnsi="Arial"/>
          <w:sz w:val="18"/>
          <w:szCs w:val="18"/>
          <w:color w:val="auto"/>
        </w:rPr>
        <w:t>The following is a summary of outstanding anti-dilutive potential common stock that was excluded from diluted net loss per share attributable to stockholders in the following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28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4"/>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22,314</w:t>
            </w: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color w:val="auto"/>
              </w:rPr>
              <w:t>Warrants</w:t>
            </w: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2,838</w:t>
            </w: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Non-qualified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w:t>
            </w:r>
          </w:p>
        </w:tc>
      </w:tr>
      <w:tr>
        <w:trPr>
          <w:trHeight w:val="207"/>
        </w:trPr>
        <w:tc>
          <w:tcPr>
            <w:tcW w:w="74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200" w:type="dxa"/>
            <w:vAlign w:val="bottom"/>
          </w:tcPr>
          <w:p>
            <w:pPr>
              <w:jc w:val="right"/>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Rights agreement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Noncancellable Purchase Obligations</w:t>
      </w:r>
    </w:p>
    <w:p>
      <w:pPr>
        <w:spacing w:after="0" w:line="161" w:lineRule="exact"/>
        <w:rPr>
          <w:sz w:val="20"/>
          <w:szCs w:val="20"/>
          <w:color w:val="auto"/>
        </w:rPr>
      </w:pPr>
    </w:p>
    <w:p>
      <w:pPr>
        <w:jc w:val="both"/>
        <w:ind w:right="400" w:firstLine="395"/>
        <w:spacing w:after="0" w:line="299" w:lineRule="auto"/>
        <w:rPr>
          <w:sz w:val="20"/>
          <w:szCs w:val="20"/>
          <w:color w:val="auto"/>
        </w:rPr>
      </w:pPr>
      <w:r>
        <w:rPr>
          <w:rFonts w:ascii="Arial" w:cs="Arial" w:eastAsia="Arial" w:hAnsi="Arial"/>
          <w:sz w:val="16"/>
          <w:szCs w:val="16"/>
          <w:color w:val="auto"/>
        </w:rPr>
        <w:t>The Company typically enters into commitments with its contract manufacturers that require future purchase of goods or services in the three to four quarters following the balance sheet date. Such commitments are noncancellable (“noncancellable purchase obligations). As of December 31, 2021, future payments under these noncancellable purchase obligations were approximately $165.8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61"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141" w:lineRule="exact"/>
        <w:rPr>
          <w:sz w:val="20"/>
          <w:szCs w:val="20"/>
          <w:color w:val="auto"/>
        </w:rPr>
      </w:pPr>
    </w:p>
    <w:p>
      <w:pPr>
        <w:ind w:right="220" w:firstLine="395"/>
        <w:spacing w:after="0" w:line="316" w:lineRule="auto"/>
        <w:rPr>
          <w:sz w:val="20"/>
          <w:szCs w:val="20"/>
          <w:color w:val="auto"/>
        </w:rPr>
      </w:pPr>
      <w:r>
        <w:rPr>
          <w:rFonts w:ascii="Arial" w:cs="Arial" w:eastAsia="Arial" w:hAnsi="Arial"/>
          <w:sz w:val="15"/>
          <w:szCs w:val="15"/>
          <w:color w:val="auto"/>
        </w:rPr>
        <w:t>On May 11, 2017, the Company initiated a lawsuit against the former stockholders of R.E.R. Enterprises, Inc.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1"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09"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61"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including common area maintenance,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18" w:lineRule="exact"/>
        <w:rPr>
          <w:sz w:val="20"/>
          <w:szCs w:val="20"/>
          <w:color w:val="auto"/>
        </w:rPr>
      </w:pPr>
    </w:p>
    <w:p>
      <w:pPr>
        <w:ind w:right="60" w:firstLine="395"/>
        <w:spacing w:after="0" w:line="310" w:lineRule="auto"/>
        <w:rPr>
          <w:sz w:val="20"/>
          <w:szCs w:val="20"/>
          <w:color w:val="auto"/>
        </w:rPr>
      </w:pPr>
      <w:r>
        <w:rPr>
          <w:rFonts w:ascii="Arial" w:cs="Arial" w:eastAsia="Arial" w:hAnsi="Arial"/>
          <w:sz w:val="15"/>
          <w:szCs w:val="15"/>
          <w:color w:val="auto"/>
        </w:rPr>
        <w:t xml:space="preserve">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w:t>
      </w:r>
      <w:r>
        <w:rPr>
          <w:rFonts w:ascii="Arial" w:cs="Arial" w:eastAsia="Arial" w:hAnsi="Arial"/>
          <w:sz w:val="15"/>
          <w:szCs w:val="15"/>
          <w:i w:val="1"/>
          <w:iCs w:val="1"/>
          <w:color w:val="auto"/>
        </w:rPr>
        <w:t>Leases</w:t>
      </w:r>
      <w:r>
        <w:rPr>
          <w:rFonts w:ascii="Arial" w:cs="Arial" w:eastAsia="Arial" w:hAnsi="Arial"/>
          <w:sz w:val="15"/>
          <w:szCs w:val="15"/>
          <w:color w:val="auto"/>
        </w:rPr>
        <w:t xml:space="preserve">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97" w:lineRule="exact"/>
        <w:rPr>
          <w:sz w:val="20"/>
          <w:szCs w:val="20"/>
          <w:color w:val="auto"/>
        </w:rPr>
      </w:pPr>
    </w:p>
    <w:p>
      <w:pPr>
        <w:ind w:right="40" w:firstLine="395"/>
        <w:spacing w:after="0" w:line="300" w:lineRule="auto"/>
        <w:rPr>
          <w:sz w:val="20"/>
          <w:szCs w:val="20"/>
          <w:color w:val="auto"/>
        </w:rPr>
      </w:pPr>
      <w:r>
        <w:rPr>
          <w:rFonts w:ascii="Arial" w:cs="Arial" w:eastAsia="Arial" w:hAnsi="Arial"/>
          <w:sz w:val="15"/>
          <w:szCs w:val="15"/>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lease term and the information available surrounding the Company’s borrowing rates at the lease commencement date in determining the present value of lease payments. The right-of-use asset also includes any lease payments made at or before lease commencement less any lease incentives. As of December 31, 2021 and 2020, the Company had right-of-use assets of $7.8 million and $9.1 million, respectively, and lease liabilities related to its operating leases of $8.9 million and $9.9 million, respectively. Right-of-use assets are included in right-of-use assets, net, on the consolidated balance sheet and lease liabilities related to the Company’s operating leases are included in accrued expenses and other liabilities and other long-term liabilities on the consolidated balance sheet. As of December 31, 2021 and 2020, the Company’s weighted-average remaining lease term and weighted-average discount rate related to its operating leases were 5.0 years and 5.8 years, respectively, and 9.1% and 9.1%, respectively.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1"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During the years ended December 31, 2021, 2020 and 2019, the cash paid for amounts included in the measurement of lease liabilities related to the Company’s operating leases was approximately $2.6 million, $1.9 million and $2.2 million, respectively, which is included as an operating cash outflow within the consolidated statements of cash flows. During the twelve months ended December 31, 2021, 2020 and 2019 the operating lease costs related to the Company’s operating leases were approximately $2.8 million, $2.2 million and $2.4 million, respectively, which is included in operating costs and expenses in the consolidated statements of operations. During the twelve months ended December 31, 2021 and 2020, the Company entered into and renewed various leases for which right-of-use assets of $0.7 million and $7.9 million, respectively, were recorded in exchange for lease liabilities of $0.7 million and $7.9 million,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80" w:type="dxa"/>
            <w:vAlign w:val="bottom"/>
          </w:tcPr>
          <w:p>
            <w:pPr>
              <w:ind w:left="400"/>
              <w:spacing w:after="0"/>
              <w:rPr>
                <w:sz w:val="20"/>
                <w:szCs w:val="20"/>
                <w:color w:val="auto"/>
              </w:rPr>
            </w:pPr>
            <w:r>
              <w:rPr>
                <w:rFonts w:ascii="Arial" w:cs="Arial" w:eastAsia="Arial" w:hAnsi="Arial"/>
                <w:sz w:val="18"/>
                <w:szCs w:val="18"/>
                <w:color w:val="auto"/>
              </w:rPr>
              <w:t>The future minimum payments under operating leases were as follows at December 31, 2021 (in thousands):</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9"/>
        </w:trPr>
        <w:tc>
          <w:tcPr>
            <w:tcW w:w="9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11"/>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2,094</w:t>
            </w:r>
          </w:p>
        </w:tc>
      </w:tr>
      <w:tr>
        <w:trPr>
          <w:trHeight w:val="214"/>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w:t>
            </w:r>
          </w:p>
        </w:tc>
      </w:tr>
      <w:tr>
        <w:trPr>
          <w:trHeight w:val="214"/>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r>
      <w:tr>
        <w:trPr>
          <w:trHeight w:val="207"/>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r>
      <w:tr>
        <w:trPr>
          <w:trHeight w:val="207"/>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8,881</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r>
      <w:tr>
        <w:trPr>
          <w:trHeight w:val="229"/>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consolidated balance sheets.</w:t>
      </w:r>
    </w:p>
    <w:p>
      <w:pPr>
        <w:spacing w:after="0" w:line="30"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ind w:right="7040" w:firstLine="5"/>
        <w:spacing w:after="0" w:line="375" w:lineRule="auto"/>
        <w:tabs>
          <w:tab w:leader="none" w:pos="2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Geographic Information and Concentrations of Risk </w:t>
      </w:r>
      <w:r>
        <w:rPr>
          <w:rFonts w:ascii="Arial" w:cs="Arial" w:eastAsia="Arial" w:hAnsi="Arial"/>
          <w:sz w:val="18"/>
          <w:szCs w:val="18"/>
          <w:i w:val="1"/>
          <w:iCs w:val="1"/>
          <w:color w:val="auto"/>
        </w:rPr>
        <w:t>Geographic Information</w:t>
      </w:r>
    </w:p>
    <w:p>
      <w:pPr>
        <w:spacing w:after="0" w:line="30"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geographic concentration of the Company’s assets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2"/>
        </w:trPr>
        <w:tc>
          <w:tcPr>
            <w:tcW w:w="8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204"/>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148,485</w:t>
            </w:r>
          </w:p>
        </w:tc>
      </w:tr>
      <w:tr>
        <w:trPr>
          <w:trHeight w:val="207"/>
        </w:trPr>
        <w:tc>
          <w:tcPr>
            <w:tcW w:w="8680" w:type="dxa"/>
            <w:vAlign w:val="bottom"/>
          </w:tcPr>
          <w:p>
            <w:pPr>
              <w:ind w:left="2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27,277</w:t>
            </w:r>
          </w:p>
        </w:tc>
      </w:tr>
      <w:tr>
        <w:trPr>
          <w:trHeight w:val="214"/>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Africa</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48,211</w:t>
            </w: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r>
      <w:tr>
        <w:trPr>
          <w:trHeight w:val="229"/>
        </w:trPr>
        <w:tc>
          <w:tcPr>
            <w:tcW w:w="8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215,843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214630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INSEEGO CORP.</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tcBorders>
              <w:bottom w:val="single" w:sz="8" w:color="auto"/>
            </w:tcBorders>
          </w:tcPr>
          <w:p>
            <w:pPr>
              <w:spacing w:after="0"/>
              <w:rPr>
                <w:sz w:val="16"/>
                <w:szCs w:val="16"/>
                <w:color w:val="auto"/>
              </w:rPr>
            </w:pPr>
          </w:p>
        </w:tc>
      </w:tr>
      <w:tr>
        <w:trPr>
          <w:trHeight w:val="182"/>
        </w:trPr>
        <w:tc>
          <w:tcPr>
            <w:tcW w:w="73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0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215,520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260,009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158,756</w:t>
            </w: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28,208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35,001</w:t>
            </w:r>
          </w:p>
        </w:tc>
      </w:tr>
      <w:tr>
        <w:trPr>
          <w:trHeight w:val="211"/>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25,615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25,739</w:t>
            </w:r>
          </w:p>
        </w:tc>
      </w:tr>
      <w:tr>
        <w:trPr>
          <w:trHeight w:val="207"/>
        </w:trPr>
        <w:tc>
          <w:tcPr>
            <w:tcW w:w="734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262,399</w:t>
            </w:r>
          </w:p>
        </w:tc>
        <w:tc>
          <w:tcPr>
            <w:tcW w:w="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313,832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219,496</w:t>
            </w:r>
          </w:p>
        </w:tc>
      </w:tr>
      <w:tr>
        <w:trPr>
          <w:trHeight w:val="20"/>
        </w:trPr>
        <w:tc>
          <w:tcPr>
            <w:tcW w:w="7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the year ended December 31, 2021, two customers accounted for 43.9% and 26.4% of net revenues, respectively. For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2020 and 2019 one customer accounted for 54.5% and 52.5% of net revenues, respectively.</w:t>
      </w:r>
    </w:p>
    <w:p>
      <w:pPr>
        <w:spacing w:after="0" w:line="71" w:lineRule="exact"/>
        <w:rPr>
          <w:sz w:val="20"/>
          <w:szCs w:val="20"/>
          <w:color w:val="auto"/>
        </w:rPr>
      </w:pPr>
    </w:p>
    <w:p>
      <w:pPr>
        <w:ind w:right="620" w:firstLine="395"/>
        <w:spacing w:after="0" w:line="261" w:lineRule="auto"/>
        <w:rPr>
          <w:sz w:val="20"/>
          <w:szCs w:val="20"/>
          <w:color w:val="auto"/>
        </w:rPr>
      </w:pPr>
      <w:r>
        <w:rPr>
          <w:rFonts w:ascii="Arial" w:cs="Arial" w:eastAsia="Arial" w:hAnsi="Arial"/>
          <w:sz w:val="18"/>
          <w:szCs w:val="18"/>
          <w:color w:val="auto"/>
        </w:rPr>
        <w:t>At December 31, 2021, two customers accounted for 61.7% and 12.6% of total accounts receivable, net, respectively. At December 31, 2020, two customers accounted for 33.3% and 17.2% of total accounts receivable, net, respectively.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Savings Plan</w:t>
      </w:r>
    </w:p>
    <w:p>
      <w:pPr>
        <w:spacing w:after="0" w:line="167"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amounted to approximately $0.9 million, $0.7 million and $0.4 million for the years ended December 31, 2021, 2020 and 2019, respectively. Employer matching contributions vest immediately.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59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tcBorders>
              <w:bottom w:val="single" w:sz="8" w:color="CCEEFF"/>
            </w:tcBorders>
          </w:tcPr>
          <w:p>
            <w:pPr>
              <w:spacing w:after="0"/>
              <w:rPr>
                <w:sz w:val="16"/>
                <w:szCs w:val="16"/>
                <w:color w:val="auto"/>
              </w:rPr>
            </w:pPr>
          </w:p>
        </w:tc>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Inseego Wireless, Inc.</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Inseego (UK) Ltd</w:t>
            </w:r>
          </w:p>
        </w:tc>
        <w:tc>
          <w:tcPr>
            <w:tcW w:w="290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Inseego Japan K K</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Japan</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Novatel Wireless Australia Pty Ltd</w:t>
            </w:r>
          </w:p>
        </w:tc>
        <w:tc>
          <w:tcPr>
            <w:tcW w:w="29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Novatel Wireless Asia Ltd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Hong Kong</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Novatel Wireless (Shanghai) Co. Ltd.</w:t>
            </w:r>
          </w:p>
        </w:tc>
        <w:tc>
          <w:tcPr>
            <w:tcW w:w="29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R.E.R. Enterprises, Inc.</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Inseego North America, LLC</w:t>
            </w:r>
          </w:p>
        </w:tc>
        <w:tc>
          <w:tcPr>
            <w:tcW w:w="2900" w:type="dxa"/>
            <w:vAlign w:val="bottom"/>
          </w:tcPr>
          <w:p>
            <w:pPr>
              <w:ind w:left="20"/>
              <w:spacing w:after="0"/>
              <w:rPr>
                <w:sz w:val="20"/>
                <w:szCs w:val="20"/>
                <w:color w:val="auto"/>
              </w:rPr>
            </w:pPr>
            <w:r>
              <w:rPr>
                <w:rFonts w:ascii="Arial" w:cs="Arial" w:eastAsia="Arial" w:hAnsi="Arial"/>
                <w:sz w:val="16"/>
                <w:szCs w:val="16"/>
                <w:color w:val="auto"/>
              </w:rPr>
              <w:t>Oregon</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Holdings (Pty) Ltd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Africa</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Dedical (Pty) Ltd</w:t>
            </w:r>
          </w:p>
        </w:tc>
        <w:tc>
          <w:tcPr>
            <w:tcW w:w="2900" w:type="dxa"/>
            <w:vAlign w:val="bottom"/>
          </w:tcPr>
          <w:p>
            <w:pPr>
              <w:ind w:left="20"/>
              <w:spacing w:after="0"/>
              <w:rPr>
                <w:sz w:val="20"/>
                <w:szCs w:val="20"/>
                <w:color w:val="auto"/>
              </w:rPr>
            </w:pPr>
            <w:r>
              <w:rPr>
                <w:rFonts w:ascii="Arial" w:cs="Arial" w:eastAsia="Arial" w:hAnsi="Arial"/>
                <w:sz w:val="16"/>
                <w:szCs w:val="16"/>
                <w:color w:val="auto"/>
              </w:rPr>
              <w:t>South Africa</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DigiCore Properties (Pty) Ltd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Africa</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DigiCore International (Pty) Ltd</w:t>
            </w:r>
          </w:p>
        </w:tc>
        <w:tc>
          <w:tcPr>
            <w:tcW w:w="2900" w:type="dxa"/>
            <w:vAlign w:val="bottom"/>
          </w:tcPr>
          <w:p>
            <w:pPr>
              <w:ind w:left="20"/>
              <w:spacing w:after="0"/>
              <w:rPr>
                <w:sz w:val="20"/>
                <w:szCs w:val="20"/>
                <w:color w:val="auto"/>
              </w:rPr>
            </w:pPr>
            <w:r>
              <w:rPr>
                <w:rFonts w:ascii="Arial" w:cs="Arial" w:eastAsia="Arial" w:hAnsi="Arial"/>
                <w:sz w:val="16"/>
                <w:szCs w:val="16"/>
                <w:color w:val="auto"/>
              </w:rPr>
              <w:t>South Africa</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International Holdings Ltd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Ctrack Europe Holdings Limited</w:t>
            </w:r>
          </w:p>
        </w:tc>
        <w:tc>
          <w:tcPr>
            <w:tcW w:w="2900" w:type="dxa"/>
            <w:vAlign w:val="bottom"/>
          </w:tcPr>
          <w:p>
            <w:pPr>
              <w:ind w:left="20"/>
              <w:spacing w:after="0"/>
              <w:rPr>
                <w:sz w:val="20"/>
                <w:szCs w:val="20"/>
                <w:color w:val="auto"/>
              </w:rPr>
            </w:pPr>
            <w:r>
              <w:rPr>
                <w:rFonts w:ascii="Arial" w:cs="Arial" w:eastAsia="Arial" w:hAnsi="Arial"/>
                <w:sz w:val="16"/>
                <w:szCs w:val="16"/>
                <w:color w:val="auto"/>
              </w:rPr>
              <w:t>United Kingdom</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UK Ltd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Ctrack Ireland Ltd</w:t>
            </w:r>
          </w:p>
        </w:tc>
        <w:tc>
          <w:tcPr>
            <w:tcW w:w="2900" w:type="dxa"/>
            <w:vAlign w:val="bottom"/>
          </w:tcPr>
          <w:p>
            <w:pPr>
              <w:ind w:left="20"/>
              <w:spacing w:after="0"/>
              <w:rPr>
                <w:sz w:val="20"/>
                <w:szCs w:val="20"/>
                <w:color w:val="auto"/>
              </w:rPr>
            </w:pPr>
            <w:r>
              <w:rPr>
                <w:rFonts w:ascii="Arial" w:cs="Arial" w:eastAsia="Arial" w:hAnsi="Arial"/>
                <w:sz w:val="16"/>
                <w:szCs w:val="16"/>
                <w:color w:val="auto"/>
              </w:rPr>
              <w:t>Ireland</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Digicore Deutschland GmbH</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Germany</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DigiCore Europe BV</w:t>
            </w:r>
          </w:p>
        </w:tc>
        <w:tc>
          <w:tcPr>
            <w:tcW w:w="2900" w:type="dxa"/>
            <w:vAlign w:val="bottom"/>
          </w:tcPr>
          <w:p>
            <w:pPr>
              <w:ind w:left="20"/>
              <w:spacing w:after="0"/>
              <w:rPr>
                <w:sz w:val="20"/>
                <w:szCs w:val="20"/>
                <w:color w:val="auto"/>
              </w:rPr>
            </w:pPr>
            <w:r>
              <w:rPr>
                <w:rFonts w:ascii="Arial" w:cs="Arial" w:eastAsia="Arial" w:hAnsi="Arial"/>
                <w:sz w:val="16"/>
                <w:szCs w:val="16"/>
                <w:color w:val="auto"/>
              </w:rPr>
              <w:t>Netherlands</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Benelux BV</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DigiCore International Holdings BV</w:t>
            </w:r>
          </w:p>
        </w:tc>
        <w:tc>
          <w:tcPr>
            <w:tcW w:w="2900" w:type="dxa"/>
            <w:vAlign w:val="bottom"/>
          </w:tcPr>
          <w:p>
            <w:pPr>
              <w:ind w:left="20"/>
              <w:spacing w:after="0"/>
              <w:rPr>
                <w:sz w:val="20"/>
                <w:szCs w:val="20"/>
                <w:color w:val="auto"/>
              </w:rPr>
            </w:pPr>
            <w:r>
              <w:rPr>
                <w:rFonts w:ascii="Arial" w:cs="Arial" w:eastAsia="Arial" w:hAnsi="Arial"/>
                <w:sz w:val="16"/>
                <w:szCs w:val="16"/>
                <w:color w:val="auto"/>
              </w:rPr>
              <w:t>Netherlands</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New Zealand Limited</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Zealand</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Ctrack (Pty) Ltd</w:t>
            </w:r>
          </w:p>
        </w:tc>
        <w:tc>
          <w:tcPr>
            <w:tcW w:w="29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Belgium BVBA</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Belgium</w:t>
            </w: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Ctrack France SARL</w:t>
            </w:r>
          </w:p>
        </w:tc>
        <w:tc>
          <w:tcPr>
            <w:tcW w:w="29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14"/>
        </w:trPr>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Ctrack Ltd UK Trading</w:t>
            </w: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0120"/>
          </w:cols>
          <w:pgMar w:left="1440" w:top="871" w:right="339" w:bottom="1440" w:gutter="0" w:footer="0" w:header="0"/>
        </w:sectPr>
      </w:pPr>
    </w:p>
    <w:bookmarkStart w:id="100" w:name="page101"/>
    <w:bookmarkEnd w:id="100"/>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Independent Registered Public Accounting Firm’s Consent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We consent to the incorporation by reference in:</w:t>
      </w:r>
    </w:p>
    <w:p>
      <w:pPr>
        <w:spacing w:after="0" w:line="219" w:lineRule="exact"/>
        <w:rPr>
          <w:sz w:val="20"/>
          <w:szCs w:val="20"/>
          <w:color w:val="auto"/>
        </w:rPr>
      </w:pPr>
    </w:p>
    <w:p>
      <w:pPr>
        <w:ind w:left="620" w:hanging="299"/>
        <w:spacing w:after="0"/>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Registration Statement (Form S-3 No. 333-207255) of Novatel Wireless, Inc. (predecessor issuer to Inseego Corp.);</w:t>
      </w:r>
    </w:p>
    <w:p>
      <w:pPr>
        <w:spacing w:after="0" w:line="231" w:lineRule="exact"/>
        <w:rPr>
          <w:sz w:val="20"/>
          <w:szCs w:val="20"/>
          <w:color w:val="auto"/>
        </w:rPr>
      </w:pPr>
    </w:p>
    <w:p>
      <w:pPr>
        <w:ind w:left="640" w:hanging="319"/>
        <w:spacing w:after="0" w:line="248" w:lineRule="auto"/>
        <w:tabs>
          <w:tab w:leader="none" w:pos="631"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Registration Statements (Form S-3 Nos. 333-246353, 333-239728, 333-238057, 333-233206, 333-231350, 333-228315, 333-226753, and 333-221404) of Inseego Corp.; and</w:t>
      </w:r>
    </w:p>
    <w:p>
      <w:pPr>
        <w:spacing w:after="0" w:line="185" w:lineRule="exact"/>
        <w:rPr>
          <w:sz w:val="20"/>
          <w:szCs w:val="20"/>
          <w:color w:val="auto"/>
        </w:rPr>
      </w:pPr>
    </w:p>
    <w:p>
      <w:pPr>
        <w:jc w:val="both"/>
        <w:ind w:left="640" w:hanging="319"/>
        <w:spacing w:after="0" w:line="236" w:lineRule="auto"/>
        <w:tabs>
          <w:tab w:leader="none" w:pos="631"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Registration Statements (Form S-8 Nos. 333-246367, 333-226754, 333-221405, 333-214965, 333-207233, 333-202648, 333-190879, 333-190878, 333-176490, 333-176489, 333-163033, 333-163032, 333-159287, 333-145482, 333-139730, and 333-53692) of Inseego Corp.,</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of our report dated March 1, 2022, with respect to our audits of the consolidated financial statements of Inseego Corp. as of December 31, 2021 and 2020 and for each of the three years in the period ended December 31, 2021 and our report dated March 1, 2022 with respect to our audit of internal control over financial reporting of Inseego Corp. as of December 31, 2021, which reports are included in this Annual Report on Form 10-K of Inseego Corp. for the year ended December 31, 2021.</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 Marcum </w:t>
      </w:r>
      <w:r>
        <w:rPr>
          <w:rFonts w:ascii="Arial" w:cs="Arial" w:eastAsia="Arial" w:hAnsi="Arial"/>
          <w:sz w:val="17"/>
          <w:szCs w:val="17"/>
          <w:color w:val="auto"/>
        </w:rPr>
        <w:t>LLP</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Marcum </w:t>
      </w:r>
      <w:r>
        <w:rPr>
          <w:rFonts w:ascii="Arial" w:cs="Arial" w:eastAsia="Arial" w:hAnsi="Arial"/>
          <w:sz w:val="17"/>
          <w:szCs w:val="17"/>
          <w:color w:val="auto"/>
        </w:rPr>
        <w:t>LLP</w:t>
      </w:r>
    </w:p>
    <w:p>
      <w:pPr>
        <w:spacing w:after="0" w:line="222" w:lineRule="auto"/>
        <w:rPr>
          <w:sz w:val="20"/>
          <w:szCs w:val="20"/>
          <w:color w:val="auto"/>
        </w:rPr>
      </w:pPr>
      <w:r>
        <w:rPr>
          <w:rFonts w:ascii="Arial" w:cs="Arial" w:eastAsia="Arial" w:hAnsi="Arial"/>
          <w:sz w:val="21"/>
          <w:szCs w:val="21"/>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March 1, 2022</w:t>
      </w:r>
    </w:p>
    <w:p>
      <w:pPr>
        <w:sectPr>
          <w:pgSz w:w="11900" w:h="16838" w:orient="portrait"/>
          <w:cols w:equalWidth="0" w:num="1">
            <w:col w:w="11240"/>
          </w:cols>
          <w:pgMar w:left="320" w:top="144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61" w:lineRule="exact"/>
        <w:rPr>
          <w:sz w:val="20"/>
          <w:szCs w:val="20"/>
          <w:color w:val="auto"/>
        </w:rPr>
      </w:pPr>
    </w:p>
    <w:p>
      <w:pPr>
        <w:ind w:left="660" w:hanging="181"/>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61" w:lineRule="exact"/>
        <w:rPr>
          <w:rFonts w:ascii="Arial" w:cs="Arial" w:eastAsia="Arial" w:hAnsi="Arial"/>
          <w:sz w:val="18"/>
          <w:szCs w:val="18"/>
          <w:color w:val="auto"/>
        </w:rPr>
      </w:pPr>
    </w:p>
    <w:p>
      <w:pPr>
        <w:ind w:right="380" w:firstLine="479"/>
        <w:spacing w:after="0" w:line="362" w:lineRule="auto"/>
        <w:tabs>
          <w:tab w:leader="none" w:pos="6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40" w:firstLine="479"/>
        <w:spacing w:after="0" w:line="32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20" w:firstLine="479"/>
        <w:spacing w:after="0" w:line="252" w:lineRule="auto"/>
        <w:tabs>
          <w:tab w:leader="none" w:pos="6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060" w:right="220" w:hanging="227"/>
        <w:spacing w:after="0" w:line="218"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540" w:hanging="237"/>
        <w:spacing w:after="0" w:line="218"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700" w:hanging="227"/>
        <w:spacing w:after="0" w:line="307" w:lineRule="auto"/>
        <w:tabs>
          <w:tab w:leader="none" w:pos="106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60" w:right="220" w:hanging="237"/>
        <w:spacing w:after="0" w:line="218"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right="280" w:firstLine="479"/>
        <w:spacing w:after="0" w:line="32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6"/>
          <w:szCs w:val="16"/>
          <w:color w:val="auto"/>
        </w:rPr>
      </w:pPr>
    </w:p>
    <w:p>
      <w:pPr>
        <w:ind w:left="1060" w:right="140" w:hanging="227"/>
        <w:spacing w:after="0" w:line="273" w:lineRule="auto"/>
        <w:tabs>
          <w:tab w:leader="none" w:pos="10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060" w:right="100" w:hanging="237"/>
        <w:spacing w:after="0" w:line="228"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27" w:lineRule="exact"/>
        <w:rPr>
          <w:sz w:val="20"/>
          <w:szCs w:val="20"/>
          <w:color w:val="auto"/>
        </w:rPr>
      </w:pPr>
    </w:p>
    <w:p>
      <w:pPr>
        <w:ind w:left="298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18415</wp:posOffset>
            </wp:positionV>
            <wp:extent cx="33921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Dan Mondor</w:t>
      </w:r>
    </w:p>
    <w:p>
      <w:pPr>
        <w:spacing w:after="0" w:line="115"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Chief Executive Officer</w:t>
      </w:r>
    </w:p>
    <w:p>
      <w:pPr>
        <w:spacing w:after="0" w:line="17"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1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Robert G. Barbieri, certify that:</w:t>
      </w:r>
    </w:p>
    <w:p>
      <w:pPr>
        <w:spacing w:after="0" w:line="161" w:lineRule="exact"/>
        <w:rPr>
          <w:sz w:val="20"/>
          <w:szCs w:val="20"/>
          <w:color w:val="auto"/>
        </w:rPr>
      </w:pPr>
    </w:p>
    <w:p>
      <w:pPr>
        <w:ind w:left="660" w:hanging="181"/>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61" w:lineRule="exact"/>
        <w:rPr>
          <w:rFonts w:ascii="Arial" w:cs="Arial" w:eastAsia="Arial" w:hAnsi="Arial"/>
          <w:sz w:val="18"/>
          <w:szCs w:val="18"/>
          <w:color w:val="auto"/>
        </w:rPr>
      </w:pPr>
    </w:p>
    <w:p>
      <w:pPr>
        <w:ind w:right="380" w:firstLine="479"/>
        <w:spacing w:after="0" w:line="362" w:lineRule="auto"/>
        <w:tabs>
          <w:tab w:leader="none" w:pos="649"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right="340" w:firstLine="479"/>
        <w:spacing w:after="0" w:line="32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right="120" w:firstLine="479"/>
        <w:spacing w:after="0" w:line="252" w:lineRule="auto"/>
        <w:tabs>
          <w:tab w:leader="none" w:pos="6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8"/>
          <w:szCs w:val="18"/>
          <w:color w:val="auto"/>
        </w:rPr>
      </w:pPr>
    </w:p>
    <w:p>
      <w:pPr>
        <w:ind w:left="1060" w:right="220" w:hanging="227"/>
        <w:spacing w:after="0" w:line="218"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540" w:hanging="237"/>
        <w:spacing w:after="0" w:line="218"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700" w:hanging="227"/>
        <w:spacing w:after="0" w:line="307" w:lineRule="auto"/>
        <w:tabs>
          <w:tab w:leader="none" w:pos="10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Arial" w:cs="Arial" w:eastAsia="Arial" w:hAnsi="Arial"/>
          <w:sz w:val="15"/>
          <w:szCs w:val="15"/>
          <w:color w:val="auto"/>
        </w:rPr>
      </w:pPr>
    </w:p>
    <w:p>
      <w:pPr>
        <w:ind w:left="1060" w:right="220" w:hanging="237"/>
        <w:spacing w:after="0" w:line="218"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right="280" w:firstLine="479"/>
        <w:spacing w:after="0" w:line="32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6"/>
          <w:szCs w:val="16"/>
          <w:color w:val="auto"/>
        </w:rPr>
      </w:pPr>
    </w:p>
    <w:p>
      <w:pPr>
        <w:ind w:left="1060" w:right="140" w:hanging="227"/>
        <w:spacing w:after="0" w:line="273" w:lineRule="auto"/>
        <w:tabs>
          <w:tab w:leader="none" w:pos="10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6"/>
          <w:szCs w:val="16"/>
          <w:color w:val="auto"/>
        </w:rPr>
      </w:pPr>
    </w:p>
    <w:p>
      <w:pPr>
        <w:ind w:left="1060" w:right="100" w:hanging="237"/>
        <w:spacing w:after="0" w:line="228" w:lineRule="auto"/>
        <w:tabs>
          <w:tab w:leader="none" w:pos="10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27" w:lineRule="exact"/>
        <w:rPr>
          <w:sz w:val="20"/>
          <w:szCs w:val="20"/>
          <w:color w:val="auto"/>
        </w:rPr>
      </w:pPr>
    </w:p>
    <w:p>
      <w:pPr>
        <w:ind w:left="298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18415</wp:posOffset>
            </wp:positionV>
            <wp:extent cx="33921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7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Robert G. Barbieri</w:t>
      </w:r>
    </w:p>
    <w:p>
      <w:pPr>
        <w:spacing w:after="0" w:line="115"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Chief Financial Officer</w:t>
      </w:r>
    </w:p>
    <w:p>
      <w:pPr>
        <w:spacing w:after="0" w:line="17"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7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55" w:lineRule="exact"/>
        <w:rPr>
          <w:sz w:val="20"/>
          <w:szCs w:val="20"/>
          <w:color w:val="auto"/>
        </w:rPr>
      </w:pPr>
    </w:p>
    <w:p>
      <w:pPr>
        <w:ind w:left="1480" w:right="800" w:hanging="819"/>
        <w:spacing w:after="0" w:line="273"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(the “Report”) fully complies with the requirements of Section 13(a) or 15(d) of the Securities Exchange Act of 1934, as amended; and</w:t>
      </w:r>
    </w:p>
    <w:p>
      <w:pPr>
        <w:spacing w:after="0" w:line="199" w:lineRule="exact"/>
        <w:rPr>
          <w:rFonts w:ascii="Arial" w:cs="Arial" w:eastAsia="Arial" w:hAnsi="Arial"/>
          <w:sz w:val="16"/>
          <w:szCs w:val="16"/>
          <w:color w:val="auto"/>
        </w:rPr>
      </w:pPr>
    </w:p>
    <w:p>
      <w:pPr>
        <w:ind w:left="1480" w:right="400" w:hanging="819"/>
        <w:spacing w:after="0" w:line="22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40" w:lineRule="exact"/>
        <w:rPr>
          <w:sz w:val="20"/>
          <w:szCs w:val="20"/>
          <w:color w:val="auto"/>
        </w:rPr>
      </w:pPr>
    </w:p>
    <w:p>
      <w:pPr>
        <w:ind w:left="304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18415</wp:posOffset>
            </wp:positionV>
            <wp:extent cx="32918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Dan Mondor</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Executive Officer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7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Robert G. Barbieri, Chief Financial Officer of Inseego Corp. (the “Company”), do hereby certify,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55" w:lineRule="exact"/>
        <w:rPr>
          <w:sz w:val="20"/>
          <w:szCs w:val="20"/>
          <w:color w:val="auto"/>
        </w:rPr>
      </w:pPr>
    </w:p>
    <w:p>
      <w:pPr>
        <w:ind w:left="1320" w:right="960" w:hanging="824"/>
        <w:spacing w:after="0" w:line="273" w:lineRule="auto"/>
        <w:tabs>
          <w:tab w:leader="none" w:pos="1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(the “Report”) fully complies with the requirements of Section 13(a) or 15(d) of the Securities Exchange Act of 1934, as amended; and</w:t>
      </w:r>
    </w:p>
    <w:p>
      <w:pPr>
        <w:spacing w:after="0" w:line="199" w:lineRule="exact"/>
        <w:rPr>
          <w:rFonts w:ascii="Arial" w:cs="Arial" w:eastAsia="Arial" w:hAnsi="Arial"/>
          <w:sz w:val="16"/>
          <w:szCs w:val="16"/>
          <w:color w:val="auto"/>
        </w:rPr>
      </w:pPr>
    </w:p>
    <w:p>
      <w:pPr>
        <w:ind w:left="1320" w:right="560" w:hanging="824"/>
        <w:spacing w:after="0" w:line="228"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40" w:lineRule="exact"/>
        <w:rPr>
          <w:sz w:val="20"/>
          <w:szCs w:val="20"/>
          <w:color w:val="auto"/>
        </w:rPr>
      </w:pPr>
    </w:p>
    <w:p>
      <w:pPr>
        <w:ind w:left="304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G.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18415</wp:posOffset>
            </wp:positionV>
            <wp:extent cx="32918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Robert G. Barbieri</w:t>
      </w:r>
    </w:p>
    <w:p>
      <w:pPr>
        <w:spacing w:after="0" w:line="62"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endash "/>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lvl w:ilvl="1">
      <w:lvlJc w:val="left"/>
      <w:lvlText w:val="(%2)"/>
      <w:numFmt w:val="lowerLetter"/>
      <w:start w:val="2"/>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3"/>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82" Type="http://schemas.openxmlformats.org/officeDocument/2006/relationships/image" Target="media/image56.png"/><Relationship Id="rId96"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61" Type="http://schemas.openxmlformats.org/officeDocument/2006/relationships/hyperlink" Target="https://www.sec.gov/Archives/edgar/data/1022652/000102265221000009/insg20210224ex101sharepurc.htm" TargetMode="External"/><Relationship Id="rId62" Type="http://schemas.openxmlformats.org/officeDocument/2006/relationships/hyperlink" Target="https://www.sec.gov/Archives/edgar/data/0001022652/000102265221000066/insg20210630ex103firstadde.htm" TargetMode="External"/><Relationship Id="rId63" Type="http://schemas.openxmlformats.org/officeDocument/2006/relationships/hyperlink" Target="https://www.sec.gov/Archives/edgar/data/0001022652/000102265221000066/secondaddendumtospa30april.htm" TargetMode="External"/><Relationship Id="rId64" Type="http://schemas.openxmlformats.org/officeDocument/2006/relationships/hyperlink" Target="https://www.sec.gov/Archives/edgar/data/0001022652/000102265221000066/thirdaddendumtospa_executi.htm" TargetMode="External"/><Relationship Id="rId65" Type="http://schemas.openxmlformats.org/officeDocument/2006/relationships/hyperlink" Target="http://www.sec.gov/Archives/edgar/data/1022652/000119312516763609/d261554dex31.htm" TargetMode="External"/><Relationship Id="rId66" Type="http://schemas.openxmlformats.org/officeDocument/2006/relationships/hyperlink" Target="http://www.sec.gov/Archives/edgar/data/1022652/000119312516763609/d261554dex32.htm" TargetMode="External"/><Relationship Id="rId67" Type="http://schemas.openxmlformats.org/officeDocument/2006/relationships/hyperlink" Target="http://www.sec.gov/Archives/edgar/data/1022652/000119312518015371/d525985dex31.htm" TargetMode="External"/><Relationship Id="rId68" Type="http://schemas.openxmlformats.org/officeDocument/2006/relationships/hyperlink" Target="http://www.sec.gov/Archives/edgar/data/1022652/000119312519219943/d792529dex31.htm" TargetMode="External"/><Relationship Id="rId69" Type="http://schemas.openxmlformats.org/officeDocument/2006/relationships/hyperlink" Target="http://www.sec.gov/Archives/edgar/data/1022652/000119312520067668/d824727dex31.htm" TargetMode="External"/><Relationship Id="rId70" Type="http://schemas.openxmlformats.org/officeDocument/2006/relationships/hyperlink" Target="http://www.sec.gov/Archives/edgar/data/1022652/000119312516763609/d261554dex41.htm" TargetMode="External"/><Relationship Id="rId71" Type="http://schemas.openxmlformats.org/officeDocument/2006/relationships/hyperlink" Target="https://www.sec.gov/Archives/edgar/data/1022652/000102265221000017/insg20201231ex42-descrofeq.htm" TargetMode="External"/><Relationship Id="rId72" Type="http://schemas.openxmlformats.org/officeDocument/2006/relationships/hyperlink" Target="https://www.sec.gov/Archives/edgar/data/1022652/000119312520140582/d915288dex41.htm" TargetMode="External"/><Relationship Id="rId73" Type="http://schemas.openxmlformats.org/officeDocument/2006/relationships/hyperlink" Target="https://www.sec.gov/Archives/edgar/data/1022652/000119312520140582/d915288dex42.htm" TargetMode="External"/><Relationship Id="rId76" Type="http://schemas.openxmlformats.org/officeDocument/2006/relationships/hyperlink" Target="http://www.sec.gov/Archives/edgar/data/1022652/000119312519092697/d728442dex41.htm" TargetMode="External"/><Relationship Id="rId77" Type="http://schemas.openxmlformats.org/officeDocument/2006/relationships/hyperlink" Target="http://www.sec.gov/Archives/edgar/data/1022652/000119312519092697/d728442dex42.htm" TargetMode="External"/><Relationship Id="rId78" Type="http://schemas.openxmlformats.org/officeDocument/2006/relationships/hyperlink" Target="http://www.sec.gov/Archives/edgar/data/1022652/000119312518240301/d590620dex43.htm" TargetMode="External"/><Relationship Id="rId79" Type="http://schemas.openxmlformats.org/officeDocument/2006/relationships/hyperlink" Target="http://www.sec.gov/Archives/edgar/data/1022652/000102265217000061/insg20170614ex101amendedan.htm" TargetMode="External"/><Relationship Id="rId80" Type="http://schemas.openxmlformats.org/officeDocument/2006/relationships/hyperlink" Target="https://www.sec.gov/Archives/edgar/data/1022652/000102265220000021/craigfosterofferletter.htm" TargetMode="External"/><Relationship Id="rId81" Type="http://schemas.openxmlformats.org/officeDocument/2006/relationships/hyperlink" Target="https://www.sec.gov/Archives/edgar/data/1022652/000102265220000021/cfosterchangeincontrol.htm" TargetMode="External"/><Relationship Id="rId83" Type="http://schemas.openxmlformats.org/officeDocument/2006/relationships/hyperlink" Target="http://www.sec.gov/Archives/edgar/data/1022652/000102265217000075/insg20170818ex103formofind.htm" TargetMode="External"/><Relationship Id="rId84" Type="http://schemas.openxmlformats.org/officeDocument/2006/relationships/hyperlink" Target="http://www.sec.gov/Archives/edgar/data/1022652/000102265217000055/insg20170605ex101mondoroff.htm" TargetMode="External"/><Relationship Id="rId85" Type="http://schemas.openxmlformats.org/officeDocument/2006/relationships/hyperlink" Target="http://www.sec.gov/Archives/edgar/data/1022652/000102265217000055/insg20170605ex103mondorind.htm" TargetMode="External"/><Relationship Id="rId86" Type="http://schemas.openxmlformats.org/officeDocument/2006/relationships/hyperlink" Target="http://www.sec.gov/Archives/edgar/data/1022652/000102265217000088/insg20170930ex108amendment.htm" TargetMode="External"/><Relationship Id="rId87" Type="http://schemas.openxmlformats.org/officeDocument/2006/relationships/hyperlink" Target="http://www.sec.gov/Archives/edgar/data/1022652/000102265218000015/insg20171231ex1026inseegoc.htm" TargetMode="External"/><Relationship Id="rId88" Type="http://schemas.openxmlformats.org/officeDocument/2006/relationships/hyperlink" Target="http://www.sec.gov/Archives/edgar/data/1022652/000102265218000015/insg20171231ex1027inseegoc.htm" TargetMode="External"/><Relationship Id="rId89" Type="http://schemas.openxmlformats.org/officeDocument/2006/relationships/hyperlink" Target="https://www.sec.gov/Archives/edgar/data/0001022652/000102265221000068/a2018ominbusplanamended072.htm" TargetMode="External"/><Relationship Id="rId90" Type="http://schemas.openxmlformats.org/officeDocument/2006/relationships/hyperlink" Target="http://www.sec.gov/Archives/edgar/data/1022652/000119312518240301/d590620dex101.htm" TargetMode="External"/><Relationship Id="rId91" Type="http://schemas.openxmlformats.org/officeDocument/2006/relationships/hyperlink" Target="http://www.sec.gov/Archives/edgar/data/1022652/000119312519219943/d792529dex101.htm" TargetMode="External"/><Relationship Id="rId92" Type="http://schemas.openxmlformats.org/officeDocument/2006/relationships/hyperlink" Target="http://www.sec.gov/Archives/edgar/data/1022652/000119312520067668/d824727dex101.htm" TargetMode="External"/><Relationship Id="rId93" Type="http://schemas.openxmlformats.org/officeDocument/2006/relationships/hyperlink" Target="https://www.sec.gov/Archives/edgar/data/1022652/000102265221000009/insg20210224ex102assignmen.htm" TargetMode="External"/><Relationship Id="rId94" Type="http://schemas.openxmlformats.org/officeDocument/2006/relationships/hyperlink" Target="https://www.sec.gov/Archives/edgar/data/1022652/000102265221000009/insg20210224ex103transitio.htm" TargetMode="External"/><Relationship Id="rId95" Type="http://schemas.openxmlformats.org/officeDocument/2006/relationships/hyperlink" Target="https://www.sec.gov/Archives/edgar/data/1022652/000102265221000009/insg20210224ex104trademark.htm" TargetMode="External"/><Relationship Id="rId97" Type="http://schemas.openxmlformats.org/officeDocument/2006/relationships/hyperlink" Target="https://www.sec.gov/Archives/edgar/data/0001022652/000119312521016610/d899647dex101.htm" TargetMode="External"/><Relationship Id="rId98" Type="http://schemas.openxmlformats.org/officeDocument/2006/relationships/hyperlink" Target="https://www.sec.gov/Archives/edgar/data/0001022652/000168316821002449/inseego_8k-ex1001.htm" TargetMode="External"/><Relationship Id="rId99" Type="http://schemas.openxmlformats.org/officeDocument/2006/relationships/hyperlink" Target="https://www.sec.gov/Archives/edgar/data/1022652/000102265221000083/insg063021ex102independent.htm" TargetMode="External"/><Relationship Id="rId100" Type="http://schemas.openxmlformats.org/officeDocument/2006/relationships/hyperlink" Target="https://www.sec.gov/Archives/edgar/data/0001022652/000168316821005022/inseego_ex1001.htm" TargetMode="External"/><Relationship Id="rId101" Type="http://schemas.openxmlformats.org/officeDocument/2006/relationships/hyperlink" Target="https://www.sec.gov/Archives/edgar/data/0001022652/000168316821005022/inseego_ex1002.htm" TargetMode="External"/><Relationship Id="rId102" Type="http://schemas.openxmlformats.org/officeDocument/2006/relationships/hyperlink" Target="https://www.sec.gov/Archives/edgar/data/0001022652/000168316821005022/inseego_ex1003.htm" TargetMode="External"/><Relationship Id="rId103" Type="http://schemas.openxmlformats.org/officeDocument/2006/relationships/hyperlink" Target="https://www.sec.gov/Archives/edgar/data/0001022652/000168316821004112/inseego_ex0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2022-03-01T15:54:12Z</dcterms:created>
  <dcterms:modified xsi:type="dcterms:W3CDTF">2022-03-01T15:54:12Z</dcterms:modified>
</cp:coreProperties>
</file>