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ind w:left="22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2837815</wp:posOffset>
            </wp:positionH>
            <wp:positionV relativeFrom="paragraph">
              <wp:posOffset>123825</wp:posOffset>
            </wp:positionV>
            <wp:extent cx="1475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305" w:lineRule="exact"/>
        <w:rPr>
          <w:sz w:val="24"/>
          <w:szCs w:val="24"/>
          <w:color w:val="auto"/>
        </w:rPr>
      </w:pPr>
    </w:p>
    <w:p>
      <w:pPr>
        <w:jc w:val="center"/>
        <w:ind w:left="4340"/>
        <w:spacing w:after="0"/>
        <w:tabs>
          <w:tab w:leader="none" w:pos="400" w:val="left"/>
        </w:tabs>
        <w:rPr>
          <w:sz w:val="20"/>
          <w:szCs w:val="20"/>
          <w:color w:val="auto"/>
        </w:rPr>
      </w:pPr>
      <w:r>
        <w:rPr>
          <w:rFonts w:ascii="Arial" w:cs="Arial" w:eastAsia="Arial" w:hAnsi="Arial"/>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2837815</wp:posOffset>
            </wp:positionH>
            <wp:positionV relativeFrom="paragraph">
              <wp:posOffset>50800</wp:posOffset>
            </wp:positionV>
            <wp:extent cx="1475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265" w:lineRule="exact"/>
        <w:rPr>
          <w:sz w:val="24"/>
          <w:szCs w:val="24"/>
          <w:color w:val="auto"/>
        </w:rPr>
      </w:pPr>
    </w:p>
    <w:p>
      <w:pPr>
        <w:ind w:left="440" w:hanging="398"/>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00" w:hanging="378"/>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3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2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2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1"/>
        </w:trPr>
        <w:tc>
          <w:tcPr>
            <w:tcW w:w="4420" w:type="dxa"/>
            <w:vAlign w:val="bottom"/>
            <w:gridSpan w:val="4"/>
          </w:tcPr>
          <w:p>
            <w:pPr>
              <w:ind w:left="92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2312670</wp:posOffset>
            </wp:positionH>
            <wp:positionV relativeFrom="paragraph">
              <wp:posOffset>100330</wp:posOffset>
            </wp:positionV>
            <wp:extent cx="2592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2705"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399"/>
        </w:trPr>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2"/>
          </w:tcPr>
          <w:p>
            <w:pPr>
              <w:jc w:val="center"/>
              <w:ind w:right="460"/>
              <w:spacing w:after="0"/>
              <w:rPr>
                <w:sz w:val="20"/>
                <w:szCs w:val="20"/>
                <w:color w:val="auto"/>
              </w:rPr>
            </w:pPr>
            <w:r>
              <w:rPr>
                <w:rFonts w:ascii="Arial" w:cs="Arial" w:eastAsia="Arial" w:hAnsi="Arial"/>
                <w:sz w:val="32"/>
                <w:szCs w:val="32"/>
                <w:b w:val="1"/>
                <w:bCs w:val="1"/>
                <w:color w:val="auto"/>
                <w:w w:val="96"/>
              </w:rPr>
              <w:t>INSEEGO CORP.</w:t>
            </w: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28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4"/>
        </w:trPr>
        <w:tc>
          <w:tcPr>
            <w:tcW w:w="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r>
      <w:tr>
        <w:trPr>
          <w:trHeight w:val="325"/>
        </w:trPr>
        <w:tc>
          <w:tcPr>
            <w:tcW w:w="60" w:type="dxa"/>
            <w:vAlign w:val="bottom"/>
          </w:tcPr>
          <w:p>
            <w:pPr>
              <w:spacing w:after="0"/>
              <w:rPr>
                <w:sz w:val="24"/>
                <w:szCs w:val="24"/>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6"/>
              <w:spacing w:after="0"/>
              <w:rPr>
                <w:sz w:val="20"/>
                <w:szCs w:val="20"/>
                <w:color w:val="auto"/>
              </w:rPr>
            </w:pPr>
            <w:r>
              <w:rPr>
                <w:rFonts w:ascii="Arial" w:cs="Arial" w:eastAsia="Arial" w:hAnsi="Arial"/>
                <w:sz w:val="18"/>
                <w:szCs w:val="18"/>
                <w:b w:val="1"/>
                <w:bCs w:val="1"/>
                <w:color w:val="auto"/>
              </w:rPr>
              <w:t>81-3377646</w:t>
            </w:r>
          </w:p>
        </w:tc>
      </w:tr>
      <w:tr>
        <w:trPr>
          <w:trHeight w:val="141"/>
        </w:trPr>
        <w:tc>
          <w:tcPr>
            <w:tcW w:w="60" w:type="dxa"/>
            <w:vAlign w:val="bottom"/>
          </w:tcPr>
          <w:p>
            <w:pPr>
              <w:spacing w:after="0"/>
              <w:rPr>
                <w:sz w:val="12"/>
                <w:szCs w:val="12"/>
                <w:color w:val="auto"/>
              </w:rPr>
            </w:pPr>
          </w:p>
        </w:tc>
        <w:tc>
          <w:tcPr>
            <w:tcW w:w="4060" w:type="dxa"/>
            <w:vAlign w:val="bottom"/>
            <w:gridSpan w:val="2"/>
          </w:tcPr>
          <w:p>
            <w:pPr>
              <w:jc w:val="center"/>
              <w:ind w:left="1278"/>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20" w:type="dxa"/>
            <w:vAlign w:val="bottom"/>
          </w:tcPr>
          <w:p>
            <w:pPr>
              <w:jc w:val="center"/>
              <w:ind w:right="1686"/>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60" w:type="dxa"/>
            <w:vAlign w:val="bottom"/>
          </w:tcPr>
          <w:p>
            <w:pPr>
              <w:spacing w:after="0"/>
              <w:rPr>
                <w:sz w:val="15"/>
                <w:szCs w:val="15"/>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4"/>
                <w:szCs w:val="14"/>
                <w:b w:val="1"/>
                <w:bCs w:val="1"/>
                <w:color w:val="auto"/>
                <w:w w:val="92"/>
              </w:rPr>
              <w:t>of Incorporation or Organization)</w:t>
            </w:r>
          </w:p>
        </w:tc>
        <w:tc>
          <w:tcPr>
            <w:tcW w:w="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tcPr>
          <w:p>
            <w:pPr>
              <w:jc w:val="center"/>
              <w:ind w:right="1706"/>
              <w:spacing w:after="0"/>
              <w:rPr>
                <w:sz w:val="20"/>
                <w:szCs w:val="20"/>
                <w:color w:val="auto"/>
              </w:rPr>
            </w:pPr>
            <w:r>
              <w:rPr>
                <w:rFonts w:ascii="Arial" w:cs="Arial" w:eastAsia="Arial" w:hAnsi="Arial"/>
                <w:sz w:val="14"/>
                <w:szCs w:val="14"/>
                <w:b w:val="1"/>
                <w:bCs w:val="1"/>
                <w:color w:val="auto"/>
                <w:w w:val="92"/>
              </w:rPr>
              <w:t>Identification No.)</w:t>
            </w:r>
          </w:p>
        </w:tc>
      </w:tr>
      <w:tr>
        <w:trPr>
          <w:trHeight w:val="272"/>
        </w:trPr>
        <w:tc>
          <w:tcPr>
            <w:tcW w:w="60" w:type="dxa"/>
            <w:vAlign w:val="bottom"/>
          </w:tcPr>
          <w:p>
            <w:pPr>
              <w:spacing w:after="0"/>
              <w:rPr>
                <w:sz w:val="23"/>
                <w:szCs w:val="23"/>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8"/>
                <w:szCs w:val="18"/>
                <w:b w:val="1"/>
                <w:bCs w:val="1"/>
                <w:color w:val="auto"/>
                <w:w w:val="88"/>
              </w:rPr>
              <w:t>12600 Deerfield Parkway, Suite 100</w:t>
            </w:r>
          </w:p>
        </w:tc>
        <w:tc>
          <w:tcPr>
            <w:tcW w:w="2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219"/>
        </w:trPr>
        <w:tc>
          <w:tcPr>
            <w:tcW w:w="60" w:type="dxa"/>
            <w:vAlign w:val="bottom"/>
          </w:tcPr>
          <w:p>
            <w:pPr>
              <w:spacing w:after="0"/>
              <w:rPr>
                <w:sz w:val="19"/>
                <w:szCs w:val="19"/>
                <w:color w:val="auto"/>
              </w:rPr>
            </w:pPr>
          </w:p>
        </w:tc>
        <w:tc>
          <w:tcPr>
            <w:tcW w:w="4060" w:type="dxa"/>
            <w:vAlign w:val="bottom"/>
            <w:gridSpan w:val="2"/>
          </w:tcPr>
          <w:p>
            <w:pPr>
              <w:ind w:left="1820"/>
              <w:spacing w:after="0"/>
              <w:rPr>
                <w:sz w:val="20"/>
                <w:szCs w:val="20"/>
                <w:color w:val="auto"/>
              </w:rPr>
            </w:pPr>
            <w:r>
              <w:rPr>
                <w:rFonts w:ascii="Arial" w:cs="Arial" w:eastAsia="Arial" w:hAnsi="Arial"/>
                <w:sz w:val="18"/>
                <w:szCs w:val="18"/>
                <w:b w:val="1"/>
                <w:bCs w:val="1"/>
                <w:color w:val="auto"/>
              </w:rPr>
              <w:t>Alpharetta, Georgia</w:t>
            </w: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6"/>
              <w:spacing w:after="0"/>
              <w:rPr>
                <w:sz w:val="20"/>
                <w:szCs w:val="20"/>
                <w:color w:val="auto"/>
              </w:rPr>
            </w:pPr>
            <w:r>
              <w:rPr>
                <w:rFonts w:ascii="Arial" w:cs="Arial" w:eastAsia="Arial" w:hAnsi="Arial"/>
                <w:sz w:val="18"/>
                <w:szCs w:val="18"/>
                <w:b w:val="1"/>
                <w:bCs w:val="1"/>
                <w:color w:val="auto"/>
              </w:rPr>
              <w:t>30004</w:t>
            </w:r>
          </w:p>
        </w:tc>
      </w:tr>
      <w:tr>
        <w:trPr>
          <w:trHeight w:val="183"/>
        </w:trPr>
        <w:tc>
          <w:tcPr>
            <w:tcW w:w="60" w:type="dxa"/>
            <w:vAlign w:val="bottom"/>
          </w:tcPr>
          <w:p>
            <w:pPr>
              <w:spacing w:after="0"/>
              <w:rPr>
                <w:sz w:val="15"/>
                <w:szCs w:val="15"/>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tcPr>
          <w:p>
            <w:pPr>
              <w:jc w:val="center"/>
              <w:ind w:right="1686"/>
              <w:spacing w:after="0"/>
              <w:rPr>
                <w:sz w:val="20"/>
                <w:szCs w:val="20"/>
                <w:color w:val="auto"/>
              </w:rPr>
            </w:pPr>
            <w:r>
              <w:rPr>
                <w:rFonts w:ascii="Arial" w:cs="Arial" w:eastAsia="Arial" w:hAnsi="Arial"/>
                <w:sz w:val="14"/>
                <w:szCs w:val="14"/>
                <w:b w:val="1"/>
                <w:bCs w:val="1"/>
                <w:color w:val="auto"/>
                <w:w w:val="92"/>
              </w:rPr>
              <w:t>(Zip Code)</w:t>
            </w:r>
          </w:p>
        </w:tc>
      </w:tr>
      <w:tr>
        <w:trPr>
          <w:trHeight w:val="312"/>
        </w:trPr>
        <w:tc>
          <w:tcPr>
            <w:tcW w:w="60" w:type="dxa"/>
            <w:vAlign w:val="bottom"/>
          </w:tcPr>
          <w:p>
            <w:pPr>
              <w:spacing w:after="0"/>
              <w:rPr>
                <w:sz w:val="24"/>
                <w:szCs w:val="24"/>
                <w:color w:val="auto"/>
              </w:rPr>
            </w:pPr>
          </w:p>
        </w:tc>
        <w:tc>
          <w:tcPr>
            <w:tcW w:w="11180" w:type="dxa"/>
            <w:vAlign w:val="bottom"/>
            <w:gridSpan w:val="7"/>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15"/>
        </w:trPr>
        <w:tc>
          <w:tcPr>
            <w:tcW w:w="4120" w:type="dxa"/>
            <w:vAlign w:val="bottom"/>
            <w:gridSpan w:val="3"/>
          </w:tcPr>
          <w:p>
            <w:pPr>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06"/>
        </w:trPr>
        <w:tc>
          <w:tcPr>
            <w:tcW w:w="60" w:type="dxa"/>
            <w:vAlign w:val="bottom"/>
          </w:tcPr>
          <w:p>
            <w:pPr>
              <w:spacing w:after="0"/>
              <w:rPr>
                <w:sz w:val="9"/>
                <w:szCs w:val="9"/>
                <w:color w:val="auto"/>
              </w:rPr>
            </w:pPr>
          </w:p>
        </w:tc>
        <w:tc>
          <w:tcPr>
            <w:tcW w:w="40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2"/>
          </w:tcPr>
          <w:p>
            <w:pPr>
              <w:spacing w:after="0"/>
              <w:rPr>
                <w:sz w:val="9"/>
                <w:szCs w:val="9"/>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8"/>
                <w:szCs w:val="18"/>
                <w:color w:val="auto"/>
                <w:w w:val="87"/>
              </w:rPr>
              <w:t>Title of each class</w:t>
            </w:r>
          </w:p>
        </w:tc>
        <w:tc>
          <w:tcPr>
            <w:tcW w:w="2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2"/>
          </w:tcPr>
          <w:p>
            <w:pPr>
              <w:jc w:val="center"/>
              <w:ind w:right="186"/>
              <w:spacing w:after="0"/>
              <w:rPr>
                <w:sz w:val="20"/>
                <w:szCs w:val="20"/>
                <w:color w:val="auto"/>
              </w:rPr>
            </w:pPr>
            <w:r>
              <w:rPr>
                <w:rFonts w:ascii="Arial" w:cs="Arial" w:eastAsia="Arial" w:hAnsi="Arial"/>
                <w:sz w:val="18"/>
                <w:szCs w:val="18"/>
                <w:color w:val="auto"/>
                <w:w w:val="87"/>
              </w:rPr>
              <w:t>Name of each exchange on which registered</w:t>
            </w:r>
          </w:p>
        </w:tc>
      </w:tr>
      <w:tr>
        <w:trPr>
          <w:trHeight w:val="216"/>
        </w:trPr>
        <w:tc>
          <w:tcPr>
            <w:tcW w:w="6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8"/>
                <w:szCs w:val="18"/>
                <w:color w:val="auto"/>
                <w:w w:val="87"/>
              </w:rPr>
              <w:t>Common Stock, par value $0.001 per share</w:t>
            </w:r>
          </w:p>
        </w:tc>
        <w:tc>
          <w:tcPr>
            <w:tcW w:w="2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jc w:val="center"/>
              <w:ind w:right="466"/>
              <w:spacing w:after="0"/>
              <w:rPr>
                <w:sz w:val="20"/>
                <w:szCs w:val="20"/>
                <w:color w:val="auto"/>
              </w:rPr>
            </w:pPr>
            <w:r>
              <w:rPr>
                <w:rFonts w:ascii="Arial" w:cs="Arial" w:eastAsia="Arial" w:hAnsi="Arial"/>
                <w:sz w:val="18"/>
                <w:szCs w:val="18"/>
                <w:color w:val="auto"/>
                <w:w w:val="87"/>
              </w:rPr>
              <w:t>Nasdaq Global Select Market</w:t>
            </w:r>
          </w:p>
        </w:tc>
      </w:tr>
    </w:tbl>
    <w:p>
      <w:pPr>
        <w:spacing w:after="0" w:line="80" w:lineRule="exact"/>
        <w:rPr>
          <w:sz w:val="24"/>
          <w:szCs w:val="24"/>
          <w:color w:val="auto"/>
        </w:rPr>
      </w:pPr>
    </w:p>
    <w:p>
      <w:pPr>
        <w:ind w:right="160" w:firstLine="433"/>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20" w:firstLine="433"/>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firstLine="433"/>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4"/>
        </w:trPr>
        <w:tc>
          <w:tcPr>
            <w:tcW w:w="18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524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2660"/>
        <w:spacing w:after="0" w:line="285" w:lineRule="exact"/>
        <w:rPr>
          <w:sz w:val="20"/>
          <w:szCs w:val="20"/>
          <w:color w:val="auto"/>
        </w:rPr>
      </w:pPr>
      <w:r>
        <w:rPr>
          <w:rFonts w:ascii="Arial" w:cs="Arial" w:eastAsia="Arial" w:hAnsi="Arial"/>
          <w:sz w:val="16"/>
          <w:szCs w:val="16"/>
          <w:color w:val="auto"/>
        </w:rPr>
        <w:t xml:space="preserve">Indicate by check mark whether the registrant is a shell company </w:t>
      </w:r>
      <w:r>
        <w:rPr>
          <w:rFonts w:ascii="Arial" w:cs="Arial" w:eastAsia="Arial" w:hAnsi="Arial"/>
          <w:sz w:val="14"/>
          <w:szCs w:val="14"/>
          <w:color w:val="auto"/>
        </w:rPr>
        <w:t>(as defined in Rule 12b-2 of the Exchange Act)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November 1, 2021 was 105,126,385.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996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88"/>
        </w:trPr>
        <w:tc>
          <w:tcPr>
            <w:tcW w:w="1066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60" w:type="dxa"/>
            <w:vAlign w:val="bottom"/>
          </w:tcPr>
          <w:p>
            <w:pPr>
              <w:spacing w:after="0"/>
              <w:rPr>
                <w:sz w:val="24"/>
                <w:szCs w:val="24"/>
                <w:color w:val="auto"/>
              </w:rPr>
            </w:pPr>
          </w:p>
        </w:tc>
      </w:tr>
      <w:tr>
        <w:trPr>
          <w:trHeight w:val="420"/>
        </w:trPr>
        <w:tc>
          <w:tcPr>
            <w:tcW w:w="700" w:type="dxa"/>
            <w:vAlign w:val="bottom"/>
          </w:tcPr>
          <w:p>
            <w:pPr>
              <w:ind w:left="40"/>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Deficit (Unaudited)</w:t>
              </w:r>
            </w:hyperlink>
          </w:p>
        </w:tc>
        <w:tc>
          <w:tcPr>
            <w:tcW w:w="5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0000FF"/>
              </w:rPr>
              <w:t>Condensed Consolidated Statements of Cash Flows (Unaudited)</w:t>
            </w:r>
          </w:p>
        </w:tc>
        <w:tc>
          <w:tcPr>
            <w:tcW w:w="5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5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2.</w:t>
            </w:r>
          </w:p>
        </w:tc>
        <w:tc>
          <w:tcPr>
            <w:tcW w:w="9960" w:type="dxa"/>
            <w:vAlign w:val="bottom"/>
          </w:tcPr>
          <w:p>
            <w:pPr>
              <w:ind w:left="260"/>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6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328"/>
        </w:trPr>
        <w:tc>
          <w:tcPr>
            <w:tcW w:w="10660" w:type="dxa"/>
            <w:vAlign w:val="bottom"/>
            <w:gridSpan w:val="2"/>
          </w:tcPr>
          <w:p>
            <w:pPr>
              <w:ind w:left="40"/>
              <w:spacing w:after="0"/>
              <w:rPr>
                <w:rFonts w:ascii="Arial" w:cs="Arial" w:eastAsia="Arial" w:hAnsi="Arial"/>
                <w:sz w:val="18"/>
                <w:szCs w:val="18"/>
                <w:color w:val="0000FF"/>
              </w:rPr>
            </w:pPr>
            <w:hyperlink w:anchor="page36">
              <w:r>
                <w:rPr>
                  <w:rFonts w:ascii="Arial" w:cs="Arial" w:eastAsia="Arial" w:hAnsi="Arial"/>
                  <w:sz w:val="18"/>
                  <w:szCs w:val="18"/>
                  <w:color w:val="0000FF"/>
                </w:rPr>
                <w:t>PART II—OTHER INFORMATION</w:t>
              </w:r>
            </w:hyperlink>
          </w:p>
        </w:tc>
        <w:tc>
          <w:tcPr>
            <w:tcW w:w="560" w:type="dxa"/>
            <w:vAlign w:val="bottom"/>
          </w:tcPr>
          <w:p>
            <w:pPr>
              <w:spacing w:after="0"/>
              <w:rPr>
                <w:sz w:val="24"/>
                <w:szCs w:val="24"/>
                <w:color w:val="auto"/>
              </w:rPr>
            </w:pPr>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w w:val="95"/>
              </w:rPr>
              <w:t>Item 1A.</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2.</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5.</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6.</w:t>
            </w:r>
          </w:p>
        </w:tc>
        <w:tc>
          <w:tcPr>
            <w:tcW w:w="9960" w:type="dxa"/>
            <w:vAlign w:val="bottom"/>
          </w:tcPr>
          <w:p>
            <w:pPr>
              <w:ind w:left="26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5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328"/>
        </w:trPr>
        <w:tc>
          <w:tcPr>
            <w:tcW w:w="10660" w:type="dxa"/>
            <w:vAlign w:val="bottom"/>
            <w:gridSpan w:val="2"/>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56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617"/>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4"/>
                <w:szCs w:val="24"/>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2980690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8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00" w:type="dxa"/>
            <w:vAlign w:val="bottom"/>
          </w:tcPr>
          <w:p>
            <w:pPr>
              <w:ind w:left="400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3,495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 of allowance for doubtful accounts of $402 and $1,384,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33,701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33,952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130,041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114,108</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 of accumulated depreciation of $25,902 and $21,715, respectively</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Rental assets, net of accumulated depreciation of $17,443 and $15,754, respectively</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 of $44,085 and $63,020,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47,710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32,511</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1"/>
        </w:trPr>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220,529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560"/>
              <w:spacing w:after="0"/>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44,451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52,339</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24,403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68,854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75,712</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2025 Notes, net</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157,879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165,147</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liabilities,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235,861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255,293</w:t>
            </w:r>
          </w:p>
        </w:tc>
        <w:tc>
          <w:tcPr>
            <w:tcW w:w="0" w:type="dxa"/>
            <w:vAlign w:val="bottom"/>
          </w:tcPr>
          <w:p>
            <w:pPr>
              <w:spacing w:after="0"/>
              <w:rPr>
                <w:sz w:val="1"/>
                <w:szCs w:val="1"/>
                <w:color w:val="auto"/>
              </w:rPr>
            </w:pPr>
          </w:p>
        </w:tc>
      </w:tr>
      <w:tr>
        <w:trPr>
          <w:trHeight w:val="187"/>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Preferred stock, par value $0.001; 2,000,000 shares authorized: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60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94"/>
              </w:rPr>
              <w:t>Series E Preferred stock, par value $0.001; 39,500 shares designated, 25,000 and 35,000 shares issued and outstanding,</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respectively, liquidation preference of $1,000 per share (plus any accrued but unpaid dividends)</w:t>
            </w: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600" w:type="dxa"/>
            <w:vAlign w:val="bottom"/>
          </w:tcPr>
          <w:p>
            <w:pPr>
              <w:ind w:left="200"/>
              <w:spacing w:after="0" w:line="161" w:lineRule="exact"/>
              <w:rPr>
                <w:sz w:val="20"/>
                <w:szCs w:val="20"/>
                <w:color w:val="auto"/>
              </w:rPr>
            </w:pPr>
            <w:r>
              <w:rPr>
                <w:rFonts w:ascii="Arial" w:cs="Arial" w:eastAsia="Arial" w:hAnsi="Arial"/>
                <w:sz w:val="16"/>
                <w:szCs w:val="16"/>
                <w:color w:val="auto"/>
                <w:w w:val="92"/>
              </w:rPr>
              <w:t>Common stock, par value $0.001; 150,000,000 shares authorized, 104,950,049 and 99,399,029 shares issued and outstanding,</w:t>
            </w:r>
          </w:p>
        </w:tc>
        <w:tc>
          <w:tcPr>
            <w:tcW w:w="14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4"/>
        </w:trPr>
        <w:tc>
          <w:tcPr>
            <w:tcW w:w="86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766,736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711,487</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(732,422)</w:t>
            </w:r>
          </w:p>
        </w:tc>
        <w:tc>
          <w:tcPr>
            <w:tcW w:w="0" w:type="dxa"/>
            <w:vAlign w:val="bottom"/>
          </w:tcPr>
          <w:p>
            <w:pPr>
              <w:spacing w:after="0"/>
              <w:rPr>
                <w:sz w:val="1"/>
                <w:szCs w:val="1"/>
                <w:color w:val="auto"/>
              </w:rPr>
            </w:pPr>
          </w:p>
        </w:tc>
      </w:tr>
      <w:tr>
        <w:trPr>
          <w:trHeight w:val="200"/>
        </w:trPr>
        <w:tc>
          <w:tcPr>
            <w:tcW w:w="8600" w:type="dxa"/>
            <w:vAlign w:val="bottom"/>
          </w:tcPr>
          <w:p>
            <w:pPr>
              <w:ind w:left="760"/>
              <w:spacing w:after="0"/>
              <w:rPr>
                <w:sz w:val="20"/>
                <w:szCs w:val="20"/>
                <w:color w:val="auto"/>
              </w:rPr>
            </w:pPr>
            <w:r>
              <w:rPr>
                <w:rFonts w:ascii="Arial" w:cs="Arial" w:eastAsia="Arial" w:hAnsi="Arial"/>
                <w:sz w:val="16"/>
                <w:szCs w:val="16"/>
                <w:color w:val="auto"/>
              </w:rPr>
              <w:t>Total stockholders’ deficit attributable to Inseego Corp.</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(27,808)</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deficit</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(27,899)</w:t>
            </w:r>
          </w:p>
        </w:tc>
        <w:tc>
          <w:tcPr>
            <w:tcW w:w="0" w:type="dxa"/>
            <w:vAlign w:val="bottom"/>
          </w:tcPr>
          <w:p>
            <w:pPr>
              <w:spacing w:after="0"/>
              <w:rPr>
                <w:sz w:val="1"/>
                <w:szCs w:val="1"/>
                <w:color w:val="auto"/>
              </w:rPr>
            </w:pPr>
          </w:p>
        </w:tc>
      </w:tr>
      <w:tr>
        <w:trPr>
          <w:trHeight w:val="231"/>
        </w:trPr>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220,529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0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218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5"/>
                <w:szCs w:val="15"/>
                <w:color w:val="auto"/>
              </w:rPr>
            </w:pPr>
          </w:p>
        </w:tc>
        <w:tc>
          <w:tcPr>
            <w:tcW w:w="2180" w:type="dxa"/>
            <w:vAlign w:val="bottom"/>
            <w:gridSpan w:val="4"/>
          </w:tcPr>
          <w:p>
            <w:pPr>
              <w:jc w:val="right"/>
              <w:ind w:right="68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64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4"/>
        </w:trPr>
        <w:tc>
          <w:tcPr>
            <w:tcW w:w="64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77,342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189,071</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37,737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38,698</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90,240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227,769</w:t>
            </w: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148,414</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14,958</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47,274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65,070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131,742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163,372</w:t>
            </w:r>
          </w:p>
        </w:tc>
        <w:tc>
          <w:tcPr>
            <w:tcW w:w="0" w:type="dxa"/>
            <w:vAlign w:val="bottom"/>
          </w:tcPr>
          <w:p>
            <w:pPr>
              <w:spacing w:after="0"/>
              <w:rPr>
                <w:sz w:val="1"/>
                <w:szCs w:val="1"/>
                <w:color w:val="auto"/>
              </w:rPr>
            </w:pPr>
          </w:p>
        </w:tc>
      </w:tr>
      <w:tr>
        <w:trPr>
          <w:trHeight w:val="200"/>
        </w:trPr>
        <w:tc>
          <w:tcPr>
            <w:tcW w:w="64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25,170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64,397</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29,448</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25,849</w:t>
            </w: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8,699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23,257</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Impairment of capitalized software</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4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28,608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94,454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80,912</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(36,689)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(16,515)</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Gain on sale of Ctrack South Africa</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(98,248)</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(98,441)</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(37,405)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(98,470)</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Series E preferred stock dividends and deemed dividends from the preferred stock exchange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06"/>
        </w:trPr>
        <w:tc>
          <w:tcPr>
            <w:tcW w:w="64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(100,526)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Per share data:</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103,430,083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98,016,798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102,586,121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95,136,713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(98,441)</w:t>
            </w:r>
          </w:p>
        </w:tc>
        <w:tc>
          <w:tcPr>
            <w:tcW w:w="0" w:type="dxa"/>
            <w:vAlign w:val="bottom"/>
          </w:tcPr>
          <w:p>
            <w:pPr>
              <w:spacing w:after="0"/>
              <w:rPr>
                <w:sz w:val="1"/>
                <w:szCs w:val="1"/>
                <w:color w:val="auto"/>
              </w:rPr>
            </w:pPr>
          </w:p>
        </w:tc>
      </w:tr>
      <w:tr>
        <w:trPr>
          <w:trHeight w:val="207"/>
        </w:trPr>
        <w:tc>
          <w:tcPr>
            <w:tcW w:w="64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(10,734)</w:t>
            </w:r>
          </w:p>
        </w:tc>
        <w:tc>
          <w:tcPr>
            <w:tcW w:w="0" w:type="dxa"/>
            <w:vAlign w:val="bottom"/>
          </w:tcPr>
          <w:p>
            <w:pPr>
              <w:spacing w:after="0"/>
              <w:rPr>
                <w:sz w:val="1"/>
                <w:szCs w:val="1"/>
                <w:color w:val="auto"/>
              </w:rPr>
            </w:pPr>
          </w:p>
        </w:tc>
      </w:tr>
      <w:tr>
        <w:trPr>
          <w:trHeight w:val="164"/>
        </w:trPr>
        <w:tc>
          <w:tcPr>
            <w:tcW w:w="642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w w:val="90"/>
              </w:rPr>
              <w:t>Release of cumulative foreign currency translation adjustments as a result of the sale of Ctrack</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South Africa</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(8,153)</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(109,175)</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6420" w:type="dxa"/>
            <w:vAlign w:val="bottom"/>
          </w:tcPr>
          <w:p>
            <w:pPr>
              <w:ind w:left="20"/>
              <w:spacing w:after="0"/>
              <w:rPr>
                <w:sz w:val="20"/>
                <w:szCs w:val="20"/>
                <w:color w:val="auto"/>
              </w:rPr>
            </w:pPr>
            <w:r>
              <w:rPr>
                <w:rFonts w:ascii="Arial" w:cs="Arial" w:eastAsia="Arial" w:hAnsi="Arial"/>
                <w:sz w:val="16"/>
                <w:szCs w:val="16"/>
                <w:color w:val="auto"/>
              </w:rPr>
              <w:t>Comprehensive loss attributable to Inseego Corp.</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(37,675)</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(109,204)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1500" w:type="dxa"/>
            <w:vAlign w:val="bottom"/>
            <w:gridSpan w:val="5"/>
          </w:tcPr>
          <w:p>
            <w:pPr>
              <w:ind w:left="280"/>
              <w:spacing w:after="0"/>
              <w:rPr>
                <w:sz w:val="20"/>
                <w:szCs w:val="20"/>
                <w:color w:val="auto"/>
              </w:rPr>
            </w:pPr>
            <w:r>
              <w:rPr>
                <w:rFonts w:ascii="Arial" w:cs="Arial" w:eastAsia="Arial" w:hAnsi="Arial"/>
                <w:sz w:val="12"/>
                <w:szCs w:val="12"/>
                <w:b w:val="1"/>
                <w:bCs w:val="1"/>
                <w:color w:val="auto"/>
              </w:rPr>
              <w:t>Preferred Stock</w:t>
            </w: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3"/>
        </w:trPr>
        <w:tc>
          <w:tcPr>
            <w:tcW w:w="26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Additional</w:t>
            </w:r>
          </w:p>
        </w:tc>
        <w:tc>
          <w:tcPr>
            <w:tcW w:w="140" w:type="dxa"/>
            <w:vAlign w:val="bottom"/>
          </w:tcPr>
          <w:p>
            <w:pPr>
              <w:spacing w:after="0"/>
              <w:rPr>
                <w:sz w:val="4"/>
                <w:szCs w:val="4"/>
                <w:color w:val="auto"/>
              </w:rPr>
            </w:pPr>
          </w:p>
        </w:tc>
        <w:tc>
          <w:tcPr>
            <w:tcW w:w="112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8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Noncontrolling</w:t>
            </w:r>
          </w:p>
        </w:tc>
        <w:tc>
          <w:tcPr>
            <w:tcW w:w="100" w:type="dxa"/>
            <w:vAlign w:val="bottom"/>
          </w:tcPr>
          <w:p>
            <w:pPr>
              <w:spacing w:after="0"/>
              <w:rPr>
                <w:sz w:val="4"/>
                <w:szCs w:val="4"/>
                <w:color w:val="auto"/>
              </w:rPr>
            </w:pPr>
          </w:p>
        </w:tc>
        <w:tc>
          <w:tcPr>
            <w:tcW w:w="9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940" w:type="dxa"/>
            <w:vAlign w:val="bottom"/>
          </w:tcPr>
          <w:p>
            <w:pPr>
              <w:jc w:val="center"/>
              <w:ind w:right="12"/>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8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tcBorders>
              <w:top w:val="single" w:sz="8" w:color="auto"/>
            </w:tcBorders>
            <w:shd w:val="clear" w:color="auto" w:fill="CCEEFF"/>
          </w:tcPr>
          <w:p>
            <w:pPr>
              <w:jc w:val="center"/>
              <w:ind w:left="311"/>
              <w:spacing w:after="0"/>
              <w:rPr>
                <w:sz w:val="20"/>
                <w:szCs w:val="20"/>
                <w:color w:val="auto"/>
              </w:rPr>
            </w:pPr>
            <w:r>
              <w:rPr>
                <w:rFonts w:ascii="Arial" w:cs="Arial" w:eastAsia="Arial" w:hAnsi="Arial"/>
                <w:sz w:val="14"/>
                <w:szCs w:val="14"/>
                <w:color w:val="auto"/>
                <w:w w:val="89"/>
              </w:rPr>
              <w:t>35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686,410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(5,439)</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and vesting of</w:t>
            </w:r>
          </w:p>
        </w:tc>
        <w:tc>
          <w:tcPr>
            <w:tcW w:w="720" w:type="dxa"/>
            <w:vAlign w:val="bottom"/>
            <w:gridSpan w:val="2"/>
            <w:vMerge w:val="restart"/>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1"/>
              </w:rPr>
              <w:t>Issuance of common shares under settlement</w:t>
            </w:r>
          </w:p>
        </w:tc>
        <w:tc>
          <w:tcPr>
            <w:tcW w:w="720" w:type="dxa"/>
            <w:vAlign w:val="bottom"/>
            <w:gridSpan w:val="2"/>
            <w:vMerge w:val="restart"/>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agreement</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2"/>
              </w:rPr>
              <w:t>Issuance of common stock in connection with</w:t>
            </w:r>
          </w:p>
        </w:tc>
        <w:tc>
          <w:tcPr>
            <w:tcW w:w="720" w:type="dxa"/>
            <w:vAlign w:val="bottom"/>
            <w:gridSpan w:val="2"/>
            <w:vMerge w:val="restart"/>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Exchange</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14,353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with conversion of 2025 Notes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640" w:type="dxa"/>
            <w:vAlign w:val="bottom"/>
            <w:tcBorders>
              <w:top w:val="single" w:sz="8" w:color="auto"/>
              <w:bottom w:val="single" w:sz="8" w:color="auto"/>
            </w:tcBorders>
            <w:shd w:val="clear" w:color="auto" w:fill="CCEEFF"/>
          </w:tcPr>
          <w:p>
            <w:pPr>
              <w:jc w:val="center"/>
              <w:ind w:left="311"/>
              <w:spacing w:after="0"/>
              <w:rPr>
                <w:sz w:val="20"/>
                <w:szCs w:val="20"/>
                <w:color w:val="auto"/>
              </w:rPr>
            </w:pPr>
            <w:r>
              <w:rPr>
                <w:rFonts w:ascii="Arial" w:cs="Arial" w:eastAsia="Arial" w:hAnsi="Arial"/>
                <w:sz w:val="14"/>
                <w:szCs w:val="14"/>
                <w:color w:val="auto"/>
                <w:w w:val="89"/>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(718,829)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640" w:type="dxa"/>
            <w:vAlign w:val="bottom"/>
            <w:shd w:val="clear" w:color="auto" w:fill="CCEEFF"/>
          </w:tcPr>
          <w:p>
            <w:pPr>
              <w:jc w:val="center"/>
              <w:ind w:left="311"/>
              <w:spacing w:after="0"/>
              <w:rPr>
                <w:sz w:val="20"/>
                <w:szCs w:val="20"/>
                <w:color w:val="auto"/>
              </w:rPr>
            </w:pPr>
            <w:r>
              <w:rPr>
                <w:rFonts w:ascii="Arial" w:cs="Arial" w:eastAsia="Arial" w:hAnsi="Arial"/>
                <w:sz w:val="14"/>
                <w:szCs w:val="14"/>
                <w:color w:val="auto"/>
                <w:w w:val="89"/>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761,412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(764,150)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(7,190)</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Release of cumulative foreign currency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5"/>
              </w:rPr>
              <w:t>translation adjustments as a result of sale of</w:t>
            </w:r>
          </w:p>
        </w:tc>
        <w:tc>
          <w:tcPr>
            <w:tcW w:w="720" w:type="dxa"/>
            <w:vAlign w:val="bottom"/>
            <w:gridSpan w:val="2"/>
            <w:vMerge w:val="restart"/>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Ctrack South Africa</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tcPr>
          <w:p>
            <w:pPr>
              <w:jc w:val="center"/>
              <w:ind w:left="23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exchange</w:t>
            </w:r>
          </w:p>
        </w:tc>
        <w:tc>
          <w:tcPr>
            <w:tcW w:w="640" w:type="dxa"/>
            <w:vAlign w:val="bottom"/>
            <w:shd w:val="clear" w:color="auto" w:fill="CCEEFF"/>
          </w:tcPr>
          <w:p>
            <w:pPr>
              <w:jc w:val="center"/>
              <w:ind w:left="271"/>
              <w:spacing w:after="0"/>
              <w:rPr>
                <w:sz w:val="20"/>
                <w:szCs w:val="20"/>
                <w:color w:val="auto"/>
              </w:rPr>
            </w:pPr>
            <w:r>
              <w:rPr>
                <w:rFonts w:ascii="Arial" w:cs="Arial" w:eastAsia="Arial" w:hAnsi="Arial"/>
                <w:sz w:val="14"/>
                <w:szCs w:val="14"/>
                <w:color w:val="auto"/>
                <w:w w:val="88"/>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64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64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4"/>
                <w:szCs w:val="14"/>
                <w:color w:val="auto"/>
                <w:w w:val="89"/>
              </w:rPr>
              <w:t>25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104,950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766,736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(774,931)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(15,332)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 w:name="page7"/>
    <w:bookmarkEnd w:id="6"/>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500" w:type="dxa"/>
            <w:vAlign w:val="bottom"/>
            <w:gridSpan w:val="5"/>
            <w:vMerge w:val="restart"/>
          </w:tcPr>
          <w:p>
            <w:pPr>
              <w:ind w:left="280"/>
              <w:spacing w:after="0"/>
              <w:rPr>
                <w:sz w:val="20"/>
                <w:szCs w:val="20"/>
                <w:color w:val="auto"/>
              </w:rPr>
            </w:pPr>
            <w:r>
              <w:rPr>
                <w:rFonts w:ascii="Arial" w:cs="Arial" w:eastAsia="Arial" w:hAnsi="Arial"/>
                <w:sz w:val="12"/>
                <w:szCs w:val="12"/>
                <w:b w:val="1"/>
                <w:bCs w:val="1"/>
                <w:color w:val="auto"/>
              </w:rPr>
              <w:t>Preferred Stock</w:t>
            </w:r>
          </w:p>
        </w:tc>
        <w:tc>
          <w:tcPr>
            <w:tcW w:w="1540" w:type="dxa"/>
            <w:vAlign w:val="bottom"/>
            <w:gridSpan w:val="5"/>
            <w:vMerge w:val="restart"/>
          </w:tcPr>
          <w:p>
            <w:pPr>
              <w:ind w:left="32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ind w:left="20"/>
              <w:spacing w:after="0" w:line="118"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3"/>
                <w:szCs w:val="3"/>
                <w:color w:val="auto"/>
              </w:rPr>
            </w:pPr>
          </w:p>
        </w:tc>
        <w:tc>
          <w:tcPr>
            <w:tcW w:w="112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3"/>
                <w:szCs w:val="3"/>
                <w:color w:val="auto"/>
              </w:rPr>
            </w:pPr>
          </w:p>
        </w:tc>
        <w:tc>
          <w:tcPr>
            <w:tcW w:w="980" w:type="dxa"/>
            <w:vAlign w:val="bottom"/>
            <w:gridSpan w:val="2"/>
            <w:vMerge w:val="restart"/>
          </w:tcPr>
          <w:p>
            <w:pPr>
              <w:jc w:val="center"/>
              <w:ind w:right="22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3"/>
                <w:szCs w:val="3"/>
                <w:color w:val="auto"/>
              </w:rPr>
            </w:pPr>
          </w:p>
        </w:tc>
        <w:tc>
          <w:tcPr>
            <w:tcW w:w="108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3"/>
                <w:szCs w:val="3"/>
                <w:color w:val="auto"/>
              </w:rPr>
            </w:pPr>
          </w:p>
        </w:tc>
        <w:tc>
          <w:tcPr>
            <w:tcW w:w="920" w:type="dxa"/>
            <w:vAlign w:val="bottom"/>
            <w:vMerge w:val="restart"/>
          </w:tcPr>
          <w:p>
            <w:pPr>
              <w:jc w:val="center"/>
              <w:ind w:right="51"/>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59"/>
        </w:trPr>
        <w:tc>
          <w:tcPr>
            <w:tcW w:w="264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(98,441)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Issuance of Series E preferred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2"/>
              </w:rPr>
              <w:t>Issuance of Series E preferred stock in lieu of</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66,074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66,088</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private exchanges of 2022 Notes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14,353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with conversion of 2025 Notes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8,188</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1"/>
              </w:rPr>
              <w:t>Issuance of common shares under settlement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1"/>
        </w:trPr>
        <w:tc>
          <w:tcPr>
            <w:tcW w:w="2640" w:type="dxa"/>
            <w:vAlign w:val="bottom"/>
          </w:tcPr>
          <w:p>
            <w:pPr>
              <w:ind w:left="180"/>
              <w:spacing w:after="0"/>
              <w:rPr>
                <w:sz w:val="20"/>
                <w:szCs w:val="20"/>
                <w:color w:val="auto"/>
              </w:rPr>
            </w:pPr>
            <w:r>
              <w:rPr>
                <w:rFonts w:ascii="Arial" w:cs="Arial" w:eastAsia="Arial" w:hAnsi="Arial"/>
                <w:sz w:val="14"/>
                <w:szCs w:val="14"/>
                <w:color w:val="auto"/>
              </w:rPr>
              <w:t>agreement</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(718,829)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711,487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(37,405)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(37,191)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3,537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with the conversion of 2025 Notes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29,368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29,370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with a public offering, net of issuance costs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14,467</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exchange</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Release of cumulative foreign currency</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5"/>
              </w:rPr>
              <w:t>translation adjustments as a result of sale of</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Ctrack South Africa</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noncontrolling interest acquired</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766,736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(774,931)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63500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2020</w:t>
            </w:r>
          </w:p>
        </w:tc>
      </w:tr>
      <w:tr>
        <w:trPr>
          <w:trHeight w:val="174"/>
        </w:trPr>
        <w:tc>
          <w:tcPr>
            <w:tcW w:w="8720" w:type="dxa"/>
            <w:vAlign w:val="bottom"/>
          </w:tcPr>
          <w:p>
            <w:pPr>
              <w:ind w:left="20"/>
              <w:spacing w:after="0" w:line="169" w:lineRule="exact"/>
              <w:rPr>
                <w:sz w:val="20"/>
                <w:szCs w:val="20"/>
                <w:color w:val="auto"/>
              </w:rPr>
            </w:pPr>
            <w:r>
              <w:rPr>
                <w:rFonts w:ascii="Arial" w:cs="Arial" w:eastAsia="Arial" w:hAnsi="Arial"/>
                <w:sz w:val="15"/>
                <w:szCs w:val="15"/>
                <w:color w:val="auto"/>
              </w:rPr>
              <w:t>Cash flows from operating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(98,441)</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19,131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15,948</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Provision for bad debts, net of recoveries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240</w:t>
            </w:r>
          </w:p>
        </w:tc>
      </w:tr>
      <w:tr>
        <w:trPr>
          <w:trHeight w:val="214"/>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of capitalized software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Provision for excess and obsolete inventory</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Share-based compensation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14,467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8,188</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3,632</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Fair value adjustment on derivative instrument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Loss on debt conversion and extinguishment, net</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76,354</w:t>
            </w:r>
          </w:p>
        </w:tc>
      </w:tr>
      <w:tr>
        <w:trPr>
          <w:trHeight w:val="214"/>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Gain on sale of Ctrack South Africa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Changes in assets and liabilities, net of effects of divestiture: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(19,065)</w:t>
            </w:r>
          </w:p>
        </w:tc>
      </w:tr>
      <w:tr>
        <w:trPr>
          <w:trHeight w:val="193"/>
        </w:trPr>
        <w:tc>
          <w:tcPr>
            <w:tcW w:w="8720" w:type="dxa"/>
            <w:vAlign w:val="bottom"/>
          </w:tcPr>
          <w:p>
            <w:pPr>
              <w:ind w:left="66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(7,889)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(2,078)</w:t>
            </w:r>
          </w:p>
        </w:tc>
      </w:tr>
      <w:tr>
        <w:trPr>
          <w:trHeight w:val="201"/>
        </w:trPr>
        <w:tc>
          <w:tcPr>
            <w:tcW w:w="8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(3,918)</w:t>
            </w:r>
          </w:p>
        </w:tc>
      </w:tr>
      <w:tr>
        <w:trPr>
          <w:trHeight w:val="193"/>
        </w:trPr>
        <w:tc>
          <w:tcPr>
            <w:tcW w:w="8720" w:type="dxa"/>
            <w:vAlign w:val="bottom"/>
          </w:tcPr>
          <w:p>
            <w:pPr>
              <w:ind w:left="66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(7,206)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25,170</w:t>
            </w:r>
          </w:p>
        </w:tc>
      </w:tr>
      <w:tr>
        <w:trPr>
          <w:trHeight w:val="201"/>
        </w:trPr>
        <w:tc>
          <w:tcPr>
            <w:tcW w:w="8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Accrued expenses, income taxes, and other</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3,939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11,464</w:t>
            </w:r>
          </w:p>
        </w:tc>
      </w:tr>
      <w:tr>
        <w:trPr>
          <w:trHeight w:val="186"/>
        </w:trPr>
        <w:tc>
          <w:tcPr>
            <w:tcW w:w="8720" w:type="dxa"/>
            <w:vAlign w:val="bottom"/>
            <w:tcBorders>
              <w:bottom w:val="single" w:sz="8" w:color="CCEEFF"/>
            </w:tcBorders>
          </w:tcPr>
          <w:p>
            <w:pPr>
              <w:ind w:left="840"/>
              <w:spacing w:after="0"/>
              <w:rPr>
                <w:sz w:val="20"/>
                <w:szCs w:val="20"/>
                <w:color w:val="auto"/>
              </w:rPr>
            </w:pPr>
            <w:r>
              <w:rPr>
                <w:rFonts w:ascii="Arial" w:cs="Arial" w:eastAsia="Arial" w:hAnsi="Arial"/>
                <w:sz w:val="15"/>
                <w:szCs w:val="15"/>
                <w:color w:val="auto"/>
              </w:rPr>
              <w:t>Net cash (used in) provided by operating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16,712</w:t>
            </w:r>
          </w:p>
        </w:tc>
      </w:tr>
      <w:tr>
        <w:trPr>
          <w:trHeight w:val="181"/>
        </w:trPr>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7"/>
        </w:trPr>
        <w:tc>
          <w:tcPr>
            <w:tcW w:w="8720" w:type="dxa"/>
            <w:vAlign w:val="bottom"/>
          </w:tcPr>
          <w:p>
            <w:pPr>
              <w:ind w:left="220"/>
              <w:spacing w:after="0"/>
              <w:rPr>
                <w:sz w:val="20"/>
                <w:szCs w:val="20"/>
                <w:color w:val="auto"/>
              </w:rPr>
            </w:pPr>
            <w:r>
              <w:rPr>
                <w:rFonts w:ascii="Arial" w:cs="Arial" w:eastAsia="Arial" w:hAnsi="Arial"/>
                <w:sz w:val="15"/>
                <w:szCs w:val="15"/>
                <w:color w:val="auto"/>
              </w:rPr>
              <w:t>Acquisition of noncontrolling interest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(5,084)</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Proceeds from the sale of property, plant and equipment</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14"/>
        </w:trPr>
        <w:tc>
          <w:tcPr>
            <w:tcW w:w="8720" w:type="dxa"/>
            <w:vAlign w:val="bottom"/>
            <w:shd w:val="clear" w:color="auto" w:fill="CCEEFF"/>
          </w:tcPr>
          <w:p>
            <w:pPr>
              <w:ind w:left="220"/>
              <w:spacing w:after="0" w:line="214" w:lineRule="exact"/>
              <w:rPr>
                <w:sz w:val="20"/>
                <w:szCs w:val="20"/>
                <w:color w:val="auto"/>
              </w:rPr>
            </w:pPr>
            <w:r>
              <w:rPr>
                <w:rFonts w:ascii="Arial" w:cs="Arial" w:eastAsia="Arial" w:hAnsi="Arial"/>
                <w:sz w:val="15"/>
                <w:szCs w:val="15"/>
                <w:color w:val="auto"/>
              </w:rPr>
              <w:t>Proceeds from sale of Ctrack South Africa, net of sold cash</w:t>
            </w:r>
            <w:r>
              <w:rPr>
                <w:rFonts w:ascii="Arial" w:cs="Arial" w:eastAsia="Arial" w:hAnsi="Arial"/>
                <w:sz w:val="19"/>
                <w:szCs w:val="19"/>
                <w:color w:val="auto"/>
                <w:vertAlign w:val="superscript"/>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31,526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(20,216)</w:t>
            </w:r>
          </w:p>
        </w:tc>
      </w:tr>
      <w:tr>
        <w:trPr>
          <w:trHeight w:val="194"/>
        </w:trPr>
        <w:tc>
          <w:tcPr>
            <w:tcW w:w="87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Net cash provided by (used in)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7,665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(24,973)</w:t>
            </w:r>
          </w:p>
        </w:tc>
      </w:tr>
      <w:tr>
        <w:trPr>
          <w:trHeight w:val="173"/>
        </w:trPr>
        <w:tc>
          <w:tcPr>
            <w:tcW w:w="8720" w:type="dxa"/>
            <w:vAlign w:val="bottom"/>
          </w:tcPr>
          <w:p>
            <w:pPr>
              <w:ind w:left="20"/>
              <w:spacing w:after="0" w:line="169" w:lineRule="exact"/>
              <w:rPr>
                <w:sz w:val="20"/>
                <w:szCs w:val="20"/>
                <w:color w:val="auto"/>
              </w:rPr>
            </w:pPr>
            <w:r>
              <w:rPr>
                <w:rFonts w:ascii="Arial" w:cs="Arial" w:eastAsia="Arial" w:hAnsi="Arial"/>
                <w:sz w:val="15"/>
                <w:szCs w:val="15"/>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proceeds from the issuance of 2025 Notes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Payment of issuance costs related to 2025 Notes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(3,600)</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to investors in private exchange transactions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(32,062)</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Payoff of term loan and related extinguishment costs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(48,830)</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proceeds received from issuance of Series E preferred stock</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Repurchase of Series E preferred stock</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(2,354)</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the exercise of warrants to purchase common stock</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Net borrowing of bank and overdraft facilities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Principal payments under finance lease obligations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w:t>
            </w:r>
          </w:p>
        </w:tc>
      </w:tr>
      <w:tr>
        <w:trPr>
          <w:trHeight w:val="207"/>
        </w:trPr>
        <w:tc>
          <w:tcPr>
            <w:tcW w:w="8720" w:type="dxa"/>
            <w:vAlign w:val="bottom"/>
          </w:tcPr>
          <w:p>
            <w:pPr>
              <w:ind w:left="220"/>
              <w:spacing w:after="0"/>
              <w:rPr>
                <w:sz w:val="20"/>
                <w:szCs w:val="20"/>
                <w:color w:val="auto"/>
              </w:rPr>
            </w:pPr>
            <w:r>
              <w:rPr>
                <w:rFonts w:ascii="Arial" w:cs="Arial" w:eastAsia="Arial" w:hAnsi="Arial"/>
                <w:sz w:val="15"/>
                <w:szCs w:val="15"/>
                <w:color w:val="auto"/>
              </w:rPr>
              <w:t>Proceeds from a public offering, net of issuance costs</w:t>
            </w:r>
          </w:p>
        </w:tc>
        <w:tc>
          <w:tcPr>
            <w:tcW w:w="28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29,370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2,432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2,872</w:t>
            </w:r>
          </w:p>
        </w:tc>
      </w:tr>
      <w:tr>
        <w:trPr>
          <w:trHeight w:val="186"/>
        </w:trPr>
        <w:tc>
          <w:tcPr>
            <w:tcW w:w="8720" w:type="dxa"/>
            <w:vAlign w:val="bottom"/>
          </w:tcPr>
          <w:p>
            <w:pPr>
              <w:ind w:left="84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28,979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40,754</w:t>
            </w:r>
          </w:p>
        </w:tc>
      </w:tr>
      <w:tr>
        <w:trPr>
          <w:trHeight w:val="201"/>
        </w:trPr>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(2,573)</w:t>
            </w:r>
          </w:p>
        </w:tc>
      </w:tr>
      <w:tr>
        <w:trPr>
          <w:trHeight w:val="186"/>
        </w:trPr>
        <w:tc>
          <w:tcPr>
            <w:tcW w:w="8720" w:type="dxa"/>
            <w:vAlign w:val="bottom"/>
          </w:tcPr>
          <w:p>
            <w:pPr>
              <w:ind w:left="1080"/>
              <w:spacing w:after="0"/>
              <w:rPr>
                <w:sz w:val="20"/>
                <w:szCs w:val="20"/>
                <w:color w:val="auto"/>
              </w:rPr>
            </w:pPr>
            <w:r>
              <w:rPr>
                <w:rFonts w:ascii="Arial" w:cs="Arial" w:eastAsia="Arial" w:hAnsi="Arial"/>
                <w:sz w:val="15"/>
                <w:szCs w:val="15"/>
                <w:color w:val="auto"/>
              </w:rPr>
              <w:t>Net increase in cash, cash equivalents and restricted cash</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21,594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29,920</w:t>
            </w:r>
          </w:p>
        </w:tc>
      </w:tr>
      <w:tr>
        <w:trPr>
          <w:trHeight w:val="197"/>
        </w:trPr>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40,015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12,074</w:t>
            </w:r>
          </w:p>
        </w:tc>
      </w:tr>
      <w:tr>
        <w:trPr>
          <w:trHeight w:val="194"/>
        </w:trPr>
        <w:tc>
          <w:tcPr>
            <w:tcW w:w="87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61,609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41,994</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8720" w:type="dxa"/>
            <w:vAlign w:val="bottom"/>
            <w:shd w:val="clear" w:color="auto" w:fill="CCEEFF"/>
          </w:tcPr>
          <w:p>
            <w:pPr>
              <w:ind w:left="20"/>
              <w:spacing w:after="0" w:line="164" w:lineRule="exact"/>
              <w:rPr>
                <w:sz w:val="20"/>
                <w:szCs w:val="20"/>
                <w:color w:val="auto"/>
              </w:rPr>
            </w:pPr>
            <w:r>
              <w:rPr>
                <w:rFonts w:ascii="Arial" w:cs="Arial" w:eastAsia="Arial" w:hAnsi="Arial"/>
                <w:sz w:val="15"/>
                <w:szCs w:val="15"/>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Interest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378</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01"/>
        </w:trPr>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3"/>
        </w:trPr>
        <w:tc>
          <w:tcPr>
            <w:tcW w:w="8720" w:type="dxa"/>
            <w:vAlign w:val="bottom"/>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Transfer of inventories to rental assets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4,394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Capital expenditures financed through accounts payable or accrued liabilities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2,643</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3,786</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7,704</w:t>
            </w:r>
          </w:p>
        </w:tc>
      </w:tr>
      <w:tr>
        <w:trPr>
          <w:trHeight w:val="207"/>
        </w:trPr>
        <w:tc>
          <w:tcPr>
            <w:tcW w:w="8720" w:type="dxa"/>
            <w:vAlign w:val="bottom"/>
          </w:tcPr>
          <w:p>
            <w:pPr>
              <w:ind w:left="460"/>
              <w:spacing w:after="0"/>
              <w:rPr>
                <w:sz w:val="20"/>
                <w:szCs w:val="20"/>
                <w:color w:val="auto"/>
              </w:rPr>
            </w:pPr>
            <w:r>
              <w:rPr>
                <w:rFonts w:ascii="Arial" w:cs="Arial" w:eastAsia="Arial" w:hAnsi="Arial"/>
                <w:sz w:val="15"/>
                <w:szCs w:val="15"/>
                <w:color w:val="auto"/>
              </w:rPr>
              <w:t>Exchange of Series E Preferred Stock for common stock</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11,982</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Issuance of common stock in exchange for Series E Preferred Stock</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13,086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720" w:type="dxa"/>
            <w:vAlign w:val="bottom"/>
          </w:tcPr>
          <w:p>
            <w:pPr>
              <w:ind w:left="460"/>
              <w:spacing w:after="0"/>
              <w:rPr>
                <w:sz w:val="20"/>
                <w:szCs w:val="20"/>
                <w:color w:val="auto"/>
              </w:rPr>
            </w:pPr>
            <w:r>
              <w:rPr>
                <w:rFonts w:ascii="Arial" w:cs="Arial" w:eastAsia="Arial" w:hAnsi="Arial"/>
                <w:sz w:val="15"/>
                <w:szCs w:val="15"/>
                <w:color w:val="auto"/>
              </w:rPr>
              <w:t>Deemed dividend on exchange of Series E Preferred Stock for common stock</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1,104</w:t>
            </w:r>
          </w:p>
        </w:tc>
        <w:tc>
          <w:tcPr>
            <w:tcW w:w="100" w:type="dxa"/>
            <w:vAlign w:val="bottom"/>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Issuance of common stock under Settlement Agreement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Preferred stock issued in extinguishment of term loan accrued interest</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2,330</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Debt discount and issuance costs extinguished in notes conversion</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2022 Notes conversion to equity</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59,907</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Novatel Wireless Notes conversion to equity</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bl>
    <w:p>
      <w:pPr>
        <w:spacing w:after="0" w:line="93" w:lineRule="exact"/>
        <w:rPr>
          <w:sz w:val="20"/>
          <w:szCs w:val="20"/>
          <w:color w:val="auto"/>
        </w:rPr>
      </w:pPr>
    </w:p>
    <w:p>
      <w:pPr>
        <w:sectPr>
          <w:pgSz w:w="11900" w:h="16838" w:orient="portrait"/>
          <w:cols w:equalWidth="0" w:num="1">
            <w:col w:w="11240"/>
          </w:cols>
          <w:pgMar w:left="320" w:top="471" w:right="339" w:bottom="1440" w:gutter="0" w:footer="0" w:header="0"/>
        </w:sect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780" w:type="dxa"/>
            <w:vAlign w:val="bottom"/>
          </w:tcPr>
          <w:p>
            <w:pPr>
              <w:jc w:val="right"/>
              <w:spacing w:after="0"/>
              <w:rPr>
                <w:sz w:val="20"/>
                <w:szCs w:val="20"/>
                <w:color w:val="auto"/>
              </w:rPr>
            </w:pPr>
            <w:r>
              <w:rPr>
                <w:rFonts w:ascii="Arial" w:cs="Arial" w:eastAsia="Arial" w:hAnsi="Arial"/>
                <w:sz w:val="15"/>
                <w:szCs w:val="15"/>
                <w:color w:val="auto"/>
              </w:rPr>
              <w:t>2025</w:t>
            </w:r>
          </w:p>
        </w:tc>
        <w:tc>
          <w:tcPr>
            <w:tcW w:w="6640" w:type="dxa"/>
            <w:vAlign w:val="bottom"/>
          </w:tcPr>
          <w:p>
            <w:pPr>
              <w:ind w:left="20"/>
              <w:spacing w:after="0"/>
              <w:rPr>
                <w:sz w:val="20"/>
                <w:szCs w:val="20"/>
                <w:color w:val="auto"/>
              </w:rPr>
            </w:pPr>
            <w:r>
              <w:rPr>
                <w:rFonts w:ascii="Arial" w:cs="Arial" w:eastAsia="Arial" w:hAnsi="Arial"/>
                <w:sz w:val="15"/>
                <w:szCs w:val="15"/>
                <w:color w:val="auto"/>
              </w:rPr>
              <w:t>Notes issued to extinguish the 2022 Notes</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80,375</w:t>
            </w:r>
          </w:p>
        </w:tc>
      </w:tr>
      <w:tr>
        <w:trPr>
          <w:trHeight w:val="201"/>
        </w:trPr>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w:t>
            </w:r>
          </w:p>
        </w:tc>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Notes conversion, including shares issued in satisfaction of interest make-whole payment</w:t>
            </w:r>
          </w:p>
        </w:tc>
        <w:tc>
          <w:tcPr>
            <w:tcW w:w="17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5,383</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14,353</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Amounts for the nine months ended September 30, 2021 are net of $5.0 million of cash sold as part of the sale of Ctrack South Africa (see Note 4. </w:t>
      </w: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7" w:lineRule="exact"/>
        <w:rPr>
          <w:sz w:val="20"/>
          <w:szCs w:val="20"/>
          <w:color w:val="auto"/>
        </w:rPr>
      </w:pPr>
    </w:p>
    <w:p>
      <w:pPr>
        <w:ind w:right="120" w:firstLine="433"/>
        <w:spacing w:after="0" w:line="261"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September 30, 2021 and the results of the Company’s operations for the three and nine months ended September 30, 2021 and 2020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2020. The year-end condensed consolidated balance sheet data as of December 31, 2020 was derived from the Company’s audited consolidated financial statements and may not include all disclosures required by accounting principles generally accepted in the United States. Except as set forth below, the accounting policies used in preparing these unaudited condensed consolidated financial statements are the same as those described in the Company’s Annual Report on Form 10-K for the year ended December 31, 2020. The results of operations for the interim periods presented are not necessarily indicative of results to be expected for any other interim period or for the year as a whole.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47" w:lineRule="exact"/>
        <w:rPr>
          <w:sz w:val="20"/>
          <w:szCs w:val="20"/>
          <w:color w:val="auto"/>
        </w:rPr>
      </w:pPr>
    </w:p>
    <w:p>
      <w:pPr>
        <w:jc w:val="both"/>
        <w:ind w:right="200" w:firstLine="394"/>
        <w:spacing w:after="0" w:line="266"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194" w:lineRule="exact"/>
        <w:rPr>
          <w:sz w:val="20"/>
          <w:szCs w:val="20"/>
          <w:color w:val="auto"/>
        </w:rPr>
      </w:pPr>
    </w:p>
    <w:p>
      <w:pPr>
        <w:ind w:right="180" w:firstLine="394"/>
        <w:spacing w:after="0" w:line="273" w:lineRule="auto"/>
        <w:rPr>
          <w:sz w:val="20"/>
          <w:szCs w:val="20"/>
          <w:color w:val="auto"/>
        </w:rPr>
      </w:pPr>
      <w:r>
        <w:rPr>
          <w:rFonts w:ascii="Arial" w:cs="Arial" w:eastAsia="Arial" w:hAnsi="Arial"/>
          <w:sz w:val="16"/>
          <w:szCs w:val="16"/>
          <w:color w:val="auto"/>
        </w:rPr>
        <w:t>In addition, a global semiconductor supply shortage is having wide-ranging effects across the technology industry. This semiconductor shortage has not materially impacted the Company but may impact the Company’s customers, and may negatively impact the supply of materials needed for our testing and production timeline. Our suppliers, contract manufacturers, and our customers are all taking actions to reduce the impact of the semiconductor shortage; however, if the shortage persists, the impact on our business could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5" w:lineRule="exact"/>
        <w:rPr>
          <w:sz w:val="20"/>
          <w:szCs w:val="20"/>
          <w:color w:val="auto"/>
        </w:rPr>
      </w:pPr>
    </w:p>
    <w:p>
      <w:pPr>
        <w:ind w:right="300" w:firstLine="394"/>
        <w:spacing w:after="0" w:line="245" w:lineRule="auto"/>
        <w:rPr>
          <w:sz w:val="20"/>
          <w:szCs w:val="20"/>
          <w:color w:val="auto"/>
        </w:rPr>
      </w:pPr>
      <w:r>
        <w:rPr>
          <w:rFonts w:ascii="Arial" w:cs="Arial" w:eastAsia="Arial" w:hAnsi="Arial"/>
          <w:sz w:val="18"/>
          <w:szCs w:val="18"/>
          <w:color w:val="auto"/>
        </w:rPr>
        <w:t>As of September 30, 2021, the Company had available cash and cash equivalents totaling $58.1 million, excluding restricted cash of $3.5 million, and working capital of $61.2 million.</w:t>
      </w:r>
    </w:p>
    <w:p>
      <w:pPr>
        <w:spacing w:after="0" w:line="76" w:lineRule="exact"/>
        <w:rPr>
          <w:sz w:val="20"/>
          <w:szCs w:val="20"/>
          <w:color w:val="auto"/>
        </w:rPr>
      </w:pPr>
    </w:p>
    <w:p>
      <w:pPr>
        <w:ind w:right="60" w:firstLine="394"/>
        <w:spacing w:after="0" w:line="245" w:lineRule="auto"/>
        <w:rPr>
          <w:sz w:val="20"/>
          <w:szCs w:val="20"/>
          <w:color w:val="auto"/>
        </w:rPr>
      </w:pPr>
      <w:r>
        <w:rPr>
          <w:rFonts w:ascii="Arial" w:cs="Arial" w:eastAsia="Arial" w:hAnsi="Arial"/>
          <w:sz w:val="18"/>
          <w:szCs w:val="18"/>
          <w:color w:val="auto"/>
        </w:rPr>
        <w:t>On March 6, 2020, the Company issued and sold 25,000 shares of Fixed-Rate Cumulative Perpetual Preferred Stock, Series E, par value $0.001 per share (the “Series E Preferred Stock”), for an aggregate purchase price of $25.0 million.</w:t>
      </w:r>
    </w:p>
    <w:p>
      <w:pPr>
        <w:spacing w:after="0" w:line="76"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into privately-negotiated exchange agreements (the “May Exchange Agreements”), pursuant to which an aggregate of $45.0 million in principal amount of the 2022 Notes were exchanged for an aggregate of $32 million in cash and $80.4 million in principal amount of the 2025 Notes (the “May Private Exchange Transactions”). The Company also used a portion of the proceeds from the Offering to repay in full its previous term loan. In the third quarter of 2020, the Company redeemed the remaining $2,000 principal amount of the 2022 Notes.</w:t>
      </w:r>
    </w:p>
    <w:p>
      <w:pPr>
        <w:spacing w:after="0" w:line="48" w:lineRule="exact"/>
        <w:rPr>
          <w:sz w:val="20"/>
          <w:szCs w:val="20"/>
          <w:color w:val="auto"/>
        </w:rPr>
      </w:pPr>
    </w:p>
    <w:p>
      <w:pPr>
        <w:ind w:right="160" w:firstLine="394"/>
        <w:spacing w:after="0" w:line="217"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September 30, 2021, the Company’s outstanding debt primarily consisted of $161.9 million in principal amount of 2025 Notes.</w:t>
      </w:r>
    </w:p>
    <w:p>
      <w:pPr>
        <w:spacing w:after="0" w:line="56" w:lineRule="exact"/>
        <w:rPr>
          <w:sz w:val="20"/>
          <w:szCs w:val="20"/>
          <w:color w:val="auto"/>
        </w:rPr>
      </w:pPr>
    </w:p>
    <w:p>
      <w:pPr>
        <w:ind w:right="180" w:firstLine="394"/>
        <w:spacing w:after="0" w:line="239" w:lineRule="auto"/>
        <w:rPr>
          <w:sz w:val="20"/>
          <w:szCs w:val="20"/>
          <w:color w:val="auto"/>
        </w:rPr>
      </w:pPr>
      <w:r>
        <w:rPr>
          <w:rFonts w:ascii="Arial" w:cs="Arial" w:eastAsia="Arial" w:hAnsi="Arial"/>
          <w:sz w:val="16"/>
          <w:szCs w:val="16"/>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 w:firstLine="630"/>
        <w:spacing w:after="0" w:line="265"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14" w:lineRule="exact"/>
        <w:rPr>
          <w:sz w:val="20"/>
          <w:szCs w:val="20"/>
          <w:color w:val="auto"/>
        </w:rPr>
      </w:pPr>
    </w:p>
    <w:p>
      <w:pPr>
        <w:ind w:right="120" w:firstLine="394"/>
        <w:spacing w:after="0" w:line="235"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Ctrack South Africa</w:t>
      </w:r>
    </w:p>
    <w:p>
      <w:pPr>
        <w:spacing w:after="0" w:line="147" w:lineRule="exact"/>
        <w:rPr>
          <w:sz w:val="20"/>
          <w:szCs w:val="20"/>
          <w:color w:val="auto"/>
        </w:rPr>
      </w:pPr>
    </w:p>
    <w:p>
      <w:pPr>
        <w:ind w:right="200" w:firstLine="630"/>
        <w:spacing w:after="0" w:line="291" w:lineRule="auto"/>
        <w:rPr>
          <w:sz w:val="20"/>
          <w:szCs w:val="20"/>
          <w:color w:val="auto"/>
        </w:rPr>
      </w:pPr>
      <w:r>
        <w:rPr>
          <w:rFonts w:ascii="Arial" w:cs="Arial" w:eastAsia="Arial" w:hAnsi="Arial"/>
          <w:sz w:val="15"/>
          <w:szCs w:val="15"/>
          <w:color w:val="auto"/>
        </w:rPr>
        <w:t>On July 30, 2021, the Company completed the sale of its Ctrack business operations in Africa, Pakistan and the Middle East (together “Ctrack South Africa”). Initial cash proceeds of approximately $36.6 million were received. Net cash proceeds received were $31.5 million, net of cash sold of $5.1 million. Final cash proceeds were subject to certain post-closing working capital adjustments which totaled $2.6 million, out of which $2.2 million was received on October 29, 2021, and the remaining $0.4 million was offset with the Company’s existing accounts payable balance to an affiliate of Convergence Partners (“Convergence”), an investment management firm in South Africa. The Company recorded a receivable for such balance on September 30, 2021.</w:t>
      </w:r>
    </w:p>
    <w:p>
      <w:pPr>
        <w:spacing w:after="0" w:line="44" w:lineRule="exact"/>
        <w:rPr>
          <w:sz w:val="20"/>
          <w:szCs w:val="20"/>
          <w:color w:val="auto"/>
        </w:rPr>
      </w:pPr>
    </w:p>
    <w:p>
      <w:pPr>
        <w:ind w:firstLine="630"/>
        <w:spacing w:after="0" w:line="260" w:lineRule="auto"/>
        <w:rPr>
          <w:sz w:val="20"/>
          <w:szCs w:val="20"/>
          <w:color w:val="auto"/>
        </w:rPr>
      </w:pPr>
      <w:r>
        <w:rPr>
          <w:rFonts w:ascii="Arial" w:cs="Arial" w:eastAsia="Arial" w:hAnsi="Arial"/>
          <w:sz w:val="18"/>
          <w:szCs w:val="18"/>
          <w:color w:val="auto"/>
        </w:rPr>
        <w:t xml:space="preserve">The Company will continue to provide telematics solutions in the rest of the world, including in Europe and Australia. See Note 4. </w:t>
      </w:r>
      <w:r>
        <w:rPr>
          <w:rFonts w:ascii="Arial" w:cs="Arial" w:eastAsia="Arial" w:hAnsi="Arial"/>
          <w:sz w:val="18"/>
          <w:szCs w:val="18"/>
          <w:i w:val="1"/>
          <w:iCs w:val="1"/>
          <w:color w:val="auto"/>
        </w:rPr>
        <w:t>Business Divestiture</w:t>
      </w:r>
      <w:r>
        <w:rPr>
          <w:rFonts w:ascii="Arial" w:cs="Arial" w:eastAsia="Arial" w:hAnsi="Arial"/>
          <w:sz w:val="18"/>
          <w:szCs w:val="18"/>
          <w:color w:val="auto"/>
        </w:rPr>
        <w:t xml:space="preserve"> for additional information about the divestiture of Ctrack South Africa.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5" w:lineRule="exact"/>
        <w:rPr>
          <w:sz w:val="20"/>
          <w:szCs w:val="20"/>
          <w:color w:val="auto"/>
        </w:rPr>
      </w:pPr>
    </w:p>
    <w:p>
      <w:pPr>
        <w:ind w:right="320" w:firstLine="394"/>
        <w:spacing w:after="0" w:line="245"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 and majority-owned subsidiaries. All intercompany transactions and balances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5" w:lineRule="exact"/>
        <w:rPr>
          <w:sz w:val="20"/>
          <w:szCs w:val="20"/>
          <w:color w:val="auto"/>
        </w:rPr>
      </w:pPr>
    </w:p>
    <w:p>
      <w:pPr>
        <w:ind w:right="160" w:firstLine="394"/>
        <w:spacing w:after="0" w:line="23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6" w:lineRule="exact"/>
        <w:rPr>
          <w:sz w:val="20"/>
          <w:szCs w:val="20"/>
          <w:color w:val="auto"/>
        </w:rPr>
      </w:pPr>
    </w:p>
    <w:p>
      <w:pPr>
        <w:ind w:right="240" w:firstLine="394"/>
        <w:spacing w:after="0" w:line="28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valuation of derivatives, accruals relating to litigation, income taxes and share-based compensation expense. The inputs related to certain estimates include consideration of the economic impact of the COVID-19 pandemic. As the impact of the COVID-19 pandemic continues to develop, these estimates could carry a higher degree of variability and volatility, and may change materially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239" w:lineRule="exact"/>
        <w:rPr>
          <w:sz w:val="20"/>
          <w:szCs w:val="20"/>
          <w:color w:val="auto"/>
        </w:rPr>
      </w:pPr>
    </w:p>
    <w:p>
      <w:pPr>
        <w:ind w:firstLine="394"/>
        <w:spacing w:after="0" w:line="273" w:lineRule="auto"/>
        <w:rPr>
          <w:sz w:val="20"/>
          <w:szCs w:val="20"/>
          <w:color w:val="auto"/>
        </w:rPr>
      </w:pPr>
      <w:r>
        <w:rPr>
          <w:rFonts w:ascii="Arial" w:cs="Arial" w:eastAsia="Arial" w:hAnsi="Arial"/>
          <w:sz w:val="15"/>
          <w:szCs w:val="15"/>
          <w:color w:val="auto"/>
        </w:rPr>
        <w:t>The Company generates revenue from a broad range of product sales including intelligent wireless hardware products for the worldwide mobile communications, and industrial Internet of Things (“IIoT”) markets, Inseego Subscribe</w:t>
      </w:r>
      <w:r>
        <w:rPr>
          <w:rFonts w:ascii="Arial" w:cs="Arial" w:eastAsia="Arial" w:hAnsi="Arial"/>
          <w:sz w:val="19"/>
          <w:szCs w:val="19"/>
          <w:color w:val="auto"/>
          <w:vertAlign w:val="superscript"/>
        </w:rPr>
        <w:t>TM</w:t>
      </w:r>
      <w:r>
        <w:rPr>
          <w:rFonts w:ascii="Arial" w:cs="Arial" w:eastAsia="Arial" w:hAnsi="Arial"/>
          <w:sz w:val="15"/>
          <w:szCs w:val="15"/>
          <w:color w:val="auto"/>
        </w:rPr>
        <w:t>, a hosted SaaS platform that helps organizations manage the selection, deployment and spend of wireless assets, and various Software as a Service (“SaaS”) products. The Company’s products principally include intelligent mobile hotspots, wireless routers for IoT applications, USB modems, integrated telematics and mobile tracking hardware devices, which are supported by applications software and cloud software services designed to enable customers to easily analyze data insights and configure and manage their hardware.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540" w:firstLine="394"/>
        <w:spacing w:after="0" w:line="238"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33" w:lineRule="exact"/>
        <w:rPr>
          <w:sz w:val="20"/>
          <w:szCs w:val="20"/>
          <w:color w:val="auto"/>
        </w:rPr>
      </w:pPr>
    </w:p>
    <w:p>
      <w:pPr>
        <w:ind w:right="160" w:firstLine="394"/>
        <w:spacing w:after="0" w:line="22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HD quality VoLTE based wireless home phones, cloud management software and an advanced portfolio of 5G products. The solutions are offered under the MiFi™ brand for consumer and enterprise markets, and under the Skyus brand for IIoT markets. Effective in the third quarter ended on September 30, 2020, IoT &amp; Mobile Solutions also includes the Company’s Device Management System (“DMS”), rebranded as Inseego Subscribe</w:t>
      </w:r>
      <w:r>
        <w:rPr>
          <w:rFonts w:ascii="Arial" w:cs="Arial" w:eastAsia="Arial" w:hAnsi="Arial"/>
          <w:sz w:val="22"/>
          <w:szCs w:val="22"/>
          <w:color w:val="auto"/>
          <w:vertAlign w:val="superscript"/>
        </w:rPr>
        <w:t>TM</w:t>
      </w:r>
      <w:r>
        <w:rPr>
          <w:rFonts w:ascii="Arial" w:cs="Arial" w:eastAsia="Arial" w:hAnsi="Arial"/>
          <w:sz w:val="18"/>
          <w:szCs w:val="18"/>
          <w:color w:val="auto"/>
        </w:rPr>
        <w:t>, that helps organizations manage the selection, deployment and spend of their customer’s wireless assets, helping them save money on personnel and telecom expenses.</w:t>
      </w:r>
    </w:p>
    <w:p>
      <w:pPr>
        <w:spacing w:after="0" w:line="137" w:lineRule="exact"/>
        <w:rPr>
          <w:sz w:val="20"/>
          <w:szCs w:val="20"/>
          <w:color w:val="auto"/>
        </w:rPr>
      </w:pPr>
    </w:p>
    <w:p>
      <w:pPr>
        <w:ind w:left="200" w:right="60" w:firstLine="394"/>
        <w:spacing w:after="0" w:line="342" w:lineRule="auto"/>
        <w:rPr>
          <w:sz w:val="20"/>
          <w:szCs w:val="20"/>
          <w:color w:val="auto"/>
        </w:rPr>
      </w:pPr>
      <w:r>
        <w:rPr>
          <w:rFonts w:ascii="Arial" w:cs="Arial" w:eastAsia="Arial" w:hAnsi="Arial"/>
          <w:sz w:val="15"/>
          <w:szCs w:val="15"/>
          <w:i w:val="1"/>
          <w:iCs w:val="1"/>
          <w:color w:val="auto"/>
        </w:rPr>
        <w:t>Enterprise SaaS Solutions</w:t>
      </w:r>
      <w:r>
        <w:rPr>
          <w:rFonts w:ascii="Arial" w:cs="Arial" w:eastAsia="Arial" w:hAnsi="Arial"/>
          <w:sz w:val="15"/>
          <w:szCs w:val="15"/>
          <w:color w:val="auto"/>
        </w:rPr>
        <w:t>. The Enterprise SaaS Solutions portfolio consists of various subscription offerings to gain access to the Company’s Ctrack</w:t>
      </w:r>
      <w:r>
        <w:rPr>
          <w:rFonts w:ascii="Arial" w:cs="Arial" w:eastAsia="Arial" w:hAnsi="Arial"/>
          <w:sz w:val="15"/>
          <w:szCs w:val="15"/>
          <w:i w:val="1"/>
          <w:iCs w:val="1"/>
          <w:color w:val="auto"/>
        </w:rPr>
        <w:t xml:space="preserve"> </w:t>
      </w:r>
      <w:r>
        <w:rPr>
          <w:rFonts w:ascii="Arial" w:cs="Arial" w:eastAsia="Arial" w:hAnsi="Arial"/>
          <w:sz w:val="15"/>
          <w:szCs w:val="15"/>
          <w:color w:val="auto"/>
        </w:rPr>
        <w:t>telematics platforms, which provide fleet vehicle, aviation ground vehicle and asset tracking and performance information, and other telematics applications.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80" w:type="dxa"/>
            <w:vAlign w:val="bottom"/>
          </w:tcPr>
          <w:p>
            <w:pPr>
              <w:jc w:val="right"/>
              <w:ind w:right="125"/>
              <w:spacing w:after="0"/>
              <w:rPr>
                <w:sz w:val="20"/>
                <w:szCs w:val="20"/>
                <w:color w:val="auto"/>
              </w:rPr>
            </w:pPr>
            <w:r>
              <w:rPr>
                <w:rFonts w:ascii="Arial" w:cs="Arial" w:eastAsia="Arial" w:hAnsi="Arial"/>
                <w:sz w:val="14"/>
                <w:szCs w:val="14"/>
                <w:b w:val="1"/>
                <w:bCs w:val="1"/>
                <w:color w:val="auto"/>
                <w:w w:val="94"/>
              </w:rPr>
              <w:t>December 31,</w:t>
            </w:r>
          </w:p>
        </w:tc>
      </w:tr>
      <w:tr>
        <w:trPr>
          <w:trHeight w:val="184"/>
        </w:trPr>
        <w:tc>
          <w:tcPr>
            <w:tcW w:w="8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5"/>
              <w:spacing w:after="0" w:line="184"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r>
      <w:tr>
        <w:trPr>
          <w:trHeight w:val="203"/>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w:t>
            </w:r>
          </w:p>
        </w:tc>
      </w:tr>
      <w:tr>
        <w:trPr>
          <w:trHeight w:val="207"/>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r>
      <w:tr>
        <w:trPr>
          <w:trHeight w:val="22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33,952</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Amounts exclude balances deconsolidated as part of the sale of Ctrack South Africa. See Note 4. Business Divestiture.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8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r>
      <w:tr>
        <w:trPr>
          <w:trHeight w:val="204"/>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6,006</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production costs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Liabilities related to financed assets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r>
      <w:tr>
        <w:trPr>
          <w:trHeight w:val="200"/>
        </w:trPr>
        <w:tc>
          <w:tcPr>
            <w:tcW w:w="8640" w:type="dxa"/>
            <w:vAlign w:val="bottom"/>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23,373</w:t>
            </w:r>
          </w:p>
        </w:tc>
      </w:tr>
      <w:tr>
        <w:trPr>
          <w:trHeight w:val="23"/>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6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Amounts exclude balances deconsolidated as part of the sale of Ctrack South Africa. See Note 4. Business Divestiture.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14" w:lineRule="exact"/>
        <w:rPr>
          <w:sz w:val="20"/>
          <w:szCs w:val="20"/>
          <w:color w:val="auto"/>
        </w:rPr>
      </w:pPr>
    </w:p>
    <w:p>
      <w:pPr>
        <w:ind w:right="60" w:firstLine="433"/>
        <w:spacing w:after="0" w:line="24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29" w:lineRule="exact"/>
        <w:rPr>
          <w:sz w:val="20"/>
          <w:szCs w:val="20"/>
          <w:color w:val="auto"/>
        </w:rPr>
      </w:pPr>
    </w:p>
    <w:p>
      <w:pPr>
        <w:ind w:right="200" w:firstLine="433"/>
        <w:spacing w:after="0" w:line="235"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2" w:lineRule="exact"/>
        <w:rPr>
          <w:sz w:val="20"/>
          <w:szCs w:val="20"/>
          <w:color w:val="auto"/>
        </w:rPr>
      </w:pPr>
    </w:p>
    <w:p>
      <w:pPr>
        <w:ind w:left="1020" w:right="160" w:hanging="629"/>
        <w:spacing w:after="0" w:line="238" w:lineRule="auto"/>
        <w:tabs>
          <w:tab w:leader="none" w:pos="10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80" w:lineRule="exact"/>
        <w:rPr>
          <w:sz w:val="20"/>
          <w:szCs w:val="20"/>
          <w:color w:val="auto"/>
        </w:rPr>
      </w:pPr>
    </w:p>
    <w:p>
      <w:pPr>
        <w:ind w:left="1020" w:right="300" w:hanging="629"/>
        <w:spacing w:after="0" w:line="235" w:lineRule="auto"/>
        <w:tabs>
          <w:tab w:leader="none" w:pos="10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2" w:lineRule="exact"/>
        <w:rPr>
          <w:sz w:val="20"/>
          <w:szCs w:val="20"/>
          <w:color w:val="auto"/>
        </w:rPr>
      </w:pPr>
    </w:p>
    <w:p>
      <w:pPr>
        <w:ind w:left="1020" w:right="160" w:hanging="629"/>
        <w:spacing w:after="0" w:line="281" w:lineRule="auto"/>
        <w:tabs>
          <w:tab w:leader="none" w:pos="10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102" w:lineRule="exact"/>
        <w:rPr>
          <w:sz w:val="20"/>
          <w:szCs w:val="20"/>
          <w:color w:val="auto"/>
        </w:rPr>
      </w:pPr>
    </w:p>
    <w:p>
      <w:pPr>
        <w:ind w:right="660" w:firstLine="433"/>
        <w:spacing w:after="0" w:line="23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2021.</w:t>
      </w:r>
    </w:p>
    <w:p>
      <w:pPr>
        <w:spacing w:after="0" w:line="133" w:lineRule="exact"/>
        <w:rPr>
          <w:sz w:val="20"/>
          <w:szCs w:val="20"/>
          <w:color w:val="auto"/>
        </w:rPr>
      </w:pPr>
    </w:p>
    <w:p>
      <w:pPr>
        <w:ind w:right="400" w:firstLine="394"/>
        <w:spacing w:after="0" w:line="245"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September 30, 2021 and December 31, 2020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1"/>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3"/>
              <w:spacing w:after="0"/>
              <w:rPr>
                <w:sz w:val="20"/>
                <w:szCs w:val="20"/>
                <w:color w:val="auto"/>
              </w:rPr>
            </w:pPr>
            <w:r>
              <w:rPr>
                <w:rFonts w:ascii="Arial" w:cs="Arial" w:eastAsia="Arial" w:hAnsi="Arial"/>
                <w:sz w:val="14"/>
                <w:szCs w:val="14"/>
                <w:b w:val="1"/>
                <w:bCs w:val="1"/>
                <w:color w:val="auto"/>
                <w:w w:val="92"/>
              </w:rPr>
              <w:t>Total Fair Value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5"/>
                <w:szCs w:val="15"/>
                <w:color w:val="auto"/>
              </w:rPr>
            </w:pPr>
          </w:p>
        </w:tc>
        <w:tc>
          <w:tcPr>
            <w:tcW w:w="96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1</w:t>
            </w:r>
          </w:p>
        </w:tc>
      </w:tr>
      <w:tr>
        <w:trPr>
          <w:trHeight w:val="18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31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1,317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1,317</w:t>
            </w:r>
          </w:p>
        </w:tc>
        <w:tc>
          <w:tcPr>
            <w:tcW w:w="3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interest make-whole payment derivative liability was determined using a Monte Carlo model with the following key assumptions: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2021</w:t>
            </w: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2020</w:t>
            </w:r>
          </w:p>
        </w:tc>
      </w:tr>
      <w:tr>
        <w:trPr>
          <w:trHeight w:val="208"/>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$6.66 per share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$15.47 per share</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19.25 %</w:t>
            </w:r>
          </w:p>
        </w:tc>
        <w:tc>
          <w:tcPr>
            <w:tcW w:w="80" w:type="dxa"/>
            <w:vAlign w:val="bottom"/>
            <w:shd w:val="clear" w:color="auto" w:fill="CCEEFF"/>
          </w:tcPr>
          <w:p>
            <w:pPr>
              <w:spacing w:after="0"/>
              <w:rPr>
                <w:sz w:val="18"/>
                <w:szCs w:val="18"/>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Term</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3.59 years</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4.34 years</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20" w:type="dxa"/>
            <w:vAlign w:val="bottom"/>
          </w:tcPr>
          <w:p>
            <w:pPr>
              <w:jc w:val="right"/>
              <w:spacing w:after="0"/>
              <w:rPr>
                <w:sz w:val="20"/>
                <w:szCs w:val="20"/>
                <w:color w:val="auto"/>
              </w:rPr>
            </w:pPr>
            <w:r>
              <w:rPr>
                <w:rFonts w:ascii="Arial" w:cs="Arial" w:eastAsia="Arial" w:hAnsi="Arial"/>
                <w:sz w:val="16"/>
                <w:szCs w:val="16"/>
                <w:color w:val="auto"/>
              </w:rPr>
              <w:t>0.66 %</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0.30 %</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a summary of changes in the fair value of Level 3 liabilities for the nine months ended September 30,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Balance as of</w:t>
            </w:r>
          </w:p>
        </w:tc>
        <w:tc>
          <w:tcPr>
            <w:tcW w:w="13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Additions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4"/>
              </w:rPr>
              <w:t>Conversions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180" w:type="dxa"/>
            <w:vAlign w:val="bottom"/>
          </w:tcPr>
          <w:p>
            <w:pPr>
              <w:spacing w:after="0"/>
              <w:rPr>
                <w:sz w:val="14"/>
                <w:szCs w:val="14"/>
                <w:color w:val="auto"/>
              </w:rPr>
            </w:pPr>
          </w:p>
        </w:tc>
        <w:tc>
          <w:tcPr>
            <w:tcW w:w="1560" w:type="dxa"/>
            <w:vAlign w:val="bottom"/>
          </w:tcPr>
          <w:p>
            <w:pPr>
              <w:jc w:val="center"/>
              <w:ind w:right="147"/>
              <w:spacing w:after="0"/>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center"/>
              <w:ind w:right="107"/>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187"/>
        </w:trPr>
        <w:tc>
          <w:tcPr>
            <w:tcW w:w="22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3"/>
              </w:rPr>
              <w:t>Interest make-whole payment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46"/>
              <w:spacing w:after="0"/>
              <w:rPr>
                <w:sz w:val="20"/>
                <w:szCs w:val="20"/>
                <w:color w:val="auto"/>
              </w:rPr>
            </w:pPr>
            <w:r>
              <w:rPr>
                <w:rFonts w:ascii="Arial" w:cs="Arial" w:eastAsia="Arial" w:hAnsi="Arial"/>
                <w:sz w:val="16"/>
                <w:szCs w:val="16"/>
                <w:color w:val="auto"/>
                <w:w w:val="89"/>
              </w:rPr>
              <w:t>$</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08" w:lineRule="exact"/>
        <w:rPr>
          <w:sz w:val="20"/>
          <w:szCs w:val="20"/>
          <w:color w:val="auto"/>
        </w:rPr>
      </w:pPr>
    </w:p>
    <w:p>
      <w:pPr>
        <w:ind w:right="420" w:firstLine="394"/>
        <w:spacing w:after="0" w:line="245"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May 12, 2020, the Company issued $180.4 million in aggregate principal amount of 2025 Notes, and restructured its outstanding debt as described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further in Note 5,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 Company carries its 2025 Notes at amortized cost adjusted for changes in fair value of the embedded derivative. As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$161.9 million in principal amount of the 2025 Notes remain outstanding. It is not practicable to determine the fair value of the 2025 Notes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due to the lack of information available to calculate the fair value of such notes.</w:t>
      </w:r>
    </w:p>
    <w:p>
      <w:pPr>
        <w:spacing w:after="0" w:line="212" w:lineRule="exact"/>
        <w:rPr>
          <w:sz w:val="20"/>
          <w:szCs w:val="20"/>
          <w:color w:val="auto"/>
        </w:rPr>
      </w:pPr>
    </w:p>
    <w:p>
      <w:pPr>
        <w:ind w:right="200" w:firstLine="394"/>
        <w:spacing w:after="0" w:line="245" w:lineRule="auto"/>
        <w:rPr>
          <w:sz w:val="20"/>
          <w:szCs w:val="20"/>
          <w:color w:val="auto"/>
        </w:rPr>
      </w:pPr>
      <w:r>
        <w:rPr>
          <w:rFonts w:ascii="Arial" w:cs="Arial" w:eastAsia="Arial" w:hAnsi="Arial"/>
          <w:sz w:val="18"/>
          <w:szCs w:val="18"/>
          <w:color w:val="auto"/>
        </w:rPr>
        <w:t>The Company evaluated the 2025 Notes under ASC 815 and identified an embedded derivative that required bifurcation. The embedded derivative is an interest make-whole payment that was valued at $4.6 million on May 12, 2020.</w:t>
      </w:r>
    </w:p>
    <w:p>
      <w:pPr>
        <w:spacing w:after="0" w:line="208" w:lineRule="exact"/>
        <w:rPr>
          <w:sz w:val="20"/>
          <w:szCs w:val="20"/>
          <w:color w:val="auto"/>
        </w:rPr>
      </w:pPr>
    </w:p>
    <w:p>
      <w:pPr>
        <w:jc w:val="both"/>
        <w:ind w:right="80" w:firstLine="394"/>
        <w:spacing w:after="0" w:line="278" w:lineRule="auto"/>
        <w:rPr>
          <w:sz w:val="20"/>
          <w:szCs w:val="20"/>
          <w:color w:val="auto"/>
        </w:rPr>
      </w:pPr>
      <w:r>
        <w:rPr>
          <w:rFonts w:ascii="Arial" w:cs="Arial" w:eastAsia="Arial" w:hAnsi="Arial"/>
          <w:sz w:val="15"/>
          <w:szCs w:val="15"/>
          <w:color w:val="auto"/>
        </w:rPr>
        <w:t>Changes in the fair value of the interest make-whole payment totaling a gain of $1.6 million for the three months ended September 30, 2021 are included in the Company’s condensed consolidated statement of operations within other income, net. During the nine months ended September 30, 2021, certain holders of the 2025 Notes converted an aggregate of approximately $5.0 million in principal amount of the 2025 Notes into shares of the Company’s common stock in accordance with the terms of such notes and a portion of the embedded derivative was settled in shares of the Company’s common stock resulting in</w:t>
      </w:r>
    </w:p>
    <w:p>
      <w:pPr>
        <w:spacing w:after="0" w:line="3" w:lineRule="exact"/>
        <w:rPr>
          <w:sz w:val="20"/>
          <w:szCs w:val="20"/>
          <w:color w:val="auto"/>
        </w:rPr>
      </w:pPr>
    </w:p>
    <w:p>
      <w:pPr>
        <w:jc w:val="both"/>
        <w:ind w:right="40"/>
        <w:spacing w:after="0" w:line="232" w:lineRule="auto"/>
        <w:rPr>
          <w:sz w:val="20"/>
          <w:szCs w:val="20"/>
          <w:color w:val="auto"/>
        </w:rPr>
      </w:pPr>
      <w:r>
        <w:rPr>
          <w:rFonts w:ascii="Arial" w:cs="Arial" w:eastAsia="Arial" w:hAnsi="Arial"/>
          <w:sz w:val="18"/>
          <w:szCs w:val="18"/>
          <w:color w:val="auto"/>
        </w:rPr>
        <w:t>$0.1 million of the derivative liability being extinguished upon conversion. As of September 30, 2021, the embedded derivative had a fair value of $1.3 million and a $3.4 million gain on the change in fair value was recorded to other income, net, on the condensed consolidated statement of operations in the nine months ended September 30, 2021.</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three and nine months ended September 30, 2021 and 2020, there were no transfers between the levels within the fair value hierarchy.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Divestiture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Ctrack South Africa Operations</w:t>
      </w:r>
    </w:p>
    <w:p>
      <w:pPr>
        <w:spacing w:after="0" w:line="147" w:lineRule="exact"/>
        <w:rPr>
          <w:sz w:val="20"/>
          <w:szCs w:val="20"/>
          <w:color w:val="auto"/>
        </w:rPr>
      </w:pPr>
    </w:p>
    <w:p>
      <w:pPr>
        <w:jc w:val="both"/>
        <w:ind w:right="120" w:firstLine="630"/>
        <w:spacing w:after="0" w:line="281" w:lineRule="auto"/>
        <w:rPr>
          <w:sz w:val="20"/>
          <w:szCs w:val="20"/>
          <w:color w:val="auto"/>
        </w:rPr>
      </w:pPr>
      <w:r>
        <w:rPr>
          <w:rFonts w:ascii="Arial" w:cs="Arial" w:eastAsia="Arial" w:hAnsi="Arial"/>
          <w:sz w:val="16"/>
          <w:szCs w:val="16"/>
          <w:color w:val="auto"/>
        </w:rPr>
        <w:t>On February 24, 2021, the Company entered into a Share Purchase Agreement (the “Purchase Agreement”) with Convergence to sell its Ctrack South Africa business operations in an all-cash transaction for 528.9 million South African Rand (“ZAR”) (approximately $36.6 million United States Dollars). The Purchase Agreement provides for an adjustment to the purchase price based on a normalized level of net working capital.</w:t>
      </w:r>
    </w:p>
    <w:p>
      <w:pPr>
        <w:spacing w:after="0" w:line="102" w:lineRule="exact"/>
        <w:rPr>
          <w:sz w:val="20"/>
          <w:szCs w:val="20"/>
          <w:color w:val="auto"/>
        </w:rPr>
      </w:pPr>
    </w:p>
    <w:p>
      <w:pPr>
        <w:ind w:firstLine="630"/>
        <w:spacing w:after="0" w:line="273" w:lineRule="auto"/>
        <w:rPr>
          <w:sz w:val="20"/>
          <w:szCs w:val="20"/>
          <w:color w:val="auto"/>
        </w:rPr>
      </w:pPr>
      <w:r>
        <w:rPr>
          <w:rFonts w:ascii="Arial" w:cs="Arial" w:eastAsia="Arial" w:hAnsi="Arial"/>
          <w:sz w:val="16"/>
          <w:szCs w:val="16"/>
          <w:color w:val="auto"/>
        </w:rPr>
        <w:t>On July 30, 2021, the Company completed the sale of Ctrack South Africa. Initial cash proceeds of $36.6 million were received. Net cash proceeds received were $31.5 million, net of cash sold of $5.1 million. Final cash proceeds were subject to certain post-closing working capital adjustments which totaled $2.6 million, out of which $2.2 million was received on October 29, 2021, and the remaining $0.4 million was offset with the Company’s existing accounts payable balance to Convergence. The Company recorded a receivable for such balance as of September 30, 2021.</w:t>
      </w:r>
    </w:p>
    <w:p>
      <w:pPr>
        <w:spacing w:after="0" w:line="108" w:lineRule="exact"/>
        <w:rPr>
          <w:sz w:val="20"/>
          <w:szCs w:val="20"/>
          <w:color w:val="auto"/>
        </w:rPr>
      </w:pPr>
    </w:p>
    <w:p>
      <w:pPr>
        <w:ind w:right="140" w:firstLine="630"/>
        <w:spacing w:after="0" w:line="238" w:lineRule="auto"/>
        <w:rPr>
          <w:sz w:val="20"/>
          <w:szCs w:val="20"/>
          <w:color w:val="auto"/>
        </w:rPr>
      </w:pPr>
      <w:r>
        <w:rPr>
          <w:rFonts w:ascii="Arial" w:cs="Arial" w:eastAsia="Arial" w:hAnsi="Arial"/>
          <w:sz w:val="18"/>
          <w:szCs w:val="18"/>
          <w:color w:val="auto"/>
        </w:rPr>
        <w:t>The Purchase Agreement required the Company to place in escrow 52.9 million ZAR, (approximately $3.5 million United States Dollars), which will be released on July 30, 2022. The funds in escrow will allow for Convergence to submit claims that are deemed to be uninsured warranties as defined in the Purchase Agreement.</w:t>
      </w:r>
    </w:p>
    <w:p>
      <w:pPr>
        <w:spacing w:after="0" w:line="133" w:lineRule="exact"/>
        <w:rPr>
          <w:sz w:val="20"/>
          <w:szCs w:val="20"/>
          <w:color w:val="auto"/>
        </w:rPr>
      </w:pPr>
    </w:p>
    <w:p>
      <w:pPr>
        <w:ind w:right="160" w:firstLine="630"/>
        <w:spacing w:after="0" w:line="235" w:lineRule="auto"/>
        <w:rPr>
          <w:sz w:val="20"/>
          <w:szCs w:val="20"/>
          <w:color w:val="auto"/>
        </w:rPr>
      </w:pPr>
      <w:r>
        <w:rPr>
          <w:rFonts w:ascii="Arial" w:cs="Arial" w:eastAsia="Arial" w:hAnsi="Arial"/>
          <w:sz w:val="18"/>
          <w:szCs w:val="18"/>
          <w:color w:val="auto"/>
        </w:rPr>
        <w:t xml:space="preserve">In evaluating the accounting treatment for this sale, the transaction was considered to be the deconsolidation of a subsidiary, as defined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gain upon sale is $5.3 million. Such gain has been recognized as gain on sale of Ctrack South Africa in the condensed consolidated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operations during the three and nine months ended September 30, 2021. The Company also recorded $2.2 million of transaction expenses, which were expensed as incurred and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00"/>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other income (expense), net, in the condensed consolidated results of operations for the three and nine months ended September 30, 2021.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assets and liabilities of Ctrack South Africa that were sold in the transaction as of July 30, 2021, are summarized below:</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8760" w:type="dxa"/>
            <w:vAlign w:val="bottom"/>
          </w:tcPr>
          <w:p>
            <w:pPr>
              <w:ind w:left="64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3"/>
        </w:trPr>
        <w:tc>
          <w:tcPr>
            <w:tcW w:w="8760" w:type="dxa"/>
            <w:vAlign w:val="bottom"/>
          </w:tcPr>
          <w:p>
            <w:pPr>
              <w:ind w:left="640"/>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receivable, net</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Inventory</w:t>
            </w: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Property, plant and equipment, net</w:t>
            </w: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Rental assets, net</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Intangible assets, net</w:t>
            </w: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Goodwill</w:t>
            </w:r>
          </w:p>
        </w:tc>
        <w:tc>
          <w:tcPr>
            <w:tcW w:w="1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87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assets</w:t>
            </w: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46"/>
        </w:trPr>
        <w:tc>
          <w:tcPr>
            <w:tcW w:w="87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expenses and other liabilities</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Deferred tax liabilities, net</w:t>
            </w: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long-term liabilities</w:t>
            </w:r>
          </w:p>
        </w:tc>
        <w:tc>
          <w:tcPr>
            <w:tcW w:w="1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00"/>
        </w:trPr>
        <w:tc>
          <w:tcPr>
            <w:tcW w:w="87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liabilities</w:t>
            </w: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8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assets</w:t>
            </w:r>
          </w:p>
        </w:tc>
        <w:tc>
          <w:tcPr>
            <w:tcW w:w="12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2021, net proceeds recognized are comprised of the following:</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 thousands)</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8760" w:type="dxa"/>
            <w:vAlign w:val="bottom"/>
          </w:tcPr>
          <w:p>
            <w:pPr>
              <w:ind w:left="640"/>
              <w:spacing w:after="0"/>
              <w:rPr>
                <w:sz w:val="20"/>
                <w:szCs w:val="20"/>
                <w:color w:val="auto"/>
              </w:rPr>
            </w:pPr>
            <w:r>
              <w:rPr>
                <w:rFonts w:ascii="Arial" w:cs="Arial" w:eastAsia="Arial" w:hAnsi="Arial"/>
                <w:sz w:val="16"/>
                <w:szCs w:val="16"/>
                <w:color w:val="auto"/>
              </w:rPr>
              <w:t>Initial purchase consideration received, upon close</w:t>
            </w: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Working capital adjustments</w:t>
            </w:r>
          </w:p>
        </w:tc>
        <w:tc>
          <w:tcPr>
            <w:tcW w:w="1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8760" w:type="dxa"/>
            <w:vAlign w:val="bottom"/>
          </w:tcPr>
          <w:p>
            <w:pPr>
              <w:ind w:left="840"/>
              <w:spacing w:after="0"/>
              <w:rPr>
                <w:sz w:val="20"/>
                <w:szCs w:val="20"/>
                <w:color w:val="auto"/>
              </w:rPr>
            </w:pPr>
            <w:r>
              <w:rPr>
                <w:rFonts w:ascii="Arial" w:cs="Arial" w:eastAsia="Arial" w:hAnsi="Arial"/>
                <w:sz w:val="16"/>
                <w:szCs w:val="16"/>
                <w:color w:val="auto"/>
              </w:rPr>
              <w:t>Net proceeds recognized</w:t>
            </w: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
        </w:trPr>
        <w:tc>
          <w:tcPr>
            <w:tcW w:w="8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gain on sale for the three and nine months ended September 30, 2021 is comprised of the following:</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 thousands)</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8760" w:type="dxa"/>
            <w:vAlign w:val="bottom"/>
          </w:tcPr>
          <w:p>
            <w:pPr>
              <w:ind w:left="640"/>
              <w:spacing w:after="0"/>
              <w:rPr>
                <w:sz w:val="20"/>
                <w:szCs w:val="20"/>
                <w:color w:val="auto"/>
              </w:rPr>
            </w:pPr>
            <w:r>
              <w:rPr>
                <w:rFonts w:ascii="Arial" w:cs="Arial" w:eastAsia="Arial" w:hAnsi="Arial"/>
                <w:sz w:val="16"/>
                <w:szCs w:val="16"/>
                <w:color w:val="auto"/>
              </w:rPr>
              <w:t>Gross proceeds recognized</w:t>
            </w: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Less: Book value of net assets sold</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87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Less: Release of cumulative foreign currency translation adjustments related to Ctrack South Africa</w:t>
            </w: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87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Net gain on sale</w:t>
            </w:r>
          </w:p>
        </w:tc>
        <w:tc>
          <w:tcPr>
            <w:tcW w:w="12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ind w:right="360" w:firstLine="394"/>
        <w:spacing w:after="0" w:line="235"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0" w:firstLine="394"/>
        <w:spacing w:after="0" w:line="342" w:lineRule="auto"/>
        <w:rPr>
          <w:sz w:val="20"/>
          <w:szCs w:val="20"/>
          <w:color w:val="auto"/>
        </w:rPr>
      </w:pPr>
      <w:r>
        <w:rPr>
          <w:rFonts w:ascii="Arial" w:cs="Arial" w:eastAsia="Arial" w:hAnsi="Arial"/>
          <w:sz w:val="15"/>
          <w:szCs w:val="15"/>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125" w:lineRule="exact"/>
        <w:rPr>
          <w:sz w:val="20"/>
          <w:szCs w:val="20"/>
          <w:color w:val="auto"/>
        </w:rPr>
      </w:pPr>
    </w:p>
    <w:p>
      <w:pPr>
        <w:jc w:val="both"/>
        <w:ind w:right="20" w:firstLine="394"/>
        <w:spacing w:after="0" w:line="212" w:lineRule="auto"/>
        <w:rPr>
          <w:sz w:val="20"/>
          <w:szCs w:val="20"/>
          <w:color w:val="auto"/>
        </w:rPr>
      </w:pPr>
      <w:r>
        <w:rPr>
          <w:rFonts w:ascii="Arial" w:cs="Arial" w:eastAsia="Arial" w:hAnsi="Arial"/>
          <w:sz w:val="18"/>
          <w:szCs w:val="18"/>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a prepayment fee of $1.4 million. The Company also used a portion of the proceeds of the Offering to repurchase the 2,330 shares of Series E Preferred Stock that had been issued to South Ocean for $2.4 million.</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26" w:lineRule="exact"/>
        <w:rPr>
          <w:sz w:val="20"/>
          <w:szCs w:val="20"/>
          <w:color w:val="auto"/>
        </w:rPr>
      </w:pPr>
    </w:p>
    <w:p>
      <w:pPr>
        <w:ind w:firstLine="385"/>
        <w:spacing w:after="0" w:line="245" w:lineRule="auto"/>
        <w:rPr>
          <w:sz w:val="20"/>
          <w:szCs w:val="20"/>
          <w:color w:val="auto"/>
        </w:rPr>
      </w:pPr>
      <w:r>
        <w:rPr>
          <w:rFonts w:ascii="Arial" w:cs="Arial" w:eastAsia="Arial" w:hAnsi="Arial"/>
          <w:sz w:val="18"/>
          <w:szCs w:val="18"/>
          <w:color w:val="auto"/>
        </w:rPr>
        <w:t>The effective interest rate was 15.19% for the nine months ended September 30, 2020. The following table sets forth total interest expense recognized related to the Term Loan (in thousands):</w:t>
      </w:r>
    </w:p>
    <w:tbl>
      <w:tblPr>
        <w:tblLayout w:type="fixed"/>
        <w:tblInd w:w="0" w:type="dxa"/>
        <w:tblCellMar>
          <w:top w:w="0" w:type="dxa"/>
          <w:left w:w="0" w:type="dxa"/>
          <w:bottom w:w="0" w:type="dxa"/>
          <w:right w:w="0" w:type="dxa"/>
        </w:tblCellMar>
      </w:tblPr>
      <w:tr>
        <w:trPr>
          <w:trHeight w:val="141"/>
        </w:trPr>
        <w:tc>
          <w:tcPr>
            <w:tcW w:w="7340" w:type="dxa"/>
            <w:vAlign w:val="bottom"/>
          </w:tcPr>
          <w:p>
            <w:pPr>
              <w:spacing w:after="0"/>
              <w:rPr>
                <w:sz w:val="12"/>
                <w:szCs w:val="12"/>
                <w:color w:val="auto"/>
              </w:rPr>
            </w:pPr>
          </w:p>
        </w:tc>
        <w:tc>
          <w:tcPr>
            <w:tcW w:w="1600" w:type="dxa"/>
            <w:vAlign w:val="bottom"/>
            <w:gridSpan w:val="4"/>
          </w:tcPr>
          <w:p>
            <w:pPr>
              <w:jc w:val="right"/>
              <w:spacing w:after="0" w:line="141"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right"/>
              <w:ind w:right="243"/>
              <w:spacing w:after="0" w:line="141" w:lineRule="exact"/>
              <w:rPr>
                <w:sz w:val="20"/>
                <w:szCs w:val="20"/>
                <w:color w:val="auto"/>
              </w:rPr>
            </w:pPr>
            <w:r>
              <w:rPr>
                <w:rFonts w:ascii="Arial" w:cs="Arial" w:eastAsia="Arial" w:hAnsi="Arial"/>
                <w:sz w:val="14"/>
                <w:szCs w:val="14"/>
                <w:b w:val="1"/>
                <w:bCs w:val="1"/>
                <w:color w:val="auto"/>
              </w:rPr>
              <w:t>Nine Months Ended</w:t>
            </w:r>
          </w:p>
        </w:tc>
      </w:tr>
      <w:tr>
        <w:trPr>
          <w:trHeight w:val="183"/>
        </w:trPr>
        <w:tc>
          <w:tcPr>
            <w:tcW w:w="734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r>
      <w:tr>
        <w:trPr>
          <w:trHeight w:val="20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1,667</w:t>
            </w: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62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859</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6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103</w:t>
            </w:r>
          </w:p>
        </w:tc>
      </w:tr>
      <w:tr>
        <w:trPr>
          <w:trHeight w:val="206"/>
        </w:trPr>
        <w:tc>
          <w:tcPr>
            <w:tcW w:w="734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620" w:type="dxa"/>
            <w:vAlign w:val="bottom"/>
          </w:tcPr>
          <w:p>
            <w:pPr>
              <w:jc w:val="right"/>
              <w:ind w:right="469"/>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4"/>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2,629</w:t>
            </w:r>
          </w:p>
        </w:tc>
      </w:tr>
      <w:tr>
        <w:trPr>
          <w:trHeight w:val="20"/>
        </w:trPr>
        <w:tc>
          <w:tcPr>
            <w:tcW w:w="7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26" w:lineRule="exact"/>
        <w:rPr>
          <w:sz w:val="20"/>
          <w:szCs w:val="20"/>
          <w:color w:val="auto"/>
        </w:rPr>
      </w:pPr>
    </w:p>
    <w:p>
      <w:pPr>
        <w:jc w:val="both"/>
        <w:ind w:right="180" w:firstLine="394"/>
        <w:spacing w:after="0" w:line="266" w:lineRule="auto"/>
        <w:rPr>
          <w:sz w:val="20"/>
          <w:szCs w:val="20"/>
          <w:color w:val="auto"/>
        </w:rPr>
      </w:pPr>
      <w:r>
        <w:rPr>
          <w:rFonts w:ascii="Arial" w:cs="Arial" w:eastAsia="Arial" w:hAnsi="Arial"/>
          <w:sz w:val="16"/>
          <w:szCs w:val="16"/>
          <w:color w:val="auto"/>
        </w:rPr>
        <w:t>On May 12, 2020, the Company also entered into the May Exchange Agreements with certain holders of the 2022 Notes. Pursuant to the May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the May Private Exchange Transactions that closed concurrently with the registered Offering. In connection therewith, the Company recorded a loss of $67.2 million on debt conversion and extinguishment, net in the condensed consolidated statement of operations. The 2025 Notes issued in the May Private Exchange Transactions are part of the same series as the 2025 Notes issued in the registered Offering.</w:t>
      </w:r>
    </w:p>
    <w:p>
      <w:pPr>
        <w:spacing w:after="0" w:line="181" w:lineRule="exact"/>
        <w:rPr>
          <w:sz w:val="20"/>
          <w:szCs w:val="20"/>
          <w:color w:val="auto"/>
        </w:rPr>
      </w:pPr>
    </w:p>
    <w:p>
      <w:pPr>
        <w:jc w:val="both"/>
        <w:ind w:right="40" w:firstLine="394"/>
        <w:spacing w:after="0" w:line="212" w:lineRule="auto"/>
        <w:rPr>
          <w:sz w:val="20"/>
          <w:szCs w:val="20"/>
          <w:color w:val="auto"/>
        </w:rPr>
      </w:pPr>
      <w:r>
        <w:rPr>
          <w:rFonts w:ascii="Arial" w:cs="Arial" w:eastAsia="Arial" w:hAnsi="Arial"/>
          <w:sz w:val="18"/>
          <w:szCs w:val="18"/>
          <w:color w:val="auto"/>
        </w:rPr>
        <w:t>During the nine months ended September 30, 2021, certain holders of the 2025 Notes converted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condensed consolidated statement of operations.</w:t>
      </w:r>
    </w:p>
    <w:p>
      <w:pPr>
        <w:spacing w:after="0" w:line="201" w:lineRule="exact"/>
        <w:rPr>
          <w:sz w:val="20"/>
          <w:szCs w:val="20"/>
          <w:color w:val="auto"/>
        </w:rPr>
      </w:pPr>
    </w:p>
    <w:p>
      <w:pPr>
        <w:ind w:right="200" w:firstLine="394"/>
        <w:spacing w:after="0" w:line="23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11"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11" w:lineRule="exact"/>
        <w:rPr>
          <w:sz w:val="20"/>
          <w:szCs w:val="20"/>
          <w:color w:val="auto"/>
        </w:rPr>
      </w:pPr>
    </w:p>
    <w:p>
      <w:pPr>
        <w:jc w:val="both"/>
        <w:ind w:right="60" w:firstLine="394"/>
        <w:spacing w:after="0" w:line="238"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2025 Notes converted a number of shares of common stock (together with cash in lieu of any fractional share), equal to the conversion rate.</w:t>
      </w:r>
    </w:p>
    <w:p>
      <w:pPr>
        <w:spacing w:after="0" w:line="226" w:lineRule="exact"/>
        <w:rPr>
          <w:sz w:val="20"/>
          <w:szCs w:val="20"/>
          <w:color w:val="auto"/>
        </w:rPr>
      </w:pPr>
    </w:p>
    <w:p>
      <w:pPr>
        <w:ind w:right="40" w:firstLine="394"/>
        <w:spacing w:after="0" w:line="296" w:lineRule="auto"/>
        <w:rPr>
          <w:sz w:val="20"/>
          <w:szCs w:val="20"/>
          <w:color w:val="auto"/>
        </w:rPr>
      </w:pPr>
      <w:r>
        <w:rPr>
          <w:rFonts w:ascii="Arial" w:cs="Arial" w:eastAsia="Arial" w:hAnsi="Arial"/>
          <w:sz w:val="15"/>
          <w:szCs w:val="15"/>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73" w:lineRule="exact"/>
        <w:rPr>
          <w:sz w:val="20"/>
          <w:szCs w:val="20"/>
          <w:color w:val="auto"/>
        </w:rPr>
      </w:pPr>
    </w:p>
    <w:p>
      <w:pPr>
        <w:ind w:right="220" w:firstLine="394"/>
        <w:spacing w:after="0" w:line="292" w:lineRule="auto"/>
        <w:rPr>
          <w:sz w:val="20"/>
          <w:szCs w:val="20"/>
          <w:color w:val="auto"/>
        </w:rPr>
      </w:pPr>
      <w:r>
        <w:rPr>
          <w:rFonts w:ascii="Arial" w:cs="Arial" w:eastAsia="Arial" w:hAnsi="Arial"/>
          <w:sz w:val="15"/>
          <w:szCs w:val="15"/>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 if</w:t>
      </w:r>
    </w:p>
    <w:p>
      <w:pPr>
        <w:ind w:right="240"/>
        <w:spacing w:after="0" w:line="260" w:lineRule="auto"/>
        <w:rPr>
          <w:sz w:val="20"/>
          <w:szCs w:val="20"/>
          <w:color w:val="auto"/>
        </w:rPr>
      </w:pPr>
      <w:r>
        <w:rPr>
          <w:rFonts w:ascii="Arial" w:cs="Arial" w:eastAsia="Arial" w:hAnsi="Arial"/>
          <w:sz w:val="18"/>
          <w:szCs w:val="18"/>
          <w:color w:val="auto"/>
        </w:rPr>
        <w:t>any, to, but excluding, the fundamental change repurchase date. If a make-whole fundamental change (as defined in the Indenture) occurs, then the Company will in certain circumstances increase the conversion rate for a specified period of time.</w:t>
      </w:r>
    </w:p>
    <w:p>
      <w:pPr>
        <w:spacing w:after="0" w:line="195" w:lineRule="exact"/>
        <w:rPr>
          <w:sz w:val="20"/>
          <w:szCs w:val="20"/>
          <w:color w:val="auto"/>
        </w:rPr>
      </w:pPr>
    </w:p>
    <w:p>
      <w:pPr>
        <w:ind w:firstLine="394"/>
        <w:spacing w:after="0" w:line="233" w:lineRule="auto"/>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2" w:lineRule="exact"/>
        <w:rPr>
          <w:sz w:val="20"/>
          <w:szCs w:val="20"/>
          <w:color w:val="auto"/>
        </w:rPr>
      </w:pPr>
    </w:p>
    <w:p>
      <w:pPr>
        <w:ind w:right="20" w:firstLine="394"/>
        <w:spacing w:after="0" w:line="263"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26" w:lineRule="exact"/>
        <w:rPr>
          <w:sz w:val="20"/>
          <w:szCs w:val="20"/>
          <w:color w:val="auto"/>
        </w:rPr>
      </w:pPr>
    </w:p>
    <w:p>
      <w:pPr>
        <w:ind w:right="80" w:firstLine="394"/>
        <w:spacing w:after="0" w:line="280" w:lineRule="auto"/>
        <w:rPr>
          <w:sz w:val="20"/>
          <w:szCs w:val="20"/>
          <w:color w:val="auto"/>
        </w:rPr>
      </w:pPr>
      <w:r>
        <w:rPr>
          <w:rFonts w:ascii="Arial" w:cs="Arial" w:eastAsia="Arial" w:hAnsi="Arial"/>
          <w:sz w:val="15"/>
          <w:szCs w:val="15"/>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w:t>
      </w:r>
    </w:p>
    <w:p>
      <w:pPr>
        <w:ind w:right="60"/>
        <w:spacing w:after="0" w:line="244" w:lineRule="auto"/>
        <w:rPr>
          <w:sz w:val="20"/>
          <w:szCs w:val="20"/>
          <w:color w:val="auto"/>
        </w:rPr>
      </w:pPr>
      <w:r>
        <w:rPr>
          <w:rFonts w:ascii="Arial" w:cs="Arial" w:eastAsia="Arial" w:hAnsi="Arial"/>
          <w:sz w:val="18"/>
          <w:szCs w:val="18"/>
          <w:color w:val="auto"/>
        </w:rPr>
        <w:t>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condensed consolidated statement of operations in other income, net.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2021, $161.9 million in principal amount of the 2025 Notes were outstanding, $80.4 million of which were held by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20" w:type="dxa"/>
            <w:vAlign w:val="bottom"/>
          </w:tcPr>
          <w:p>
            <w:pPr>
              <w:jc w:val="right"/>
              <w:ind w:right="104"/>
              <w:spacing w:after="0" w:line="147" w:lineRule="exact"/>
              <w:rPr>
                <w:sz w:val="20"/>
                <w:szCs w:val="20"/>
                <w:color w:val="auto"/>
              </w:rPr>
            </w:pPr>
            <w:r>
              <w:rPr>
                <w:rFonts w:ascii="Arial" w:cs="Arial" w:eastAsia="Arial" w:hAnsi="Arial"/>
                <w:sz w:val="14"/>
                <w:szCs w:val="14"/>
                <w:b w:val="1"/>
                <w:bCs w:val="1"/>
                <w:color w:val="auto"/>
                <w:w w:val="90"/>
              </w:rPr>
              <w:t>December 31,</w:t>
            </w:r>
          </w:p>
        </w:tc>
      </w:tr>
      <w:tr>
        <w:trPr>
          <w:trHeight w:val="183"/>
        </w:trPr>
        <w:tc>
          <w:tcPr>
            <w:tcW w:w="8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r>
      <w:tr>
        <w:trPr>
          <w:trHeight w:val="188"/>
        </w:trPr>
        <w:tc>
          <w:tcPr>
            <w:tcW w:w="818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166,898</w:t>
            </w:r>
          </w:p>
        </w:tc>
      </w:tr>
      <w:tr>
        <w:trPr>
          <w:trHeight w:val="207"/>
        </w:trPr>
        <w:tc>
          <w:tcPr>
            <w:tcW w:w="818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4,898</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157,879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right="240" w:firstLine="394"/>
        <w:spacing w:after="0" w:line="245" w:lineRule="auto"/>
        <w:rPr>
          <w:sz w:val="20"/>
          <w:szCs w:val="20"/>
          <w:color w:val="auto"/>
        </w:rPr>
      </w:pPr>
      <w:r>
        <w:rPr>
          <w:rFonts w:ascii="Arial" w:cs="Arial" w:eastAsia="Arial" w:hAnsi="Arial"/>
          <w:sz w:val="18"/>
          <w:szCs w:val="18"/>
          <w:color w:val="auto"/>
        </w:rPr>
        <w:t>The effective interest rate on the liability component of the 2025 Notes was 4.15% for the nine months ended September 30, 2021. The following table sets forth total interest expense recognized related to the 2025 Notes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600" w:type="dxa"/>
            <w:vAlign w:val="bottom"/>
            <w:gridSpan w:val="4"/>
          </w:tcPr>
          <w:p>
            <w:pPr>
              <w:jc w:val="right"/>
              <w:ind w:right="223"/>
              <w:spacing w:after="0"/>
              <w:rPr>
                <w:sz w:val="20"/>
                <w:szCs w:val="20"/>
                <w:color w:val="auto"/>
              </w:rPr>
            </w:pPr>
            <w:r>
              <w:rPr>
                <w:rFonts w:ascii="Arial" w:cs="Arial" w:eastAsia="Arial" w:hAnsi="Arial"/>
                <w:sz w:val="14"/>
                <w:szCs w:val="14"/>
                <w:b w:val="1"/>
                <w:bCs w:val="1"/>
                <w:color w:val="auto"/>
                <w:w w:val="97"/>
              </w:rPr>
              <w:t>Nine Months Ended</w:t>
            </w:r>
          </w:p>
        </w:tc>
      </w:tr>
      <w:tr>
        <w:trPr>
          <w:trHeight w:val="183"/>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5"/>
                <w:szCs w:val="15"/>
                <w:color w:val="auto"/>
              </w:rPr>
            </w:pPr>
          </w:p>
        </w:tc>
        <w:tc>
          <w:tcPr>
            <w:tcW w:w="1600" w:type="dxa"/>
            <w:vAlign w:val="bottom"/>
            <w:gridSpan w:val="4"/>
          </w:tcPr>
          <w:p>
            <w:pPr>
              <w:jc w:val="right"/>
              <w:ind w:right="403"/>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4"/>
                <w:szCs w:val="14"/>
                <w:b w:val="1"/>
                <w:bCs w:val="1"/>
                <w:color w:val="auto"/>
              </w:rPr>
              <w:t>2020</w:t>
            </w:r>
          </w:p>
        </w:tc>
      </w:tr>
      <w:tr>
        <w:trPr>
          <w:trHeight w:val="200"/>
        </w:trPr>
        <w:tc>
          <w:tcPr>
            <w:tcW w:w="732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2,078</w:t>
            </w: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341</w:t>
            </w:r>
          </w:p>
        </w:tc>
      </w:tr>
      <w:tr>
        <w:trPr>
          <w:trHeight w:val="20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268</w:t>
            </w:r>
          </w:p>
        </w:tc>
      </w:tr>
      <w:tr>
        <w:trPr>
          <w:trHeight w:val="231"/>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6" w:lineRule="exact"/>
        <w:rPr>
          <w:sz w:val="20"/>
          <w:szCs w:val="20"/>
          <w:color w:val="auto"/>
        </w:rPr>
      </w:pPr>
    </w:p>
    <w:p>
      <w:pPr>
        <w:ind w:firstLine="394"/>
        <w:spacing w:after="0" w:line="306" w:lineRule="auto"/>
        <w:rPr>
          <w:sz w:val="20"/>
          <w:szCs w:val="20"/>
          <w:color w:val="auto"/>
        </w:rPr>
      </w:pPr>
      <w:r>
        <w:rPr>
          <w:rFonts w:ascii="Arial" w:cs="Arial" w:eastAsia="Arial" w:hAnsi="Arial"/>
          <w:sz w:val="16"/>
          <w:szCs w:val="16"/>
          <w:color w:val="auto"/>
        </w:rPr>
        <w:t>On January 9, 2017, in connection with the settlement of an exchange offer and consent solicitation with respect to the 5.50% convertible senior notes due 2020 (the “Novatel Wireless Notes”), the Company issued approximately $119.8 million aggregate principal amount of 2022 Notes.</w:t>
      </w:r>
    </w:p>
    <w:p>
      <w:pPr>
        <w:spacing w:after="0" w:line="161" w:lineRule="exact"/>
        <w:rPr>
          <w:sz w:val="20"/>
          <w:szCs w:val="20"/>
          <w:color w:val="auto"/>
        </w:rPr>
      </w:pPr>
    </w:p>
    <w:p>
      <w:pPr>
        <w:ind w:firstLine="394"/>
        <w:spacing w:after="0" w:line="263" w:lineRule="auto"/>
        <w:rPr>
          <w:sz w:val="20"/>
          <w:szCs w:val="20"/>
          <w:color w:val="auto"/>
        </w:rPr>
      </w:pPr>
      <w:r>
        <w:rPr>
          <w:rFonts w:ascii="Arial" w:cs="Arial" w:eastAsia="Arial" w:hAnsi="Arial"/>
          <w:sz w:val="16"/>
          <w:szCs w:val="16"/>
          <w:color w:val="auto"/>
        </w:rPr>
        <w:t xml:space="preserve">During the three months ended March 31, 2020, the Company entered into privately-negotiated exchange agreements (“the March Exchange Agreements”) with certain investors holding the 2022 Notes. Pursuant to the March Exchange Agreements, the investors exchanged $59.9 million in aggregate principal amount of outstanding 2022 Notes for 13,688,876 shares of common stock. The investors that participated in the March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March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4" w:lineRule="exact"/>
        <w:rPr>
          <w:sz w:val="20"/>
          <w:szCs w:val="20"/>
          <w:color w:val="auto"/>
        </w:rPr>
      </w:pPr>
    </w:p>
    <w:p>
      <w:pPr>
        <w:jc w:val="both"/>
        <w:ind w:right="80" w:firstLine="394"/>
        <w:spacing w:after="0" w:line="273" w:lineRule="auto"/>
        <w:rPr>
          <w:sz w:val="20"/>
          <w:szCs w:val="20"/>
          <w:color w:val="auto"/>
        </w:rPr>
      </w:pPr>
      <w:r>
        <w:rPr>
          <w:rFonts w:ascii="Arial" w:cs="Arial" w:eastAsia="Arial" w:hAnsi="Arial"/>
          <w:sz w:val="16"/>
          <w:szCs w:val="16"/>
          <w:color w:val="auto"/>
        </w:rPr>
        <w:t>Pursuant to the May Private Exchange Transactions described above, on May 12, 2020, the holders of an aggregate of $45.0 million principal amount of 2022 Notes exchanged their 2022 Notes for a combination of 2025 Notes and cash. As a result of the May Private Exchange Transactions, $2,000 in principal amount of the 2022 Notes remained outstanding as of May 12, 2020. On July 22, 2020, pursuant to a redemption notice issued on May 15, 2020, the Company redeemed the remaining $2,000 principal amount of the 2022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394"/>
        <w:spacing w:after="0" w:line="227" w:lineRule="auto"/>
        <w:rPr>
          <w:sz w:val="20"/>
          <w:szCs w:val="20"/>
          <w:color w:val="auto"/>
        </w:rPr>
      </w:pPr>
      <w:r>
        <w:rPr>
          <w:rFonts w:ascii="Arial" w:cs="Arial" w:eastAsia="Arial" w:hAnsi="Arial"/>
          <w:sz w:val="18"/>
          <w:szCs w:val="18"/>
          <w:color w:val="auto"/>
        </w:rPr>
        <w:t>The effective interest rate on the liability component of the 2022 Notes was 12.89% for the nine months ended September 30, 2020. The following table sets forth total interest expense recognized related to the 2022 Notes (in thousands):</w:t>
      </w:r>
    </w:p>
    <w:tbl>
      <w:tblPr>
        <w:tblLayout w:type="fixed"/>
        <w:tblInd w:w="0" w:type="dxa"/>
        <w:tblCellMar>
          <w:top w:w="0" w:type="dxa"/>
          <w:left w:w="0" w:type="dxa"/>
          <w:bottom w:w="0" w:type="dxa"/>
          <w:right w:w="0" w:type="dxa"/>
        </w:tblCellMar>
      </w:tblPr>
      <w:tr>
        <w:trPr>
          <w:trHeight w:val="133"/>
        </w:trPr>
        <w:tc>
          <w:tcPr>
            <w:tcW w:w="7320" w:type="dxa"/>
            <w:vAlign w:val="bottom"/>
          </w:tcPr>
          <w:p>
            <w:pPr>
              <w:spacing w:after="0"/>
              <w:rPr>
                <w:sz w:val="11"/>
                <w:szCs w:val="11"/>
                <w:color w:val="auto"/>
              </w:rPr>
            </w:pPr>
          </w:p>
        </w:tc>
        <w:tc>
          <w:tcPr>
            <w:tcW w:w="154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Nine Months Ended</w:t>
            </w:r>
          </w:p>
        </w:tc>
      </w:tr>
      <w:tr>
        <w:trPr>
          <w:trHeight w:val="183"/>
        </w:trPr>
        <w:tc>
          <w:tcPr>
            <w:tcW w:w="732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3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2020</w:t>
            </w:r>
          </w:p>
        </w:tc>
      </w:tr>
      <w:tr>
        <w:trPr>
          <w:trHeight w:val="204"/>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580" w:type="dxa"/>
            <w:vAlign w:val="bottom"/>
            <w:shd w:val="clear" w:color="auto" w:fill="CCEEFF"/>
          </w:tcPr>
          <w:p>
            <w:pPr>
              <w:jc w:val="right"/>
              <w:ind w:right="407"/>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768</w:t>
            </w:r>
          </w:p>
        </w:tc>
      </w:tr>
      <w:tr>
        <w:trPr>
          <w:trHeight w:val="207"/>
        </w:trPr>
        <w:tc>
          <w:tcPr>
            <w:tcW w:w="73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5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1,952</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w:t>
            </w:r>
          </w:p>
        </w:tc>
      </w:tr>
      <w:tr>
        <w:trPr>
          <w:trHeight w:val="206"/>
        </w:trPr>
        <w:tc>
          <w:tcPr>
            <w:tcW w:w="732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580" w:type="dxa"/>
            <w:vAlign w:val="bottom"/>
          </w:tcPr>
          <w:p>
            <w:pPr>
              <w:jc w:val="right"/>
              <w:ind w:right="407"/>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4"/>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2,831</w:t>
            </w:r>
          </w:p>
        </w:tc>
      </w:tr>
      <w:tr>
        <w:trPr>
          <w:trHeight w:val="20"/>
        </w:trPr>
        <w:tc>
          <w:tcPr>
            <w:tcW w:w="7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14" w:lineRule="exact"/>
        <w:rPr>
          <w:sz w:val="20"/>
          <w:szCs w:val="20"/>
          <w:color w:val="auto"/>
        </w:rPr>
      </w:pPr>
    </w:p>
    <w:p>
      <w:pPr>
        <w:ind w:right="40" w:firstLine="394"/>
        <w:spacing w:after="0" w:line="245"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940" w:type="dxa"/>
            <w:vAlign w:val="bottom"/>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6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98"/>
        </w:trPr>
        <w:tc>
          <w:tcPr>
            <w:tcW w:w="64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r>
      <w:tr>
        <w:trPr>
          <w:trHeight w:val="20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2,292</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1,428</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w:t>
            </w:r>
          </w:p>
        </w:tc>
      </w:tr>
      <w:tr>
        <w:trPr>
          <w:trHeight w:val="231"/>
        </w:trPr>
        <w:tc>
          <w:tcPr>
            <w:tcW w:w="642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Total</w:t>
            </w:r>
            <w:r>
              <w:rPr>
                <w:rFonts w:ascii="Arial" w:cs="Arial" w:eastAsia="Arial" w:hAnsi="Arial"/>
                <w:sz w:val="20"/>
                <w:szCs w:val="20"/>
                <w:color w:val="auto"/>
                <w:vertAlign w:val="superscript"/>
              </w:rPr>
              <w:t>1</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3,062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79"/>
              </w:rPr>
              <w:t>2,207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During the quarter ended March 31, 2021, the Board of Directors of the Company approved and the Company granted restricted stock units to eligible employees under the 2018 Omnibus Incentive Compensation Plan, previously named the Amended and Restated 2009 Omnibus Incentive Compensation Plan (the “2018 Plan”) that were immediately vested, as fiscal 2020 annual bonus payments. The total charges recorded during the quarter ended March 31, 2021 were $7.0 million. Such bonus payments in fiscal 2020 were paid in the quarter ended June 30, 2020, and total charges related to such bonus payments recorded during the quarter ended June 30, 2020 were $2.7 million. During the quarter ended September 30, 2021, the Board of Directors of the Company approved, and the Company granted restricted stock units under the 2018 Plan to certain employees that contributed to the completion of the divestiture of Ctrack South Africa. Such grants were immediately vested, and the total charges were $0.6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8,479,979</w:t>
            </w:r>
          </w:p>
        </w:tc>
      </w:tr>
      <w:tr>
        <w:trPr>
          <w:trHeight w:val="207"/>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1,355,000</w:t>
            </w:r>
          </w:p>
        </w:tc>
      </w:tr>
      <w:tr>
        <w:trPr>
          <w:trHeight w:val="213"/>
        </w:trPr>
        <w:tc>
          <w:tcPr>
            <w:tcW w:w="10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(1,082,618)</w:t>
            </w:r>
          </w:p>
        </w:tc>
      </w:tr>
      <w:tr>
        <w:trPr>
          <w:trHeight w:val="207"/>
        </w:trPr>
        <w:tc>
          <w:tcPr>
            <w:tcW w:w="10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(583,556)</w:t>
            </w:r>
          </w:p>
        </w:tc>
      </w:tr>
      <w:tr>
        <w:trPr>
          <w:trHeight w:val="205"/>
        </w:trPr>
        <w:tc>
          <w:tcPr>
            <w:tcW w:w="100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 September 30, 2021</w:t>
            </w:r>
          </w:p>
        </w:tc>
        <w:tc>
          <w:tcPr>
            <w:tcW w:w="11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8,168,805</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10080" w:type="dxa"/>
            <w:vAlign w:val="bottom"/>
          </w:tcPr>
          <w:p>
            <w:pPr>
              <w:ind w:left="20"/>
              <w:spacing w:after="0" w:line="183" w:lineRule="exact"/>
              <w:rPr>
                <w:sz w:val="20"/>
                <w:szCs w:val="20"/>
                <w:color w:val="auto"/>
              </w:rPr>
            </w:pPr>
            <w:r>
              <w:rPr>
                <w:rFonts w:ascii="Arial" w:cs="Arial" w:eastAsia="Arial" w:hAnsi="Arial"/>
                <w:sz w:val="16"/>
                <w:szCs w:val="16"/>
                <w:color w:val="auto"/>
              </w:rPr>
              <w:t>Exercisable — September 30, 2021</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4,775,992</w:t>
            </w:r>
          </w:p>
        </w:tc>
      </w:tr>
      <w:tr>
        <w:trPr>
          <w:trHeight w:val="20"/>
        </w:trPr>
        <w:tc>
          <w:tcPr>
            <w:tcW w:w="10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220" w:firstLine="394"/>
        <w:spacing w:after="0" w:line="245" w:lineRule="auto"/>
        <w:rPr>
          <w:sz w:val="20"/>
          <w:szCs w:val="20"/>
          <w:color w:val="auto"/>
        </w:rPr>
      </w:pPr>
      <w:r>
        <w:rPr>
          <w:rFonts w:ascii="Arial" w:cs="Arial" w:eastAsia="Arial" w:hAnsi="Arial"/>
          <w:sz w:val="18"/>
          <w:szCs w:val="18"/>
          <w:color w:val="auto"/>
        </w:rPr>
        <w:t>At September 30, 2021, total unrecognized compensation expense related to stock options was $12.6 million, which is expected to be recognized over a weighted-average period of 2.62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r>
      <w:tr>
        <w:trPr>
          <w:trHeight w:val="207"/>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1,052,412</w:t>
            </w:r>
          </w:p>
        </w:tc>
      </w:tr>
      <w:tr>
        <w:trPr>
          <w:trHeight w:val="213"/>
        </w:trPr>
        <w:tc>
          <w:tcPr>
            <w:tcW w:w="10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(930,981)</w:t>
            </w:r>
          </w:p>
        </w:tc>
      </w:tr>
      <w:tr>
        <w:trPr>
          <w:trHeight w:val="207"/>
        </w:trPr>
        <w:tc>
          <w:tcPr>
            <w:tcW w:w="10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(51,590)</w:t>
            </w:r>
          </w:p>
        </w:tc>
      </w:tr>
      <w:tr>
        <w:trPr>
          <w:trHeight w:val="231"/>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September 30,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486,946</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40" w:firstLine="394"/>
        <w:spacing w:after="0" w:line="245" w:lineRule="auto"/>
        <w:rPr>
          <w:sz w:val="20"/>
          <w:szCs w:val="20"/>
          <w:color w:val="auto"/>
        </w:rPr>
      </w:pPr>
      <w:r>
        <w:rPr>
          <w:rFonts w:ascii="Arial" w:cs="Arial" w:eastAsia="Arial" w:hAnsi="Arial"/>
          <w:sz w:val="18"/>
          <w:szCs w:val="18"/>
          <w:color w:val="auto"/>
        </w:rPr>
        <w:t>At September 30, 2021, total unrecognized compensation expense related to RSUs was $2.5 million, which is expected to be recognized over a weighted-average period of 2.45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14" w:lineRule="exact"/>
        <w:rPr>
          <w:sz w:val="20"/>
          <w:szCs w:val="20"/>
          <w:color w:val="auto"/>
        </w:rPr>
      </w:pPr>
    </w:p>
    <w:p>
      <w:pPr>
        <w:ind w:right="40" w:firstLine="394"/>
        <w:spacing w:after="0" w:line="309" w:lineRule="auto"/>
        <w:rPr>
          <w:sz w:val="20"/>
          <w:szCs w:val="20"/>
          <w:color w:val="auto"/>
        </w:rPr>
      </w:pPr>
      <w:r>
        <w:rPr>
          <w:rFonts w:ascii="Arial" w:cs="Arial" w:eastAsia="Arial" w:hAnsi="Arial"/>
          <w:sz w:val="15"/>
          <w:szCs w:val="15"/>
          <w:color w:val="auto"/>
        </w:rPr>
        <w:t>Basic earnings per share (“EPS”) excludes dilution and is computed by dividing net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97" w:lineRule="exact"/>
        <w:rPr>
          <w:sz w:val="20"/>
          <w:szCs w:val="20"/>
          <w:color w:val="auto"/>
        </w:rPr>
      </w:pPr>
    </w:p>
    <w:p>
      <w:pPr>
        <w:ind w:right="280" w:firstLine="394"/>
        <w:spacing w:after="0" w:line="260" w:lineRule="auto"/>
        <w:rPr>
          <w:sz w:val="20"/>
          <w:szCs w:val="20"/>
          <w:color w:val="auto"/>
        </w:rPr>
      </w:pPr>
      <w:r>
        <w:rPr>
          <w:rFonts w:ascii="Arial" w:cs="Arial" w:eastAsia="Arial" w:hAnsi="Arial"/>
          <w:sz w:val="18"/>
          <w:szCs w:val="18"/>
          <w:color w:val="auto"/>
        </w:rPr>
        <w:t>For the three and nine months ended September 30, 2021, the computation of diluted EPS excluded 25,496,537 shares related to the convertible notes, stock options and RSUs as their effect would have been anti-dilutive.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Private Placements and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47"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became exercisable on September 28, 2019, and will expire on June 30, 2022.</w:t>
      </w:r>
    </w:p>
    <w:p>
      <w:pPr>
        <w:spacing w:after="0" w:line="114"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pacing w:after="0" w:line="129" w:lineRule="exact"/>
        <w:rPr>
          <w:sz w:val="20"/>
          <w:szCs w:val="20"/>
          <w:color w:val="auto"/>
        </w:rPr>
      </w:pPr>
    </w:p>
    <w:p>
      <w:pPr>
        <w:ind w:right="40" w:firstLine="394"/>
        <w:spacing w:after="0" w:line="245" w:lineRule="auto"/>
        <w:rPr>
          <w:sz w:val="20"/>
          <w:szCs w:val="20"/>
          <w:color w:val="auto"/>
        </w:rPr>
      </w:pPr>
      <w:r>
        <w:rPr>
          <w:rFonts w:ascii="Arial" w:cs="Arial" w:eastAsia="Arial" w:hAnsi="Arial"/>
          <w:sz w:val="18"/>
          <w:szCs w:val="18"/>
          <w:color w:val="auto"/>
        </w:rPr>
        <w:t>The Company assessed the terms of the warrants under ASC 815. Pursuant to this guidance, the Company has determined that the warrants do not require liability accounting and has classified the warrants as equity.</w:t>
      </w:r>
    </w:p>
    <w:p>
      <w:pPr>
        <w:spacing w:after="0" w:line="116" w:lineRule="exact"/>
        <w:rPr>
          <w:sz w:val="20"/>
          <w:szCs w:val="20"/>
          <w:color w:val="auto"/>
        </w:rPr>
      </w:pPr>
    </w:p>
    <w:p>
      <w:pPr>
        <w:ind w:right="20" w:firstLine="394"/>
        <w:spacing w:after="0" w:line="212" w:lineRule="auto"/>
        <w:rPr>
          <w:sz w:val="20"/>
          <w:szCs w:val="20"/>
          <w:color w:val="auto"/>
        </w:rPr>
      </w:pPr>
      <w:r>
        <w:rPr>
          <w:rFonts w:ascii="Arial" w:cs="Arial" w:eastAsia="Arial" w:hAnsi="Arial"/>
          <w:sz w:val="18"/>
          <w:szCs w:val="18"/>
          <w:color w:val="auto"/>
        </w:rPr>
        <w:t>On January 25, 2021, the Company entered into an Equity Distribution Agreement with the Agent, pursuant to which the Company may offer and sell, from time to time, through or to the Agent, up to $40.0 million of shares of its common stock. In January 2021, the Company sold 1,516,073 shares of common stock, at an average price of $20.11 per share, for net proceeds of $29.4 million, after deducting underwriter fees and discounts, and other offering fees, pursuant to the ATM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6, 2020, the Company issued and sold an additional 25,000 shares of Series E Preferred Stock for an aggregate purchase price of $25.0 million.</w:t>
      </w:r>
    </w:p>
    <w:p>
      <w:pPr>
        <w:spacing w:after="0" w:line="182"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color w:val="auto"/>
        </w:rPr>
        <w:t>On March 31, 2020, the Company issued 2,330 shares of Series E Preferred Stock to South Ocean, in satisfaction of certain deferred interest obligations pursuant to the terms and conditions of the Credit Agreement.</w:t>
      </w:r>
    </w:p>
    <w:p>
      <w:pPr>
        <w:spacing w:after="0" w:line="208" w:lineRule="exact"/>
        <w:rPr>
          <w:sz w:val="20"/>
          <w:szCs w:val="20"/>
          <w:color w:val="auto"/>
        </w:rPr>
      </w:pPr>
    </w:p>
    <w:p>
      <w:pPr>
        <w:ind w:right="200" w:firstLine="394"/>
        <w:spacing w:after="0" w:line="245" w:lineRule="auto"/>
        <w:rPr>
          <w:sz w:val="20"/>
          <w:szCs w:val="20"/>
          <w:color w:val="auto"/>
        </w:rPr>
      </w:pPr>
      <w:r>
        <w:rPr>
          <w:rFonts w:ascii="Arial" w:cs="Arial" w:eastAsia="Arial" w:hAnsi="Arial"/>
          <w:sz w:val="18"/>
          <w:szCs w:val="18"/>
          <w:color w:val="auto"/>
        </w:rPr>
        <w:t>On May 12, 2020, the Company used a portion of the proceeds from the Offering to repurchase the 2,330 shares of Series E Preferred Stock, which had been issued to satisfy accrued interest under the Credit Agreement, for $2.4 million.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394"/>
        <w:spacing w:after="0" w:line="220" w:lineRule="auto"/>
        <w:rPr>
          <w:sz w:val="20"/>
          <w:szCs w:val="20"/>
          <w:color w:val="auto"/>
        </w:rPr>
      </w:pPr>
      <w:r>
        <w:rPr>
          <w:rFonts w:ascii="Arial" w:cs="Arial" w:eastAsia="Arial" w:hAnsi="Arial"/>
          <w:sz w:val="18"/>
          <w:szCs w:val="18"/>
          <w:color w:val="auto"/>
        </w:rPr>
        <w:t>On September 3, 2021, the Company entered into separate privately-negotiated exchange agreements (the “September Exchange Agreements”) with Golden Harbor Ltd. and North Sound Trading, L.P. (the “Participating Stockholders”), holders of the Company’s outstanding Series E Preferred Stock. Pursuant to each respective September Exchange Agreement, each of the Participating Stockholders agreed to exchange Series E Preferred Stock that they held (representing an aggregate of 10,000 shares of Series E Preferred Stock) for an aggregate of 1,525,207 shares of common stock, of the Company (the “Series E Exchange Transactions”). The Company did not receive any cash proceeds from the Participating Stockholders in connection with the Series E Exchange Transactions.</w:t>
      </w:r>
    </w:p>
    <w:p>
      <w:pPr>
        <w:spacing w:after="0" w:line="201" w:lineRule="exact"/>
        <w:rPr>
          <w:sz w:val="20"/>
          <w:szCs w:val="20"/>
          <w:color w:val="auto"/>
        </w:rPr>
      </w:pPr>
    </w:p>
    <w:p>
      <w:pPr>
        <w:ind w:right="160" w:firstLine="630"/>
        <w:spacing w:after="0" w:line="223" w:lineRule="auto"/>
        <w:rPr>
          <w:sz w:val="20"/>
          <w:szCs w:val="20"/>
          <w:color w:val="auto"/>
        </w:rPr>
      </w:pPr>
      <w:r>
        <w:rPr>
          <w:rFonts w:ascii="Arial" w:cs="Arial" w:eastAsia="Arial" w:hAnsi="Arial"/>
          <w:sz w:val="18"/>
          <w:szCs w:val="18"/>
          <w:color w:val="auto"/>
        </w:rPr>
        <w:t xml:space="preserve">The Company used the Guidance in ASC 470 </w:t>
      </w:r>
      <w:r>
        <w:rPr>
          <w:rFonts w:ascii="Arial" w:cs="Arial" w:eastAsia="Arial" w:hAnsi="Arial"/>
          <w:sz w:val="18"/>
          <w:szCs w:val="18"/>
          <w:i w:val="1"/>
          <w:iCs w:val="1"/>
          <w:color w:val="auto"/>
        </w:rPr>
        <w:t>Debt</w:t>
      </w:r>
      <w:r>
        <w:rPr>
          <w:rFonts w:ascii="Arial" w:cs="Arial" w:eastAsia="Arial" w:hAnsi="Arial"/>
          <w:sz w:val="18"/>
          <w:szCs w:val="18"/>
          <w:color w:val="auto"/>
        </w:rPr>
        <w:t>, regarding the modification of debt instruments and determined that the Series E Exchange Transactions were an extinguishment. If a modification or exchange represents an extinguishment for accounting purposes, it is accounted for as a redemption of the existing equity instrument and the issuance of a new instrument.</w:t>
      </w:r>
    </w:p>
    <w:p>
      <w:pPr>
        <w:spacing w:after="0" w:line="2" w:lineRule="exact"/>
        <w:rPr>
          <w:sz w:val="20"/>
          <w:szCs w:val="20"/>
          <w:color w:val="auto"/>
        </w:rPr>
      </w:pPr>
    </w:p>
    <w:p>
      <w:pPr>
        <w:ind w:firstLine="630"/>
        <w:spacing w:after="0" w:line="291" w:lineRule="auto"/>
        <w:rPr>
          <w:sz w:val="20"/>
          <w:szCs w:val="20"/>
          <w:color w:val="auto"/>
        </w:rPr>
      </w:pPr>
      <w:r>
        <w:rPr>
          <w:rFonts w:ascii="Arial" w:cs="Arial" w:eastAsia="Arial" w:hAnsi="Arial"/>
          <w:sz w:val="15"/>
          <w:szCs w:val="15"/>
          <w:color w:val="auto"/>
        </w:rPr>
        <w:t>ASC 260-10-S99-2 (“SEC Staff Announcement: The Effect on the Calculation of Earnings Per Share for a Period That Includes the Redemption or Induced Conversion of Preferred Stock”) provides guidance on the accounting for extinguishments (redemptions) of equity-classified preferred stock. Under that guidance, an SEC registrant compares (1) the fair value of the consideration transferred to the holders of the preferred stock and (2) the carrying amount of the preferred stock immediately before the modification or exchange (net of issuance costs). The difference is treated as a return to (or from) the holder of the preferred stock in a manner similar to dividends paid on preferred stock. Any excess of fair value of the consideration transferred to the holders of the preferred stock over the carrying amount of the preferred stock in the issuer’s balance sheet is treated as a dividend to those holders and charged against retained earnings.</w:t>
      </w:r>
    </w:p>
    <w:p>
      <w:pPr>
        <w:spacing w:after="0" w:line="3" w:lineRule="exact"/>
        <w:rPr>
          <w:sz w:val="20"/>
          <w:szCs w:val="20"/>
          <w:color w:val="auto"/>
        </w:rPr>
      </w:pPr>
    </w:p>
    <w:p>
      <w:pPr>
        <w:ind w:right="20" w:firstLine="630"/>
        <w:spacing w:after="0" w:line="309" w:lineRule="auto"/>
        <w:rPr>
          <w:sz w:val="20"/>
          <w:szCs w:val="20"/>
          <w:color w:val="auto"/>
        </w:rPr>
      </w:pPr>
      <w:r>
        <w:rPr>
          <w:rFonts w:ascii="Arial" w:cs="Arial" w:eastAsia="Arial" w:hAnsi="Arial"/>
          <w:sz w:val="15"/>
          <w:szCs w:val="15"/>
          <w:color w:val="auto"/>
        </w:rPr>
        <w:t>The Company determined that the Series E Exchange Transactions resulted in an extinguishment of preferred stock and an issuance of common stock. The difference between the carrying amount of the preferred stock plus accrued dividends, and the fair value of the common stock exchanged for such preferred stock, totaled $1.1 million. The difference was treated as a deemed dividend, and was included within the Series E preferred stock dividends and deemed dividends from the preferred stock exchange, in the condensed consolidated results of operations for the three and nine months ended September 30, 2021.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2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77"/>
        </w:trPr>
        <w:tc>
          <w:tcPr>
            <w:tcW w:w="5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r>
      <w:tr>
        <w:trPr>
          <w:trHeight w:val="20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56,614</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77,208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150,822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188,638</w:t>
            </w:r>
          </w:p>
        </w:tc>
      </w:tr>
      <w:tr>
        <w:trPr>
          <w:trHeight w:val="210"/>
        </w:trPr>
        <w:tc>
          <w:tcPr>
            <w:tcW w:w="5340" w:type="dxa"/>
            <w:vAlign w:val="bottom"/>
          </w:tcPr>
          <w:p>
            <w:pPr>
              <w:ind w:left="20"/>
              <w:spacing w:after="0" w:line="210" w:lineRule="exact"/>
              <w:rPr>
                <w:sz w:val="20"/>
                <w:szCs w:val="20"/>
                <w:color w:val="auto"/>
              </w:rPr>
            </w:pPr>
            <w:r>
              <w:rPr>
                <w:rFonts w:ascii="Arial" w:cs="Arial" w:eastAsia="Arial" w:hAnsi="Arial"/>
                <w:sz w:val="16"/>
                <w:szCs w:val="16"/>
                <w:color w:val="auto"/>
              </w:rPr>
              <w:t>South Africa</w:t>
            </w:r>
            <w:r>
              <w:rPr>
                <w:rFonts w:ascii="Arial" w:cs="Arial" w:eastAsia="Arial" w:hAnsi="Arial"/>
                <w:sz w:val="20"/>
                <w:szCs w:val="20"/>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17,333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20,930</w:t>
            </w:r>
          </w:p>
        </w:tc>
      </w:tr>
      <w:tr>
        <w:trPr>
          <w:trHeight w:val="20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6,196</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21,352</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18,201</w:t>
            </w:r>
          </w:p>
        </w:tc>
      </w:tr>
      <w:tr>
        <w:trPr>
          <w:trHeight w:val="206"/>
        </w:trPr>
        <w:tc>
          <w:tcPr>
            <w:tcW w:w="53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66,217</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90,240</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189,507</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227,769</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4800"/>
        <w:spacing w:after="0" w:line="318"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Business Divestiture</w:t>
      </w:r>
      <w:r>
        <w:rPr>
          <w:rFonts w:ascii="Arial" w:cs="Arial" w:eastAsia="Arial" w:hAnsi="Arial"/>
          <w:sz w:val="18"/>
          <w:szCs w:val="18"/>
          <w:color w:val="auto"/>
        </w:rPr>
        <w:t xml:space="preserve"> for the Company’s divestiture of Ctrack South Africa </w:t>
      </w:r>
      <w:r>
        <w:rPr>
          <w:rFonts w:ascii="Arial" w:cs="Arial" w:eastAsia="Arial" w:hAnsi="Arial"/>
          <w:sz w:val="18"/>
          <w:szCs w:val="18"/>
          <w:i w:val="1"/>
          <w:iCs w:val="1"/>
          <w:color w:val="auto"/>
        </w:rPr>
        <w:t>Concentrations of Risk</w:t>
      </w:r>
    </w:p>
    <w:p>
      <w:pPr>
        <w:spacing w:after="0" w:line="1" w:lineRule="exact"/>
        <w:rPr>
          <w:sz w:val="20"/>
          <w:szCs w:val="20"/>
          <w:color w:val="auto"/>
        </w:rPr>
      </w:pPr>
    </w:p>
    <w:p>
      <w:pPr>
        <w:ind w:right="20" w:firstLine="433"/>
        <w:spacing w:after="0" w:line="245" w:lineRule="auto"/>
        <w:rPr>
          <w:sz w:val="20"/>
          <w:szCs w:val="20"/>
          <w:color w:val="auto"/>
        </w:rPr>
      </w:pPr>
      <w:r>
        <w:rPr>
          <w:rFonts w:ascii="Arial" w:cs="Arial" w:eastAsia="Arial" w:hAnsi="Arial"/>
          <w:sz w:val="18"/>
          <w:szCs w:val="18"/>
          <w:color w:val="auto"/>
        </w:rPr>
        <w:t>For the three months ended September 30, 2021, two customers accounted for 40.4% and 32.5% of net revenues, respectively. For the three months ended September 30, 2020, one customer accounted for 58.4% of net revenues.</w:t>
      </w:r>
    </w:p>
    <w:p>
      <w:pPr>
        <w:spacing w:after="0" w:line="76" w:lineRule="exact"/>
        <w:rPr>
          <w:sz w:val="20"/>
          <w:szCs w:val="20"/>
          <w:color w:val="auto"/>
        </w:rPr>
      </w:pPr>
    </w:p>
    <w:p>
      <w:pPr>
        <w:ind w:right="100" w:firstLine="433"/>
        <w:spacing w:after="0" w:line="245" w:lineRule="auto"/>
        <w:rPr>
          <w:sz w:val="20"/>
          <w:szCs w:val="20"/>
          <w:color w:val="auto"/>
        </w:rPr>
      </w:pPr>
      <w:r>
        <w:rPr>
          <w:rFonts w:ascii="Arial" w:cs="Arial" w:eastAsia="Arial" w:hAnsi="Arial"/>
          <w:sz w:val="18"/>
          <w:szCs w:val="18"/>
          <w:color w:val="auto"/>
        </w:rPr>
        <w:t>For the nine months ended September 30, 2021, two customers accounted for 44.3% and 23.5% of net revenues, respectively. For the nine months ended September 30, 2020, one customer accounted for 56.4% of net revenues.</w:t>
      </w:r>
    </w:p>
    <w:p>
      <w:pPr>
        <w:spacing w:after="0" w:line="76" w:lineRule="exact"/>
        <w:rPr>
          <w:sz w:val="20"/>
          <w:szCs w:val="20"/>
          <w:color w:val="auto"/>
        </w:rPr>
      </w:pPr>
    </w:p>
    <w:p>
      <w:pPr>
        <w:ind w:right="560" w:firstLine="433"/>
        <w:spacing w:after="0" w:line="245" w:lineRule="auto"/>
        <w:rPr>
          <w:sz w:val="20"/>
          <w:szCs w:val="20"/>
          <w:color w:val="auto"/>
        </w:rPr>
      </w:pPr>
      <w:r>
        <w:rPr>
          <w:rFonts w:ascii="Arial" w:cs="Arial" w:eastAsia="Arial" w:hAnsi="Arial"/>
          <w:sz w:val="18"/>
          <w:szCs w:val="18"/>
          <w:color w:val="auto"/>
        </w:rPr>
        <w:t>As of September 30, 2021 two customers accounted for 40.1% and 20.8% of accounts receivable, net, respectively. As of December 31, 2020, two customers accounted for 33.3% and 17.2% of accounts receivable, net,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47" w:lineRule="exact"/>
        <w:rPr>
          <w:sz w:val="20"/>
          <w:szCs w:val="20"/>
          <w:color w:val="auto"/>
        </w:rPr>
      </w:pPr>
    </w:p>
    <w:p>
      <w:pPr>
        <w:ind w:right="140" w:firstLine="394"/>
        <w:spacing w:after="0" w:line="269"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several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condensed consolidated results of operations or financial condition.</w:t>
      </w:r>
    </w:p>
    <w:p>
      <w:pPr>
        <w:spacing w:after="0" w:line="111" w:lineRule="exact"/>
        <w:rPr>
          <w:sz w:val="20"/>
          <w:szCs w:val="20"/>
          <w:color w:val="auto"/>
        </w:rPr>
      </w:pPr>
    </w:p>
    <w:p>
      <w:pPr>
        <w:ind w:right="80" w:firstLine="394"/>
        <w:spacing w:after="0" w:line="279" w:lineRule="auto"/>
        <w:rPr>
          <w:sz w:val="20"/>
          <w:szCs w:val="20"/>
          <w:color w:val="auto"/>
        </w:rPr>
      </w:pPr>
      <w:r>
        <w:rPr>
          <w:rFonts w:ascii="Arial" w:cs="Arial" w:eastAsia="Arial" w:hAnsi="Arial"/>
          <w:sz w:val="15"/>
          <w:szCs w:val="15"/>
          <w:color w:val="auto"/>
        </w:rPr>
        <w:t>On May 11, 2017, the Company initiated a lawsuit against the former stockholders of R.E.R. Enterprises, Inc.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47" w:lineRule="exact"/>
        <w:rPr>
          <w:sz w:val="20"/>
          <w:szCs w:val="20"/>
          <w:color w:val="auto"/>
        </w:rPr>
      </w:pPr>
    </w:p>
    <w:p>
      <w:pPr>
        <w:jc w:val="both"/>
        <w:ind w:right="200" w:firstLine="394"/>
        <w:spacing w:after="0" w:line="273"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condensed consolidated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47"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 xml:space="preserve">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14" w:lineRule="exact"/>
        <w:rPr>
          <w:sz w:val="20"/>
          <w:szCs w:val="20"/>
          <w:color w:val="auto"/>
        </w:rPr>
      </w:pPr>
    </w:p>
    <w:p>
      <w:pPr>
        <w:ind w:right="220" w:firstLine="394"/>
        <w:spacing w:after="0" w:line="233" w:lineRule="auto"/>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firstLine="394"/>
        <w:spacing w:after="0" w:line="262" w:lineRule="auto"/>
        <w:rPr>
          <w:sz w:val="20"/>
          <w:szCs w:val="20"/>
          <w:color w:val="auto"/>
        </w:rPr>
      </w:pPr>
      <w:r>
        <w:rPr>
          <w:rFonts w:ascii="Arial" w:cs="Arial" w:eastAsia="Arial" w:hAnsi="Arial"/>
          <w:sz w:val="16"/>
          <w:szCs w:val="16"/>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September 30, 2021, the Company had right-of-use assets of $8.0 million and lease liabilities related to its operating leases of $9.0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September 30, 2021, the Company’s weighted-average remaining lease term and weighted-average discount rate related to its operating leases were 5.3 years and 9.1%, respectively.</w:t>
      </w:r>
    </w:p>
    <w:p>
      <w:pPr>
        <w:spacing w:after="0" w:line="118" w:lineRule="exact"/>
        <w:rPr>
          <w:sz w:val="20"/>
          <w:szCs w:val="20"/>
          <w:color w:val="auto"/>
        </w:rPr>
      </w:pPr>
    </w:p>
    <w:p>
      <w:pPr>
        <w:ind w:right="400" w:firstLine="394"/>
        <w:spacing w:after="0" w:line="234" w:lineRule="auto"/>
        <w:rPr>
          <w:sz w:val="20"/>
          <w:szCs w:val="20"/>
          <w:color w:val="auto"/>
        </w:rPr>
      </w:pPr>
      <w:r>
        <w:rPr>
          <w:rFonts w:ascii="Arial" w:cs="Arial" w:eastAsia="Arial" w:hAnsi="Arial"/>
          <w:sz w:val="18"/>
          <w:szCs w:val="18"/>
          <w:color w:val="auto"/>
        </w:rPr>
        <w:t>During the nine months ended September 30, 2021 and 2020, the cash paid for amounts included in the measurement of lease liabilities related to the Company’s operating leases was approximately $1.9 million and $0.5 million, respectively, which is included as an operating cash outflow within the consolidated statements of cash flows. During the nine months ended September 30, 2021 and 2020, the operating lease costs related to the Company’s operating leases were approximately $1.0 million and $0.7 million, respectively, which is included in operating costs and expenses in the condensed consolidated statements of operations.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future minimum payments under operating leases were as follows as of September 30, 2021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w:t>
            </w: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2,379</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0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r>
      <w:tr>
        <w:trPr>
          <w:trHeight w:val="206"/>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8,992</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w:t>
            </w:r>
          </w:p>
        </w:tc>
      </w:tr>
      <w:tr>
        <w:trPr>
          <w:trHeight w:val="228"/>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right="280" w:firstLine="394"/>
        <w:spacing w:after="0" w:line="245"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95" w:lineRule="exact"/>
        <w:rPr>
          <w:sz w:val="20"/>
          <w:szCs w:val="20"/>
          <w:color w:val="auto"/>
        </w:rPr>
      </w:pPr>
    </w:p>
    <w:p>
      <w:pPr>
        <w:ind w:right="20" w:firstLine="394"/>
        <w:spacing w:after="0" w:line="306"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30" w:lineRule="exact"/>
        <w:rPr>
          <w:sz w:val="20"/>
          <w:szCs w:val="20"/>
          <w:color w:val="auto"/>
        </w:rPr>
      </w:pPr>
    </w:p>
    <w:p>
      <w:pPr>
        <w:jc w:val="both"/>
        <w:ind w:firstLine="394"/>
        <w:spacing w:after="0" w:line="308" w:lineRule="auto"/>
        <w:rPr>
          <w:sz w:val="20"/>
          <w:szCs w:val="20"/>
          <w:color w:val="auto"/>
        </w:rPr>
      </w:pPr>
      <w:r>
        <w:rPr>
          <w:rFonts w:ascii="Arial" w:cs="Arial" w:eastAsia="Arial" w:hAnsi="Arial"/>
          <w:sz w:val="15"/>
          <w:szCs w:val="15"/>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4" w:lineRule="exact"/>
        <w:rPr>
          <w:sz w:val="20"/>
          <w:szCs w:val="20"/>
          <w:color w:val="auto"/>
        </w:rPr>
      </w:pPr>
    </w:p>
    <w:p>
      <w:pPr>
        <w:ind w:right="220" w:firstLine="394"/>
        <w:spacing w:after="0" w:line="273" w:lineRule="auto"/>
        <w:rPr>
          <w:sz w:val="20"/>
          <w:szCs w:val="20"/>
          <w:color w:val="auto"/>
        </w:rPr>
      </w:pPr>
      <w:r>
        <w:rPr>
          <w:rFonts w:ascii="Arial" w:cs="Arial" w:eastAsia="Arial" w:hAnsi="Arial"/>
          <w:sz w:val="16"/>
          <w:szCs w:val="16"/>
          <w:color w:val="auto"/>
        </w:rPr>
        <w:t>The Company’s income tax (benefit) provision of $(4,000) and $0.2 million for the three months ended September 30, 2021 and 2020, respectively, and $0.4 million and $0.2 million for the nine months ended September 30, 2021 and 2020, respectively, consisted primarily of foreign income taxes at certain of the Company’s international entities and minimum state taxes for its U.S.-based entities. The Company’s income tax expense is different than the expected expense based on statutory rates primarily due to full valuation allowances at all of its U.S.-based entities and many of its foreign subsidiaries.</w:t>
      </w:r>
    </w:p>
    <w:p>
      <w:pPr>
        <w:spacing w:after="0" w:line="174" w:lineRule="exact"/>
        <w:rPr>
          <w:sz w:val="20"/>
          <w:szCs w:val="20"/>
          <w:color w:val="auto"/>
        </w:rPr>
      </w:pPr>
    </w:p>
    <w:p>
      <w:pPr>
        <w:ind w:right="300" w:firstLine="394"/>
        <w:spacing w:after="0" w:line="227" w:lineRule="auto"/>
        <w:rPr>
          <w:sz w:val="20"/>
          <w:szCs w:val="20"/>
          <w:color w:val="auto"/>
        </w:rPr>
      </w:pPr>
      <w:r>
        <w:rPr>
          <w:rFonts w:ascii="Arial" w:cs="Arial" w:eastAsia="Arial" w:hAnsi="Arial"/>
          <w:sz w:val="18"/>
          <w:szCs w:val="18"/>
          <w:color w:val="auto"/>
        </w:rPr>
        <w:t>On March 11, 2021, Congress passed, and the President signed into law, the American Rescue Plan Act, 2021 (the “ARP”), which includes certain business tax provisions. The Company does not expect the ARP to have a material impact on the Company’s effective tax rate or income tax expense for the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3" w:lineRule="exact"/>
        <w:rPr>
          <w:sz w:val="20"/>
          <w:szCs w:val="20"/>
          <w:color w:val="auto"/>
        </w:rPr>
      </w:pPr>
    </w:p>
    <w:p>
      <w:pPr>
        <w:ind w:firstLine="433"/>
        <w:spacing w:after="0" w:line="263"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40" w:right="500" w:hanging="320"/>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4" w:lineRule="exact"/>
        <w:rPr>
          <w:rFonts w:ascii="Arial" w:cs="Arial" w:eastAsia="Arial" w:hAnsi="Arial"/>
          <w:sz w:val="18"/>
          <w:szCs w:val="18"/>
          <w:color w:val="auto"/>
        </w:rPr>
      </w:pPr>
    </w:p>
    <w:p>
      <w:pPr>
        <w:ind w:left="640" w:right="560" w:hanging="320"/>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94" w:lineRule="exact"/>
        <w:rPr>
          <w:rFonts w:ascii="Arial" w:cs="Arial" w:eastAsia="Arial" w:hAnsi="Arial"/>
          <w:sz w:val="18"/>
          <w:szCs w:val="18"/>
          <w:color w:val="auto"/>
        </w:rPr>
      </w:pPr>
    </w:p>
    <w:p>
      <w:pPr>
        <w:ind w:left="640" w:right="120" w:hanging="320"/>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known as “COVID-19”, which could extend lead times in our supply chain and lengthen sales cycles with our customers;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5" w:name="page26"/>
    <w:bookmarkEnd w:id="25"/>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be successful in divesting assets or businesses we wish to sell;</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47" w:lineRule="exact"/>
        <w:rPr>
          <w:sz w:val="20"/>
          <w:szCs w:val="20"/>
          <w:color w:val="auto"/>
        </w:rPr>
      </w:pPr>
    </w:p>
    <w:p>
      <w:pPr>
        <w:ind w:firstLine="394"/>
        <w:spacing w:after="0" w:line="273"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2020 (“Form 10-K”). If one or more events related to these or other risks or uncertainties materialize, or if our underlying assumptions prove to be incorrect, actual results may differ materially from what we anticipate.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46" w:lineRule="exact"/>
        <w:rPr>
          <w:sz w:val="20"/>
          <w:szCs w:val="20"/>
          <w:color w:val="auto"/>
        </w:rPr>
      </w:pPr>
    </w:p>
    <w:p>
      <w:pPr>
        <w:jc w:val="both"/>
        <w:ind w:right="340" w:firstLine="433"/>
        <w:spacing w:after="0" w:line="224" w:lineRule="auto"/>
        <w:rPr>
          <w:sz w:val="20"/>
          <w:szCs w:val="20"/>
          <w:color w:val="auto"/>
        </w:rPr>
      </w:pPr>
      <w:r>
        <w:rPr>
          <w:rFonts w:ascii="Arial" w:cs="Arial" w:eastAsia="Arial" w:hAnsi="Arial"/>
          <w:sz w:val="18"/>
          <w:szCs w:val="18"/>
          <w:color w:val="auto"/>
        </w:rPr>
        <w:t>“Inseego”, “Inseego Subscribe”, “Inseego Manage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 the Inseego logo, “Novatel Wireless”, the Novatel Wireless logo, “MiFi”, “MiFi Intelligent Mobile Hotspot”, “Inseego North America”, and “Skyus” are trademarks or registered trademarks of Inseego and its subsidiaries. Other trademarks, trade names or service marks used in this report are the property of their respective owners.</w:t>
      </w:r>
    </w:p>
    <w:p>
      <w:pPr>
        <w:spacing w:after="0" w:line="133" w:lineRule="exact"/>
        <w:rPr>
          <w:sz w:val="20"/>
          <w:szCs w:val="20"/>
          <w:color w:val="auto"/>
        </w:rPr>
      </w:pPr>
    </w:p>
    <w:p>
      <w:pPr>
        <w:ind w:right="80" w:firstLine="433"/>
        <w:spacing w:after="0" w:line="245"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and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980" w:right="479" w:bottom="1440" w:gutter="0" w:footer="0" w:header="0"/>
        </w:sectPr>
      </w:pPr>
    </w:p>
    <w:bookmarkStart w:id="26" w:name="page27"/>
    <w:bookmarkEnd w:id="26"/>
    <w:p>
      <w:pPr>
        <w:ind w:firstLine="630"/>
        <w:spacing w:after="0" w:line="281" w:lineRule="auto"/>
        <w:rPr>
          <w:sz w:val="20"/>
          <w:szCs w:val="20"/>
          <w:color w:val="auto"/>
        </w:rPr>
      </w:pPr>
      <w:r>
        <w:rPr>
          <w:rFonts w:ascii="Arial" w:cs="Arial" w:eastAsia="Arial" w:hAnsi="Arial"/>
          <w:sz w:val="16"/>
          <w:szCs w:val="16"/>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2020, contained in our Form 10-K.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53" w:lineRule="exact"/>
        <w:rPr>
          <w:sz w:val="20"/>
          <w:szCs w:val="20"/>
          <w:color w:val="auto"/>
        </w:rPr>
      </w:pPr>
    </w:p>
    <w:p>
      <w:pPr>
        <w:ind w:right="80" w:firstLine="394"/>
        <w:spacing w:after="0" w:line="265" w:lineRule="auto"/>
        <w:rPr>
          <w:sz w:val="20"/>
          <w:szCs w:val="20"/>
          <w:color w:val="auto"/>
        </w:rPr>
      </w:pPr>
      <w:r>
        <w:rPr>
          <w:rFonts w:ascii="Arial" w:cs="Arial" w:eastAsia="Arial" w:hAnsi="Arial"/>
          <w:sz w:val="16"/>
          <w:szCs w:val="16"/>
          <w:color w:val="auto"/>
        </w:rPr>
        <w:t>Inseego Corp. is a leader in the design and development of fixed and mobile wireless solutions (advanced 4G and 5G NR), industrial IoT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14" w:lineRule="exact"/>
        <w:rPr>
          <w:sz w:val="20"/>
          <w:szCs w:val="20"/>
          <w:color w:val="auto"/>
        </w:rPr>
      </w:pPr>
    </w:p>
    <w:p>
      <w:pPr>
        <w:ind w:right="100" w:firstLine="394"/>
        <w:spacing w:after="0" w:line="286" w:lineRule="auto"/>
        <w:rPr>
          <w:sz w:val="20"/>
          <w:szCs w:val="20"/>
          <w:color w:val="auto"/>
        </w:rPr>
      </w:pPr>
      <w:r>
        <w:rPr>
          <w:rFonts w:ascii="Arial" w:cs="Arial" w:eastAsia="Arial" w:hAnsi="Arial"/>
          <w:sz w:val="16"/>
          <w:szCs w:val="16"/>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2" w:lineRule="exact"/>
        <w:rPr>
          <w:sz w:val="20"/>
          <w:szCs w:val="20"/>
          <w:color w:val="auto"/>
        </w:rPr>
      </w:pPr>
    </w:p>
    <w:p>
      <w:pPr>
        <w:ind w:right="360" w:firstLine="630"/>
        <w:spacing w:after="0" w:line="308" w:lineRule="auto"/>
        <w:rPr>
          <w:sz w:val="20"/>
          <w:szCs w:val="20"/>
          <w:color w:val="auto"/>
        </w:rPr>
      </w:pPr>
      <w:r>
        <w:rPr>
          <w:rFonts w:ascii="Arial" w:cs="Arial" w:eastAsia="Arial" w:hAnsi="Arial"/>
          <w:sz w:val="15"/>
          <w:szCs w:val="15"/>
          <w:color w:val="auto"/>
        </w:rPr>
        <w:t>On February 24, 2021, we entered into a Share Purchase Agreement (the “Purchase Agreement”) with an affiliate of Convergence Partners (“Convergence”), an investment management firm in South Africa, to sell our Ctrack business operations in Africa, Pakistan and the Middle East (together, “Ctrack South Africa”), in an all-cash transaction for 528.9 million South African Rand (“ZAR”) (approximately $36.6 million United States Dollars).</w:t>
      </w:r>
    </w:p>
    <w:p>
      <w:pPr>
        <w:spacing w:after="0" w:line="84"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5"/>
          <w:szCs w:val="15"/>
          <w:color w:val="auto"/>
        </w:rPr>
        <w:t>On July 30, 2021, we completed the sale of Ctrack South Africa.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Convergence. We recorded a receivable for such balance as of September 30,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53" w:lineRule="exact"/>
        <w:rPr>
          <w:sz w:val="20"/>
          <w:szCs w:val="20"/>
          <w:color w:val="auto"/>
        </w:rPr>
      </w:pPr>
    </w:p>
    <w:p>
      <w:pPr>
        <w:ind w:right="80" w:firstLine="394"/>
        <w:spacing w:after="0" w:line="281" w:lineRule="auto"/>
        <w:rPr>
          <w:sz w:val="20"/>
          <w:szCs w:val="20"/>
          <w:color w:val="auto"/>
        </w:rPr>
      </w:pPr>
      <w:r>
        <w:rPr>
          <w:rFonts w:ascii="Arial" w:cs="Arial" w:eastAsia="Arial" w:hAnsi="Arial"/>
          <w:sz w:val="15"/>
          <w:szCs w:val="15"/>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07" w:lineRule="exact"/>
        <w:rPr>
          <w:sz w:val="20"/>
          <w:szCs w:val="20"/>
          <w:color w:val="auto"/>
        </w:rPr>
      </w:pPr>
    </w:p>
    <w:p>
      <w:pPr>
        <w:ind w:right="220" w:firstLine="394"/>
        <w:spacing w:after="0" w:line="298" w:lineRule="auto"/>
        <w:rPr>
          <w:sz w:val="20"/>
          <w:szCs w:val="20"/>
          <w:color w:val="auto"/>
        </w:rPr>
      </w:pPr>
      <w:r>
        <w:rPr>
          <w:rFonts w:ascii="Arial" w:cs="Arial" w:eastAsia="Arial" w:hAnsi="Arial"/>
          <w:sz w:val="16"/>
          <w:szCs w:val="16"/>
          <w:color w:val="auto"/>
        </w:rPr>
        <w:t>Our MiFi customer base is comprised of wireless operators to whom we provide intelligent fixed and mobile wireless devices. These wireless operators include Verizon Wireless, T-Mobile, and UScellular in the United States, Rogers in Canada, Swisscom in Switzerland, Telstra in Australia, as well as other international wireless operators, distributors and various companies in other vertical markets and geographies.</w:t>
      </w:r>
    </w:p>
    <w:p>
      <w:pPr>
        <w:spacing w:after="0" w:line="102" w:lineRule="exact"/>
        <w:rPr>
          <w:sz w:val="20"/>
          <w:szCs w:val="20"/>
          <w:color w:val="auto"/>
        </w:rPr>
      </w:pPr>
    </w:p>
    <w:p>
      <w:pPr>
        <w:ind w:right="100" w:firstLine="394"/>
        <w:spacing w:after="0" w:line="286" w:lineRule="auto"/>
        <w:rPr>
          <w:sz w:val="20"/>
          <w:szCs w:val="20"/>
          <w:color w:val="auto"/>
        </w:rPr>
      </w:pPr>
      <w:r>
        <w:rPr>
          <w:rFonts w:ascii="Arial" w:cs="Arial" w:eastAsia="Arial" w:hAnsi="Arial"/>
          <w:sz w:val="16"/>
          <w:szCs w:val="16"/>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7" w:name="page28"/>
    <w:bookmarkEnd w:id="27"/>
    <w:p>
      <w:pPr>
        <w:ind w:right="300" w:firstLine="394"/>
        <w:spacing w:after="0" w:line="290" w:lineRule="auto"/>
        <w:rPr>
          <w:sz w:val="20"/>
          <w:szCs w:val="20"/>
          <w:color w:val="auto"/>
        </w:rPr>
      </w:pPr>
      <w:r>
        <w:rPr>
          <w:rFonts w:ascii="Arial" w:cs="Arial" w:eastAsia="Arial" w:hAnsi="Arial"/>
          <w:sz w:val="16"/>
          <w:szCs w:val="16"/>
          <w:color w:val="auto"/>
        </w:rPr>
        <w:t>We sell SaaS, software and services solutions across multiple mobile and IIoT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08" w:lineRule="exact"/>
        <w:rPr>
          <w:sz w:val="20"/>
          <w:szCs w:val="20"/>
          <w:color w:val="auto"/>
        </w:rPr>
      </w:pPr>
    </w:p>
    <w:p>
      <w:pPr>
        <w:ind w:right="100" w:firstLine="394"/>
        <w:spacing w:after="0" w:line="224"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Effective in the third quarter ended on September 30, 2020, our IoT &amp; Mobile Solutions now also includes our Device Management System, rebranded as Inseego Subscribe</w:t>
      </w:r>
      <w:r>
        <w:rPr>
          <w:rFonts w:ascii="Arial" w:cs="Arial" w:eastAsia="Arial" w:hAnsi="Arial"/>
          <w:sz w:val="22"/>
          <w:szCs w:val="22"/>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 them save money on personnel and telecom expenses.</w:t>
      </w:r>
    </w:p>
    <w:p>
      <w:pPr>
        <w:spacing w:after="0" w:line="133" w:lineRule="exact"/>
        <w:rPr>
          <w:sz w:val="20"/>
          <w:szCs w:val="20"/>
          <w:color w:val="auto"/>
        </w:rPr>
      </w:pPr>
    </w:p>
    <w:p>
      <w:pPr>
        <w:jc w:val="both"/>
        <w:ind w:firstLine="394"/>
        <w:spacing w:after="0" w:line="252"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Since the sale of our Ctrack South Africa operations was completed on July 30, 2021, certain portions of our SaaS revenue will no longer be generated, but Inseego will continue to provide telematics solutions in the rest of the world, including in North America, Europe and Australia.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42" w:lineRule="exact"/>
        <w:rPr>
          <w:sz w:val="20"/>
          <w:szCs w:val="20"/>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2" w:lineRule="exact"/>
        <w:rPr>
          <w:rFonts w:ascii="Arial" w:cs="Arial" w:eastAsia="Arial" w:hAnsi="Arial"/>
          <w:sz w:val="18"/>
          <w:szCs w:val="18"/>
          <w:color w:val="auto"/>
        </w:rPr>
      </w:pPr>
    </w:p>
    <w:p>
      <w:pPr>
        <w:ind w:left="960" w:right="100" w:hanging="325"/>
        <w:spacing w:after="0" w:line="245"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23"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contract manufacturer’s ability to secure necessary supply to of semiconductors and other key components to build our devices;</w:t>
      </w:r>
    </w:p>
    <w:p>
      <w:pPr>
        <w:spacing w:after="0" w:line="65" w:lineRule="exact"/>
        <w:rPr>
          <w:rFonts w:ascii="Arial" w:cs="Arial" w:eastAsia="Arial" w:hAnsi="Arial"/>
          <w:sz w:val="16"/>
          <w:szCs w:val="16"/>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 of our Ctrack South Africa operations;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47" w:lineRule="exact"/>
        <w:rPr>
          <w:sz w:val="20"/>
          <w:szCs w:val="20"/>
          <w:color w:val="auto"/>
        </w:rPr>
      </w:pPr>
    </w:p>
    <w:p>
      <w:pPr>
        <w:ind w:right="300" w:firstLine="394"/>
        <w:spacing w:after="0" w:line="269" w:lineRule="auto"/>
        <w:rPr>
          <w:sz w:val="20"/>
          <w:szCs w:val="20"/>
          <w:color w:val="auto"/>
        </w:rPr>
      </w:pPr>
      <w:r>
        <w:rPr>
          <w:rFonts w:ascii="Arial" w:cs="Arial" w:eastAsia="Arial" w:hAnsi="Arial"/>
          <w:sz w:val="16"/>
          <w:szCs w:val="16"/>
          <w:color w:val="auto"/>
        </w:rPr>
        <w:t>We anticipate introducing additional products during the next twelve months, including SaaS telematics solutions and additional service offerings,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98" w:lineRule="exact"/>
        <w:rPr>
          <w:sz w:val="20"/>
          <w:szCs w:val="20"/>
          <w:color w:val="auto"/>
        </w:rPr>
      </w:pPr>
    </w:p>
    <w:p>
      <w:pPr>
        <w:jc w:val="both"/>
        <w:ind w:right="240" w:firstLine="394"/>
        <w:spacing w:after="0" w:line="247"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w:t>
      </w:r>
    </w:p>
    <w:p>
      <w:pPr>
        <w:spacing w:after="0" w:line="180" w:lineRule="exact"/>
        <w:rPr>
          <w:sz w:val="20"/>
          <w:szCs w:val="20"/>
          <w:color w:val="auto"/>
        </w:rPr>
      </w:pPr>
    </w:p>
    <w:p>
      <w:pPr>
        <w:ind w:right="20" w:firstLine="394"/>
        <w:spacing w:after="0" w:line="236" w:lineRule="auto"/>
        <w:rPr>
          <w:sz w:val="20"/>
          <w:szCs w:val="20"/>
          <w:color w:val="auto"/>
        </w:rPr>
      </w:pPr>
      <w:r>
        <w:rPr>
          <w:rFonts w:ascii="Arial" w:cs="Arial" w:eastAsia="Arial" w:hAnsi="Arial"/>
          <w:sz w:val="16"/>
          <w:szCs w:val="16"/>
          <w:color w:val="auto"/>
        </w:rPr>
        <w:t>The demand environment for our 5G products during the three months ended September 30, 2021 was consistent with our expectations, with continued demand for our products due to a dramatic increase around the world in remote or tele-work and learning due to the COVID-19 pandemic. Recently, our IoT &amp; Mobile Solutions have experienced lower sales of LTE gigabit hotspots as COVID-19 pandemic demand have eased. The macroeconomic environment remains uncertain and the demand for our products in the prior year may not be sustainable for the long term. We will continue to monitor the implications of the COVID-19 pandemic on our business, as well as our customers’ and suppliers’ businesses.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8" w:name="page29"/>
    <w:bookmarkEnd w:id="28"/>
    <w:p>
      <w:pPr>
        <w:ind w:right="40" w:firstLine="394"/>
        <w:spacing w:after="0" w:line="234"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33"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129" w:lineRule="exact"/>
        <w:rPr>
          <w:sz w:val="20"/>
          <w:szCs w:val="20"/>
          <w:color w:val="auto"/>
        </w:rPr>
      </w:pPr>
    </w:p>
    <w:p>
      <w:pPr>
        <w:ind w:right="260" w:firstLine="394"/>
        <w:spacing w:after="0" w:line="306" w:lineRule="auto"/>
        <w:rPr>
          <w:sz w:val="20"/>
          <w:szCs w:val="20"/>
          <w:color w:val="auto"/>
        </w:rPr>
      </w:pPr>
      <w:r>
        <w:rPr>
          <w:rFonts w:ascii="Arial" w:cs="Arial" w:eastAsia="Arial" w:hAnsi="Arial"/>
          <w:sz w:val="16"/>
          <w:szCs w:val="16"/>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82" w:lineRule="exact"/>
        <w:rPr>
          <w:sz w:val="20"/>
          <w:szCs w:val="20"/>
          <w:color w:val="auto"/>
        </w:rPr>
      </w:pPr>
    </w:p>
    <w:p>
      <w:pPr>
        <w:ind w:right="80" w:firstLine="394"/>
        <w:spacing w:after="0" w:line="281"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102" w:lineRule="exact"/>
        <w:rPr>
          <w:sz w:val="20"/>
          <w:szCs w:val="20"/>
          <w:color w:val="auto"/>
        </w:rPr>
      </w:pPr>
    </w:p>
    <w:p>
      <w:pPr>
        <w:ind w:right="80" w:firstLine="394"/>
        <w:spacing w:after="0" w:line="234"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3" w:lineRule="exact"/>
        <w:rPr>
          <w:sz w:val="20"/>
          <w:szCs w:val="20"/>
          <w:color w:val="auto"/>
        </w:rPr>
      </w:pPr>
    </w:p>
    <w:p>
      <w:pPr>
        <w:ind w:firstLine="394"/>
        <w:spacing w:after="0" w:line="273"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1" w:lineRule="exact"/>
        <w:rPr>
          <w:sz w:val="20"/>
          <w:szCs w:val="20"/>
          <w:color w:val="auto"/>
        </w:rPr>
      </w:pPr>
    </w:p>
    <w:p>
      <w:pPr>
        <w:ind w:right="120" w:firstLine="394"/>
        <w:spacing w:after="0" w:line="234"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September 30, 2021 were $66.2 million, compared to $90.2 million for the same period in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7"/>
        </w:trPr>
        <w:tc>
          <w:tcPr>
            <w:tcW w:w="6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90,240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200" w:right="340" w:firstLine="394"/>
        <w:spacing w:after="0" w:line="281"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net revenues is primarily due to decreases in our enterprise and carrier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IoT &amp; Mobile Solutions, and lower sales of LTE gigabit hotspots as COVID-19 pandemic demand eased, partially offset by increased sales of our second-generation 5G hotspot related to our MiFi business and increased revenues in our Inseego Subscribe business due to subscriber growth.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9" w:name="page30"/>
    <w:bookmarkEnd w:id="29"/>
    <w:p>
      <w:pPr>
        <w:jc w:val="both"/>
        <w:ind w:left="200" w:right="60" w:firstLine="394"/>
        <w:spacing w:after="0" w:line="273"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net revenues decreased year-over-year as a result of the divestiture of Ctrack South Africa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July 30, 2021. SaaS revenue was no longer generated in South Africa beginning in August 2021. We will continue to provide telematics solutions in the rest of the world, including in Europe and Australia. Such impact was partially offset by an increase in Enterprise SaaS Solutions net revenue throughout the rest of the world, as a result of the lifting of COVID-19 related installation restrictions in fiscal 2021.</w:t>
      </w:r>
    </w:p>
    <w:p>
      <w:pPr>
        <w:spacing w:after="0" w:line="108" w:lineRule="exact"/>
        <w:rPr>
          <w:sz w:val="20"/>
          <w:szCs w:val="20"/>
          <w:color w:val="auto"/>
        </w:rPr>
      </w:pPr>
    </w:p>
    <w:p>
      <w:pPr>
        <w:ind w:right="360" w:firstLine="394"/>
        <w:spacing w:after="0" w:line="24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September 30, 2021 was $47.3 million, or 71.4%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$65.1 million, or 72.1% of net revenues, for the same period in 2020.</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60,135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7"/>
        </w:trPr>
        <w:tc>
          <w:tcPr>
            <w:tcW w:w="6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47,274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cost of net revenues is primarily a result of lower sales of LTE gigabit hotspots.</w:t>
      </w:r>
    </w:p>
    <w:p>
      <w:pPr>
        <w:spacing w:after="0" w:line="170" w:lineRule="exact"/>
        <w:rPr>
          <w:sz w:val="20"/>
          <w:szCs w:val="20"/>
          <w:color w:val="auto"/>
        </w:rPr>
      </w:pPr>
    </w:p>
    <w:p>
      <w:pPr>
        <w:ind w:left="200" w:right="260" w:firstLine="394"/>
        <w:spacing w:after="0" w:line="306"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decreased by $1.3 million compared to the same period in 2020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lower sales of Enterprise SaaS Solutions as a result of the divestiture of Ctrack South Africa on July 30, 2021.</w:t>
      </w:r>
    </w:p>
    <w:p>
      <w:pPr>
        <w:spacing w:after="0" w:line="82" w:lineRule="exact"/>
        <w:rPr>
          <w:sz w:val="20"/>
          <w:szCs w:val="20"/>
          <w:color w:val="auto"/>
        </w:rPr>
      </w:pPr>
    </w:p>
    <w:p>
      <w:pPr>
        <w:jc w:val="both"/>
        <w:ind w:right="20" w:firstLine="394"/>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September 30, 2021 was $18.9 million, or a gross margin of 28.6%, compared to $25.2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27.9%, for the same period in 2020. The increase in gross margin was primarily attributable to the more favorable mix of our product offerings, as well as favorable margins on our Inseego Subscribe revenue, partially offset by a decrease in Enterprise SaaS Solutions as a result of the sale of Ctrack South Africa, which has a higher gross profit.</w:t>
      </w:r>
    </w:p>
    <w:p>
      <w:pPr>
        <w:spacing w:after="0" w:line="135" w:lineRule="exact"/>
        <w:rPr>
          <w:sz w:val="20"/>
          <w:szCs w:val="20"/>
          <w:color w:val="auto"/>
        </w:rPr>
      </w:pPr>
    </w:p>
    <w:p>
      <w:pPr>
        <w:ind w:firstLine="394"/>
        <w:spacing w:after="0" w:line="23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2021 were $12.6 million, or 19.1%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$10.7 million, or 11.8% of net revenues, for the same period in 2020. The increase was primarily a result of staffing, test units, and other development spending related to our 5G product programs.</w:t>
      </w:r>
    </w:p>
    <w:p>
      <w:pPr>
        <w:spacing w:after="0" w:line="119" w:lineRule="exact"/>
        <w:rPr>
          <w:sz w:val="20"/>
          <w:szCs w:val="20"/>
          <w:color w:val="auto"/>
        </w:rPr>
      </w:pPr>
    </w:p>
    <w:p>
      <w:pPr>
        <w:ind w:right="20" w:firstLine="394"/>
        <w:spacing w:after="0" w:line="22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2021 were $9.2 million, or 13.9%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revenues, compared to $8.4 million, or 9.4% of net revenues, for the same period in 2020. The increase was primarily a result of higher spend on the marketing of our 5G products. The increase in sales and marketing expenses was partially offset by the decrease of payroll costs for Ctrack South Africa employees, given the divestiture was completed on July 30, 2021. See Note 4. </w:t>
      </w:r>
      <w:r>
        <w:rPr>
          <w:rFonts w:ascii="Arial" w:cs="Arial" w:eastAsia="Arial" w:hAnsi="Arial"/>
          <w:sz w:val="18"/>
          <w:szCs w:val="18"/>
          <w:i w:val="1"/>
          <w:iCs w:val="1"/>
          <w:color w:val="auto"/>
        </w:rPr>
        <w:t>Business Divestiture</w:t>
      </w:r>
      <w:r>
        <w:rPr>
          <w:rFonts w:ascii="Arial" w:cs="Arial" w:eastAsia="Arial" w:hAnsi="Arial"/>
          <w:sz w:val="18"/>
          <w:szCs w:val="18"/>
          <w:color w:val="auto"/>
        </w:rPr>
        <w:t>.</w:t>
      </w:r>
    </w:p>
    <w:p>
      <w:pPr>
        <w:spacing w:after="0" w:line="199" w:lineRule="exact"/>
        <w:rPr>
          <w:sz w:val="20"/>
          <w:szCs w:val="20"/>
          <w:color w:val="auto"/>
        </w:rPr>
      </w:pPr>
    </w:p>
    <w:p>
      <w:pPr>
        <w:ind w:right="20" w:firstLine="394"/>
        <w:spacing w:after="0" w:line="25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2021 were $6.6 million, or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net revenues, compared to $8.7 million, or 9.6% of net revenues, for the same period in 2020. The decrease was primarily due to the decrease in payroll costs for Ctrack South Africa employees, given the divestiture was completed on July 30, 2021. See Note 4. Business Divestiture. The decrease in general and administrative expenses was partially offset by the impact of bonus grants to employees who contributed to completion of the Ctrack South Africa sale. See Note 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the accompanying unaudited condensed consolidated financial statements for further information.</w:t>
      </w:r>
    </w:p>
    <w:p>
      <w:pPr>
        <w:spacing w:after="0" w:line="118" w:lineRule="exact"/>
        <w:rPr>
          <w:sz w:val="20"/>
          <w:szCs w:val="20"/>
          <w:color w:val="auto"/>
        </w:rPr>
      </w:pPr>
    </w:p>
    <w:p>
      <w:pPr>
        <w:jc w:val="both"/>
        <w:ind w:right="120" w:firstLine="394"/>
        <w:spacing w:after="0"/>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September 30, 2021 and 2020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$0.5 million and $0.8 million, respectively. The decrease was primarily as a result of certain purchased intangible assets being fully amortized as of the fourth quarter of 2020.</w:t>
      </w:r>
    </w:p>
    <w:p>
      <w:pPr>
        <w:spacing w:after="0" w:line="127" w:lineRule="exact"/>
        <w:rPr>
          <w:sz w:val="20"/>
          <w:szCs w:val="20"/>
          <w:color w:val="auto"/>
        </w:rPr>
      </w:pPr>
    </w:p>
    <w:p>
      <w:pPr>
        <w:ind w:right="40" w:firstLine="394"/>
        <w:spacing w:after="0" w:line="252" w:lineRule="auto"/>
        <w:rPr>
          <w:sz w:val="20"/>
          <w:szCs w:val="20"/>
          <w:color w:val="auto"/>
        </w:rPr>
      </w:pPr>
      <w:r>
        <w:rPr>
          <w:rFonts w:ascii="Arial" w:cs="Arial" w:eastAsia="Arial" w:hAnsi="Arial"/>
          <w:sz w:val="18"/>
          <w:szCs w:val="18"/>
          <w:b w:val="1"/>
          <w:bCs w:val="1"/>
          <w:i w:val="1"/>
          <w:iCs w:val="1"/>
          <w:color w:val="auto"/>
        </w:rPr>
        <w:t>Gain on sale of Ctrack South Africa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on sale of Ctrack South Africa during the three months ended September 30, 2021 was $5.3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gain recognized on sale of Ctrack South Africa, while there was no such gain for the same period in fiscal 2020.</w:t>
      </w:r>
    </w:p>
    <w:p>
      <w:pPr>
        <w:spacing w:after="0" w:line="201" w:lineRule="exact"/>
        <w:rPr>
          <w:sz w:val="20"/>
          <w:szCs w:val="20"/>
          <w:color w:val="auto"/>
        </w:rPr>
      </w:pPr>
    </w:p>
    <w:p>
      <w:pPr>
        <w:ind w:right="180" w:firstLine="473"/>
        <w:spacing w:after="0" w:line="342" w:lineRule="auto"/>
        <w:rPr>
          <w:sz w:val="20"/>
          <w:szCs w:val="20"/>
          <w:color w:val="auto"/>
        </w:rPr>
      </w:pPr>
      <w:r>
        <w:rPr>
          <w:rFonts w:ascii="Arial" w:cs="Arial" w:eastAsia="Arial" w:hAnsi="Arial"/>
          <w:sz w:val="15"/>
          <w:szCs w:val="15"/>
          <w:b w:val="1"/>
          <w:bCs w:val="1"/>
          <w:i w:val="1"/>
          <w:iCs w:val="1"/>
          <w:color w:val="auto"/>
        </w:rPr>
        <w:t xml:space="preserve">Loss on debt conversion and extinguishment, net. </w:t>
      </w:r>
      <w:r>
        <w:rPr>
          <w:rFonts w:ascii="Arial" w:cs="Arial" w:eastAsia="Arial" w:hAnsi="Arial"/>
          <w:sz w:val="15"/>
          <w:szCs w:val="15"/>
          <w:color w:val="auto"/>
        </w:rPr>
        <w:t>The loss on debt conversion and extinguishment, net of $1.2 million during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2020 was primarily related to the extinguishment of the 2022 Notes, while there was no such expense for the same period in fiscal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September 30, 2021 and 2020 was $1.7 million and $1.7 million, respectively.</w:t>
      </w:r>
    </w:p>
    <w:p>
      <w:pPr>
        <w:spacing w:after="0" w:line="170" w:lineRule="exact"/>
        <w:rPr>
          <w:sz w:val="20"/>
          <w:szCs w:val="20"/>
          <w:color w:val="auto"/>
        </w:rPr>
      </w:pPr>
    </w:p>
    <w:p>
      <w:pPr>
        <w:ind w:right="180" w:firstLine="394"/>
        <w:spacing w:after="0" w:line="28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expense, net, for the three months ended September 30, 2021 was $0.8 million, which primarily includes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adjustment related to our interest make-whole arrangement, as well as transaction costs incurred related to the sale of Ctrack South Africa. For the same period in 2020, other income, net, was $1.1 million, which primarily includes the fair value adjustment related to our interest make-whole arrangement.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Income tax (benefit) provision. </w:t>
      </w:r>
      <w:r>
        <w:rPr>
          <w:rFonts w:ascii="Arial" w:cs="Arial" w:eastAsia="Arial" w:hAnsi="Arial"/>
          <w:sz w:val="16"/>
          <w:szCs w:val="16"/>
          <w:color w:val="auto"/>
        </w:rPr>
        <w:t>The income tax benefit of $4,000 for the three months ended September 30, 2021 and the income tax provision of</w:t>
      </w:r>
    </w:p>
    <w:p>
      <w:pPr>
        <w:spacing w:after="0" w:line="2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$0.2 million for the same period in 2020, respectively, primarily relate to provision in fiscal 2021 or benefits in fiscal 2020 from certain of our entities in foreign jurisdictions.</w:t>
      </w:r>
    </w:p>
    <w:p>
      <w:pPr>
        <w:spacing w:after="0" w:line="134" w:lineRule="exact"/>
        <w:rPr>
          <w:sz w:val="20"/>
          <w:szCs w:val="20"/>
          <w:color w:val="auto"/>
        </w:rPr>
      </w:pPr>
    </w:p>
    <w:p>
      <w:pPr>
        <w:ind w:right="200" w:firstLine="394"/>
        <w:spacing w:after="0" w:line="238"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There was no net income or loss attributable to noncontrolling interests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compared to a net income attributable to noncontrolling interests of $3,000 for the same period in 2020, due to the sale of the noncontrolling interests as part of the sale of Ctrack South Africa.</w:t>
      </w:r>
    </w:p>
    <w:p>
      <w:pPr>
        <w:spacing w:after="0" w:line="133" w:lineRule="exact"/>
        <w:rPr>
          <w:sz w:val="20"/>
          <w:szCs w:val="20"/>
          <w:color w:val="auto"/>
        </w:rPr>
      </w:pPr>
    </w:p>
    <w:p>
      <w:pPr>
        <w:ind w:right="20" w:firstLine="394"/>
        <w:spacing w:after="0" w:line="266" w:lineRule="auto"/>
        <w:rPr>
          <w:sz w:val="20"/>
          <w:szCs w:val="20"/>
          <w:color w:val="auto"/>
        </w:rPr>
      </w:pPr>
      <w:r>
        <w:rPr>
          <w:rFonts w:ascii="Arial" w:cs="Arial" w:eastAsia="Arial" w:hAnsi="Arial"/>
          <w:sz w:val="16"/>
          <w:szCs w:val="16"/>
          <w:b w:val="1"/>
          <w:bCs w:val="1"/>
          <w:i w:val="1"/>
          <w:iCs w:val="1"/>
          <w:color w:val="auto"/>
        </w:rPr>
        <w:t xml:space="preserve">Series E preferred stock dividends and deemed dividends from the preferred stock exchange. </w:t>
      </w:r>
      <w:r>
        <w:rPr>
          <w:rFonts w:ascii="Arial" w:cs="Arial" w:eastAsia="Arial" w:hAnsi="Arial"/>
          <w:sz w:val="16"/>
          <w:szCs w:val="16"/>
          <w:color w:val="auto"/>
        </w:rPr>
        <w:t>During the three months ended September 30, 2021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2020, we recorded dividends of $1.8 million and $0.8 million, respectively, on our Fixed-Rate Cumulative Perpetual Preferred Stock, Series E, par value $0.001 per share (the “Series E Preferred Stock”). The increase was primarily attributable to the impact of the deemed dividend of $1.1 million as part of the preferred stock exchange, offset by a decrease in the recurring preferred stock dividends as 10,000 shares of the original 35,000 shares of preferred stock were extinguished in September 2021, resulting in a lower preferred stock dividend accrued in September 2021. See Note 8. </w:t>
      </w:r>
      <w:r>
        <w:rPr>
          <w:rFonts w:ascii="Arial" w:cs="Arial" w:eastAsia="Arial" w:hAnsi="Arial"/>
          <w:sz w:val="16"/>
          <w:szCs w:val="16"/>
          <w:i w:val="1"/>
          <w:iCs w:val="1"/>
          <w:color w:val="auto"/>
        </w:rPr>
        <w:t>Private Placements and Public Offering</w:t>
      </w:r>
      <w:r>
        <w:rPr>
          <w:rFonts w:ascii="Arial" w:cs="Arial" w:eastAsia="Arial" w:hAnsi="Arial"/>
          <w:sz w:val="16"/>
          <w:szCs w:val="16"/>
          <w:color w:val="auto"/>
        </w:rPr>
        <w:t xml:space="preserve"> in the accompanying unaudited condensed consolidated financial statements for further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Net revenues</w:t>
      </w:r>
      <w:r>
        <w:rPr>
          <w:rFonts w:ascii="Arial" w:cs="Arial" w:eastAsia="Arial" w:hAnsi="Arial"/>
          <w:sz w:val="15"/>
          <w:szCs w:val="15"/>
          <w:color w:val="auto"/>
        </w:rPr>
        <w:t>. Net revenues for the nine months ended September 30, 2021 were $189.5 million, compared to $227.8 million for the same period in 2020.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gridSpan w:val="4"/>
          </w:tcPr>
          <w:p>
            <w:pPr>
              <w:jc w:val="right"/>
              <w:spacing w:after="0" w:line="160" w:lineRule="exact"/>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2"/>
            <w:vMerge w:val="restart"/>
          </w:tcPr>
          <w:p>
            <w:pPr>
              <w:jc w:val="right"/>
              <w:ind w:right="741"/>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Product Category</w:t>
            </w:r>
          </w:p>
        </w:tc>
        <w:tc>
          <w:tcPr>
            <w:tcW w:w="2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IoT &amp; Mobile Solutions</w:t>
            </w: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(37,301)</w:t>
            </w:r>
          </w:p>
        </w:tc>
        <w:tc>
          <w:tcPr>
            <w:tcW w:w="13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4780" w:type="dxa"/>
            <w:vAlign w:val="bottom"/>
            <w:gridSpan w:val="2"/>
          </w:tcPr>
          <w:p>
            <w:pPr>
              <w:ind w:left="660"/>
              <w:spacing w:after="0" w:line="161" w:lineRule="exact"/>
              <w:rPr>
                <w:sz w:val="20"/>
                <w:szCs w:val="20"/>
                <w:color w:val="auto"/>
              </w:rPr>
            </w:pPr>
            <w:r>
              <w:rPr>
                <w:rFonts w:ascii="Arial" w:cs="Arial" w:eastAsia="Arial" w:hAnsi="Arial"/>
                <w:sz w:val="16"/>
                <w:szCs w:val="16"/>
                <w:color w:val="auto"/>
              </w:rPr>
              <w:t>Enterprise SaaS</w:t>
            </w:r>
          </w:p>
        </w:tc>
        <w:tc>
          <w:tcPr>
            <w:tcW w:w="6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37,737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38,698</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(961)</w:t>
            </w:r>
          </w:p>
        </w:tc>
        <w:tc>
          <w:tcPr>
            <w:tcW w:w="100" w:type="dxa"/>
            <w:vAlign w:val="bottom"/>
            <w:vMerge w:val="restart"/>
          </w:tcPr>
          <w:p>
            <w:pPr>
              <w:spacing w:after="0"/>
              <w:rPr>
                <w:sz w:val="13"/>
                <w:szCs w:val="13"/>
                <w:color w:val="auto"/>
              </w:rPr>
            </w:pPr>
          </w:p>
        </w:tc>
        <w:tc>
          <w:tcPr>
            <w:tcW w:w="1220" w:type="dxa"/>
            <w:vAlign w:val="bottom"/>
            <w:vMerge w:val="restart"/>
          </w:tcPr>
          <w:p>
            <w:pPr>
              <w:jc w:val="right"/>
              <w:ind w:right="201"/>
              <w:spacing w:after="0"/>
              <w:rPr>
                <w:sz w:val="20"/>
                <w:szCs w:val="20"/>
                <w:color w:val="auto"/>
              </w:rPr>
            </w:pPr>
            <w:r>
              <w:rPr>
                <w:rFonts w:ascii="Arial" w:cs="Arial" w:eastAsia="Arial" w:hAnsi="Arial"/>
                <w:sz w:val="18"/>
                <w:szCs w:val="18"/>
                <w:color w:val="auto"/>
              </w:rPr>
              <w:t>(2.5)</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780" w:type="dxa"/>
            <w:vAlign w:val="bottom"/>
            <w:gridSpan w:val="2"/>
            <w:vMerge w:val="restart"/>
          </w:tcPr>
          <w:p>
            <w:pPr>
              <w:ind w:left="220"/>
              <w:spacing w:after="0"/>
              <w:rPr>
                <w:sz w:val="20"/>
                <w:szCs w:val="20"/>
                <w:color w:val="auto"/>
              </w:rPr>
            </w:pPr>
            <w:r>
              <w:rPr>
                <w:rFonts w:ascii="Arial" w:cs="Arial" w:eastAsia="Arial" w:hAnsi="Arial"/>
                <w:sz w:val="16"/>
                <w:szCs w:val="16"/>
                <w:color w:val="auto"/>
              </w:rPr>
              <w:t>Solutions</w:t>
            </w:r>
          </w:p>
        </w:tc>
        <w:tc>
          <w:tcPr>
            <w:tcW w:w="6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780" w:type="dxa"/>
            <w:vAlign w:val="bottom"/>
            <w:tcBorders>
              <w:bottom w:val="single" w:sz="8" w:color="CCEEFF"/>
            </w:tcBorders>
            <w:gridSpan w:val="2"/>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(38,262)</w:t>
            </w:r>
          </w:p>
        </w:tc>
        <w:tc>
          <w:tcPr>
            <w:tcW w:w="132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(16.8)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0" w:right="340" w:firstLine="394"/>
        <w:spacing w:after="0" w:line="281"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net revenues is primarily due to decreases in our enterprise and carrier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IoT &amp; Mobile Solutions, and lower sales of LTE gigabit hotspots as COVID-19 pandemic demand eased, partially offset by increased sales of our second-generation 5G hotspots related to our MiFi business and increased revenues in our Inseego Subscribe business due to subscriber growth.</w:t>
      </w:r>
    </w:p>
    <w:p>
      <w:pPr>
        <w:spacing w:after="0" w:line="338" w:lineRule="exact"/>
        <w:rPr>
          <w:sz w:val="20"/>
          <w:szCs w:val="20"/>
          <w:color w:val="auto"/>
        </w:rPr>
      </w:pPr>
    </w:p>
    <w:p>
      <w:pPr>
        <w:ind w:left="200" w:right="180" w:firstLine="394"/>
        <w:spacing w:after="0" w:line="281"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net revenues decreased year-over-year due to divestiture of Ctrack South Africa as of July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SaaS revenue was no longer generated in Ctrack South Africa beginning in August 2021. This decrease was partially offset by an increase in Enterprise SaaS Solutions net revenue throughout the rest of the world, as a result of the lifting of COVID-19 related installation restrictions in fiscal 2021.</w:t>
      </w:r>
    </w:p>
    <w:p>
      <w:pPr>
        <w:spacing w:after="0" w:line="102" w:lineRule="exact"/>
        <w:rPr>
          <w:sz w:val="20"/>
          <w:szCs w:val="20"/>
          <w:color w:val="auto"/>
        </w:rPr>
      </w:pPr>
    </w:p>
    <w:p>
      <w:pPr>
        <w:ind w:right="400" w:firstLine="394"/>
        <w:spacing w:after="0" w:line="24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2021 was $131.7 million or 69.5%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$163.4 million or 71.7% of net revenues, for the nine months ended September 30, 2020.</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tbl>
      <w:tblPr>
        <w:tblLayout w:type="fixed"/>
        <w:tblInd w:w="42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Nine Months Ended</w:t>
            </w:r>
          </w:p>
        </w:tc>
        <w:tc>
          <w:tcPr>
            <w:tcW w:w="1220" w:type="dxa"/>
            <w:vAlign w:val="bottom"/>
          </w:tcPr>
          <w:p>
            <w:pPr>
              <w:spacing w:after="0"/>
              <w:rPr>
                <w:sz w:val="13"/>
                <w:szCs w:val="13"/>
                <w:color w:val="auto"/>
              </w:rPr>
            </w:pPr>
          </w:p>
        </w:tc>
        <w:tc>
          <w:tcPr>
            <w:tcW w:w="1840" w:type="dxa"/>
            <w:vAlign w:val="bottom"/>
            <w:vMerge w:val="restart"/>
          </w:tcPr>
          <w:p>
            <w:pPr>
              <w:jc w:val="right"/>
              <w:ind w:right="10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6"/>
                <w:szCs w:val="16"/>
                <w:b w:val="1"/>
                <w:bCs w:val="1"/>
                <w:color w:val="auto"/>
              </w:rPr>
              <w:t>Product Category</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98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84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IoT &amp; Mobile Solutions</w:t>
            </w:r>
          </w:p>
        </w:tc>
        <w:tc>
          <w:tcPr>
            <w:tcW w:w="25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116,777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(21.3)</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Enterprise SaaS Solutions</w:t>
            </w: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14,958</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131,742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163,372</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(19.4)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right="520" w:firstLine="394"/>
        <w:spacing w:after="0" w:line="260"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the decreased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1" w:name="page32"/>
    <w:bookmarkEnd w:id="31"/>
    <w:p>
      <w:pPr>
        <w:ind w:firstLine="394"/>
        <w:spacing w:after="0" w:line="290"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was consistent compared to the same period in 2020, primarily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Enterprise SaaS Solutions net revenue as a result of the lifting of COVID-19 related installation restrictions in fiscal 2021, which was partially offset by lower sales of Enterprise SaaS Solutions as a result of the divestiture of Ctrack South Africa on July 30, 2021.</w:t>
      </w:r>
    </w:p>
    <w:p>
      <w:pPr>
        <w:spacing w:after="0" w:line="95" w:lineRule="exact"/>
        <w:rPr>
          <w:sz w:val="20"/>
          <w:szCs w:val="20"/>
          <w:color w:val="auto"/>
        </w:rPr>
      </w:pPr>
    </w:p>
    <w:p>
      <w:pPr>
        <w:ind w:right="120" w:firstLine="394"/>
        <w:spacing w:after="0" w:line="23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2021 was $57.8 million, or a gross margin of 30.5%, compared to $64.4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28.3%, for the same period in 2020. The increase in gross margin was primarily attributable to the favorable mix of our product offerings, as well as favorable margins on our Inseego Subscribe revenue.</w:t>
      </w:r>
    </w:p>
    <w:p>
      <w:pPr>
        <w:spacing w:after="0" w:line="133" w:lineRule="exact"/>
        <w:rPr>
          <w:sz w:val="20"/>
          <w:szCs w:val="20"/>
          <w:color w:val="auto"/>
        </w:rPr>
      </w:pPr>
    </w:p>
    <w:p>
      <w:pPr>
        <w:ind w:right="140" w:firstLine="394"/>
        <w:spacing w:after="0" w:line="291"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nine months ended September 30, 2021 were $39.0 million, or 20.6%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net revenues, compared to $29.4 million, or 12.9% of net revenues, for the same period in 2020. The increase was primarily a result of staffing, test units, other development spending related to 5G product programs, and an increase in the amount of bonus grants awarded to eligible employees during the nine months ended September 30, 2021 compared to the amount of bonus grants awarded to eligible employees during the nine months ended September 30, 2020. See Note 6. </w:t>
      </w:r>
      <w:r>
        <w:rPr>
          <w:rFonts w:ascii="Arial" w:cs="Arial" w:eastAsia="Arial" w:hAnsi="Arial"/>
          <w:sz w:val="15"/>
          <w:szCs w:val="15"/>
          <w:i w:val="1"/>
          <w:iCs w:val="1"/>
          <w:color w:val="auto"/>
        </w:rPr>
        <w:t>Share-based Compensation</w:t>
      </w:r>
      <w:r>
        <w:rPr>
          <w:rFonts w:ascii="Arial" w:cs="Arial" w:eastAsia="Arial" w:hAnsi="Arial"/>
          <w:sz w:val="15"/>
          <w:szCs w:val="15"/>
          <w:color w:val="auto"/>
        </w:rPr>
        <w:t xml:space="preserve"> in the accompanying unaudited condensed consolidated financial statements for further information.</w:t>
      </w:r>
    </w:p>
    <w:p>
      <w:pPr>
        <w:spacing w:after="0" w:line="96" w:lineRule="exact"/>
        <w:rPr>
          <w:sz w:val="20"/>
          <w:szCs w:val="20"/>
          <w:color w:val="auto"/>
        </w:rPr>
      </w:pPr>
    </w:p>
    <w:p>
      <w:pPr>
        <w:ind w:right="100" w:firstLine="394"/>
        <w:spacing w:after="0" w:line="26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nine months ended September 30, 2021 were $30.0 million, or 15.8%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compared to $25.8 million, or 11.3% of net revenues, for the same period in 2020. The increase was primarily a result of higher spend on marketing 5G products, and the amount of bonus grants to eligible employees during the nine months ended September 30, 2021 compared to the amount of bonus grants awarded to eligible employees during the nine months ended September 30, 2020. See Note 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the accompanying unaudited condensed consolidated financial statements for further information. The increase in sales and marketing expenses was partially offset by decrease of payroll costs for Ctrack South Africa employees, given the divestiture was completed on July 30, 2021.</w:t>
      </w:r>
    </w:p>
    <w:p>
      <w:pPr>
        <w:spacing w:after="0" w:line="116" w:lineRule="exact"/>
        <w:rPr>
          <w:sz w:val="20"/>
          <w:szCs w:val="20"/>
          <w:color w:val="auto"/>
        </w:rPr>
      </w:pPr>
    </w:p>
    <w:p>
      <w:pPr>
        <w:ind w:right="80" w:firstLine="394"/>
        <w:spacing w:after="0" w:line="23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2021 were $22.7 million, or 12.0%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$23.3 million, or 10.2% of net revenues, for the same period in 2020. The decrease was primarily a result of the decrease of payroll costs for Ctrack South Africa employees, given the divestiture was completed on July 30, 2021, offset by the impact of bonus grants awarded to employees who contributed to completion of the Ctrack South Africa sale.</w:t>
      </w:r>
    </w:p>
    <w:p>
      <w:pPr>
        <w:spacing w:after="0" w:line="129" w:lineRule="exact"/>
        <w:rPr>
          <w:sz w:val="20"/>
          <w:szCs w:val="20"/>
          <w:color w:val="auto"/>
        </w:rPr>
      </w:pPr>
    </w:p>
    <w:p>
      <w:pPr>
        <w:ind w:right="180" w:firstLine="394"/>
        <w:spacing w:after="0"/>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each of the nine months ended September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$1.6 million and $2.4 million, respectively. The decrease was primarily as a result of certain purchased intangible assets being fully amortized as of the fourth quarter of 2020.</w:t>
      </w:r>
    </w:p>
    <w:p>
      <w:pPr>
        <w:spacing w:after="0" w:line="127" w:lineRule="exact"/>
        <w:rPr>
          <w:sz w:val="20"/>
          <w:szCs w:val="20"/>
          <w:color w:val="auto"/>
        </w:rPr>
      </w:pPr>
    </w:p>
    <w:p>
      <w:pPr>
        <w:ind w:right="520" w:firstLine="394"/>
        <w:spacing w:after="0" w:line="252" w:lineRule="auto"/>
        <w:rPr>
          <w:sz w:val="20"/>
          <w:szCs w:val="20"/>
          <w:color w:val="auto"/>
        </w:rPr>
      </w:pPr>
      <w:r>
        <w:rPr>
          <w:rFonts w:ascii="Arial" w:cs="Arial" w:eastAsia="Arial" w:hAnsi="Arial"/>
          <w:sz w:val="18"/>
          <w:szCs w:val="18"/>
          <w:b w:val="1"/>
          <w:bCs w:val="1"/>
          <w:i w:val="1"/>
          <w:iCs w:val="1"/>
          <w:color w:val="auto"/>
        </w:rPr>
        <w:t>Impairment of capitalized software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2021, we recorded a loss of $1.2 million on capitalized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There was no such expense for the same period in 2020.</w:t>
      </w:r>
    </w:p>
    <w:p>
      <w:pPr>
        <w:spacing w:after="0" w:line="117" w:lineRule="exact"/>
        <w:rPr>
          <w:sz w:val="20"/>
          <w:szCs w:val="20"/>
          <w:color w:val="auto"/>
        </w:rPr>
      </w:pPr>
    </w:p>
    <w:p>
      <w:pPr>
        <w:ind w:right="80" w:firstLine="394"/>
        <w:spacing w:after="0" w:line="252" w:lineRule="auto"/>
        <w:rPr>
          <w:sz w:val="20"/>
          <w:szCs w:val="20"/>
          <w:color w:val="auto"/>
        </w:rPr>
      </w:pPr>
      <w:r>
        <w:rPr>
          <w:rFonts w:ascii="Arial" w:cs="Arial" w:eastAsia="Arial" w:hAnsi="Arial"/>
          <w:sz w:val="18"/>
          <w:szCs w:val="18"/>
          <w:b w:val="1"/>
          <w:bCs w:val="1"/>
          <w:i w:val="1"/>
          <w:iCs w:val="1"/>
          <w:color w:val="auto"/>
        </w:rPr>
        <w:t>Gain on sale of Ctrack South Africa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on sale of Ctrack South Africa during the nine months ended September 30, 2021 was $5.3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gain recognized on sale of Ctrack South Africa, while there was no such gain for the same period in fiscal 2020.</w:t>
      </w:r>
    </w:p>
    <w:p>
      <w:pPr>
        <w:spacing w:after="0" w:line="123" w:lineRule="exact"/>
        <w:rPr>
          <w:sz w:val="20"/>
          <w:szCs w:val="20"/>
          <w:color w:val="auto"/>
        </w:rPr>
      </w:pPr>
    </w:p>
    <w:p>
      <w:pPr>
        <w:ind w:right="280" w:firstLine="394"/>
        <w:spacing w:after="0" w:line="238"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w:t>
      </w:r>
      <w:r>
        <w:rPr>
          <w:rFonts w:ascii="Arial" w:cs="Arial" w:eastAsia="Arial" w:hAnsi="Arial"/>
          <w:sz w:val="18"/>
          <w:szCs w:val="18"/>
          <w:color w:val="auto"/>
        </w:rPr>
        <w:t>The loss on debt conversion and extinguishment, net for each of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 was $0.4 million and $76.4 million, respectively, and primarily represents the loss on debt conversion of the 2025 Notes and debt conversion and extinguishment of the 2022 Notes, respectively.</w:t>
      </w:r>
    </w:p>
    <w:p>
      <w:pPr>
        <w:spacing w:after="0" w:line="133"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each of the nine months ended September 30, 2021 and 2020 was $5.2 million and $8.2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in interest expense was primarily due to the lower interest rate on the 2025 Notes, as compared to the 2022 Notes and our previous term loan, partially offset by the higher principal amount of the 2025 Notes.</w:t>
      </w:r>
    </w:p>
    <w:p>
      <w:pPr>
        <w:spacing w:after="0" w:line="133" w:lineRule="exact"/>
        <w:rPr>
          <w:sz w:val="20"/>
          <w:szCs w:val="20"/>
          <w:color w:val="auto"/>
        </w:rPr>
      </w:pPr>
    </w:p>
    <w:p>
      <w:pPr>
        <w:ind w:right="220" w:firstLine="394"/>
        <w:spacing w:after="0" w:line="23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each of the nine months ended September 30, 2021 and 2020 was $0.3 million and $2.8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which primarily includes the fair value adjustment related to our interest make-whole arrangement, transaction costs related to the divestiture of Ctrack South Africa, and foreign currency transaction gains and losses.</w:t>
      </w:r>
    </w:p>
    <w:p>
      <w:pPr>
        <w:spacing w:after="0" w:line="133" w:lineRule="exact"/>
        <w:rPr>
          <w:sz w:val="20"/>
          <w:szCs w:val="20"/>
          <w:color w:val="auto"/>
        </w:rPr>
      </w:pPr>
    </w:p>
    <w:p>
      <w:pPr>
        <w:ind w:right="80" w:firstLine="394"/>
        <w:spacing w:after="0" w:line="306" w:lineRule="auto"/>
        <w:rPr>
          <w:sz w:val="20"/>
          <w:szCs w:val="20"/>
          <w:color w:val="auto"/>
        </w:rPr>
      </w:pPr>
      <w:r>
        <w:rPr>
          <w:rFonts w:ascii="Arial" w:cs="Arial" w:eastAsia="Arial" w:hAnsi="Arial"/>
          <w:sz w:val="16"/>
          <w:szCs w:val="16"/>
          <w:b w:val="1"/>
          <w:bCs w:val="1"/>
          <w:i w:val="1"/>
          <w:iCs w:val="1"/>
          <w:color w:val="auto"/>
        </w:rPr>
        <w:t xml:space="preserve">Income tax (benefit) provision. </w:t>
      </w:r>
      <w:r>
        <w:rPr>
          <w:rFonts w:ascii="Arial" w:cs="Arial" w:eastAsia="Arial" w:hAnsi="Arial"/>
          <w:sz w:val="16"/>
          <w:szCs w:val="16"/>
          <w:color w:val="auto"/>
        </w:rPr>
        <w:t>The income tax provision of $0.4 million for the nine months ended September 30, 2021 and the income tax provision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$0.2 million for the nine months ended September 30, 2020, respectively, primarily relate to certain of our entities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2" w:name="page33"/>
    <w:bookmarkEnd w:id="32"/>
    <w:p>
      <w:pPr>
        <w:ind w:right="60" w:firstLine="394"/>
        <w:spacing w:after="0" w:line="238"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Net income attributable to noncontrolling interests for the nine months ended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$0.2 million, compared to a net income attributable to noncontrolling interests of $29,000 for the same period in 2020, due to the sale of the noncontrolling interests as part of the sale of Ctrack South Africa.</w:t>
      </w:r>
    </w:p>
    <w:p>
      <w:pPr>
        <w:spacing w:after="0" w:line="133" w:lineRule="exact"/>
        <w:rPr>
          <w:sz w:val="20"/>
          <w:szCs w:val="20"/>
          <w:color w:val="auto"/>
        </w:rPr>
      </w:pPr>
    </w:p>
    <w:p>
      <w:pPr>
        <w:ind w:right="120" w:firstLine="394"/>
        <w:spacing w:after="0" w:line="296" w:lineRule="auto"/>
        <w:rPr>
          <w:sz w:val="20"/>
          <w:szCs w:val="20"/>
          <w:color w:val="auto"/>
        </w:rPr>
      </w:pPr>
      <w:r>
        <w:rPr>
          <w:rFonts w:ascii="Arial" w:cs="Arial" w:eastAsia="Arial" w:hAnsi="Arial"/>
          <w:sz w:val="15"/>
          <w:szCs w:val="15"/>
          <w:b w:val="1"/>
          <w:bCs w:val="1"/>
          <w:i w:val="1"/>
          <w:iCs w:val="1"/>
          <w:color w:val="auto"/>
        </w:rPr>
        <w:t xml:space="preserve">Series E preferred stock dividends and deemed dividends from the preferred stock exchange. </w:t>
      </w:r>
      <w:r>
        <w:rPr>
          <w:rFonts w:ascii="Arial" w:cs="Arial" w:eastAsia="Arial" w:hAnsi="Arial"/>
          <w:sz w:val="15"/>
          <w:szCs w:val="15"/>
          <w:color w:val="auto"/>
        </w:rPr>
        <w:t>During the nine months ended September 30, 2021,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2020 we recorded dividends of $3.6 million and $2.1 million, respectively, on our Series E Preferred Stock. The increase was primarily attributable to the additional shares of Series E Preferred Stock issued in March 2020, and the impact of deemed dividend of $1.1 million as part of the preferred stock exchange. See Note 8. </w:t>
      </w:r>
      <w:r>
        <w:rPr>
          <w:rFonts w:ascii="Arial" w:cs="Arial" w:eastAsia="Arial" w:hAnsi="Arial"/>
          <w:sz w:val="15"/>
          <w:szCs w:val="15"/>
          <w:i w:val="1"/>
          <w:iCs w:val="1"/>
          <w:color w:val="auto"/>
        </w:rPr>
        <w:t>Private Placements and Public Offering</w:t>
      </w:r>
      <w:r>
        <w:rPr>
          <w:rFonts w:ascii="Arial" w:cs="Arial" w:eastAsia="Arial" w:hAnsi="Arial"/>
          <w:sz w:val="15"/>
          <w:szCs w:val="15"/>
          <w:color w:val="auto"/>
        </w:rPr>
        <w:t xml:space="preserve"> in the accompanying unaudited condensed consolidated financial statements for further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1" w:lineRule="exact"/>
        <w:rPr>
          <w:sz w:val="20"/>
          <w:szCs w:val="20"/>
          <w:color w:val="auto"/>
        </w:rPr>
      </w:pPr>
    </w:p>
    <w:p>
      <w:pPr>
        <w:ind w:right="460" w:firstLine="394"/>
        <w:spacing w:after="0" w:line="245" w:lineRule="auto"/>
        <w:rPr>
          <w:sz w:val="20"/>
          <w:szCs w:val="20"/>
          <w:color w:val="auto"/>
        </w:rPr>
      </w:pPr>
      <w:r>
        <w:rPr>
          <w:rFonts w:ascii="Arial" w:cs="Arial" w:eastAsia="Arial" w:hAnsi="Arial"/>
          <w:sz w:val="18"/>
          <w:szCs w:val="18"/>
          <w:color w:val="auto"/>
        </w:rPr>
        <w:t>As of September 30, 2021, we had available cash and cash equivalents totaling $58.1 million, excluding restricted cash of $3.5 million, and working capital of $61.2 million.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March 6, 2020, we issued and sold 25,000 shares of Series E Preferred Stock for an aggregate purchase price of $25.0 million.</w:t>
      </w:r>
    </w:p>
    <w:p>
      <w:pPr>
        <w:spacing w:after="0" w:line="95" w:lineRule="exact"/>
        <w:rPr>
          <w:sz w:val="20"/>
          <w:szCs w:val="20"/>
          <w:color w:val="auto"/>
        </w:rPr>
      </w:pPr>
    </w:p>
    <w:p>
      <w:pPr>
        <w:ind w:right="60" w:firstLine="394"/>
        <w:spacing w:after="0" w:line="265" w:lineRule="auto"/>
        <w:rPr>
          <w:sz w:val="20"/>
          <w:szCs w:val="20"/>
          <w:color w:val="auto"/>
        </w:rPr>
      </w:pPr>
      <w:r>
        <w:rPr>
          <w:rFonts w:ascii="Arial" w:cs="Arial" w:eastAsia="Arial" w:hAnsi="Arial"/>
          <w:sz w:val="16"/>
          <w:szCs w:val="16"/>
          <w:color w:val="auto"/>
        </w:rPr>
        <w:t>In the first quarter of 2020, $59.9 million of our 5.5% convertible senior notes due 2022 (the “2022 Notes” formerly referred to as the “Inseego Notes”) were exchanged for common stock in private exchange transactions. Additionally, in the second quarter of 2020, we restructured our outstanding debt by completing a $100.0 million registered public offering (the “Offering”) of 3.25% convertible senior notes due 2025 (the “2025 Notes”) and also entered into privately-negotiated exchange agreements (the “May Exchange Agreements”), pursuant to which an aggregate of $45.0 million in principal amount of the 2022 Notes were exchanged for an aggregate of $32.0 million in cash and $80.4 million in principal amount of the 2025 Notes (the “May Private Exchange Transactions”). We also used a portion of the proceeds from the Offering to repay in full our previous term loan. In the third quarter of 2020, we redeemed the remaining $2,000 principal amount of the 2022 Notes.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2021, our outstanding debt primarily consisted of $161.9 million in principal amount of 2025 Notes.</w:t>
      </w:r>
    </w:p>
    <w:p>
      <w:pPr>
        <w:spacing w:after="0" w:line="69" w:lineRule="exact"/>
        <w:rPr>
          <w:sz w:val="20"/>
          <w:szCs w:val="20"/>
          <w:color w:val="auto"/>
        </w:rPr>
      </w:pPr>
    </w:p>
    <w:p>
      <w:pPr>
        <w:ind w:right="40" w:firstLine="394"/>
        <w:spacing w:after="0" w:line="212" w:lineRule="auto"/>
        <w:rPr>
          <w:sz w:val="20"/>
          <w:szCs w:val="20"/>
          <w:color w:val="auto"/>
        </w:rPr>
      </w:pPr>
      <w:r>
        <w:rPr>
          <w:rFonts w:ascii="Arial" w:cs="Arial" w:eastAsia="Arial" w:hAnsi="Arial"/>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In January 2021, we sold 1,516,073 shares of common stock, at an average price of $20.11 per share, for net proceeds of $29.4 million, after deducting underwriter fees and discounts of $0.9 million, and other offering fees, pursuant to the ATM Offering.</w:t>
      </w:r>
    </w:p>
    <w:p>
      <w:pPr>
        <w:spacing w:after="0" w:line="122"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5"/>
          <w:szCs w:val="15"/>
          <w:color w:val="auto"/>
        </w:rPr>
        <w:t>On July 30, 2021, we completed the sale of Ctrack South Africa.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Convergence. We recorded a receivable for such balance as of September 30, 2021.</w:t>
      </w:r>
    </w:p>
    <w:p>
      <w:pPr>
        <w:spacing w:after="0" w:line="32" w:lineRule="exact"/>
        <w:rPr>
          <w:sz w:val="20"/>
          <w:szCs w:val="20"/>
          <w:color w:val="auto"/>
        </w:rPr>
      </w:pPr>
    </w:p>
    <w:p>
      <w:pPr>
        <w:ind w:right="140" w:firstLine="394"/>
        <w:spacing w:after="0" w:line="265" w:lineRule="auto"/>
        <w:rPr>
          <w:sz w:val="20"/>
          <w:szCs w:val="20"/>
          <w:color w:val="auto"/>
        </w:rPr>
      </w:pPr>
      <w:r>
        <w:rPr>
          <w:rFonts w:ascii="Arial" w:cs="Arial" w:eastAsia="Arial" w:hAnsi="Arial"/>
          <w:sz w:val="16"/>
          <w:szCs w:val="16"/>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its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114" w:lineRule="exact"/>
        <w:rPr>
          <w:sz w:val="20"/>
          <w:szCs w:val="20"/>
          <w:color w:val="auto"/>
        </w:rPr>
      </w:pPr>
    </w:p>
    <w:p>
      <w:pPr>
        <w:ind w:right="20" w:firstLine="394"/>
        <w:spacing w:after="0" w:line="235"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Additionally, we are uncertain of the full extent to which the COVID-19 pandemic will impact our business, operations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material changes in our contractual obligations in the third quarter of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3" w:name="page34"/>
    <w:bookmarkEnd w:id="33"/>
    <w:p>
      <w:pPr>
        <w:ind w:right="120" w:firstLine="394"/>
        <w:spacing w:after="0" w:line="209" w:lineRule="auto"/>
        <w:rPr>
          <w:sz w:val="20"/>
          <w:szCs w:val="20"/>
          <w:color w:val="auto"/>
        </w:rPr>
      </w:pPr>
      <w:r>
        <w:rPr>
          <w:rFonts w:ascii="Arial" w:cs="Arial" w:eastAsia="Arial" w:hAnsi="Arial"/>
          <w:sz w:val="18"/>
          <w:szCs w:val="18"/>
          <w:color w:val="auto"/>
        </w:rPr>
        <w:t>On May 12, 2020, we also entered into the May Exchange Agreements with certain holders of the 2022 Notes. Pursuant to the May Exchange Agreements, each of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the concurrent May Private Exchange Transactions. The 2025 Notes issued in the May Private Exchange Transactions are part of the same series as the 2025 Notes issued in the Offering.</w:t>
      </w:r>
    </w:p>
    <w:p>
      <w:pPr>
        <w:spacing w:after="0" w:line="202"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color w:val="auto"/>
        </w:rPr>
        <w:t>We issued the 2025 Notes under an indenture, dated May 12, 2020 (the “Base Indenture”), between Inseego Corp.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11" w:lineRule="exact"/>
        <w:rPr>
          <w:sz w:val="20"/>
          <w:szCs w:val="20"/>
          <w:color w:val="auto"/>
        </w:rPr>
      </w:pPr>
    </w:p>
    <w:p>
      <w:pPr>
        <w:ind w:firstLine="394"/>
        <w:spacing w:after="0" w:line="23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Inseego Corp. and bear interest at an annual rate of 3.25%, payable semi-annually in arrears on May 1 and November 1 of each year, beginning on November 1, 2020.</w:t>
      </w:r>
    </w:p>
    <w:p>
      <w:pPr>
        <w:spacing w:after="0" w:line="211" w:lineRule="exact"/>
        <w:rPr>
          <w:sz w:val="20"/>
          <w:szCs w:val="20"/>
          <w:color w:val="auto"/>
        </w:rPr>
      </w:pPr>
    </w:p>
    <w:p>
      <w:pPr>
        <w:ind w:right="160" w:firstLine="394"/>
        <w:spacing w:after="0" w:line="235"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3" w:lineRule="exact"/>
        <w:rPr>
          <w:sz w:val="20"/>
          <w:szCs w:val="20"/>
          <w:color w:val="auto"/>
        </w:rPr>
      </w:pPr>
    </w:p>
    <w:p>
      <w:pPr>
        <w:ind w:right="20" w:firstLine="394"/>
        <w:spacing w:after="0" w:line="296" w:lineRule="auto"/>
        <w:rPr>
          <w:sz w:val="20"/>
          <w:szCs w:val="20"/>
          <w:color w:val="auto"/>
        </w:rPr>
      </w:pPr>
      <w:r>
        <w:rPr>
          <w:rFonts w:ascii="Arial" w:cs="Arial" w:eastAsia="Arial" w:hAnsi="Arial"/>
          <w:sz w:val="15"/>
          <w:szCs w:val="15"/>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73" w:lineRule="exact"/>
        <w:rPr>
          <w:sz w:val="20"/>
          <w:szCs w:val="20"/>
          <w:color w:val="auto"/>
        </w:rPr>
      </w:pPr>
    </w:p>
    <w:p>
      <w:pPr>
        <w:ind w:right="260" w:firstLine="394"/>
        <w:spacing w:after="0" w:line="306"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our election, either cash or shares of the Common Stock (together with cash in lieu of any fractional share).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a fundamental change (as defined in the Indenture) occurs at any time prior to the maturity date, then the noteholders may require us to repurchase their</w:t>
      </w:r>
    </w:p>
    <w:p>
      <w:pPr>
        <w:spacing w:after="0" w:line="38" w:lineRule="exact"/>
        <w:rPr>
          <w:sz w:val="20"/>
          <w:szCs w:val="20"/>
          <w:color w:val="auto"/>
        </w:rPr>
      </w:pPr>
    </w:p>
    <w:p>
      <w:pPr>
        <w:ind w:right="560"/>
        <w:spacing w:after="0" w:line="228" w:lineRule="auto"/>
        <w:rPr>
          <w:sz w:val="20"/>
          <w:szCs w:val="20"/>
          <w:color w:val="auto"/>
        </w:rPr>
      </w:pPr>
      <w:r>
        <w:rPr>
          <w:rFonts w:ascii="Arial" w:cs="Arial" w:eastAsia="Arial" w:hAnsi="Arial"/>
          <w:sz w:val="18"/>
          <w:szCs w:val="18"/>
          <w:color w:val="auto"/>
        </w:rPr>
        <w:t>2025 Notes at a cash repurchase price equal to the principal amount of the 2025 Notes to be repurchased, plus accrued and unpaid interest, if any, to, but excluding, the fundamental change repurchase date. If a</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right="20" w:firstLine="394"/>
        <w:spacing w:after="0" w:line="26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90" w:lineRule="exact"/>
        <w:rPr>
          <w:sz w:val="20"/>
          <w:szCs w:val="20"/>
          <w:color w:val="auto"/>
        </w:rPr>
      </w:pPr>
    </w:p>
    <w:p>
      <w:pPr>
        <w:ind w:right="40" w:firstLine="394"/>
        <w:spacing w:after="0" w:line="263"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Inseego Corp.) occurs and is continuing, the Trustee, by notice to Inseego Corp., or the holders of the 2025 Notes representing at least 25% in aggregate principal amount of the outstanding 2025 Notes, by notice to Inseego Corp. and the Trustee, may declare 100% of the principal of, and all accrued and unpaid interest on, all of the then outstanding 2025 Notes to be due and payable immediately. Upon the occurrence of certain events of bankruptcy, insolvency or reorganization involving Inseego Corp., 100% of the principal of, and all accrued and unpaid interest on, all of the then outstanding 2025 Notes will automatically become immediately due and payable. Notwithstanding the foregoing, the Indenture provides that, to the extent we elect, the sole remedy for an event of default relating to certain failures by us to comply with certain reporting covenants in the Indenture will, for the first 360 days after such event of default, consist exclusively of the right to receive additional interest on the 2025 Notes.</w:t>
      </w:r>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Historical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4" w:name="page35"/>
    <w:bookmarkEnd w:id="34"/>
    <w:p>
      <w:pPr>
        <w:ind w:left="440"/>
        <w:spacing w:after="0"/>
        <w:rPr>
          <w:sz w:val="20"/>
          <w:szCs w:val="20"/>
          <w:color w:val="auto"/>
        </w:rPr>
      </w:pPr>
      <w:r>
        <w:rPr>
          <w:rFonts w:ascii="Arial" w:cs="Arial" w:eastAsia="Arial" w:hAnsi="Arial"/>
          <w:sz w:val="16"/>
          <w:szCs w:val="16"/>
          <w:color w:val="auto"/>
        </w:rPr>
        <w:t>The following table summarizes our unaudited condensed consolidated statements of cash flows for the periods indicated (in thousands):</w:t>
      </w:r>
    </w:p>
    <w:p>
      <w:pPr>
        <w:spacing w:after="0" w:line="120"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Nine Months Ended</w:t>
      </w:r>
    </w:p>
    <w:p>
      <w:pPr>
        <w:jc w:val="center"/>
        <w:ind w:left="856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r>
      <w:tr>
        <w:trPr>
          <w:trHeight w:val="204"/>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w:t>
            </w: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7,665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(24,973)</w:t>
            </w: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40,754</w:t>
            </w: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r>
      <w:tr>
        <w:trPr>
          <w:trHeight w:val="206"/>
        </w:trPr>
        <w:tc>
          <w:tcPr>
            <w:tcW w:w="8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29,920</w:t>
            </w: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12,074</w:t>
            </w:r>
          </w:p>
        </w:tc>
      </w:tr>
      <w:tr>
        <w:trPr>
          <w:trHeight w:val="22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61,609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140" w:firstLine="433"/>
        <w:spacing w:after="0" w:line="263"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$14.8 million for the nine months ended September 30, 2021,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operating activities of $16.7 million for the same period in 2020. Net cash used in operating activities for the nine months ended September 30, 2021 was primarily attributable to net loss incurred during the period, net cash used by working capital, gain on the sale of Ctrack South Africa, and fair value adjustment on derivative instrument, partially offset by depreciation and amortization, share-based compensation expense, impairment of capitalized software, and the amortization of debt discount and debt issuance costs. Net cash provided by operating activities for the nine months ended September 30, 2020 was primarily attributable to net cash provided by working capital, non-cash loss on debt conversion and extinguishment, depreciation and amortization, including the amortization of debt discount and debt issuance costs, and share-based compensation expense, offset by net loss and a non-cash fair value adjustment on derivative instrument,</w:t>
      </w:r>
    </w:p>
    <w:p>
      <w:pPr>
        <w:spacing w:after="0" w:line="68" w:lineRule="exact"/>
        <w:rPr>
          <w:sz w:val="20"/>
          <w:szCs w:val="20"/>
          <w:color w:val="auto"/>
        </w:rPr>
      </w:pPr>
    </w:p>
    <w:p>
      <w:pPr>
        <w:ind w:right="80" w:firstLine="433"/>
        <w:spacing w:after="0" w:line="265"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during the nine months ended September 30, 2021 was $7.7 million,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in investing activities of $25.0 million for the same period in 2020. Cash provided by investing activities during the nine months ended September 30, 2021 was primarily related to the net proceeds from the sale of Ctrack South Africa, and proceeds from the sale of property, plant, and equipment, partially offset by purchases of property, plant and equipment and spending on certain costs related to the research and development of software to be sold in our products, in large part due to the increase in development in support of 5G products and services. Cash used in investing activities during the same period in 2020 was primarily related to the purchases of property, plant and equipment and spending on certain costs related to the research and development of software to be sold in our products, in large part due to the increase in development in support of 5G products and services.</w:t>
      </w:r>
    </w:p>
    <w:p>
      <w:pPr>
        <w:spacing w:after="0" w:line="61" w:lineRule="exact"/>
        <w:rPr>
          <w:sz w:val="20"/>
          <w:szCs w:val="20"/>
          <w:color w:val="auto"/>
        </w:rPr>
      </w:pPr>
    </w:p>
    <w:p>
      <w:pPr>
        <w:ind w:firstLine="433"/>
        <w:spacing w:after="0" w:line="283"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during the nine months ended September 30, 2021 was $29.0 million, compared to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provided by financing activities of $40.8 million for the same period in 2020. Net cash provided by financing activities during the nine months ended September 30, 2021 was primarily related to net proceeds received from the ATM Offering, proceeds from stock option exercises and purchases through our employee stock purchase plan, partially offset by the principal payments under finance lease obligations and taxes paid on vested restricted stock units. Net cash provided by financing activities for the same period in 2020 was primarily related to net proceeds received from the Offering, the May Private Exchange Transactions, the issuance of Series E preferred stock, the exercise of warrants to purchase common stock and stock option exercises and purchases through our employee stock purchase plan, partially offset by the repurchase of Series E preferred stock, principal payments under finance lease obligations and taxes paid on vested restricted stock units, payoff of the Term Loan of $48.8 million and payment of $32.0 million in cash for the May Private Exchange Transactions.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engage in any off-balance sheet arrangements.</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14" w:lineRule="exact"/>
        <w:rPr>
          <w:sz w:val="20"/>
          <w:szCs w:val="20"/>
          <w:color w:val="auto"/>
        </w:rPr>
      </w:pPr>
    </w:p>
    <w:p>
      <w:pPr>
        <w:ind w:right="60" w:firstLine="394"/>
        <w:spacing w:after="0" w:line="252" w:lineRule="auto"/>
        <w:rPr>
          <w:sz w:val="20"/>
          <w:szCs w:val="20"/>
          <w:color w:val="auto"/>
        </w:rPr>
      </w:pPr>
      <w:r>
        <w:rPr>
          <w:rFonts w:ascii="Arial" w:cs="Arial" w:eastAsia="Arial" w:hAnsi="Arial"/>
          <w:sz w:val="18"/>
          <w:szCs w:val="18"/>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5" w:lineRule="exact"/>
        <w:rPr>
          <w:sz w:val="20"/>
          <w:szCs w:val="20"/>
          <w:color w:val="auto"/>
        </w:rPr>
      </w:pPr>
    </w:p>
    <w:p>
      <w:pPr>
        <w:ind w:right="260" w:firstLine="630"/>
        <w:spacing w:after="0" w:line="260" w:lineRule="auto"/>
        <w:rPr>
          <w:sz w:val="20"/>
          <w:szCs w:val="20"/>
          <w:color w:val="auto"/>
        </w:rPr>
      </w:pPr>
      <w:r>
        <w:rPr>
          <w:rFonts w:ascii="Arial" w:cs="Arial" w:eastAsia="Arial" w:hAnsi="Arial"/>
          <w:sz w:val="18"/>
          <w:szCs w:val="18"/>
          <w:color w:val="auto"/>
        </w:rPr>
        <w:t>The Company’s results of operations and cash flows are subject to fluctuations due to changes in foreign currency exchange rates. A majority of the Company’s revenue is denominated in U.S. dollars, and therefore, our revenue is not directly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ind w:right="120"/>
        <w:spacing w:after="0" w:line="279" w:lineRule="auto"/>
        <w:rPr>
          <w:sz w:val="20"/>
          <w:szCs w:val="20"/>
          <w:color w:val="auto"/>
        </w:rPr>
      </w:pPr>
      <w:r>
        <w:rPr>
          <w:rFonts w:ascii="Arial" w:cs="Arial" w:eastAsia="Arial" w:hAnsi="Arial"/>
          <w:sz w:val="16"/>
          <w:szCs w:val="16"/>
          <w:color w:val="auto"/>
        </w:rPr>
        <w:t>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ind w:firstLine="630"/>
        <w:spacing w:after="0" w:line="278" w:lineRule="auto"/>
        <w:rPr>
          <w:sz w:val="20"/>
          <w:szCs w:val="20"/>
          <w:color w:val="auto"/>
        </w:rPr>
      </w:pPr>
      <w:r>
        <w:rPr>
          <w:rFonts w:ascii="Arial" w:cs="Arial" w:eastAsia="Arial" w:hAnsi="Arial"/>
          <w:sz w:val="16"/>
          <w:szCs w:val="16"/>
          <w:color w:val="auto"/>
        </w:rPr>
        <w:t>For the nine months ended September 30, 2021, sales denominated in foreign currencies were approximately 20.4% of total revenue. The Company’s expenses are generally denominated in the currencies in which our operations are located, which is primarily in the U.S. and to a lesser extent in Europe. The Company’s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pound sterling, Euro, and Australian Dollar (collectively, the “Foreign Functional Currencies”). For the nine months ended September 30, 2021, a hypothetical 10% change in Foreign Functional Currency exchange rates would have increased or decreased our revenue by approximately $3.8 million. Actual gains and losses in the future may differ materially from the hypothetical gains and losses discussed above based on changes in the timing and amount of foreign currency exchange rate movements. Additionally, with the completion of Ctrack South Africa operations divestiture, our foreign exchange risk is expected to decrease. Net foreign currency translation losses of $1.9 million were recorded for the nine months ended September 30, 2021.</w:t>
      </w:r>
    </w:p>
    <w:p>
      <w:pPr>
        <w:spacing w:after="0" w:line="11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1" w:lineRule="exact"/>
        <w:rPr>
          <w:sz w:val="20"/>
          <w:szCs w:val="20"/>
          <w:color w:val="auto"/>
        </w:rPr>
      </w:pPr>
    </w:p>
    <w:p>
      <w:pPr>
        <w:ind w:right="80" w:firstLine="394"/>
        <w:spacing w:after="0" w:line="234"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60" w:firstLine="394"/>
        <w:spacing w:after="0" w:line="234"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September 30, 2021, the end of the period covered by this report. Based on the foregoing, our principal executive officer and principal financial officer concluded that our disclosure controls and procedures were effective as of September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1" w:lineRule="exact"/>
        <w:rPr>
          <w:sz w:val="20"/>
          <w:szCs w:val="20"/>
          <w:color w:val="auto"/>
        </w:rPr>
      </w:pPr>
    </w:p>
    <w:p>
      <w:pPr>
        <w:ind w:right="220" w:firstLine="394"/>
        <w:spacing w:after="0" w:line="23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September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II—OTHER INFORMATION</w:t>
      </w:r>
    </w:p>
    <w:p>
      <w:pPr>
        <w:spacing w:after="0" w:line="1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01" w:lineRule="exact"/>
        <w:rPr>
          <w:sz w:val="20"/>
          <w:szCs w:val="20"/>
          <w:color w:val="auto"/>
        </w:rPr>
      </w:pPr>
    </w:p>
    <w:p>
      <w:pPr>
        <w:ind w:right="340" w:firstLine="394"/>
        <w:spacing w:after="0" w:line="245"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76" w:lineRule="exact"/>
        <w:rPr>
          <w:sz w:val="20"/>
          <w:szCs w:val="20"/>
          <w:color w:val="auto"/>
        </w:rPr>
      </w:pPr>
    </w:p>
    <w:p>
      <w:pPr>
        <w:ind w:right="60" w:firstLine="394"/>
        <w:spacing w:after="0" w:line="23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67" w:lineRule="exact"/>
        <w:rPr>
          <w:sz w:val="20"/>
          <w:szCs w:val="20"/>
          <w:color w:val="auto"/>
        </w:rPr>
      </w:pPr>
    </w:p>
    <w:p>
      <w:pPr>
        <w:ind w:firstLine="394"/>
        <w:spacing w:after="0" w:line="281" w:lineRule="auto"/>
        <w:rPr>
          <w:sz w:val="20"/>
          <w:szCs w:val="20"/>
          <w:color w:val="auto"/>
        </w:rPr>
      </w:pPr>
      <w:r>
        <w:rPr>
          <w:rFonts w:ascii="Arial" w:cs="Arial" w:eastAsia="Arial" w:hAnsi="Arial"/>
          <w:sz w:val="16"/>
          <w:szCs w:val="16"/>
          <w:color w:val="auto"/>
        </w:rPr>
        <w:t>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 except as previously disclosed in the Company’s Current Reports on Form 8-K, and except for the issuance described below.</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September 30, 2021, the Company issued 11,058 shares of common stock to TechCXO, LLC for services rendered to the Company by Robert 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Barbieri, as Interim Chief Financial Officer, in a transaction exempt from registration pursuant to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69"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80" w:type="dxa"/>
            <w:vAlign w:val="bottom"/>
            <w:gridSpan w:val="11"/>
          </w:tcPr>
          <w:p>
            <w:pPr>
              <w:ind w:left="20"/>
              <w:spacing w:after="0"/>
              <w:rPr>
                <w:sz w:val="20"/>
                <w:szCs w:val="20"/>
                <w:color w:val="auto"/>
              </w:rPr>
            </w:pPr>
            <w:r>
              <w:rPr>
                <w:rFonts w:ascii="Arial" w:cs="Arial" w:eastAsia="Arial" w:hAnsi="Arial"/>
                <w:sz w:val="18"/>
                <w:szCs w:val="18"/>
                <w:b w:val="1"/>
                <w:bCs w:val="1"/>
                <w:i w:val="1"/>
                <w:iCs w:val="1"/>
                <w:color w:val="auto"/>
              </w:rPr>
              <w:t>Exhibits.</w:t>
            </w:r>
          </w:p>
        </w:tc>
      </w:tr>
      <w:tr>
        <w:trPr>
          <w:trHeight w:val="297"/>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Share Purchase Agreement, dated as of February 24, 2021, by and between Inseego Corp. and Main Street 1816 Proprietary</w:t>
              </w:r>
            </w:hyperlink>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8"/>
          </w:tcPr>
          <w:p>
            <w:pPr>
              <w:spacing w:after="0" w:line="151" w:lineRule="exact"/>
              <w:rPr>
                <w:rFonts w:ascii="Arial" w:cs="Arial" w:eastAsia="Arial" w:hAnsi="Arial"/>
                <w:sz w:val="16"/>
                <w:szCs w:val="16"/>
                <w:color w:val="0000FF"/>
              </w:rPr>
            </w:pPr>
            <w:hyperlink r:id="rId48">
              <w:r>
                <w:rPr>
                  <w:rFonts w:ascii="Arial" w:cs="Arial" w:eastAsia="Arial" w:hAnsi="Arial"/>
                  <w:sz w:val="16"/>
                  <w:szCs w:val="16"/>
                  <w:color w:val="0000FF"/>
                </w:rPr>
                <w:t>Limited (in the process of being renamed Convergence CTSA Proprietary Limited)(incorporated by reference to Exhibit 10.1</w:t>
              </w:r>
            </w:hyperlink>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rPr>
            </w:pPr>
            <w:hyperlink r:id="rId48">
              <w:r>
                <w:rPr>
                  <w:rFonts w:ascii="Arial" w:cs="Arial" w:eastAsia="Arial" w:hAnsi="Arial"/>
                  <w:sz w:val="16"/>
                  <w:szCs w:val="16"/>
                  <w:color w:val="0000FF"/>
                </w:rPr>
                <w:t>to the Company’s Current Report on Form 8-K, filed February 25, 2021).</w:t>
              </w:r>
            </w:hyperlink>
          </w:p>
        </w:tc>
        <w:tc>
          <w:tcPr>
            <w:tcW w:w="36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720" w:type="dxa"/>
            <w:vAlign w:val="bottom"/>
          </w:tcPr>
          <w:p>
            <w:pPr>
              <w:ind w:left="20"/>
              <w:spacing w:after="0" w:line="203"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8"/>
          </w:tcPr>
          <w:p>
            <w:pPr>
              <w:spacing w:after="0" w:line="203" w:lineRule="exact"/>
              <w:rPr>
                <w:rFonts w:ascii="Arial" w:cs="Arial" w:eastAsia="Arial" w:hAnsi="Arial"/>
                <w:sz w:val="18"/>
                <w:szCs w:val="18"/>
                <w:color w:val="0000FF"/>
                <w:w w:val="88"/>
              </w:rPr>
            </w:pPr>
            <w:hyperlink r:id="rId49">
              <w:r>
                <w:rPr>
                  <w:rFonts w:ascii="Arial" w:cs="Arial" w:eastAsia="Arial" w:hAnsi="Arial"/>
                  <w:sz w:val="18"/>
                  <w:szCs w:val="18"/>
                  <w:color w:val="0000FF"/>
                  <w:w w:val="88"/>
                </w:rPr>
                <w:t>Third Addendum dated June 30, 2021 to the Share Purchase Agreement dated February 24, 2021 between Main Street 1816</w:t>
              </w:r>
            </w:hyperlink>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6"/>
          </w:tcPr>
          <w:p>
            <w:pPr>
              <w:spacing w:after="0" w:line="151" w:lineRule="exact"/>
              <w:rPr>
                <w:rFonts w:ascii="Arial" w:cs="Arial" w:eastAsia="Arial" w:hAnsi="Arial"/>
                <w:sz w:val="16"/>
                <w:szCs w:val="16"/>
                <w:color w:val="0000FF"/>
              </w:rPr>
            </w:pPr>
            <w:hyperlink r:id="rId49">
              <w:r>
                <w:rPr>
                  <w:rFonts w:ascii="Arial" w:cs="Arial" w:eastAsia="Arial" w:hAnsi="Arial"/>
                  <w:sz w:val="16"/>
                  <w:szCs w:val="16"/>
                  <w:color w:val="0000FF"/>
                </w:rPr>
                <w:t>Proprietary Limited (in the process of being renamed Convergence CTSA Proprietary Limited) and Inseego Corp.</w:t>
              </w:r>
            </w:hyperlink>
          </w:p>
        </w:tc>
        <w:tc>
          <w:tcPr>
            <w:tcW w:w="160" w:type="dxa"/>
            <w:vAlign w:val="bottom"/>
            <w:gridSpan w:val="2"/>
          </w:tcPr>
          <w:p>
            <w:pPr>
              <w:spacing w:after="0"/>
              <w:rPr>
                <w:sz w:val="13"/>
                <w:szCs w:val="13"/>
                <w:color w:val="auto"/>
              </w:rPr>
            </w:pPr>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3"/>
          </w:tcPr>
          <w:p>
            <w:pPr>
              <w:spacing w:after="0" w:line="151" w:lineRule="exact"/>
              <w:rPr>
                <w:rFonts w:ascii="Arial" w:cs="Arial" w:eastAsia="Arial" w:hAnsi="Arial"/>
                <w:sz w:val="16"/>
                <w:szCs w:val="16"/>
                <w:color w:val="0000FF"/>
              </w:rPr>
            </w:pPr>
            <w:hyperlink r:id="rId49">
              <w:r>
                <w:rPr>
                  <w:rFonts w:ascii="Arial" w:cs="Arial" w:eastAsia="Arial" w:hAnsi="Arial"/>
                  <w:sz w:val="16"/>
                  <w:szCs w:val="16"/>
                  <w:color w:val="0000FF"/>
                </w:rPr>
                <w:t>(incorporated by reference to Exhibit 10.1 to the Company’s Current Report on Form 8-K filed June 30, 2021</w:t>
              </w:r>
              <w:r>
                <w:rPr>
                  <w:rFonts w:ascii="Arial" w:cs="Arial" w:eastAsia="Arial" w:hAnsi="Arial"/>
                  <w:sz w:val="16"/>
                  <w:szCs w:val="16"/>
                  <w:color w:val="000000"/>
                </w:rPr>
                <w:t>.</w:t>
              </w:r>
            </w:hyperlink>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03"/>
        </w:trPr>
        <w:tc>
          <w:tcPr>
            <w:tcW w:w="720" w:type="dxa"/>
            <w:vAlign w:val="bottom"/>
          </w:tcPr>
          <w:p>
            <w:pPr>
              <w:ind w:left="20"/>
              <w:spacing w:after="0" w:line="203"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8"/>
          </w:tcPr>
          <w:p>
            <w:pPr>
              <w:spacing w:after="0" w:line="203"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Second Addendum dated April 30, 2021 to the Share Purchase Agreement dated February 24, 2021 between Main Street</w:t>
              </w:r>
            </w:hyperlink>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1" w:lineRule="exact"/>
              <w:rPr>
                <w:rFonts w:ascii="Arial" w:cs="Arial" w:eastAsia="Arial" w:hAnsi="Arial"/>
                <w:sz w:val="16"/>
                <w:szCs w:val="16"/>
                <w:color w:val="0000FF"/>
              </w:rPr>
            </w:pPr>
            <w:hyperlink r:id="rId50">
              <w:r>
                <w:rPr>
                  <w:rFonts w:ascii="Arial" w:cs="Arial" w:eastAsia="Arial" w:hAnsi="Arial"/>
                  <w:sz w:val="16"/>
                  <w:szCs w:val="16"/>
                  <w:color w:val="0000FF"/>
                </w:rPr>
                <w:t>1816 Proprietary Limited (in the process of being renamed Convergence CTSA Proprietary Limited) and Inseego Corp.</w:t>
              </w:r>
            </w:hyperlink>
          </w:p>
        </w:tc>
        <w:tc>
          <w:tcPr>
            <w:tcW w:w="360" w:type="dxa"/>
            <w:vAlign w:val="bottom"/>
            <w:gridSpan w:val="3"/>
          </w:tcPr>
          <w:p>
            <w:pPr>
              <w:spacing w:after="0"/>
              <w:rPr>
                <w:sz w:val="13"/>
                <w:szCs w:val="13"/>
                <w:color w:val="auto"/>
              </w:rPr>
            </w:pPr>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4"/>
          </w:tcPr>
          <w:p>
            <w:pPr>
              <w:spacing w:after="0" w:line="151" w:lineRule="exact"/>
              <w:rPr>
                <w:rFonts w:ascii="Arial" w:cs="Arial" w:eastAsia="Arial" w:hAnsi="Arial"/>
                <w:sz w:val="16"/>
                <w:szCs w:val="16"/>
                <w:color w:val="0000FF"/>
              </w:rPr>
            </w:pPr>
            <w:hyperlink r:id="rId50">
              <w:r>
                <w:rPr>
                  <w:rFonts w:ascii="Arial" w:cs="Arial" w:eastAsia="Arial" w:hAnsi="Arial"/>
                  <w:sz w:val="16"/>
                  <w:szCs w:val="16"/>
                  <w:color w:val="0000FF"/>
                </w:rPr>
                <w:t>(incorporated by reference to Exhibit 10.2 to the Company’s Current Report on Form 8-K filed June 30, 2021.</w:t>
              </w:r>
            </w:hyperlink>
          </w:p>
        </w:tc>
        <w:tc>
          <w:tcPr>
            <w:tcW w:w="440" w:type="dxa"/>
            <w:vAlign w:val="bottom"/>
            <w:gridSpan w:val="4"/>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869" w:right="339" w:bottom="1440" w:gutter="0" w:footer="0" w:header="0"/>
        </w:sectPr>
      </w:pPr>
    </w:p>
    <w:p>
      <w:pPr>
        <w:ind w:left="20"/>
        <w:spacing w:after="0"/>
        <w:rPr>
          <w:sz w:val="20"/>
          <w:szCs w:val="20"/>
          <w:color w:val="auto"/>
        </w:rPr>
      </w:pPr>
      <w:r>
        <w:rPr>
          <w:rFonts w:ascii="Arial" w:cs="Arial" w:eastAsia="Arial" w:hAnsi="Arial"/>
          <w:sz w:val="15"/>
          <w:szCs w:val="15"/>
          <w:color w:val="auto"/>
        </w:rPr>
        <w:t>2.4</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3.3</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3.4</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br w:type="column"/>
      </w:r>
    </w:p>
    <w:p>
      <w:pPr>
        <w:ind w:right="1520"/>
        <w:spacing w:after="0" w:line="264" w:lineRule="auto"/>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First Addendum dated March 17, 2021 to the Share Purchase Agreement dated February 24, 2021 between Main Street 1816</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Proprietary Limited (in the process of being renamed Convergence CTSA Proprietary Limited) and Inseego Corp.</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(incorporated by reference to Exhibit 10.3 to the Company’s Current Report on Form 8-K filed June 30, 2021.</w:t>
        </w:r>
      </w:hyperlink>
    </w:p>
    <w:p>
      <w:pPr>
        <w:spacing w:after="0" w:line="49" w:lineRule="exact"/>
        <w:rPr>
          <w:rFonts w:ascii="Arial" w:cs="Arial" w:eastAsia="Arial" w:hAnsi="Arial"/>
          <w:sz w:val="16"/>
          <w:szCs w:val="16"/>
          <w:u w:val="single" w:color="auto"/>
          <w:color w:val="0000FF"/>
        </w:rPr>
      </w:pPr>
    </w:p>
    <w:p>
      <w:pPr>
        <w:ind w:right="1920"/>
        <w:spacing w:after="0" w:line="235"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Amended and Restated Certificate of Incorporation (incorporated by reference to Exhibit 3.1 to the Company’s Current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Report on Form 8-K, filed November 9, 2016).</w:t>
        </w:r>
      </w:hyperlink>
    </w:p>
    <w:p>
      <w:pPr>
        <w:spacing w:after="0" w:line="120" w:lineRule="exact"/>
        <w:rPr>
          <w:sz w:val="20"/>
          <w:szCs w:val="20"/>
          <w:color w:val="auto"/>
        </w:rPr>
      </w:pPr>
    </w:p>
    <w:p>
      <w:pPr>
        <w:ind w:right="1780"/>
        <w:spacing w:after="0" w:line="235"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Amended and Restated Bylaws (incorporated by reference to Exhibit 3.2 to the Company’s Current Report on Form 8-K,</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filed November 9, 2016).</w:t>
        </w:r>
      </w:hyperlink>
    </w:p>
    <w:p>
      <w:pPr>
        <w:spacing w:after="0" w:line="120" w:lineRule="exact"/>
        <w:rPr>
          <w:sz w:val="20"/>
          <w:szCs w:val="20"/>
          <w:color w:val="auto"/>
        </w:rPr>
      </w:pPr>
    </w:p>
    <w:p>
      <w:pPr>
        <w:ind w:right="1760"/>
        <w:spacing w:after="0" w:line="235"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Certificate of Designation of Series D Junior Participating Preferred Stock of Inseego Corp. (incorporated by reference to</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Exhibit 3.1 to the Company’s Current Report on Form 8-K, filed January 22, 2018).</w:t>
        </w:r>
      </w:hyperlink>
    </w:p>
    <w:p>
      <w:pPr>
        <w:spacing w:after="0" w:line="67" w:lineRule="exact"/>
        <w:rPr>
          <w:sz w:val="20"/>
          <w:szCs w:val="20"/>
          <w:color w:val="auto"/>
        </w:rPr>
      </w:pPr>
    </w:p>
    <w:p>
      <w:pPr>
        <w:ind w:right="1500"/>
        <w:spacing w:after="0" w:line="217"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Certificate of Designation of Series E Fixed-Rate Cumulative Perpetual Preferred Stock filed with the Secretary of State of</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the State of Delaware on August 8, 2019 (incorporated by reference to Exhibit 3.1 to the Company’s Current Report on Form</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8-K, filed August 13, 2019).</w:t>
        </w:r>
      </w:hyperlink>
    </w:p>
    <w:p>
      <w:pPr>
        <w:spacing w:after="0" w:line="3" w:lineRule="exact"/>
        <w:rPr>
          <w:rFonts w:ascii="Arial" w:cs="Arial" w:eastAsia="Arial" w:hAnsi="Arial"/>
          <w:sz w:val="18"/>
          <w:szCs w:val="18"/>
          <w:u w:val="single" w:color="auto"/>
          <w:color w:val="0000FF"/>
        </w:rPr>
      </w:pPr>
    </w:p>
    <w:p>
      <w:pPr>
        <w:ind w:right="2040"/>
        <w:spacing w:after="0" w:line="256" w:lineRule="auto"/>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Certificate of Amendment to Certificate of Designation of Series E Fixed-Rate Cumulative Perpetual Preferred Stock</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(incorporated by reference to Exhibit 3.1 to the Company’s Current Report on Form 8-K, filed March 10, 2020).</w:t>
        </w:r>
      </w:hyperlink>
    </w:p>
    <w:p>
      <w:pPr>
        <w:spacing w:after="0" w:line="1" w:lineRule="exact"/>
        <w:rPr>
          <w:sz w:val="20"/>
          <w:szCs w:val="20"/>
          <w:color w:val="auto"/>
        </w:rPr>
      </w:pPr>
    </w:p>
    <w:p>
      <w:pPr>
        <w:sectPr>
          <w:pgSz w:w="11900" w:h="16838" w:orient="portrait"/>
          <w:cols w:equalWidth="0" w:num="2">
            <w:col w:w="260" w:space="720"/>
            <w:col w:w="10260"/>
          </w:cols>
          <w:pgMar w:left="320" w:top="869"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98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10260" w:type="dxa"/>
            <w:vAlign w:val="bottom"/>
            <w:gridSpan w:val="15"/>
          </w:tcPr>
          <w:p>
            <w:pPr>
              <w:spacing w:after="0" w:line="184" w:lineRule="exact"/>
              <w:rPr>
                <w:rFonts w:ascii="Arial" w:cs="Arial" w:eastAsia="Arial" w:hAnsi="Arial"/>
                <w:sz w:val="18"/>
                <w:szCs w:val="18"/>
                <w:color w:val="0000FF"/>
              </w:rPr>
            </w:pPr>
            <w:hyperlink r:id="rId57">
              <w:r>
                <w:rPr>
                  <w:rFonts w:ascii="Arial" w:cs="Arial" w:eastAsia="Arial" w:hAnsi="Arial"/>
                  <w:sz w:val="18"/>
                  <w:szCs w:val="18"/>
                  <w:color w:val="0000FF"/>
                </w:rPr>
                <w:t>Amended Inseego Corp. 2018 Omnibus Incentive Compensation Plan (incorporated by reference to Exhibit 10.1 to the</w:t>
              </w:r>
            </w:hyperlink>
          </w:p>
        </w:tc>
      </w:tr>
      <w:tr>
        <w:trPr>
          <w:trHeight w:val="151"/>
        </w:trPr>
        <w:tc>
          <w:tcPr>
            <w:tcW w:w="98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rPr>
            </w:pPr>
            <w:hyperlink r:id="rId57">
              <w:r>
                <w:rPr>
                  <w:rFonts w:ascii="Arial" w:cs="Arial" w:eastAsia="Arial" w:hAnsi="Arial"/>
                  <w:sz w:val="16"/>
                  <w:szCs w:val="16"/>
                  <w:color w:val="0000FF"/>
                </w:rPr>
                <w:t>Company’s Current Report on Form 8-K, filed July 30, 2021).</w:t>
              </w:r>
            </w:hyperlink>
          </w:p>
        </w:tc>
        <w:tc>
          <w:tcPr>
            <w:tcW w:w="396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980" w:type="dxa"/>
            <w:vAlign w:val="bottom"/>
          </w:tcPr>
          <w:p>
            <w:pPr>
              <w:ind w:left="20"/>
              <w:spacing w:after="0" w:line="203" w:lineRule="exact"/>
              <w:rPr>
                <w:sz w:val="20"/>
                <w:szCs w:val="20"/>
                <w:color w:val="auto"/>
              </w:rPr>
            </w:pPr>
            <w:r>
              <w:rPr>
                <w:rFonts w:ascii="Arial" w:cs="Arial" w:eastAsia="Arial" w:hAnsi="Arial"/>
                <w:sz w:val="18"/>
                <w:szCs w:val="18"/>
                <w:color w:val="auto"/>
              </w:rPr>
              <w:t>10.2</w:t>
            </w:r>
          </w:p>
        </w:tc>
        <w:tc>
          <w:tcPr>
            <w:tcW w:w="10260" w:type="dxa"/>
            <w:vAlign w:val="bottom"/>
            <w:gridSpan w:val="15"/>
          </w:tcPr>
          <w:p>
            <w:pPr>
              <w:spacing w:after="0" w:line="203" w:lineRule="exact"/>
              <w:rPr>
                <w:rFonts w:ascii="Arial" w:cs="Arial" w:eastAsia="Arial" w:hAnsi="Arial"/>
                <w:sz w:val="18"/>
                <w:szCs w:val="18"/>
                <w:color w:val="0000FF"/>
              </w:rPr>
            </w:pPr>
            <w:hyperlink r:id="rId58">
              <w:r>
                <w:rPr>
                  <w:rFonts w:ascii="Arial" w:cs="Arial" w:eastAsia="Arial" w:hAnsi="Arial"/>
                  <w:sz w:val="18"/>
                  <w:szCs w:val="18"/>
                  <w:color w:val="0000FF"/>
                </w:rPr>
                <w:t>Independent Contractor Services Agreement, dated as of August 5, 2021(incorporated by reference to Exhibit 10.2 to the</w:t>
              </w:r>
            </w:hyperlink>
          </w:p>
        </w:tc>
      </w:tr>
      <w:tr>
        <w:trPr>
          <w:trHeight w:val="151"/>
        </w:trPr>
        <w:tc>
          <w:tcPr>
            <w:tcW w:w="980" w:type="dxa"/>
            <w:vAlign w:val="bottom"/>
          </w:tcPr>
          <w:p>
            <w:pPr>
              <w:spacing w:after="0"/>
              <w:rPr>
                <w:sz w:val="13"/>
                <w:szCs w:val="13"/>
                <w:color w:val="auto"/>
              </w:rPr>
            </w:pPr>
          </w:p>
        </w:tc>
        <w:tc>
          <w:tcPr>
            <w:tcW w:w="8460" w:type="dxa"/>
            <w:vAlign w:val="bottom"/>
            <w:tcBorders>
              <w:top w:val="single" w:sz="8" w:color="0000FF"/>
            </w:tcBorders>
            <w:gridSpan w:val="12"/>
          </w:tcPr>
          <w:p>
            <w:pPr>
              <w:spacing w:after="0" w:line="151" w:lineRule="exact"/>
              <w:rPr>
                <w:rFonts w:ascii="Arial" w:cs="Arial" w:eastAsia="Arial" w:hAnsi="Arial"/>
                <w:sz w:val="16"/>
                <w:szCs w:val="16"/>
                <w:color w:val="0000FF"/>
              </w:rPr>
            </w:pPr>
            <w:hyperlink r:id="rId58">
              <w:r>
                <w:rPr>
                  <w:rFonts w:ascii="Arial" w:cs="Arial" w:eastAsia="Arial" w:hAnsi="Arial"/>
                  <w:sz w:val="16"/>
                  <w:szCs w:val="16"/>
                  <w:color w:val="0000FF"/>
                </w:rPr>
                <w:t>Company’s Quarterly Report on Form 10-Q, filed August 5,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980" w:type="dxa"/>
            <w:vAlign w:val="bottom"/>
          </w:tcPr>
          <w:p>
            <w:pPr>
              <w:ind w:left="20"/>
              <w:spacing w:after="0" w:line="203" w:lineRule="exact"/>
              <w:rPr>
                <w:sz w:val="20"/>
                <w:szCs w:val="20"/>
                <w:color w:val="auto"/>
              </w:rPr>
            </w:pPr>
            <w:r>
              <w:rPr>
                <w:rFonts w:ascii="Arial" w:cs="Arial" w:eastAsia="Arial" w:hAnsi="Arial"/>
                <w:sz w:val="18"/>
                <w:szCs w:val="18"/>
                <w:color w:val="auto"/>
              </w:rPr>
              <w:t>10.3</w:t>
            </w:r>
          </w:p>
        </w:tc>
        <w:tc>
          <w:tcPr>
            <w:tcW w:w="10260" w:type="dxa"/>
            <w:vAlign w:val="bottom"/>
            <w:gridSpan w:val="15"/>
          </w:tcPr>
          <w:p>
            <w:pPr>
              <w:spacing w:after="0" w:line="203" w:lineRule="exact"/>
              <w:rPr>
                <w:rFonts w:ascii="Arial" w:cs="Arial" w:eastAsia="Arial" w:hAnsi="Arial"/>
                <w:sz w:val="18"/>
                <w:szCs w:val="18"/>
                <w:color w:val="0000FF"/>
              </w:rPr>
            </w:pPr>
            <w:hyperlink r:id="rId59">
              <w:r>
                <w:rPr>
                  <w:rFonts w:ascii="Arial" w:cs="Arial" w:eastAsia="Arial" w:hAnsi="Arial"/>
                  <w:sz w:val="18"/>
                  <w:szCs w:val="18"/>
                  <w:color w:val="0000FF"/>
                </w:rPr>
                <w:t>Form of Exchange Agreement, dated September 3, between Inseego Corp. and certain investors holding the Company’s</w:t>
              </w:r>
            </w:hyperlink>
          </w:p>
        </w:tc>
      </w:tr>
      <w:tr>
        <w:trPr>
          <w:trHeight w:val="164"/>
        </w:trPr>
        <w:tc>
          <w:tcPr>
            <w:tcW w:w="980" w:type="dxa"/>
            <w:vAlign w:val="bottom"/>
          </w:tcPr>
          <w:p>
            <w:pPr>
              <w:spacing w:after="0"/>
              <w:rPr>
                <w:sz w:val="14"/>
                <w:szCs w:val="14"/>
                <w:color w:val="auto"/>
              </w:rPr>
            </w:pPr>
          </w:p>
        </w:tc>
        <w:tc>
          <w:tcPr>
            <w:tcW w:w="8380" w:type="dxa"/>
            <w:vAlign w:val="bottom"/>
            <w:tcBorders>
              <w:top w:val="single" w:sz="8" w:color="0000FF"/>
            </w:tcBorders>
            <w:gridSpan w:val="11"/>
          </w:tcPr>
          <w:p>
            <w:pPr>
              <w:spacing w:after="0" w:line="163"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Series E Fixed-Rate Cumulative Perpetual Preferred Stock (incorporated by reference to Exhibit 1.2 to the Company’s</w:t>
              </w:r>
            </w:hyperlink>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4"/>
        </w:trPr>
        <w:tc>
          <w:tcPr>
            <w:tcW w:w="980" w:type="dxa"/>
            <w:vAlign w:val="bottom"/>
          </w:tcPr>
          <w:p>
            <w:pPr>
              <w:spacing w:after="0"/>
              <w:rPr>
                <w:sz w:val="14"/>
                <w:szCs w:val="14"/>
                <w:color w:val="auto"/>
              </w:rPr>
            </w:pPr>
          </w:p>
        </w:tc>
        <w:tc>
          <w:tcPr>
            <w:tcW w:w="8280" w:type="dxa"/>
            <w:vAlign w:val="bottom"/>
            <w:tcBorders>
              <w:top w:val="single" w:sz="8" w:color="0000FF"/>
            </w:tcBorders>
            <w:gridSpan w:val="9"/>
          </w:tcPr>
          <w:p>
            <w:pPr>
              <w:spacing w:after="0" w:line="163" w:lineRule="exact"/>
              <w:rPr>
                <w:rFonts w:ascii="Arial" w:cs="Arial" w:eastAsia="Arial" w:hAnsi="Arial"/>
                <w:sz w:val="18"/>
                <w:szCs w:val="18"/>
                <w:color w:val="0000FF"/>
              </w:rPr>
            </w:pPr>
            <w:hyperlink r:id="rId59">
              <w:r>
                <w:rPr>
                  <w:rFonts w:ascii="Arial" w:cs="Arial" w:eastAsia="Arial" w:hAnsi="Arial"/>
                  <w:sz w:val="18"/>
                  <w:szCs w:val="18"/>
                  <w:color w:val="0000FF"/>
                </w:rPr>
                <w:t>Current Report on Form 8-K, filed September 3, 2021).</w:t>
              </w:r>
            </w:hyperlink>
          </w:p>
        </w:tc>
        <w:tc>
          <w:tcPr>
            <w:tcW w:w="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0260" w:type="dxa"/>
            <w:vAlign w:val="bottom"/>
            <w:gridSpan w:val="15"/>
          </w:tcPr>
          <w:p>
            <w:pPr>
              <w:spacing w:after="0"/>
              <w:rPr>
                <w:rFonts w:ascii="Arial" w:cs="Arial" w:eastAsia="Arial" w:hAnsi="Arial"/>
                <w:sz w:val="18"/>
                <w:szCs w:val="18"/>
                <w:color w:val="0000FF"/>
              </w:rPr>
            </w:pPr>
            <w:hyperlink r:id="rId60">
              <w:r>
                <w:rPr>
                  <w:rFonts w:ascii="Arial" w:cs="Arial" w:eastAsia="Arial" w:hAnsi="Arial"/>
                  <w:sz w:val="18"/>
                  <w:szCs w:val="18"/>
                  <w:color w:val="0000FF"/>
                </w:rPr>
                <w:t>Offer Letter dated October 13, 2021 between Inseego Corp. and Robert G. Barbieri</w:t>
              </w:r>
            </w:hyperlink>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7140" w:type="dxa"/>
            <w:vAlign w:val="bottom"/>
            <w:tcBorders>
              <w:bottom w:val="single" w:sz="8" w:color="0000FF"/>
            </w:tcBorders>
            <w:gridSpan w:val="6"/>
          </w:tcPr>
          <w:p>
            <w:pPr>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Form of Inducement Stock Option Agreement, by and between Inseego Corp. and Robert G. Barbieri.</w:t>
              </w:r>
            </w:hyperlink>
          </w:p>
        </w:tc>
        <w:tc>
          <w:tcPr>
            <w:tcW w:w="3120" w:type="dxa"/>
            <w:vAlign w:val="bottom"/>
            <w:gridSpan w:val="9"/>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10260" w:type="dxa"/>
            <w:vAlign w:val="bottom"/>
            <w:gridSpan w:val="15"/>
          </w:tcPr>
          <w:p>
            <w:pPr>
              <w:spacing w:after="0"/>
              <w:rPr>
                <w:rFonts w:ascii="Arial" w:cs="Arial" w:eastAsia="Arial" w:hAnsi="Arial"/>
                <w:sz w:val="18"/>
                <w:szCs w:val="18"/>
                <w:color w:val="0000FF"/>
              </w:rPr>
            </w:pPr>
            <w:hyperlink r:id="rId62">
              <w:r>
                <w:rPr>
                  <w:rFonts w:ascii="Arial" w:cs="Arial" w:eastAsia="Arial" w:hAnsi="Arial"/>
                  <w:sz w:val="18"/>
                  <w:szCs w:val="18"/>
                  <w:color w:val="0000FF"/>
                </w:rPr>
                <w:t>Change in Control Agreement dated October 25, 2021 between Inseego Corp. and Robert G. Barbieri.</w:t>
              </w:r>
            </w:hyperlink>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10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9"/>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0260" w:type="dxa"/>
            <w:vAlign w:val="bottom"/>
            <w:gridSpan w:val="1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21"/>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8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120" w:type="dxa"/>
            <w:vAlign w:val="bottom"/>
            <w:gridSpan w:val="7"/>
          </w:tcPr>
          <w:p>
            <w:pPr>
              <w:spacing w:after="0"/>
              <w:rPr>
                <w:sz w:val="24"/>
                <w:szCs w:val="24"/>
                <w:color w:val="auto"/>
              </w:rPr>
            </w:pPr>
          </w:p>
        </w:tc>
      </w:tr>
      <w:tr>
        <w:trPr>
          <w:trHeight w:val="321"/>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026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64"/>
        </w:trPr>
        <w:tc>
          <w:tcPr>
            <w:tcW w:w="980" w:type="dxa"/>
            <w:vAlign w:val="bottom"/>
          </w:tcPr>
          <w:p>
            <w:pPr>
              <w:spacing w:after="0"/>
              <w:rPr>
                <w:sz w:val="14"/>
                <w:szCs w:val="14"/>
                <w:color w:val="auto"/>
              </w:rPr>
            </w:pPr>
          </w:p>
        </w:tc>
        <w:tc>
          <w:tcPr>
            <w:tcW w:w="8540" w:type="dxa"/>
            <w:vAlign w:val="bottom"/>
            <w:tcBorders>
              <w:top w:val="single" w:sz="8" w:color="0000FF"/>
            </w:tcBorders>
            <w:gridSpan w:val="14"/>
          </w:tcPr>
          <w:p>
            <w:pPr>
              <w:spacing w:after="0" w:line="163" w:lineRule="exact"/>
              <w:rPr>
                <w:rFonts w:ascii="Arial" w:cs="Arial" w:eastAsia="Arial" w:hAnsi="Arial"/>
                <w:sz w:val="18"/>
                <w:szCs w:val="18"/>
                <w:color w:val="0000FF"/>
              </w:rPr>
            </w:pPr>
            <w:hyperlink w:anchor="page43">
              <w:r>
                <w:rPr>
                  <w:rFonts w:ascii="Arial" w:cs="Arial" w:eastAsia="Arial" w:hAnsi="Arial"/>
                  <w:sz w:val="18"/>
                  <w:szCs w:val="18"/>
                  <w:color w:val="0000FF"/>
                </w:rPr>
                <w:t>Sarbanes-Oxley Act of 2002.</w:t>
              </w:r>
            </w:hyperlink>
          </w:p>
        </w:tc>
        <w:tc>
          <w:tcPr>
            <w:tcW w:w="172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321"/>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0260" w:type="dxa"/>
            <w:vAlign w:val="bottom"/>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Financial Officer pursuant to 18 U.S.C. Section 1350, as adopted pursuant to Section 906 of the</w:t>
              </w:r>
            </w:hyperlink>
          </w:p>
        </w:tc>
      </w:tr>
      <w:tr>
        <w:trPr>
          <w:trHeight w:val="164"/>
        </w:trPr>
        <w:tc>
          <w:tcPr>
            <w:tcW w:w="980" w:type="dxa"/>
            <w:vAlign w:val="bottom"/>
          </w:tcPr>
          <w:p>
            <w:pPr>
              <w:spacing w:after="0"/>
              <w:rPr>
                <w:sz w:val="14"/>
                <w:szCs w:val="14"/>
                <w:color w:val="auto"/>
              </w:rPr>
            </w:pPr>
          </w:p>
        </w:tc>
        <w:tc>
          <w:tcPr>
            <w:tcW w:w="8500" w:type="dxa"/>
            <w:vAlign w:val="bottom"/>
            <w:tcBorders>
              <w:top w:val="single" w:sz="8" w:color="0000FF"/>
            </w:tcBorders>
            <w:gridSpan w:val="13"/>
          </w:tcPr>
          <w:p>
            <w:pPr>
              <w:spacing w:after="0" w:line="163" w:lineRule="exact"/>
              <w:rPr>
                <w:rFonts w:ascii="Arial" w:cs="Arial" w:eastAsia="Arial" w:hAnsi="Arial"/>
                <w:sz w:val="18"/>
                <w:szCs w:val="18"/>
                <w:color w:val="0000FF"/>
              </w:rPr>
            </w:pPr>
            <w:hyperlink w:anchor="page44">
              <w:r>
                <w:rPr>
                  <w:rFonts w:ascii="Arial" w:cs="Arial" w:eastAsia="Arial" w:hAnsi="Arial"/>
                  <w:sz w:val="18"/>
                  <w:szCs w:val="18"/>
                  <w:color w:val="0000FF"/>
                </w:rPr>
                <w:t>Sarbanes-Oxley Act of 2002.</w:t>
              </w:r>
            </w:hyperlink>
          </w:p>
        </w:tc>
        <w:tc>
          <w:tcPr>
            <w:tcW w:w="1760" w:type="dxa"/>
            <w:vAlign w:val="bottom"/>
            <w:gridSpan w:val="2"/>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r>
      <w:tr>
        <w:trPr>
          <w:trHeight w:val="322"/>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22"/>
        </w:trPr>
        <w:tc>
          <w:tcPr>
            <w:tcW w:w="980" w:type="dxa"/>
            <w:vAlign w:val="bottom"/>
          </w:tcPr>
          <w:p>
            <w:pPr>
              <w:spacing w:after="0"/>
              <w:rPr>
                <w:sz w:val="19"/>
                <w:szCs w:val="19"/>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41"/>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41"/>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41"/>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41"/>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41"/>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893"/>
        </w:trPr>
        <w:tc>
          <w:tcPr>
            <w:tcW w:w="980" w:type="dxa"/>
            <w:vAlign w:val="bottom"/>
          </w:tcPr>
          <w:p>
            <w:pPr>
              <w:spacing w:after="0"/>
              <w:rPr>
                <w:sz w:val="24"/>
                <w:szCs w:val="24"/>
                <w:color w:val="auto"/>
              </w:rPr>
            </w:pPr>
          </w:p>
        </w:tc>
        <w:tc>
          <w:tcPr>
            <w:tcW w:w="5820" w:type="dxa"/>
            <w:vAlign w:val="bottom"/>
            <w:gridSpan w:val="5"/>
          </w:tcPr>
          <w:p>
            <w:pPr>
              <w:ind w:left="4560"/>
              <w:spacing w:after="0"/>
              <w:rPr>
                <w:sz w:val="20"/>
                <w:szCs w:val="20"/>
                <w:color w:val="auto"/>
              </w:rPr>
            </w:pPr>
            <w:r>
              <w:rPr>
                <w:rFonts w:ascii="Arial" w:cs="Arial" w:eastAsia="Arial" w:hAnsi="Arial"/>
                <w:sz w:val="18"/>
                <w:szCs w:val="18"/>
                <w:color w:val="auto"/>
              </w:rPr>
              <w:t>38</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2"/>
        </w:trPr>
        <w:tc>
          <w:tcPr>
            <w:tcW w:w="9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38" w:name="page39"/>
    <w:bookmarkEnd w:id="38"/>
    <w:p>
      <w:pPr>
        <w:spacing w:after="0"/>
        <w:tabs>
          <w:tab w:leader="none" w:pos="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6219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219190" cy="8255"/>
                    </a:xfrm>
                    <a:prstGeom prst="rect">
                      <a:avLst/>
                    </a:prstGeom>
                    <a:noFill/>
                  </pic:spPr>
                </pic:pic>
              </a:graphicData>
            </a:graphic>
          </wp:anchor>
        </w:drawing>
      </w:r>
    </w:p>
    <w:p>
      <w:pPr>
        <w:spacing w:after="0" w:line="6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92" w:lineRule="exact"/>
        <w:rPr>
          <w:sz w:val="20"/>
          <w:szCs w:val="20"/>
          <w:color w:val="auto"/>
        </w:rPr>
      </w:pPr>
    </w:p>
    <w:p>
      <w:pPr>
        <w:ind w:left="960" w:hanging="95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82" w:lineRule="exact"/>
        <w:rPr>
          <w:sz w:val="20"/>
          <w:szCs w:val="20"/>
          <w:color w:val="auto"/>
        </w:rPr>
      </w:pPr>
    </w:p>
    <w:p>
      <w:pPr>
        <w:ind w:left="960" w:hanging="95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19"/>
          </w:cols>
          <w:pgMar w:left="340" w:top="997" w:right="1440"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780" w:firstLine="433"/>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Date: November 4, 2021</w:t>
            </w:r>
          </w:p>
        </w:tc>
        <w:tc>
          <w:tcPr>
            <w:tcW w:w="3740" w:type="dxa"/>
            <w:vAlign w:val="bottom"/>
            <w:gridSpan w:val="2"/>
          </w:tcPr>
          <w:p>
            <w:pPr>
              <w:ind w:left="2420"/>
              <w:spacing w:after="0"/>
              <w:rPr>
                <w:sz w:val="20"/>
                <w:szCs w:val="20"/>
                <w:color w:val="auto"/>
              </w:rPr>
            </w:pPr>
            <w:r>
              <w:rPr>
                <w:rFonts w:ascii="Arial" w:cs="Arial" w:eastAsia="Arial" w:hAnsi="Arial"/>
                <w:sz w:val="18"/>
                <w:szCs w:val="18"/>
                <w:color w:val="auto"/>
              </w:rPr>
              <w:t>Inseego Corp.</w:t>
            </w:r>
          </w:p>
        </w:tc>
        <w:tc>
          <w:tcPr>
            <w:tcW w:w="3300" w:type="dxa"/>
            <w:vAlign w:val="bottom"/>
          </w:tcPr>
          <w:p>
            <w:pPr>
              <w:spacing w:after="0"/>
              <w:rPr>
                <w:sz w:val="19"/>
                <w:szCs w:val="19"/>
                <w:color w:val="auto"/>
              </w:rPr>
            </w:pPr>
          </w:p>
        </w:tc>
      </w:tr>
      <w:tr>
        <w:trPr>
          <w:trHeight w:val="276"/>
        </w:trPr>
        <w:tc>
          <w:tcPr>
            <w:tcW w:w="4140" w:type="dxa"/>
            <w:vAlign w:val="bottom"/>
          </w:tcPr>
          <w:p>
            <w:pPr>
              <w:spacing w:after="0"/>
              <w:rPr>
                <w:sz w:val="23"/>
                <w:szCs w:val="23"/>
                <w:color w:val="auto"/>
              </w:rPr>
            </w:pPr>
          </w:p>
        </w:tc>
        <w:tc>
          <w:tcPr>
            <w:tcW w:w="3740" w:type="dxa"/>
            <w:vAlign w:val="bottom"/>
            <w:gridSpan w:val="2"/>
          </w:tcPr>
          <w:p>
            <w:pPr>
              <w:ind w:left="242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647"/>
              <w:spacing w:after="0"/>
              <w:rPr>
                <w:sz w:val="20"/>
                <w:szCs w:val="20"/>
                <w:color w:val="auto"/>
              </w:rPr>
            </w:pPr>
            <w:r>
              <w:rPr>
                <w:rFonts w:ascii="Arial" w:cs="Arial" w:eastAsia="Arial" w:hAnsi="Arial"/>
                <w:sz w:val="16"/>
                <w:szCs w:val="16"/>
                <w:color w:val="auto"/>
              </w:rPr>
              <w:t>/s/  DAN MONDOR</w:t>
            </w:r>
          </w:p>
        </w:tc>
      </w:tr>
      <w:tr>
        <w:trPr>
          <w:trHeight w:val="168"/>
        </w:trPr>
        <w:tc>
          <w:tcPr>
            <w:tcW w:w="4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647"/>
              <w:spacing w:after="0"/>
              <w:rPr>
                <w:sz w:val="20"/>
                <w:szCs w:val="20"/>
                <w:color w:val="auto"/>
              </w:rPr>
            </w:pPr>
            <w:r>
              <w:rPr>
                <w:rFonts w:ascii="Arial" w:cs="Arial" w:eastAsia="Arial" w:hAnsi="Arial"/>
                <w:sz w:val="14"/>
                <w:szCs w:val="14"/>
                <w:b w:val="1"/>
                <w:bCs w:val="1"/>
                <w:color w:val="auto"/>
                <w:w w:val="95"/>
              </w:rPr>
              <w:t>Dan Mondor</w:t>
            </w:r>
          </w:p>
        </w:tc>
      </w:tr>
      <w:tr>
        <w:trPr>
          <w:trHeight w:val="183"/>
        </w:trPr>
        <w:tc>
          <w:tcPr>
            <w:tcW w:w="4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tcPr>
          <w:p>
            <w:pPr>
              <w:jc w:val="center"/>
              <w:ind w:right="627"/>
              <w:spacing w:after="0"/>
              <w:rPr>
                <w:sz w:val="20"/>
                <w:szCs w:val="20"/>
                <w:color w:val="auto"/>
              </w:rPr>
            </w:pPr>
            <w:r>
              <w:rPr>
                <w:rFonts w:ascii="Arial" w:cs="Arial" w:eastAsia="Arial" w:hAnsi="Arial"/>
                <w:sz w:val="14"/>
                <w:szCs w:val="14"/>
                <w:b w:val="1"/>
                <w:bCs w:val="1"/>
                <w:color w:val="auto"/>
                <w:w w:val="91"/>
              </w:rPr>
              <w:t>Chief Executive Officer</w:t>
            </w:r>
          </w:p>
        </w:tc>
      </w:tr>
      <w:tr>
        <w:trPr>
          <w:trHeight w:val="614"/>
        </w:trPr>
        <w:tc>
          <w:tcPr>
            <w:tcW w:w="4140" w:type="dxa"/>
            <w:vAlign w:val="bottom"/>
          </w:tcPr>
          <w:p>
            <w:pPr>
              <w:spacing w:after="0"/>
              <w:rPr>
                <w:sz w:val="24"/>
                <w:szCs w:val="24"/>
                <w:color w:val="auto"/>
              </w:rPr>
            </w:pPr>
          </w:p>
        </w:tc>
        <w:tc>
          <w:tcPr>
            <w:tcW w:w="3740" w:type="dxa"/>
            <w:vAlign w:val="bottom"/>
            <w:gridSpan w:val="2"/>
          </w:tcPr>
          <w:p>
            <w:pPr>
              <w:ind w:left="242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627"/>
              <w:spacing w:after="0"/>
              <w:rPr>
                <w:sz w:val="20"/>
                <w:szCs w:val="20"/>
                <w:color w:val="auto"/>
              </w:rPr>
            </w:pPr>
            <w:r>
              <w:rPr>
                <w:rFonts w:ascii="Arial" w:cs="Arial" w:eastAsia="Arial" w:hAnsi="Arial"/>
                <w:sz w:val="16"/>
                <w:szCs w:val="16"/>
                <w:color w:val="auto"/>
                <w:w w:val="97"/>
              </w:rPr>
              <w:t>/s/  ROBERT G. BARBIERI</w:t>
            </w:r>
          </w:p>
        </w:tc>
      </w:tr>
      <w:tr>
        <w:trPr>
          <w:trHeight w:val="168"/>
        </w:trPr>
        <w:tc>
          <w:tcPr>
            <w:tcW w:w="4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647"/>
              <w:spacing w:after="0"/>
              <w:rPr>
                <w:sz w:val="20"/>
                <w:szCs w:val="20"/>
                <w:color w:val="auto"/>
              </w:rPr>
            </w:pPr>
            <w:r>
              <w:rPr>
                <w:rFonts w:ascii="Arial" w:cs="Arial" w:eastAsia="Arial" w:hAnsi="Arial"/>
                <w:sz w:val="14"/>
                <w:szCs w:val="14"/>
                <w:b w:val="1"/>
                <w:bCs w:val="1"/>
                <w:color w:val="auto"/>
                <w:w w:val="94"/>
              </w:rPr>
              <w:t>Robert G. Barbieri</w:t>
            </w:r>
          </w:p>
        </w:tc>
      </w:tr>
      <w:tr>
        <w:trPr>
          <w:trHeight w:val="183"/>
        </w:trPr>
        <w:tc>
          <w:tcPr>
            <w:tcW w:w="4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tcPr>
          <w:p>
            <w:pPr>
              <w:jc w:val="center"/>
              <w:ind w:right="647"/>
              <w:spacing w:after="0"/>
              <w:rPr>
                <w:sz w:val="20"/>
                <w:szCs w:val="20"/>
                <w:color w:val="auto"/>
              </w:rPr>
            </w:pPr>
            <w:r>
              <w:rPr>
                <w:rFonts w:ascii="Arial" w:cs="Arial" w:eastAsia="Arial" w:hAnsi="Arial"/>
                <w:sz w:val="14"/>
                <w:szCs w:val="14"/>
                <w:b w:val="1"/>
                <w:bCs w:val="1"/>
                <w:color w:val="auto"/>
                <w:w w:val="92"/>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869"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61" w:lineRule="exact"/>
        <w:rPr>
          <w:sz w:val="20"/>
          <w:szCs w:val="20"/>
          <w:color w:val="auto"/>
        </w:rPr>
      </w:pPr>
    </w:p>
    <w:p>
      <w:pPr>
        <w:ind w:left="660" w:hanging="1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0" w:lineRule="exact"/>
        <w:rPr>
          <w:rFonts w:ascii="Arial" w:cs="Arial" w:eastAsia="Arial" w:hAnsi="Arial"/>
          <w:sz w:val="18"/>
          <w:szCs w:val="18"/>
          <w:color w:val="auto"/>
        </w:rPr>
      </w:pPr>
    </w:p>
    <w:p>
      <w:pPr>
        <w:ind w:right="400" w:firstLine="478"/>
        <w:spacing w:after="0" w:line="361" w:lineRule="auto"/>
        <w:tabs>
          <w:tab w:leader="none" w:pos="648"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80" w:firstLine="478"/>
        <w:spacing w:after="0" w:line="323"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40" w:firstLine="478"/>
        <w:spacing w:after="0" w:line="252"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80" w:right="240" w:hanging="236"/>
        <w:spacing w:after="0" w:line="21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80" w:right="540" w:hanging="246"/>
        <w:spacing w:after="0" w:line="21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80" w:right="720" w:hanging="236"/>
        <w:spacing w:after="0" w:line="306" w:lineRule="auto"/>
        <w:tabs>
          <w:tab w:leader="none" w:pos="10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80" w:right="240" w:hanging="246"/>
        <w:spacing w:after="0" w:line="21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300" w:firstLine="478"/>
        <w:spacing w:after="0" w:line="323"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6"/>
          <w:szCs w:val="16"/>
          <w:color w:val="auto"/>
        </w:rPr>
      </w:pPr>
    </w:p>
    <w:p>
      <w:pPr>
        <w:ind w:left="1080" w:right="140" w:hanging="236"/>
        <w:spacing w:after="0" w:line="27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80" w:right="100" w:hanging="246"/>
        <w:spacing w:after="0" w:line="22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6"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18415</wp:posOffset>
            </wp:positionV>
            <wp:extent cx="3392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14"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0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Robert G. Barbieri, certify that:</w:t>
      </w:r>
    </w:p>
    <w:p>
      <w:pPr>
        <w:spacing w:after="0" w:line="161" w:lineRule="exact"/>
        <w:rPr>
          <w:sz w:val="20"/>
          <w:szCs w:val="20"/>
          <w:color w:val="auto"/>
        </w:rPr>
      </w:pPr>
    </w:p>
    <w:p>
      <w:pPr>
        <w:ind w:left="660" w:hanging="1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0" w:lineRule="exact"/>
        <w:rPr>
          <w:rFonts w:ascii="Arial" w:cs="Arial" w:eastAsia="Arial" w:hAnsi="Arial"/>
          <w:sz w:val="18"/>
          <w:szCs w:val="18"/>
          <w:color w:val="auto"/>
        </w:rPr>
      </w:pPr>
    </w:p>
    <w:p>
      <w:pPr>
        <w:ind w:right="400" w:firstLine="478"/>
        <w:spacing w:after="0" w:line="361" w:lineRule="auto"/>
        <w:tabs>
          <w:tab w:leader="none" w:pos="648"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80" w:firstLine="478"/>
        <w:spacing w:after="0" w:line="323"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40" w:firstLine="478"/>
        <w:spacing w:after="0" w:line="252"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080" w:right="240" w:hanging="236"/>
        <w:spacing w:after="0" w:line="21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80" w:right="540" w:hanging="246"/>
        <w:spacing w:after="0" w:line="21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80" w:right="720" w:hanging="236"/>
        <w:spacing w:after="0" w:line="306" w:lineRule="auto"/>
        <w:tabs>
          <w:tab w:leader="none" w:pos="10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80" w:right="240" w:hanging="246"/>
        <w:spacing w:after="0" w:line="21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300" w:firstLine="478"/>
        <w:spacing w:after="0" w:line="323"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6"/>
          <w:szCs w:val="16"/>
          <w:color w:val="auto"/>
        </w:rPr>
      </w:pPr>
    </w:p>
    <w:p>
      <w:pPr>
        <w:ind w:left="1080" w:right="140" w:hanging="236"/>
        <w:spacing w:after="0" w:line="272" w:lineRule="auto"/>
        <w:tabs>
          <w:tab w:leader="none" w:pos="1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80" w:right="100" w:hanging="246"/>
        <w:spacing w:after="0" w:line="22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6"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18415</wp:posOffset>
            </wp:positionV>
            <wp:extent cx="3392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17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Robert G. Barbieri</w:t>
      </w:r>
    </w:p>
    <w:p>
      <w:pPr>
        <w:spacing w:after="0" w:line="114"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7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54" w:lineRule="exact"/>
        <w:rPr>
          <w:sz w:val="20"/>
          <w:szCs w:val="20"/>
          <w:color w:val="auto"/>
        </w:rPr>
      </w:pPr>
    </w:p>
    <w:p>
      <w:pPr>
        <w:ind w:left="1480" w:right="440" w:hanging="821"/>
        <w:spacing w:after="0" w:line="22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480" w:right="420" w:hanging="821"/>
        <w:spacing w:after="0" w:line="22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39"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18415</wp:posOffset>
            </wp:positionV>
            <wp:extent cx="3293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293110"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Dan Mondor</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Executive Officer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7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 Robert G. Barbieri, Chief Financial Officer of Inseego Corp.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54" w:lineRule="exact"/>
        <w:rPr>
          <w:sz w:val="20"/>
          <w:szCs w:val="20"/>
          <w:color w:val="auto"/>
        </w:rPr>
      </w:pPr>
    </w:p>
    <w:p>
      <w:pPr>
        <w:ind w:left="1300" w:right="600" w:hanging="805"/>
        <w:spacing w:after="0" w:line="22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300" w:right="600" w:hanging="805"/>
        <w:spacing w:after="0" w:line="22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39"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18415</wp:posOffset>
            </wp:positionV>
            <wp:extent cx="3293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3293110" cy="8255"/>
                    </a:xfrm>
                    <a:prstGeom prst="rect">
                      <a:avLst/>
                    </a:prstGeom>
                    <a:noFill/>
                  </pic:spPr>
                </pic:pic>
              </a:graphicData>
            </a:graphic>
          </wp:anchor>
        </w:drawing>
      </w:r>
    </w:p>
    <w:p>
      <w:pPr>
        <w:spacing w:after="0" w:line="174"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Robert G. Barbieri</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48" Type="http://schemas.openxmlformats.org/officeDocument/2006/relationships/hyperlink" Target="https://www.sec.gov/Archives/edgar/data/1022652/000102265221000009/insg20210224ex101sharepurc.htm" TargetMode="External"/><Relationship Id="rId49" Type="http://schemas.openxmlformats.org/officeDocument/2006/relationships/hyperlink" Target="https://www.sec.gov/Archives/edgar/data/1022652/000102265221000066/thirdaddendumtospa_executi.htm" TargetMode="External"/><Relationship Id="rId50" Type="http://schemas.openxmlformats.org/officeDocument/2006/relationships/hyperlink" Target="https://www.sec.gov/Archives/edgar/data/1022652/000102265221000066/secondaddendumtospa30april.htm" TargetMode="External"/><Relationship Id="rId51" Type="http://schemas.openxmlformats.org/officeDocument/2006/relationships/hyperlink" Target="https://www.sec.gov/Archives/edgar/data/1022652/000102265221000066/insg20210630ex103firstadde.htm" TargetMode="External"/><Relationship Id="rId52" Type="http://schemas.openxmlformats.org/officeDocument/2006/relationships/hyperlink" Target="http://www.sec.gov/Archives/edgar/data/1022652/000119312516763609/d261554dex31.htm" TargetMode="External"/><Relationship Id="rId53" Type="http://schemas.openxmlformats.org/officeDocument/2006/relationships/hyperlink" Target="http://www.sec.gov/Archives/edgar/data/1022652/000119312516763609/d261554dex32.htm" TargetMode="External"/><Relationship Id="rId54" Type="http://schemas.openxmlformats.org/officeDocument/2006/relationships/hyperlink" Target="http://www.sec.gov/Archives/edgar/data/1022652/000119312518015371/d525985dex31.htm" TargetMode="External"/><Relationship Id="rId55" Type="http://schemas.openxmlformats.org/officeDocument/2006/relationships/hyperlink" Target="http://www.sec.gov/Archives/edgar/data/1022652/000119312519219943/d792529dex31.htm" TargetMode="External"/><Relationship Id="rId56" Type="http://schemas.openxmlformats.org/officeDocument/2006/relationships/hyperlink" Target="http://www.sec.gov/Archives/edgar/data/1022652/000119312520067668/d824727dex31.htm" TargetMode="External"/><Relationship Id="rId57" Type="http://schemas.openxmlformats.org/officeDocument/2006/relationships/hyperlink" Target="https://www.sec.gov/Archives/edgar/data/0001022652/000102265221000068/a2018ominbusplanamended072.htm" TargetMode="External"/><Relationship Id="rId58" Type="http://schemas.openxmlformats.org/officeDocument/2006/relationships/hyperlink" Target="https://www.sec.gov/Archives/edgar/data/1022652/000102265221000083/insg063021ex102independent.htm" TargetMode="External"/><Relationship Id="rId59" Type="http://schemas.openxmlformats.org/officeDocument/2006/relationships/hyperlink" Target="https://www.sec.gov/Archives/edgar/data/0001022652/000168316821004112/inseego_ex0102.htm" TargetMode="External"/><Relationship Id="rId60" Type="http://schemas.openxmlformats.org/officeDocument/2006/relationships/hyperlink" Target="https://www.sec.gov/ix?doc=/Archives/edgar/data/1022652/000168316821005022/inseego_8ka.htm" TargetMode="External"/><Relationship Id="rId61" Type="http://schemas.openxmlformats.org/officeDocument/2006/relationships/hyperlink" Target="https://www.sec.gov/Archives/edgar/data/1022652/000168316821005022/inseego_ex1002.htm" TargetMode="External"/><Relationship Id="rId62" Type="http://schemas.openxmlformats.org/officeDocument/2006/relationships/hyperlink" Target="https://www.sec.gov/Archives/edgar/data/1022652/000168316821005022/inseego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2021-11-05T05:45:08Z</dcterms:created>
  <dcterms:modified xsi:type="dcterms:W3CDTF">2021-11-05T05:45:08Z</dcterms:modified>
</cp:coreProperties>
</file>