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4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10-K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fiscal year ended December 31, 2023 </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18"/>
        </w:rPr>
        <w:t>For the transition period from</w:t>
      </w:r>
      <w:r>
        <w:rPr>
          <w:color w:val="000000"/>
        </w:rPr>
        <w:t xml:space="preserve">                          </w:t>
      </w:r>
      <w:r>
        <w:rPr>
          <w:rFonts w:ascii="Times New Roman;sans-serif" w:hAnsi="Times New Roman;sans-serif"/>
          <w:b/>
          <w:color w:val="000000"/>
          <w:sz w:val="18"/>
        </w:rPr>
        <w:t>to</w:t>
      </w:r>
      <w:r>
        <w:rPr>
          <w:color w:val="000000"/>
        </w:rPr>
        <w:t xml:space="preserve">                         </w:t>
      </w:r>
    </w:p>
    <w:p>
      <w:pPr>
        <w:pStyle w:val="TextBody"/>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001-38358 </w:t>
      </w:r>
    </w:p>
    <w:p>
      <w:pPr>
        <w:pStyle w:val="TextBody"/>
        <w:bidi w:val="0"/>
        <w:spacing w:lineRule="auto" w:line="288" w:before="40" w:after="283"/>
        <w:jc w:val="center"/>
        <w:rPr>
          <w:rFonts w:ascii="Times New Roman;sans-serif" w:hAnsi="Times New Roman;sans-serif"/>
          <w:b/>
          <w:color w:val="000000"/>
          <w:sz w:val="40"/>
        </w:rPr>
      </w:pPr>
      <w:r>
        <w:rPr>
          <w:rFonts w:ascii="Times New Roman;sans-serif" w:hAnsi="Times New Roman;sans-serif"/>
          <w:b/>
          <w:color w:val="000000"/>
          <w:sz w:val="40"/>
        </w:rPr>
        <w:t xml:space="preserve">INSEEGO CORP.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4822" w:type="dxa"/>
        <w:jc w:val="left"/>
        <w:tblInd w:w="0" w:type="dxa"/>
        <w:tblLayout w:type="fixed"/>
        <w:tblCellMar>
          <w:top w:w="28" w:type="dxa"/>
          <w:left w:w="28" w:type="dxa"/>
          <w:bottom w:w="28" w:type="dxa"/>
          <w:right w:w="28" w:type="dxa"/>
        </w:tblCellMar>
      </w:tblPr>
      <w:tblGrid>
        <w:gridCol w:w="555"/>
        <w:gridCol w:w="488"/>
        <w:gridCol w:w="488"/>
        <w:gridCol w:w="488"/>
        <w:gridCol w:w="488"/>
        <w:gridCol w:w="504"/>
        <w:gridCol w:w="109"/>
        <w:gridCol w:w="109"/>
        <w:gridCol w:w="109"/>
        <w:gridCol w:w="433"/>
        <w:gridCol w:w="433"/>
        <w:gridCol w:w="618"/>
      </w:tblGrid>
      <w:tr>
        <w:trPr/>
        <w:tc>
          <w:tcPr>
            <w:tcW w:w="5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81-3377646</w:t>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9710 Scranton Road, Suite 200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San Diego, </w:t>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92121</w:t>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20" w:after="120"/>
        <w:jc w:val="center"/>
        <w:rPr>
          <w:rFonts w:ascii="Times New Roman;sans-serif" w:hAnsi="Times New Roman;sans-serif"/>
          <w:b/>
          <w:color w:val="000000"/>
          <w:sz w:val="18"/>
        </w:rPr>
      </w:pPr>
      <w:r>
        <w:rPr>
          <w:rFonts w:ascii="Times New Roman;sans-serif" w:hAnsi="Times New Roman;sans-serif"/>
          <w:b/>
          <w:color w:val="000000"/>
          <w:sz w:val="18"/>
        </w:rPr>
        <w:t xml:space="preserve">Registrant’s telephone number, including area code: (858) 812-3400 </w:t>
      </w:r>
    </w:p>
    <w:p>
      <w:pPr>
        <w:pStyle w:val="TextBody"/>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Securities registered pursuant to Section 12(b) of the Act: </w:t>
      </w:r>
    </w:p>
    <w:tbl>
      <w:tblPr>
        <w:tblW w:w="8353" w:type="dxa"/>
        <w:jc w:val="center"/>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w:t>
            </w:r>
          </w:p>
        </w:tc>
        <w:tc>
          <w:tcPr>
            <w:tcW w:w="1694" w:type="dxa"/>
            <w:gridSpan w:val="3"/>
            <w:vMerge w:val="restart"/>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INSG</w:t>
            </w:r>
          </w:p>
        </w:tc>
        <w:tc>
          <w:tcPr>
            <w:tcW w:w="3825" w:type="dxa"/>
            <w:gridSpan w:val="3"/>
            <w:vMerge w:val="restart"/>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r>
        <w:trPr/>
        <w:tc>
          <w:tcPr>
            <w:tcW w:w="2834"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c>
          <w:tcPr>
            <w:tcW w:w="1694"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3825"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r>
    </w:tbl>
    <w:p>
      <w:pPr>
        <w:pStyle w:val="TextBody"/>
        <w:bidi w:val="0"/>
        <w:spacing w:before="0" w:after="0"/>
        <w:jc w:val="center"/>
        <w:rPr/>
      </w:pPr>
      <w:r>
        <w:rPr/>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Securities registered pursuant to Section 12(g) of the Act: </w:t>
      </w:r>
    </w:p>
    <w:p>
      <w:pPr>
        <w:pStyle w:val="TextBody"/>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None</w:t>
      </w:r>
    </w:p>
    <w:p>
      <w:pPr>
        <w:pStyle w:val="TextBody"/>
        <w:bidi w:val="0"/>
        <w:spacing w:lineRule="auto" w:line="288" w:before="80" w:after="283"/>
        <w:ind w:left="0" w:right="0" w:firstLine="360"/>
        <w:jc w:val="left"/>
        <w:rPr/>
      </w:pPr>
      <w:r>
        <w:rPr>
          <w:rFonts w:ascii="Times New Roman;sans-serif" w:hAnsi="Times New Roman;sans-serif"/>
          <w:b w:val="false"/>
          <w:color w:val="000000"/>
          <w:sz w:val="18"/>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x</w:t>
      </w:r>
    </w:p>
    <w:p>
      <w:pPr>
        <w:pStyle w:val="TextBody"/>
        <w:bidi w:val="0"/>
        <w:spacing w:lineRule="auto" w:line="288" w:before="80" w:after="283"/>
        <w:ind w:left="0" w:right="0" w:firstLine="360"/>
        <w:jc w:val="left"/>
        <w:rPr/>
      </w:pPr>
      <w:r>
        <w:rPr>
          <w:rFonts w:ascii="Times New Roman;sans-serif" w:hAnsi="Times New Roman;sans-serif"/>
          <w:b w:val="false"/>
          <w:color w:val="000000"/>
          <w:sz w:val="18"/>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x</w:t>
      </w:r>
    </w:p>
    <w:p>
      <w:pPr>
        <w:pStyle w:val="TextBody"/>
        <w:bidi w:val="0"/>
        <w:spacing w:lineRule="auto" w:line="288" w:before="80" w:after="283"/>
        <w:ind w:left="0" w:right="0" w:firstLine="36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80" w:after="283"/>
        <w:ind w:left="0" w:right="0" w:firstLine="36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8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360"/>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88" w:before="0" w:after="0"/>
        <w:ind w:left="0" w:right="0" w:firstLine="360"/>
        <w:jc w:val="left"/>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 its audit report. </w:t>
      </w:r>
      <w:r>
        <w:rPr>
          <w:color w:val="000000"/>
        </w:rPr>
        <w:t>☐</w:t>
      </w:r>
    </w:p>
    <w:p>
      <w:pPr>
        <w:pStyle w:val="TextBody"/>
        <w:bidi w:val="0"/>
        <w:spacing w:lineRule="auto" w:line="276" w:before="180" w:after="180"/>
        <w:ind w:left="0" w:right="0" w:firstLine="360"/>
        <w:jc w:val="left"/>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8"/>
        </w:rPr>
        <w:t>o</w:t>
      </w:r>
    </w:p>
    <w:p>
      <w:pPr>
        <w:pStyle w:val="TextBody"/>
        <w:bidi w:val="0"/>
        <w:spacing w:lineRule="auto" w:line="276" w:before="180" w:after="180"/>
        <w:ind w:left="0" w:right="0" w:firstLine="360"/>
        <w:jc w:val="left"/>
        <w:rPr/>
      </w:pPr>
      <w:r>
        <w:rPr>
          <w:rFonts w:ascii="Times New Roman;sans-serif" w:hAnsi="Times New Roman;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Wingdings;sans-serif" w:hAnsi="Wingdings;sans-serif"/>
          <w:b w:val="false"/>
          <w:color w:val="000000"/>
          <w:sz w:val="18"/>
        </w:rPr>
        <w:t>o</w:t>
      </w:r>
    </w:p>
    <w:p>
      <w:pPr>
        <w:pStyle w:val="TextBody"/>
        <w:bidi w:val="0"/>
        <w:spacing w:lineRule="auto" w:line="288" w:before="80" w:after="283"/>
        <w:ind w:left="0" w:right="0" w:firstLine="360"/>
        <w:jc w:val="left"/>
        <w:rPr/>
      </w:pPr>
      <w:r>
        <w:rPr>
          <w:rFonts w:ascii="Times New Roman;sans-serif" w:hAnsi="Times New Roman;sans-serif"/>
          <w:b w:val="false"/>
          <w:color w:val="000000"/>
          <w:sz w:val="18"/>
        </w:rPr>
        <w:t>Indicate by check mark whether the registrant is a shell company (as defined in Rule 12b-2 of the Act). Yes  </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x</w:t>
      </w:r>
    </w:p>
    <w:p>
      <w:pPr>
        <w:pStyle w:val="TextBody"/>
        <w:bidi w:val="0"/>
        <w:spacing w:lineRule="auto" w:line="288" w:before="8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aggregate market value of the voting common stock held by non-affiliates of the registrant, based on the closing price of the registrant’s common stock on June 30, 2023, as reported by The Nasdaq Global Select Market, was approximately $56.6 million. For the purposes of this calculation, shares owned by officers and directors (and their affiliates) have been excluded. This exclusion is not intended, nor shall it be deemed, to be an admission that such persons are affiliates of the registrant. The registrant does not have any non-voting common stock outstanding.</w:t>
      </w:r>
    </w:p>
    <w:p>
      <w:pPr>
        <w:pStyle w:val="TextBody"/>
        <w:bidi w:val="0"/>
        <w:spacing w:lineRule="auto" w:line="288" w:before="8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number of shares of the registrant’s common stock outstanding as of February 16, 2024 was 11,878,944.</w:t>
      </w:r>
    </w:p>
    <w:p>
      <w:pPr>
        <w:pStyle w:val="TextBody"/>
        <w:bidi w:val="0"/>
        <w:spacing w:lineRule="auto" w:line="288" w:before="180" w:after="283"/>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lineRule="auto" w:line="288" w:before="4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Portions of the registrant’s definitive proxy statement for the 2024 Annual Meeting of Stockholders, to be filed with the Securities and Exchange Commission pursuant to Regulation 14A within 120 days after the close of the registrant’s fiscal year ended December 31, 2023, are incorporated by reference into Part III of this Form 10-K to the extent stated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3"/>
        <w:gridCol w:w="257"/>
        <w:gridCol w:w="261"/>
        <w:gridCol w:w="2961"/>
        <w:gridCol w:w="2952"/>
        <w:gridCol w:w="2969"/>
        <w:gridCol w:w="149"/>
        <w:gridCol w:w="149"/>
        <w:gridCol w:w="214"/>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w:t>
            </w:r>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16">
              <w:r>
                <w:rPr>
                  <w:rStyle w:val="InternetLink"/>
                  <w:rFonts w:ascii="Times New Roman;sans-serif" w:hAnsi="Times New Roman;sans-serif"/>
                  <w:b w:val="false"/>
                  <w:strike w:val="false"/>
                  <w:dstrike w:val="false"/>
                  <w:color w:val="0000FF"/>
                  <w:sz w:val="20"/>
                  <w:u w:val="none"/>
                  <w:effect w:val="none"/>
                </w:rPr>
                <w:t>Business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16">
              <w:r>
                <w:rPr>
                  <w:rStyle w:val="InternetLink"/>
                  <w:rFonts w:ascii="Times New Roman;sans-serif" w:hAnsi="Times New Roman;sans-serif"/>
                  <w:b w:val="false"/>
                  <w:strike w:val="false"/>
                  <w:dstrike w:val="false"/>
                  <w:color w:val="0000FF"/>
                  <w:sz w:val="20"/>
                  <w:u w:val="none"/>
                  <w:effect w:val="non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19">
              <w:r>
                <w:rPr>
                  <w:rStyle w:val="InternetLink"/>
                  <w:rFonts w:ascii="Times New Roman;sans-serif" w:hAnsi="Times New Roman;sans-serif"/>
                  <w:b w:val="false"/>
                  <w:strike w:val="false"/>
                  <w:dstrike w:val="false"/>
                  <w:color w:val="0000FF"/>
                  <w:sz w:val="20"/>
                  <w:u w:val="none"/>
                  <w:effect w:val="none"/>
                </w:rPr>
                <w:t>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19">
              <w:r>
                <w:rPr>
                  <w:rStyle w:val="InternetLink"/>
                  <w:rFonts w:ascii="Times New Roman;sans-serif" w:hAnsi="Times New Roman;sans-serif"/>
                  <w:b w:val="false"/>
                  <w:strike w:val="false"/>
                  <w:dstrike w:val="false"/>
                  <w:color w:val="0000FF"/>
                  <w:sz w:val="20"/>
                  <w:u w:val="none"/>
                  <w:effect w:val="none"/>
                </w:rPr>
                <w:t>10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22">
              <w:r>
                <w:rPr>
                  <w:rStyle w:val="InternetLink"/>
                  <w:rFonts w:ascii="Times New Roman;sans-serif" w:hAnsi="Times New Roman;sans-serif"/>
                  <w:b w:val="false"/>
                  <w:strike w:val="false"/>
                  <w:dstrike w:val="false"/>
                  <w:color w:val="0000FF"/>
                  <w:sz w:val="20"/>
                  <w:u w:val="none"/>
                  <w:effect w:val="none"/>
                </w:rPr>
                <w:t>Unresolved Staff Comments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22">
              <w:r>
                <w:rPr>
                  <w:rStyle w:val="InternetLink"/>
                  <w:rFonts w:ascii="Times New Roman;sans-serif" w:hAnsi="Times New Roman;sans-serif"/>
                  <w:b w:val="false"/>
                  <w:strike w:val="false"/>
                  <w:dstrike w:val="false"/>
                  <w:color w:val="0000FF"/>
                  <w:sz w:val="20"/>
                  <w:u w:val="none"/>
                  <w:effect w:val="none"/>
                </w:rPr>
                <w:t>30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1270">
              <w:r>
                <w:rPr>
                  <w:rStyle w:val="InternetLink"/>
                  <w:rFonts w:ascii="Times New Roman;sans-serif" w:hAnsi="Times New Roman;sans-serif"/>
                  <w:b w:val="false"/>
                  <w:strike w:val="false"/>
                  <w:dstrike w:val="false"/>
                  <w:color w:val="0000FF"/>
                  <w:sz w:val="20"/>
                  <w:u w:val="none"/>
                  <w:effect w:val="none"/>
                </w:rPr>
                <w:t>Cybersecurity</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1270">
              <w:r>
                <w:rPr>
                  <w:rStyle w:val="InternetLink"/>
                  <w:rFonts w:ascii="Times New Roman;sans-serif" w:hAnsi="Times New Roman;sans-serif"/>
                  <w:b w:val="false"/>
                  <w:strike w:val="false"/>
                  <w:dstrike w:val="false"/>
                  <w:color w:val="0000FF"/>
                  <w:sz w:val="20"/>
                  <w:u w:val="none"/>
                  <w:effect w:val="none"/>
                </w:rPr>
                <w:t>30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25">
              <w:r>
                <w:rPr>
                  <w:rStyle w:val="InternetLink"/>
                  <w:rFonts w:ascii="Times New Roman;sans-serif" w:hAnsi="Times New Roman;sans-serif"/>
                  <w:b w:val="false"/>
                  <w:strike w:val="false"/>
                  <w:dstrike w:val="false"/>
                  <w:color w:val="0000FF"/>
                  <w:sz w:val="20"/>
                  <w:u w:val="none"/>
                  <w:effect w:val="none"/>
                </w:rPr>
                <w:t>Properties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25">
              <w:r>
                <w:rPr>
                  <w:rStyle w:val="InternetLink"/>
                  <w:rFonts w:ascii="Times New Roman;sans-serif" w:hAnsi="Times New Roman;sans-serif"/>
                  <w:b w:val="false"/>
                  <w:strike w:val="false"/>
                  <w:dstrike w:val="false"/>
                  <w:color w:val="0000FF"/>
                  <w:sz w:val="20"/>
                  <w:u w:val="none"/>
                  <w:effect w:val="none"/>
                </w:rPr>
                <w:t>32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28">
              <w:r>
                <w:rPr>
                  <w:rStyle w:val="InternetLink"/>
                  <w:rFonts w:ascii="Times New Roman;sans-serif" w:hAnsi="Times New Roman;sans-serif"/>
                  <w:b w:val="false"/>
                  <w:strike w:val="false"/>
                  <w:dstrike w:val="false"/>
                  <w:color w:val="0000FF"/>
                  <w:sz w:val="20"/>
                  <w:u w:val="none"/>
                  <w:effect w:val="none"/>
                </w:rPr>
                <w:t>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28">
              <w:r>
                <w:rPr>
                  <w:rStyle w:val="InternetLink"/>
                  <w:rFonts w:ascii="Times New Roman;sans-serif" w:hAnsi="Times New Roman;sans-serif"/>
                  <w:b w:val="false"/>
                  <w:strike w:val="false"/>
                  <w:dstrike w:val="false"/>
                  <w:color w:val="0000FF"/>
                  <w:sz w:val="20"/>
                  <w:u w:val="none"/>
                  <w:effect w:val="none"/>
                </w:rPr>
                <w:t>32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31">
              <w:r>
                <w:rPr>
                  <w:rStyle w:val="InternetLink"/>
                  <w:rFonts w:ascii="Times New Roman;sans-serif" w:hAnsi="Times New Roman;sans-serif"/>
                  <w:b w:val="false"/>
                  <w:strike w:val="false"/>
                  <w:dstrike w:val="false"/>
                  <w:color w:val="0000FF"/>
                  <w:sz w:val="20"/>
                  <w:u w:val="none"/>
                  <w:effect w:val="none"/>
                </w:rPr>
                <w:t>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31">
              <w:r>
                <w:rPr>
                  <w:rStyle w:val="InternetLink"/>
                  <w:rFonts w:ascii="Times New Roman;sans-serif" w:hAnsi="Times New Roman;sans-serif"/>
                  <w:b w:val="false"/>
                  <w:strike w:val="false"/>
                  <w:dstrike w:val="false"/>
                  <w:color w:val="0000FF"/>
                  <w:sz w:val="20"/>
                  <w:u w:val="none"/>
                  <w:effect w:val="none"/>
                </w:rPr>
                <w:t>32</w:t>
              </w:r>
            </w:hyperlink>
          </w:p>
        </w:tc>
      </w:tr>
      <w:tr>
        <w:trPr/>
        <w:tc>
          <w:tcPr>
            <w:tcW w:w="9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37">
              <w:r>
                <w:rPr>
                  <w:rStyle w:val="InternetLink"/>
                  <w:rFonts w:ascii="Times New Roman;sans-serif" w:hAnsi="Times New Roman;sans-serif"/>
                  <w:b w:val="false"/>
                  <w:strike w:val="false"/>
                  <w:dstrike w:val="false"/>
                  <w:color w:val="0000FF"/>
                  <w:sz w:val="20"/>
                  <w:u w:val="none"/>
                  <w:effect w:val="none"/>
                </w:rPr>
                <w:t>Market for Registrant’s Common Equity, Related Stockholder Matters and Issuer Purchases of Equity Securities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37">
              <w:r>
                <w:rPr>
                  <w:rStyle w:val="InternetLink"/>
                  <w:rFonts w:ascii="Times New Roman;sans-serif" w:hAnsi="Times New Roman;sans-serif"/>
                  <w:b w:val="false"/>
                  <w:strike w:val="false"/>
                  <w:dstrike w:val="false"/>
                  <w:color w:val="0000FF"/>
                  <w:sz w:val="20"/>
                  <w:u w:val="none"/>
                  <w:effect w:val="none"/>
                </w:rPr>
                <w:t>33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40">
              <w:r>
                <w:rPr>
                  <w:rStyle w:val="InternetLink"/>
                  <w:rFonts w:ascii="Times New Roman;sans-serif" w:hAnsi="Times New Roman;sans-serif"/>
                  <w:b w:val="false"/>
                  <w:strike w:val="false"/>
                  <w:dstrike w:val="false"/>
                  <w:color w:val="0000FF"/>
                  <w:sz w:val="20"/>
                  <w:u w:val="none"/>
                  <w:effect w:val="none"/>
                </w:rPr>
                <w:t>Reserved</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40">
              <w:r>
                <w:rPr>
                  <w:rStyle w:val="InternetLink"/>
                  <w:rFonts w:ascii="Times New Roman;sans-serif" w:hAnsi="Times New Roman;sans-serif"/>
                  <w:b w:val="false"/>
                  <w:strike w:val="false"/>
                  <w:dstrike w:val="false"/>
                  <w:color w:val="0000FF"/>
                  <w:sz w:val="20"/>
                  <w:u w:val="none"/>
                  <w:effect w:val="none"/>
                </w:rPr>
                <w:t>33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43">
              <w:r>
                <w:rPr>
                  <w:rStyle w:val="InternetLink"/>
                  <w:rFonts w:ascii="Times New Roman;sans-serif" w:hAnsi="Times New Roman;sans-serif"/>
                  <w:b w:val="false"/>
                  <w:strike w:val="false"/>
                  <w:dstrike w:val="false"/>
                  <w:color w:val="0000FF"/>
                  <w:sz w:val="20"/>
                  <w:u w:val="none"/>
                  <w:effect w:val="none"/>
                </w:rPr>
                <w:t>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43">
              <w:r>
                <w:rPr>
                  <w:rStyle w:val="InternetLink"/>
                  <w:rFonts w:ascii="Times New Roman;sans-serif" w:hAnsi="Times New Roman;sans-serif"/>
                  <w:b w:val="false"/>
                  <w:strike w:val="false"/>
                  <w:dstrike w:val="false"/>
                  <w:color w:val="0000FF"/>
                  <w:sz w:val="20"/>
                  <w:u w:val="none"/>
                  <w:effect w:val="none"/>
                </w:rPr>
                <w:t>34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46">
              <w:r>
                <w:rPr>
                  <w:rStyle w:val="InternetLink"/>
                  <w:rFonts w:ascii="Times New Roman;sans-serif" w:hAnsi="Times New Roman;sans-serif"/>
                  <w:b w:val="false"/>
                  <w:strike w:val="false"/>
                  <w:dstrike w:val="false"/>
                  <w:color w:val="0000FF"/>
                  <w:sz w:val="20"/>
                  <w:u w:val="none"/>
                  <w:effect w:val="none"/>
                </w:rPr>
                <w:t>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46">
              <w:r>
                <w:rPr>
                  <w:rStyle w:val="InternetLink"/>
                  <w:rFonts w:ascii="Times New Roman;sans-serif" w:hAnsi="Times New Roman;sans-serif"/>
                  <w:b w:val="false"/>
                  <w:strike w:val="false"/>
                  <w:dstrike w:val="false"/>
                  <w:color w:val="0000FF"/>
                  <w:sz w:val="20"/>
                  <w:u w:val="none"/>
                  <w:effect w:val="none"/>
                </w:rPr>
                <w:t>44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49">
              <w:r>
                <w:rPr>
                  <w:rStyle w:val="InternetLink"/>
                  <w:rFonts w:ascii="Times New Roman;sans-serif" w:hAnsi="Times New Roman;sans-serif"/>
                  <w:b w:val="false"/>
                  <w:strike w:val="false"/>
                  <w:dstrike w:val="false"/>
                  <w:color w:val="0000FF"/>
                  <w:sz w:val="20"/>
                  <w:u w:val="none"/>
                  <w:effect w:val="none"/>
                </w:rPr>
                <w:t>Financial Statements and Supplementary Data</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49">
              <w:r>
                <w:rPr>
                  <w:rStyle w:val="InternetLink"/>
                  <w:rFonts w:ascii="Times New Roman;sans-serif" w:hAnsi="Times New Roman;sans-serif"/>
                  <w:b w:val="false"/>
                  <w:strike w:val="false"/>
                  <w:dstrike w:val="false"/>
                  <w:color w:val="0000FF"/>
                  <w:sz w:val="20"/>
                  <w:u w:val="none"/>
                  <w:effect w:val="none"/>
                </w:rPr>
                <w:t>45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52">
              <w:r>
                <w:rPr>
                  <w:rStyle w:val="InternetLink"/>
                  <w:rFonts w:ascii="Times New Roman;sans-serif" w:hAnsi="Times New Roman;sans-serif"/>
                  <w:b w:val="false"/>
                  <w:strike w:val="false"/>
                  <w:dstrike w:val="false"/>
                  <w:color w:val="0000FF"/>
                  <w:sz w:val="20"/>
                  <w:u w:val="none"/>
                  <w:effect w:val="none"/>
                </w:rPr>
                <w:t>Changes in and Disagreements With Accountants on Accounting and Financial Disclosure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52">
              <w:r>
                <w:rPr>
                  <w:rStyle w:val="InternetLink"/>
                  <w:rFonts w:ascii="Times New Roman;sans-serif" w:hAnsi="Times New Roman;sans-serif"/>
                  <w:b w:val="false"/>
                  <w:strike w:val="false"/>
                  <w:dstrike w:val="false"/>
                  <w:color w:val="0000FF"/>
                  <w:sz w:val="20"/>
                  <w:u w:val="none"/>
                  <w:effect w:val="none"/>
                </w:rPr>
                <w:t>45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55">
              <w:r>
                <w:rPr>
                  <w:rStyle w:val="InternetLink"/>
                  <w:rFonts w:ascii="Times New Roman;sans-serif" w:hAnsi="Times New Roman;sans-serif"/>
                  <w:b w:val="false"/>
                  <w:strike w:val="false"/>
                  <w:dstrike w:val="false"/>
                  <w:color w:val="0000FF"/>
                  <w:sz w:val="20"/>
                  <w:u w:val="none"/>
                  <w:effect w:val="none"/>
                </w:rPr>
                <w:t>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55">
              <w:r>
                <w:rPr>
                  <w:rStyle w:val="InternetLink"/>
                  <w:rFonts w:ascii="Times New Roman;sans-serif" w:hAnsi="Times New Roman;sans-serif"/>
                  <w:b w:val="false"/>
                  <w:strike w:val="false"/>
                  <w:dstrike w:val="false"/>
                  <w:color w:val="0000FF"/>
                  <w:sz w:val="20"/>
                  <w:u w:val="none"/>
                  <w:effect w:val="none"/>
                </w:rPr>
                <w:t>45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58">
              <w:r>
                <w:rPr>
                  <w:rStyle w:val="InternetLink"/>
                  <w:rFonts w:ascii="Times New Roman;sans-serif" w:hAnsi="Times New Roman;sans-serif"/>
                  <w:b w:val="false"/>
                  <w:strike w:val="false"/>
                  <w:dstrike w:val="false"/>
                  <w:color w:val="0000FF"/>
                  <w:sz w:val="20"/>
                  <w:u w:val="none"/>
                  <w:effect w:val="none"/>
                </w:rPr>
                <w:t>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61">
              <w:r>
                <w:rPr>
                  <w:rStyle w:val="InternetLink"/>
                  <w:rFonts w:ascii="Times New Roman;sans-serif" w:hAnsi="Times New Roman;sans-serif"/>
                  <w:b w:val="false"/>
                  <w:strike w:val="false"/>
                  <w:dstrike w:val="false"/>
                  <w:color w:val="0000FF"/>
                  <w:sz w:val="20"/>
                  <w:u w:val="none"/>
                  <w:effect w:val="none"/>
                </w:rPr>
                <w:t>45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64">
              <w:r>
                <w:rPr>
                  <w:rStyle w:val="InternetLink"/>
                  <w:rFonts w:ascii="Times New Roman;sans-serif" w:hAnsi="Times New Roman;sans-serif"/>
                  <w:b w:val="false"/>
                  <w:strike w:val="false"/>
                  <w:dstrike w:val="false"/>
                  <w:color w:val="0000FF"/>
                  <w:sz w:val="20"/>
                  <w:u w:val="none"/>
                  <w:effect w:val="none"/>
                </w:rPr>
                <w:t>Disclosure Regarding Foreign Jurisdictions that Prevent Inspections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64">
              <w:r>
                <w:rPr>
                  <w:rStyle w:val="InternetLink"/>
                  <w:rFonts w:ascii="Times New Roman;sans-serif" w:hAnsi="Times New Roman;sans-serif"/>
                  <w:b w:val="false"/>
                  <w:strike w:val="false"/>
                  <w:dstrike w:val="false"/>
                  <w:color w:val="0000FF"/>
                  <w:sz w:val="20"/>
                  <w:u w:val="none"/>
                  <w:effect w:val="none"/>
                </w:rPr>
                <w:t>45</w:t>
              </w:r>
            </w:hyperlink>
          </w:p>
        </w:tc>
      </w:tr>
      <w:tr>
        <w:trPr/>
        <w:tc>
          <w:tcPr>
            <w:tcW w:w="9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III</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70">
              <w:r>
                <w:rPr>
                  <w:rStyle w:val="InternetLink"/>
                  <w:rFonts w:ascii="Times New Roman;sans-serif" w:hAnsi="Times New Roman;sans-serif"/>
                  <w:b w:val="false"/>
                  <w:strike w:val="false"/>
                  <w:dstrike w:val="false"/>
                  <w:color w:val="0000FF"/>
                  <w:sz w:val="20"/>
                  <w:u w:val="none"/>
                  <w:effect w:val="none"/>
                </w:rPr>
                <w:t>Directors, Executive Officers and Corporate Governance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70">
              <w:r>
                <w:rPr>
                  <w:rStyle w:val="InternetLink"/>
                  <w:rFonts w:ascii="Times New Roman;sans-serif" w:hAnsi="Times New Roman;sans-serif"/>
                  <w:b w:val="false"/>
                  <w:strike w:val="false"/>
                  <w:dstrike w:val="false"/>
                  <w:color w:val="0000FF"/>
                  <w:sz w:val="20"/>
                  <w:u w:val="none"/>
                  <w:effect w:val="none"/>
                </w:rPr>
                <w:t>46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rPr>
            </w:pPr>
            <w:r>
              <w:rPr>
                <w:rFonts w:ascii="Times New Roman;sans-serif" w:hAnsi="Times New Roman;sans-serif"/>
                <w:b w:val="false"/>
                <w:color w:val="0000FF"/>
                <w:sz w:val="20"/>
              </w:rPr>
              <w:t>Executive Compensation</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70">
              <w:r>
                <w:rPr>
                  <w:rStyle w:val="InternetLink"/>
                  <w:rFonts w:ascii="Times New Roman;sans-serif" w:hAnsi="Times New Roman;sans-serif"/>
                  <w:b w:val="false"/>
                  <w:strike w:val="false"/>
                  <w:dstrike w:val="false"/>
                  <w:color w:val="0000FF"/>
                  <w:sz w:val="20"/>
                  <w:u w:val="none"/>
                  <w:effect w:val="none"/>
                </w:rPr>
                <w:t>46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rPr>
            </w:pPr>
            <w:r>
              <w:rPr>
                <w:rFonts w:ascii="Times New Roman;sans-serif" w:hAnsi="Times New Roman;sans-serif"/>
                <w:b w:val="false"/>
                <w:color w:val="0000FF"/>
                <w:sz w:val="20"/>
              </w:rPr>
              <w:t>Security Ownership of Certain Beneficial Owners and Management and Related Stockholder Matters</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70">
              <w:r>
                <w:rPr>
                  <w:rStyle w:val="InternetLink"/>
                  <w:rFonts w:ascii="Times New Roman;sans-serif" w:hAnsi="Times New Roman;sans-serif"/>
                  <w:b w:val="false"/>
                  <w:strike w:val="false"/>
                  <w:dstrike w:val="false"/>
                  <w:color w:val="0000FF"/>
                  <w:sz w:val="20"/>
                  <w:u w:val="none"/>
                  <w:effect w:val="none"/>
                </w:rPr>
                <w:t>46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rPr>
            </w:pPr>
            <w:r>
              <w:rPr>
                <w:rFonts w:ascii="Times New Roman;sans-serif" w:hAnsi="Times New Roman;sans-serif"/>
                <w:b w:val="false"/>
                <w:color w:val="0000FF"/>
                <w:sz w:val="20"/>
              </w:rPr>
              <w:t>Certain Relationships and Related Transactions, and Director Independence</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70">
              <w:r>
                <w:rPr>
                  <w:rStyle w:val="InternetLink"/>
                  <w:rFonts w:ascii="Times New Roman;sans-serif" w:hAnsi="Times New Roman;sans-serif"/>
                  <w:b w:val="false"/>
                  <w:strike w:val="false"/>
                  <w:dstrike w:val="false"/>
                  <w:color w:val="0000FF"/>
                  <w:sz w:val="20"/>
                  <w:u w:val="none"/>
                  <w:effect w:val="none"/>
                </w:rPr>
                <w:t>46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70">
              <w:r>
                <w:rPr>
                  <w:rStyle w:val="InternetLink"/>
                  <w:rFonts w:ascii="Times New Roman;sans-serif" w:hAnsi="Times New Roman;sans-serif"/>
                  <w:b w:val="false"/>
                  <w:strike w:val="false"/>
                  <w:dstrike w:val="false"/>
                  <w:color w:val="0000FF"/>
                  <w:sz w:val="20"/>
                  <w:u w:val="none"/>
                  <w:effect w:val="none"/>
                </w:rPr>
                <w:t>Principal Accountant Fees and Services</w:t>
              </w:r>
            </w:hyperlink>
          </w:p>
          <w:p>
            <w:pPr>
              <w:pStyle w:val="TableContents"/>
              <w:bidi w:val="0"/>
              <w:spacing w:before="0" w:after="0"/>
              <w:jc w:val="left"/>
              <w:rPr/>
            </w:pPr>
            <w:r>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70">
              <w:r>
                <w:rPr>
                  <w:rStyle w:val="InternetLink"/>
                  <w:rFonts w:ascii="Times New Roman;sans-serif" w:hAnsi="Times New Roman;sans-serif"/>
                  <w:b w:val="false"/>
                  <w:strike w:val="false"/>
                  <w:dstrike w:val="false"/>
                  <w:color w:val="0000FF"/>
                  <w:sz w:val="20"/>
                  <w:u w:val="none"/>
                  <w:effect w:val="none"/>
                </w:rPr>
                <w:t>46</w:t>
              </w:r>
            </w:hyperlink>
          </w:p>
        </w:tc>
      </w:tr>
      <w:tr>
        <w:trPr/>
        <w:tc>
          <w:tcPr>
            <w:tcW w:w="9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IV</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76">
              <w:r>
                <w:rPr>
                  <w:rStyle w:val="InternetLink"/>
                  <w:rFonts w:ascii="Times New Roman;sans-serif" w:hAnsi="Times New Roman;sans-serif"/>
                  <w:b w:val="false"/>
                  <w:strike w:val="false"/>
                  <w:dstrike w:val="false"/>
                  <w:color w:val="0000FF"/>
                  <w:sz w:val="20"/>
                  <w:u w:val="none"/>
                  <w:effect w:val="none"/>
                </w:rPr>
                <w:t>Exhibit and Financial Statement Schedules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76">
              <w:r>
                <w:rPr>
                  <w:rStyle w:val="InternetLink"/>
                  <w:rFonts w:ascii="Times New Roman;sans-serif" w:hAnsi="Times New Roman;sans-serif"/>
                  <w:b w:val="false"/>
                  <w:strike w:val="false"/>
                  <w:dstrike w:val="false"/>
                  <w:color w:val="0000FF"/>
                  <w:sz w:val="20"/>
                  <w:u w:val="none"/>
                  <w:effect w:val="none"/>
                </w:rPr>
                <w:t>46</w:t>
              </w:r>
            </w:hyperlink>
          </w:p>
        </w:tc>
      </w:tr>
      <w:tr>
        <w:trPr/>
        <w:tc>
          <w:tcPr>
            <w:tcW w:w="9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79">
              <w:r>
                <w:rPr>
                  <w:rStyle w:val="InternetLink"/>
                  <w:rFonts w:ascii="Times New Roman;sans-serif" w:hAnsi="Times New Roman;sans-serif"/>
                  <w:b w:val="false"/>
                  <w:strike w:val="false"/>
                  <w:dstrike w:val="false"/>
                  <w:color w:val="0000FF"/>
                  <w:sz w:val="20"/>
                  <w:u w:val="none"/>
                  <w:effect w:val="none"/>
                </w:rPr>
                <w:t>Form 10-K Summary</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79">
              <w:r>
                <w:rPr>
                  <w:rStyle w:val="InternetLink"/>
                  <w:rFonts w:ascii="Times New Roman;sans-serif" w:hAnsi="Times New Roman;sans-serif"/>
                  <w:b w:val="false"/>
                  <w:strike w:val="false"/>
                  <w:dstrike w:val="false"/>
                  <w:color w:val="0000FF"/>
                  <w:sz w:val="20"/>
                  <w:u w:val="none"/>
                  <w:effect w:val="none"/>
                </w:rPr>
                <w:t>48</w:t>
              </w:r>
            </w:hyperlink>
          </w:p>
        </w:tc>
      </w:tr>
      <w:tr>
        <w:trPr/>
        <w:tc>
          <w:tcPr>
            <w:tcW w:w="9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82">
              <w:r>
                <w:rPr>
                  <w:rStyle w:val="InternetLink"/>
                  <w:rFonts w:ascii="Times New Roman;sans-serif" w:hAnsi="Times New Roman;sans-serif"/>
                  <w:b w:val="false"/>
                  <w:strike w:val="false"/>
                  <w:dstrike w:val="false"/>
                  <w:color w:val="0000FF"/>
                  <w:sz w:val="20"/>
                  <w:u w:val="none"/>
                  <w:effect w:val="none"/>
                </w:rPr>
                <w:t>SIGNATURES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82">
              <w:r>
                <w:rPr>
                  <w:rStyle w:val="InternetLink"/>
                  <w:rFonts w:ascii="Times New Roman;sans-serif" w:hAnsi="Times New Roman;sans-serif"/>
                  <w:b w:val="false"/>
                  <w:strike w:val="false"/>
                  <w:dstrike w:val="false"/>
                  <w:color w:val="0000FF"/>
                  <w:sz w:val="20"/>
                  <w:u w:val="none"/>
                  <w:effect w:val="none"/>
                </w:rPr>
                <w:t>49</w:t>
              </w:r>
            </w:hyperlink>
          </w:p>
        </w:tc>
      </w:tr>
      <w:tr>
        <w:trPr/>
        <w:tc>
          <w:tcPr>
            <w:tcW w:w="9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85">
              <w:r>
                <w:rPr>
                  <w:rStyle w:val="InternetLink"/>
                  <w:rFonts w:ascii="Times New Roman;sans-serif" w:hAnsi="Times New Roman;sans-serif"/>
                  <w:b w:val="false"/>
                  <w:strike w:val="false"/>
                  <w:dstrike w:val="false"/>
                  <w:color w:val="0000FF"/>
                  <w:sz w:val="20"/>
                  <w:u w:val="none"/>
                  <w:effect w:val="none"/>
                </w:rPr>
                <w:t>INDEX TO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20a795cd684d81b8a1cb81cc07638d_85">
              <w:r>
                <w:rPr>
                  <w:rStyle w:val="InternetLink"/>
                  <w:rFonts w:ascii="Times New Roman;sans-serif" w:hAnsi="Times New Roman;sans-serif"/>
                  <w:b w:val="false"/>
                  <w:strike w:val="false"/>
                  <w:dstrike w:val="false"/>
                  <w:color w:val="0000FF"/>
                  <w:sz w:val="20"/>
                  <w:u w:val="none"/>
                  <w:effect w:val="none"/>
                </w:rPr>
                <w:t>F-1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within the meaning of Section 27A of the Securities Act of 1933, as amended (the “Securities Act”) and Section 21E of the Securities Exchange Act of 1934, as amended (the “Exchange Act”), in reliance upon the safe harbor provisions of the Private Securities Litigation Reform Act of 1995. You should not place undue reliance on these statements. These forward-looking statements include, without limitation, statements that reflect the views of our senior management with respect to our current expectations, assumptions, estimates and projections about Inseego Corp. (the “Company” or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(although not all forward-looking statements contain these words). Forward-looking statements are inherently subject to risks and uncertainties, some of which cannot be predicted or quantified; therefore, our actual results may differ materially from those anticipated in these forward-looking statements as of the date of this report. We believe that these factors include those related to:</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our dependence on a small number of customers for a substantial portion of our revenues;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our ability to make</w:t>
      </w:r>
      <w:r>
        <w:rPr>
          <w:color w:val="000000"/>
        </w:rPr>
        <w:t xml:space="preserve"> </w:t>
      </w:r>
      <w:r>
        <w:rPr>
          <w:rFonts w:ascii="Times New Roman;sans-serif" w:hAnsi="Times New Roman;sans-serif"/>
          <w:b w:val="false"/>
          <w:color w:val="000000"/>
          <w:sz w:val="20"/>
        </w:rPr>
        <w:t>payments on or to refinance our indebtedness, including our senior secured credit facility and convertible notes obligations;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our ability to compete in the market for wireless broadband data access products, wireless modem products, and telematics products and services;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our ability to successfully develop and introduce new products and services;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the pace of 5G wireless network rollouts globally and their adoption by customers;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our dependence on wireless telecommunication operators delivering acceptable wireless services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our ability to meet the price and performance standards of the evolving 5G New Radio (“5G NR”) products and technologies;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 xml:space="preserve">our ability to develop sales channels and to onboard channel partners; </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our relationships with and the performance of our channel partners;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our ability to introduce and sell new products that comply with current and evolving industry standards and government regulations;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our ability to develop and maintain strategic relationships to expand into new markets;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 xml:space="preserve">our ability to properly manage the growth of our business to avoid significant strains on our management and operations and disruptions to our business; </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 xml:space="preserve">our reliance on third parties to manufacture our products; </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 xml:space="preserve">our contract manufacturers’ ability to secure necessary supply to build our devices; </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increases in costs, disruption of supply and/or the shortage of semiconductors or other key components of our products;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 xml:space="preserve">our ability to accurately forecast customer demand and order the manufacture and timely delivery of sufficient product quantities; </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 xml:space="preserve">our reliance on sole source suppliers for some products and devices used in our solutions; </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 xml:space="preserve">our ability to be cost competitive while meeting time-to-market requirements for our customers; </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our ability to meet the product performance needs of our customers in mobile broadband and fixed wireless access markets;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demand for fleet, vehicle and asset management software-as-a-service (“SaaS”) telematics solutions;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our ability to make successful yielding investments in research and development</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the outcome of any pending or future litigation, including intellectual property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infringement claims with respect to intellectual property contained in our solutions;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 xml:space="preserve">our continued ability to license necessary third-party technology for the development and sale of our solutions; </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the introduction of new products that could contain errors or defects;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conducting business abroad, including foreign currency risks;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our ability to hire, retain and manage qualified personnel to maintain and expand our business.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our ability to mitigate the impact of tariffs or other government-imposed sanctions;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the impact of high rates of inflation and rising interest rates;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the continuing impact of uncertain global economic conditions on the demand for our products;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the impact of geopolitical instability on our business;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the emergence of global public health emergencies, such as the outbreak of the 2019 novel coronavirus (2019-nCoV), known as “COVID-19”, which could extend lead times in our supply chain and lengthen sales cycles with our customers; and</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direct and indirect effects of COVID-19 on our employees, customers and supply chain and the economy and financial markets.</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factors should not be construed as exhaustive and should be read together with the other cautionary statements included in this and other reports we file with the Securities and Exchange Commission (the “SEC”), including the information in “Item 1A. Risk Factors” in Part I of this report. If one or more events related to these or other risks or uncertainties materialize, or if our underlying assumptions prove to be incorrect, actual results may differ materially from what we anticipate. Unless the context requires otherwise, in this Annual Report on Form 10-K the terms “we,” “us,” “our,” the “Company” and “Inseego” refer to Inseego Corp., a Delaware corporation, and its wholly owned subsidiaries. </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Trademarks</w:t>
      </w:r>
    </w:p>
    <w:p>
      <w:pPr>
        <w:pStyle w:val="TextBody"/>
        <w:bidi w:val="0"/>
        <w:spacing w:lineRule="auto" w:line="276" w:before="180" w:after="180"/>
        <w:jc w:val="left"/>
        <w:rPr>
          <w:color w:val="000000"/>
        </w:rPr>
      </w:pPr>
      <w:r>
        <w:rPr>
          <w:color w:val="000000"/>
        </w:rPr>
        <w:t>“</w:t>
      </w:r>
      <w:r>
        <w:rPr>
          <w:rFonts w:ascii="Times New Roman;sans-serif" w:hAnsi="Times New Roman;sans-serif"/>
          <w:b w:val="false"/>
          <w:color w:val="000000"/>
          <w:sz w:val="20"/>
        </w:rPr>
        <w:t xml:space="preserve">Inseego”, “Inseego Subscribe”, “Inseego Manage”, “Inseego Secure”, “Inseego Vision”, the Inseego logo, “MiFi”, “MiFi Intelligent Mobile Hotspot”, ”Wavemaker”, “Clarity”, and “Skyus” are trademarks or registered trademarks of Inseego and its subsidiaries. Other trademarks, trade names or service marks used in this report are the property of their respective owners.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pPr>
      <w:r>
        <w:rPr>
          <w:rFonts w:ascii="Times New Roman;sans-serif" w:hAnsi="Times New Roman;sans-serif"/>
          <w:b/>
          <w:color w:val="000000"/>
          <w:sz w:val="20"/>
        </w:rPr>
        <w:t>Item 1.    </w:t>
      </w:r>
      <w:r>
        <w:rPr>
          <w:rFonts w:ascii="Times New Roman;sans-serif" w:hAnsi="Times New Roman;sans-serif"/>
          <w:b/>
          <w:i/>
          <w:color w:val="000000"/>
          <w:sz w:val="20"/>
        </w:rPr>
        <w:t>Business</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76" w:before="180" w:after="180"/>
        <w:ind w:left="0" w:right="0" w:firstLine="450"/>
        <w:jc w:val="left"/>
        <w:rPr/>
      </w:pPr>
      <w:r>
        <w:rPr>
          <w:rFonts w:ascii="Times New Roman;sans-serif" w:hAnsi="Times New Roman;sans-serif"/>
          <w:b w:val="false"/>
          <w:color w:val="353740"/>
          <w:sz w:val="20"/>
        </w:rPr>
        <w:t xml:space="preserve">Inseego Corp. is a leader in the design and development of cloud-managed wireless wide area network (“WAN”) and intelligent edge solutions. Our 4G and 5G WAN portfolio is comprised of secure and high-performance mobile broadband and fixed wireless access (“FWA”) solutions with associated cloud solutions for real time WAN visibility, monitoring, automation and control with centralized orchestration of network functions. These solutions are specifically built for the enterprise and small and medium business (“SMB”) market segments with a focus on performance, scalability, quality and enterprise grade security. Our intelligent edge telematics solutions are designed to improve business outcomes for enterprise and SMB market segments. </w:t>
      </w:r>
      <w:r>
        <w:rPr>
          <w:rFonts w:ascii="Times New Roman;sans-serif" w:hAnsi="Times New Roman;sans-serif"/>
          <w:b w:val="false"/>
          <w:color w:val="000000"/>
          <w:sz w:val="20"/>
        </w:rPr>
        <w:t>We also provide a wireless subscriber management solution for carrier’s management of their government and complex enterprise customer subscriptions.</w:t>
      </w:r>
    </w:p>
    <w:p>
      <w:pPr>
        <w:pStyle w:val="TextBody"/>
        <w:bidi w:val="0"/>
        <w:spacing w:lineRule="auto" w:line="276" w:before="180" w:after="180"/>
        <w:ind w:left="0" w:right="0" w:firstLine="450"/>
        <w:jc w:val="left"/>
        <w:rPr>
          <w:rFonts w:ascii="Times New Roman;sans-serif" w:hAnsi="Times New Roman;sans-serif"/>
          <w:b w:val="false"/>
          <w:color w:val="353740"/>
          <w:sz w:val="20"/>
        </w:rPr>
      </w:pPr>
      <w:r>
        <w:rPr>
          <w:rFonts w:ascii="Times New Roman;sans-serif" w:hAnsi="Times New Roman;sans-serif"/>
          <w:b w:val="false"/>
          <w:color w:val="353740"/>
          <w:sz w:val="20"/>
        </w:rPr>
        <w:t>Our 5G products and associated cloud solutions are designed and developed in the U.S. and are used in mission-critical applications requiring the highest levels of security and zero unscheduled downtime. These solutions support applications such as business broadband for both mobile and fixed use cases, enterprise networking and software-defined wide area network (“SD-WAN”) failover management.</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Inseego is at the forefront of providing high speed broadband through state-of-the-art 4G and 5G solutions to keep enterprise and SMB customers seamlessly connected. With multiple first-to-market innovations through several generations of 4G and 5G technologies, Inseego has been advancing wireless WAN technology and driving industry transformations for over 30 years.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Inseego Corp. is a Delaware corporation formed in 2016 as the successor to Novatel Wireless, Inc., a Delaware corporation formed in 1996, resulting from an internal reorganization that was completed in November 2016. Our principal executive office is located at 9710 Scranton Road, Suite 200, San Diego, CA 92121. Inseego’s common stock trades on The NASDAQ Global Select Market under the trading symbol “INSG.”</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Industry Trends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the largest technology platform in the world, mobile connectivity has changed the way we work, the way we live and the way we connect with each other. The scale and pace of innovation in mobile networks, especially around broadband speeds and network capacity, is expanding the market beyond traditional wireless which was predominantly focused on smartphones. The new capabilities of 5G technology and additional capacity provided by recent mid-band spectrum auctions is allowing mobile operators to enter the home and business broadband markets. These network enhancements will allow enterprise and SMB customers to enable a multitude of business applications to all their distributed sites and employees in an economical way. It is also expected that 5G will enable a variety of new low latency use cases once the complete mid band and core networks are built out. These use cases include telemedicine, industrial automation, robotics, AR/VR, edge computing, cloud gaming, and other applications.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5G mid band networks will bring a number of enhanced benefits not available on 4G networks, including the capacity to add significant numbers of broadband connections to either bring primary or alternative broadband options to a large number of consumer and business users. It is expected that these newly evolving 5G networks will also enable low latency use cases including manufacturing automation, augmented and virtual reality, video AI, and distributed networking.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adoption of 5G and the cloud continues to grow as companies across a wide range of industries are leveraging digital transformation technologies to increase efficiency, gain better customer insights, facilitate compliance and build new business models. We believe this growth will be initially driven by fixed wireless access with the new low latency enterprise use cases to follow.</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objective is to be a leader in high performance 5G broadband solutions for mobile broadband and fixed wireless access applications for enterprise and SMBs. We expect to meet this objective through our innovations in 5G hotspots, routers and gateways and our cloud solutions that enable ease of deployment and corporate policy orchestration for network wide distributed deployments. We believe that we have a competitive advantage in the market that is rooted in deep technological differentiation in the 4G/5G modem technology that we design in-house.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5"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key elements of our strategy are to:</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i/>
          <w:color w:val="000000"/>
          <w:sz w:val="20"/>
        </w:rPr>
        <w:t>Capitalize on our direct relationships with mobile operators, infrastructure vendors, 5G chipset vendors and component suppliers.</w:t>
      </w:r>
      <w:r>
        <w:rPr>
          <w:color w:val="000000"/>
        </w:rPr>
        <w:t xml:space="preserve"> </w:t>
      </w:r>
      <w:r>
        <w:rPr>
          <w:rFonts w:ascii="Times New Roman;sans-serif" w:hAnsi="Times New Roman;sans-serif"/>
          <w:b w:val="false"/>
          <w:color w:val="000000"/>
          <w:sz w:val="20"/>
        </w:rPr>
        <w:t>We intend to continue to capitalize on our direct and long-standing relationships with the key ecosystem players to strengthen our market position within the enterprise and SMB market segments.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i/>
          <w:color w:val="000000"/>
          <w:sz w:val="20"/>
        </w:rPr>
        <w:t xml:space="preserve">Keep enhancing our 5G WWAN solutions portfolio by leveraging our core mobile technologies and platforms. </w:t>
      </w:r>
      <w:r>
        <w:rPr>
          <w:rFonts w:ascii="Times New Roman;sans-serif" w:hAnsi="Times New Roman;sans-serif"/>
          <w:b w:val="false"/>
          <w:color w:val="000000"/>
          <w:sz w:val="20"/>
        </w:rPr>
        <w:t xml:space="preserve">We intend to keep enhancing our 5G WWAN portfolio in partnership with our key carrier customers to bring the latest 5G capabilities to the enterprise and SMB market segments. </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i/>
          <w:color w:val="000000"/>
          <w:sz w:val="20"/>
        </w:rPr>
        <w:t xml:space="preserve">Expand our go-to-market to enterprise and SMB customers. </w:t>
      </w:r>
      <w:r>
        <w:rPr>
          <w:rFonts w:ascii="Times New Roman;sans-serif" w:hAnsi="Times New Roman;sans-serif"/>
          <w:b w:val="false"/>
          <w:color w:val="000000"/>
          <w:sz w:val="20"/>
        </w:rPr>
        <w:t>We will continue to enhance our routes to market through mobile operators, channel partners, system integrators and OEM partners who sell into these market segments.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i/>
          <w:color w:val="000000"/>
          <w:sz w:val="20"/>
        </w:rPr>
        <w:t>Improve SaaS solution penetration</w:t>
      </w:r>
      <w:r>
        <w:rPr>
          <w:rFonts w:ascii="Times New Roman;sans-serif" w:hAnsi="Times New Roman;sans-serif"/>
          <w:b w:val="false"/>
          <w:color w:val="000000"/>
          <w:sz w:val="20"/>
        </w:rPr>
        <w:t xml:space="preserve">. We are focused on continuing to improve our recurring subscription revenue by providing value added capabilities to our customers through the four different types of cloud solutions that we develop. </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 xml:space="preserve">Our cloud management solution (Inseego Connect) manages all of the 4G and 5G gateways and routers deployed at distributed locations with a single pane of glass for ease of deployment and monitoring of all the connections. </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 xml:space="preserve">Our newly built 5G SD Edge solution provides real time WAN visibility, monitoring, automation and control. It provides central orchestration of network functions such as SD WAN routing, firewall and cloud security services. </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Our wireless subscriber management solution (Inseego Subscribe) is specifically built for carrier servicing of government and is enterprise customers and is currently deployed in North America with a large carrier with several million end users.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 xml:space="preserve">Our telematics solutions provide customers with actionable insights and workflow efficiencies with highly secure intelligent device-to-cloud platforms. These solutions are primarily deployed in Europe, the United Kingdom, Australia and New Zealand. </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We provide a portfolio of high performance 4G and 5G WAN solutions as well as several types of cloud solutions for the enterprise and SMB market segments. Our 4G and 5G solutions connect end users with high performance broadband for both mobile and fixed wireless use cases. These solutions include </w:t>
      </w:r>
      <w:r>
        <w:rPr>
          <w:color w:val="353740"/>
        </w:rPr>
        <w:t>“</w:t>
      </w:r>
      <w:r>
        <w:rPr>
          <w:rFonts w:ascii="Times New Roman;sans-serif" w:hAnsi="Times New Roman;sans-serif"/>
          <w:b w:val="false"/>
          <w:color w:val="353740"/>
          <w:sz w:val="20"/>
        </w:rPr>
        <w:t>MiFi" ™ hotspots, routers, and gateways</w:t>
      </w:r>
      <w:r>
        <w:rPr>
          <w:color w:val="000000"/>
        </w:rPr>
        <w:t xml:space="preserve"> </w:t>
      </w:r>
      <w:r>
        <w:rPr>
          <w:rFonts w:ascii="Times New Roman;sans-serif" w:hAnsi="Times New Roman;sans-serif"/>
          <w:b w:val="false"/>
          <w:color w:val="000000"/>
          <w:sz w:val="20"/>
        </w:rPr>
        <w:t xml:space="preserve">for a wide variety of end user deployments. We also offer several types of cloud solutions that are used for managing edge devices including security, SD WAN routing and corporate management of all customer locations. We also provide a wireless subscriber management solution that is used to manage a carrier’s government and complex enterprise customer subscriptions. In international markets we provide a comprehensive end-to-end telematics solution that provides customers with actionable insights and workflow efficiencies. </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Our products currently operate on all major cellular networks in the US. Our mobile hotspots, sold under the MiFi </w:t>
      </w:r>
      <w:r>
        <w:rPr>
          <w:color w:val="353740"/>
        </w:rPr>
        <w:t xml:space="preserve">™ </w:t>
      </w:r>
      <w:r>
        <w:rPr>
          <w:rFonts w:ascii="Times New Roman;sans-serif" w:hAnsi="Times New Roman;sans-serif"/>
          <w:b w:val="false"/>
          <w:color w:val="000000"/>
          <w:sz w:val="20"/>
        </w:rPr>
        <w:t xml:space="preserve">brand, have been sold to millions of end users and provide secure and convenient high-speed broadband access to the Internet on the go.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the 5G networks continue to expand both coverage and capacity, new enterprise and SMB market opportunities are opening up. The largest initial opportunity is for enterprise and SMBs to provide primary or alternate broadband access to their distributed sites and employees through 5G fixed wireless access offerings. Mobile operators are now providing fixed wireless access specific broadband plans that allow businesses to deploy 5G technology broadly without waiting for the availability of wired connections at those locations.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classify our revenues from the sale of our products and services into two categories: Product Revenue, which consists of our Mobile Solutions and Fixed Wireless Access Solutions, and Services and Other. Mobile Solutions and Fixed Wireless Access Solutions revenues include both the hardware and software required for the respective solution. </w:t>
      </w:r>
    </w:p>
    <w:p>
      <w:pPr>
        <w:pStyle w:val="TextBody"/>
        <w:bidi w:val="0"/>
        <w:spacing w:lineRule="auto" w:line="276" w:before="180" w:after="18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Mobile Solutions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5G and 4G mobile broadband (MiFi) business has been driving advanced wireless mobile technologies for a multitude of consumer and enterprise applications for over 20 years. In the 2000s, Inseego invented mobile hotspots sold under the MiFi ™ brand. During the 2010s, Inseego was a leader in the 4G mobile MiFi ™ market—delivering the highest 4G mobile hotspot performance in the market. In 2019, Inseego developed and produced the world’s first 5G mobile hotspot. In 2022, we launched our third generation 5G mobile hotspot with Telstra, Verizon, and T-Mobile.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MiFi customer base is primarily comprised of mobile operators. These mobile operators include Verizon Wireless, T-Mobile and U.S. Cellular in the United States, Rogers and Telus in Canada, Telstra in Australia, as well as other international wireless operators, distributors and various companies in other vertical markets and geographies.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mobile broadband solutions, sold under the MiFi brand, are actively used by millions of end users to provide secure and convenient high-speed access to corporate, public and personal information through the Internet and enterprise networks. Our mobile portfolio is supported by our cloud offerings - Inseego Connect for device management, and 5G SD EDGE for secure networking enabling corporate managed mobile remote workforce. Our Mobile Solutions portfolio also includes 4G VoLTE products and 4G USB modems.</w:t>
      </w:r>
    </w:p>
    <w:p>
      <w:pPr>
        <w:pStyle w:val="TextBody"/>
        <w:bidi w:val="0"/>
        <w:spacing w:lineRule="auto" w:line="276" w:before="180" w:after="18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Fixed Wireless Access Solutions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Fixed Wireless Access solutions are deployed by enterprise and SMB customers for their distributed sites and employees as a fully secure and corporate managed wireless WAN solution. The portfolio consists of indoor, outdoor and industrial routers and gateways supported by our cloud solutions – Inseego Connect for device management and 5G SD Edge for secure cloud networking. These solutions, sold under the Wavemaker and Skyus brands, are sold by mobile operators such as T-Mobile, U.S. Cellular and Verizon Wireless along with distribution and channel partners. </w:t>
      </w:r>
    </w:p>
    <w:p>
      <w:pPr>
        <w:pStyle w:val="TextBody"/>
        <w:bidi w:val="0"/>
        <w:spacing w:lineRule="auto" w:line="276" w:before="180" w:after="18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Services and Other</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sell certain other types of SaaS solutions. First is our telematics solution that is deployed across multiple vertical markets in Europe, the UK, Australia and New Zealand. This solution provides real time visibility to fleet managers on their deployed vehicles with live maps and data to improve driver safety and performance. We have thousands of enterprise and SMB customers currently subscribed to this service.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Second, we provide a wireless subscriber management solution (Inseego Subscribe) for carrier’s management of their government and complex enterprise customer subscriptions.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categorize non-recurring engineering services we provide to our customers as Service and other revenue. </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engage in a wide variety of sales and marketing activities, driving market leadership and global demand through integrated marketing campaigns. This includes product marketing, corporate communications, brand marketing and demand generation.</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for our 5G mobile and fixed wireless access solutions as well as telematics solutions is rapidly evolving and highly competitive. It is likely to continue to be affected by new product introductions and industry participants.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principal competitive factors impacting the market for our products are features and functionality, performance, quality and brand. To maintain and improve our competitive position, we must continue to expand our customer base, invest in research and development, grow our distribution network, and leverage our strategic relationships.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compete with a variety of solutions providers in different market segments. Our current competitors include:</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 xml:space="preserve">Fleet management – Companies such as Lytx and Samsara; </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Mobile broadband – Companies such as Netgear, Franklin Wireless, TCL and ZTE</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Fixed wireless access – Companies such as Nokia, Cradlepoint, ZTE, Huawei and Cisco</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the market for our solutions and services expands, other entrants may seek to compete with us either directly or indirectly.</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efforts are focused on developing innovative 4G and 5G mobile broadband and fixed wireless access solutions that includes mobile hotspots, gateways and routers. We also develop associated cloud management and enterprise networking cloud solutions to provide an end-to-end solution to our customers. We also develop a comprehensive portfolio of telematics solutions for markets in Europe, UK, Australia and New Zealand and we develop for our subscriber management platform. We will continue to improve the functionality, design and performance of our current products and solutions.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identify and respond to our customers’ needs by introducing new 5G designs that meet the needs of the market and our customers.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manage our research and development through a structured life-cycle process, from identifying initial customer requirements through development and commercial introduction to eventual phase-out. During product development, emphasis is placed on quality, reliability, performance, time-to-market, meeting industry standards and customer-product specifications, ease of integration, cost reduction, and manufacturability.</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solutions rely on and benefit from our portfolio of intellectual property, including patents and trademarks. We currently own 46 patents and have 3 patent applications pending. The patents that we currently own will expire at various times between 2026 and 2042.</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along with our subsidiaries, also hold a number of trademarks or registered trademarks including “Inseego”, “Inseego Subscribe”, “Inseego Manage”, “Inseego Secure”, “Inseego Vision”, the Inseego logo, “MiFi”, “MiFi Intelligent Mobile Hotspot”, “Wavemaker” and “Skyus.”</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Key Partners and Customers</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We have strategic technology, development and marketing relationships with several of our carrier customers and partners. Our strong carrier, enterprise, and partner relationships provide us with the opportunity to expand our market reach and sales. We partner with leading OEMs, mobile operators, value-added resellers and distributors which allows us to offer our customers integrated soluti</w:t>
      </w:r>
      <w:r>
        <w:rPr>
          <w:rFonts w:ascii="Times New Roman;sans-serif" w:hAnsi="Times New Roman;sans-serif"/>
          <w:b w:val="false"/>
          <w:color w:val="000000"/>
          <w:sz w:val="20"/>
          <w:shd w:fill="FFFFFF" w:val="clear"/>
        </w:rPr>
        <w:t xml:space="preserve">ons. Our telematics platform uses leading </w:t>
      </w:r>
      <w:r>
        <w:rPr>
          <w:rFonts w:ascii="Times New Roman;sans-serif" w:hAnsi="Times New Roman;sans-serif"/>
          <w:b w:val="false"/>
          <w:color w:val="000000"/>
          <w:sz w:val="20"/>
        </w:rPr>
        <w:t>cellular providers such as Vodafone, Telstra and Optus to ensure the optimal real-time visibility of tracked vehicles and systems, supported by accurate and sophisticated mapping services such as the HERE Open Location Platform.</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Customers for our products include transportation companies, industrial companies, governmental agencies, manufacturers, mobile operators, system integrators, distributors, and enterprises in various industries, including fleet and vehicle transportation, finance, accounting, legal, insurance, energy and industrial automation, security and safety, medical monitoring and government.</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telematics customer base is comprised of wireless operators, distributors, OEMs and various companies in other vertical markets. Fleet management customers include global enterprises such as BHP Billiton, Super Group, Mammoet and Australia Post. Our customers for our 4G and 5G products include EnerNOC, Thermo Fisher Scientific, US Army, Fastenal, T-Mobile and Verizon Wireless, amongst others. Customers for our device management solutions include mobile operators such as T-Mobile.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 during the year ended December 31, 2023 came from two customers, Verizon and T-Mobile, which together represented approximately 59% of our total revenues for the year ended December 31, 2023. It is our intention to continue to diversify our customer base.</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Manufacturing and Operations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hardware used in our solutions is produced by contract manufacturers. Our primary contract manufacturers include Hon Hai Precision Industry Co., Ltd. (“Foxconn”) and Inventec Appliance Corporation (“IAC”), each of whom manufactures our product outside of mainland China. Under our manufacturing agreements, such contract manufacturers provide us with services including component procurement, product manufacturing, final assembly, testing, quality control and fulfillment. These contract manufacturers are located in Asia and are able to produce our products using modern state-of-the-art equipment and facilities with relatively low-cost labor.</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outsource our manufacturing in order to:</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focus on our core competencies of design, development and marketing;</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minimize our capital expenditures and lease obligations;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realize manufacturing economies of scale;</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achieve production scalability by adjusting manufacturing volumes to meet changes in demand; and</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access best-in-class component procurement and manufacturing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8"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team manages our relationships with the contract manufacturers as well as other key suppliers. Our operations team focuses on supply chain management and logistics, product quality, inventory and cost optimization, customer fulfillment and new product introduction. We develop and control the software that goes on our devices.</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Employees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we had 345 employees of which 331 were full-time employees. We also use the services of consultants and temporary workers from time to time. Our employees are not represented by any collective bargaining unit and we consider our relationship with our employees to be good.</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276" w:before="180" w:after="180"/>
        <w:ind w:left="0" w:right="0" w:firstLine="450"/>
        <w:jc w:val="left"/>
        <w:rPr/>
      </w:pPr>
      <w:r>
        <w:rPr>
          <w:rFonts w:ascii="Times New Roman;sans-serif" w:hAnsi="Times New Roman;sans-serif"/>
          <w:b/>
          <w:color w:val="000000"/>
          <w:sz w:val="20"/>
        </w:rPr>
        <w:t>Our Culture</w:t>
      </w:r>
      <w:r>
        <w:rPr>
          <w:rFonts w:ascii="Times New Roman;sans-serif" w:hAnsi="Times New Roman;sans-serif"/>
          <w:b w:val="false"/>
          <w:color w:val="000000"/>
          <w:sz w:val="20"/>
        </w:rPr>
        <w:t>: Culture is critically important to our growth and performance. We are driven by our values of Accountability, Sense of Urgency, Market Driven Innovation, Customer Focus, and Integrity. We are committed to creating a world class employee experience through leadership development, career planning, open two-way communications, total compensation, and a positive work environment.</w:t>
      </w:r>
    </w:p>
    <w:p>
      <w:pPr>
        <w:pStyle w:val="TextBody"/>
        <w:bidi w:val="0"/>
        <w:spacing w:lineRule="auto" w:line="276" w:before="180" w:after="180"/>
        <w:ind w:left="0" w:right="0" w:firstLine="450"/>
        <w:jc w:val="left"/>
        <w:rPr/>
      </w:pPr>
      <w:r>
        <w:rPr>
          <w:rFonts w:ascii="Times New Roman;sans-serif" w:hAnsi="Times New Roman;sans-serif"/>
          <w:b/>
          <w:color w:val="000000"/>
          <w:sz w:val="20"/>
        </w:rPr>
        <w:t>Diversity &amp; Inclusion</w:t>
      </w:r>
      <w:r>
        <w:rPr>
          <w:rFonts w:ascii="Times New Roman;sans-serif" w:hAnsi="Times New Roman;sans-serif"/>
          <w:b w:val="false"/>
          <w:color w:val="000000"/>
          <w:sz w:val="20"/>
        </w:rPr>
        <w:t>: Our people are our most important asset. At Inseego, we embrace an inclusive culture because good ideas come from everywhere. Diversity comes in all forms, from different backgrounds and experiences to different perspectives and skill sets. It is this diversity that fuels innovation. It is this common passion to innovate that makes Inseego an equal opportunity employer. Inseego does not unlawfully discriminate in any employment decisions, including hiring, compensation, promotion, discipline, or termination on the basis of race, religion, color, national origin, sex, sexual orientation, gender identity, age, protected veteran status or disability. Inseego is also committed to providing reasonable accommodations to qualified individuals with disabilities and individuals with sincerely held religious beliefs and practices.</w:t>
      </w:r>
    </w:p>
    <w:p>
      <w:pPr>
        <w:pStyle w:val="TextBody"/>
        <w:bidi w:val="0"/>
        <w:spacing w:lineRule="auto" w:line="276" w:before="180" w:after="180"/>
        <w:ind w:left="0" w:right="0" w:firstLine="450"/>
        <w:jc w:val="left"/>
        <w:rPr/>
      </w:pPr>
      <w:r>
        <w:rPr>
          <w:rFonts w:ascii="Times New Roman;sans-serif" w:hAnsi="Times New Roman;sans-serif"/>
          <w:b/>
          <w:color w:val="000000"/>
          <w:sz w:val="20"/>
        </w:rPr>
        <w:t>Talent</w:t>
      </w:r>
      <w:r>
        <w:rPr>
          <w:rFonts w:ascii="Times New Roman;sans-serif" w:hAnsi="Times New Roman;sans-serif"/>
          <w:b w:val="false"/>
          <w:color w:val="000000"/>
          <w:sz w:val="20"/>
        </w:rPr>
        <w:t>: We believe that talent is key to our success. Our human capital resources objectives include, as applicable, identifying, recruiting, retaining, incentivizing, and integrating our existing and new employees. Our company size and culture allows employees to build and expand their skill set in ways that will enrich their careers. Our goal setting and performance evaluation process enables the company to focus on accelerating development for those who are top performers and strengthening the talent pipeline.</w:t>
      </w:r>
    </w:p>
    <w:p>
      <w:pPr>
        <w:pStyle w:val="TextBody"/>
        <w:bidi w:val="0"/>
        <w:spacing w:lineRule="auto" w:line="276" w:before="180" w:after="180"/>
        <w:ind w:left="0" w:right="0" w:firstLine="450"/>
        <w:jc w:val="left"/>
        <w:rPr/>
      </w:pPr>
      <w:r>
        <w:rPr>
          <w:rFonts w:ascii="Times New Roman;sans-serif" w:hAnsi="Times New Roman;sans-serif"/>
          <w:b/>
          <w:color w:val="000000"/>
          <w:sz w:val="20"/>
        </w:rPr>
        <w:t xml:space="preserve">Employee Health and Wellness: </w:t>
      </w:r>
      <w:r>
        <w:rPr>
          <w:rFonts w:ascii="Times New Roman;sans-serif" w:hAnsi="Times New Roman;sans-serif"/>
          <w:b w:val="false"/>
          <w:color w:val="000000"/>
          <w:sz w:val="20"/>
        </w:rPr>
        <w:t>As the success of our business is fundamentally connected to the well-being of our employees, we are committed to their health, safety and wellness. We provide our employees and their families with access to convenient health and wellness programs. These programs include benefits that provide protection and security to help give our employees peace of mind concerning events that may require time away from work or that may impact their financial well-being. We offer choice where possible so employees can customize their benefits to meet their needs and the needs of their families. We also sponsor various Health &amp; Wellness Initiatives in the U.S. to help employees find ways to create more balance in their lives.</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Governmental Regulations</w:t>
      </w:r>
    </w:p>
    <w:p>
      <w:pPr>
        <w:pStyle w:val="TextBody"/>
        <w:bidi w:val="0"/>
        <w:spacing w:lineRule="auto" w:line="276" w:before="180" w:after="180"/>
        <w:ind w:left="0" w:right="0" w:firstLine="450"/>
        <w:jc w:val="left"/>
        <w:rPr/>
      </w:pPr>
      <w:r>
        <w:rPr>
          <w:rFonts w:ascii="Times New Roman;sans-serif" w:hAnsi="Times New Roman;sans-serif"/>
          <w:b/>
          <w:color w:val="000000"/>
          <w:sz w:val="20"/>
        </w:rPr>
        <w:t>Environmental Laws</w:t>
      </w:r>
      <w:r>
        <w:rPr>
          <w:rFonts w:ascii="Times New Roman;sans-serif" w:hAnsi="Times New Roman;sans-serif"/>
          <w:b w:val="false"/>
          <w:color w:val="000000"/>
          <w:sz w:val="20"/>
        </w:rPr>
        <w:t>: Our products and manufacturing process are subject to numerous governmental regulations, which cover both the use of various materials as well as environmental concerns. Environmental issues such as pollution and climate change have had significant legislative and regulatory effects on a global basis, and there are expected to be additional changes to the regulations in these areas. These changes could directly increase the cost of energy, which may have an impact on the way we manufacture products or utilize energy to produce our products. In addition, any new regulations or laws in the environmental area might increase the cost of raw materials we use in our products and the cost of compliance. Other regulations in the environmental area may require us to continue to monitor and ensure proper disposal or recycling of our products. To the best of our knowledge, we maintain compliance with all current government regulations concerning our production processes for all locations in which we operate. Since we operate on a global basis, this is a complex process that requires continual monitoring of regulations and compliance effort to ensure that we and our suppliers are in compliance with all existing regulations.</w:t>
      </w:r>
    </w:p>
    <w:p>
      <w:pPr>
        <w:pStyle w:val="TextBody"/>
        <w:bidi w:val="0"/>
        <w:spacing w:lineRule="auto" w:line="276" w:before="180" w:after="180"/>
        <w:ind w:left="0" w:right="0" w:firstLine="450"/>
        <w:jc w:val="left"/>
        <w:rPr/>
      </w:pPr>
      <w:r>
        <w:rPr>
          <w:rFonts w:ascii="Times New Roman;sans-serif" w:hAnsi="Times New Roman;sans-serif"/>
          <w:b/>
          <w:color w:val="000000"/>
          <w:sz w:val="20"/>
        </w:rPr>
        <w:t>Other Regulations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As a company with global operations, we are subject to complex foreign and U.S. laws and regulations, including trade regulations, tariffs, import and export regulations, anti-bribery and corruption laws, antitrust or competition laws, data privacy laws, such as the EU General Data Protection Regulation (the “GDPR”), and environmental regulations, among others. We have policies and procedures in place to promote compliance with these laws and regulations. To date, our compliance actions and costs relating to these laws, rules and regulations have not resulted in a material cost or effect on our capital expenditures, earnings or competitive position. Government regulations are subject to change, and accordingly we are unable to assess the possible effect of compliance with future requirements or whether our compliance with such regulations will materially impact our business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Website Access to SEC Filings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file annual, quarterly and special reports, proxy statements and other information with the SEC. The SEC maintains an Internet website at http://www.sec.gov that contains reports, proxy and information statements, and other information regarding issuers that file electronically with the SEC, including Inseego. We maintain an Internet website at www.inseego.com. The information contained on our website or that can be accessed through our website does not constitute a part of this report. We make available, free of charge through our Internet website, our Annual Reports on Form 10-K, Quarterly Reports on Form 10-Q, Current Reports on Form 8-K and amendments to those reports filed or furnished pursuant to Section 13(a) or 15(d) of the Exchange Act, as soon as reasonably practicable after we electronically file or furnish this information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pPr>
      <w:r>
        <w:rPr>
          <w:rFonts w:ascii="Times New Roman;sans-serif" w:hAnsi="Times New Roman;sans-serif"/>
          <w:b/>
          <w:color w:val="000000"/>
          <w:sz w:val="20"/>
        </w:rPr>
        <w:t>Item 1A.    </w:t>
      </w:r>
      <w:r>
        <w:rPr>
          <w:rFonts w:ascii="Times New Roman;sans-serif" w:hAnsi="Times New Roman;sans-serif"/>
          <w:b/>
          <w:i/>
          <w:color w:val="000000"/>
          <w:sz w:val="20"/>
        </w:rPr>
        <w:t>Risk Factors</w:t>
      </w:r>
    </w:p>
    <w:p>
      <w:pPr>
        <w:pStyle w:val="TextBody"/>
        <w:bidi w:val="0"/>
        <w:spacing w:lineRule="auto" w:line="276" w:before="180" w:after="18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The risks and uncertainties described below are those that we currently deem to be material, and do not represent all of the risks that we face. Additional risks and uncertainties not presently known to us or that we currently do not consider material may in the future become material and impair our business operations. Some of the risks and uncertainties described herein have been grouped so that related risks can be viewed together. You should not draw conclusions regarding the relative magnitude or likelihood of any risk based on the order in which risks or uncertainties are presented herein. If any of the following risks actually occur, our business could be materially harmed, and our financial condition and results of operations could be materially and adversely affected. As a result, the trading price of our securities could decline. You should also refer to the other information contained in this Annual Report on Form 10-K, including our consolidated financial statements and the related notes.</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SUMMARY OF RISK FACTORS </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Risks Related to Our Outstanding Debt</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Our debt service requirements are significant, and we may not have sufficient cash flow from our business to pay our substantial debt.</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 xml:space="preserve">Our future capital needs are uncertain, and we may need to raise additional funds in the future. We may not be able to raise such additional funds on acceptable terms or at all. </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 xml:space="preserve">We are required to comply with certain financial and other covenants under our Credit Agreement (as defined below) and, if we fail to meet those covenants or otherwise suffer a default thereunder, our lender may accelerate the payment of such obligations. </w:t>
      </w:r>
    </w:p>
    <w:p>
      <w:pPr>
        <w:pStyle w:val="TextBody"/>
        <w:bidi w:val="0"/>
        <w:spacing w:lineRule="auto" w:line="276" w:before="60" w:after="60"/>
        <w:jc w:val="left"/>
        <w:rPr>
          <w:rFonts w:ascii="Times New Roman;sans-serif" w:hAnsi="Times New Roman;sans-serif"/>
          <w:b/>
          <w:i/>
          <w:color w:val="000000"/>
          <w:sz w:val="20"/>
        </w:rPr>
      </w:pPr>
      <w:r>
        <w:rPr>
          <w:rFonts w:ascii="Times New Roman;sans-serif" w:hAnsi="Times New Roman;sans-serif"/>
          <w:b/>
          <w:i/>
          <w:color w:val="000000"/>
          <w:sz w:val="20"/>
        </w:rPr>
        <w:t>Risks Related to Our Ability to Generate Revenues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We depend upon two customers for a substantial portion of our revenues, and our business would be negatively affected by an adverse change in our dealings with either of these customers.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We may not be able to retain and increase sales to our existing customers, which could negatively impact our financial results.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Loss of, or a significant reduction in business from, one or more significant customers could adversely affect our revenue and profitability.</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The FWA market may take longer to materialize than we expect or, if it does materialize rapidly, we may not be able to meet the development schedule and other customer demands.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The marketability of our products may suffer if wireless telecommunications operators do not deliver acceptable wireless services.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If customers do not adopt our software, we may not be able to monetize these software assets and realize a key part of our growth and profitability strategy.</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The market for the products and services that we offer is rapidly evolving and highly competitive. We may be unable to compete effectively.</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If we fail to develop and maintain strategic relationships, we may not be able to penetrate new markets.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If we fail to develop and timely introduce new products and services or enter new markets for our products and services successfully, we may not achieve our revenue targets, or we may lose key customers or sales and our business could be harmed.</w:t>
      </w:r>
    </w:p>
    <w:p>
      <w:pPr>
        <w:pStyle w:val="TextBody"/>
        <w:bidi w:val="0"/>
        <w:spacing w:lineRule="auto" w:line="276" w:before="60" w:after="60"/>
        <w:jc w:val="left"/>
        <w:rPr>
          <w:rFonts w:ascii="Times New Roman;sans-serif" w:hAnsi="Times New Roman;sans-serif"/>
          <w:b/>
          <w:i/>
          <w:color w:val="000000"/>
          <w:sz w:val="20"/>
        </w:rPr>
      </w:pPr>
      <w:r>
        <w:rPr>
          <w:rFonts w:ascii="Times New Roman;sans-serif" w:hAnsi="Times New Roman;sans-serif"/>
          <w:b/>
          <w:i/>
          <w:color w:val="000000"/>
          <w:sz w:val="20"/>
        </w:rPr>
        <w:t>Risks Related to Developing, Manufacturing and Delivering Our Solutions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We rely on third parties to manufacture and warehouse many of our products, which exposes us to a number of risks and uncertainties outside our control.</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We depend on sole source suppliers for some components used in our products. The availability and sale of those services would be harmed if any of these suppliers is not able to meet our demand and alternative suitable products are not available on acceptable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10"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 xml:space="preserve">Natural disasters, public health crises, political crises and other catastrophic events or other events outside of our control could damage our facilities or the facilities of third parties on which we depend, and could impact consumer spending. </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If disruptions in our transportation network occur or our shipping costs substantially increase, we may be unable to sell or timely deliver our products, and our operating expenses could increase.</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We may be unable to adequately control the costs or maintain adequate supply of components and raw materials associated with our operations.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If we do not effectively manage our sales channel inventory and product mix, we may incur costs associated with excess inventory, or lose sales from having too few products.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Product liability, product replacement or recall costs could adversely affect our business and financial performance.</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We rely on third-party software and other intellectual property to develop and provide our solutions and significant increases in licensing costs or defects in third-party software could harm our business.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Our solutions integrate with third-party technologies and if our solutions become incompatible with these technologies, our solutions would lose functionality and our customer acquisition and retention could be adversely affected.</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Our software may contain undetected errors, defects or other software problems, and if we fail to correct any defect or other software problems, we could lose customers or incur significant costs, which could result in damage to our reputation or harm to our operating results.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Our “over-the-air” transmission of firmware updates could permit a third party to disable our customers’ in-vehicle devices or introduce malware into our customers’ in-vehicle devices, which could expose us to widespread loss of service and customer claims.</w:t>
      </w:r>
    </w:p>
    <w:p>
      <w:pPr>
        <w:pStyle w:val="TextBody"/>
        <w:bidi w:val="0"/>
        <w:spacing w:lineRule="auto" w:line="276" w:before="60" w:after="60"/>
        <w:jc w:val="left"/>
        <w:rPr>
          <w:rFonts w:ascii="Times New Roman;sans-serif" w:hAnsi="Times New Roman;sans-serif"/>
          <w:b/>
          <w:i/>
          <w:color w:val="000000"/>
          <w:sz w:val="20"/>
        </w:rPr>
      </w:pPr>
      <w:r>
        <w:rPr>
          <w:rFonts w:ascii="Times New Roman;sans-serif" w:hAnsi="Times New Roman;sans-serif"/>
          <w:b/>
          <w:i/>
          <w:color w:val="000000"/>
          <w:sz w:val="20"/>
        </w:rPr>
        <w:t>Legal and Regulatory Risks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Evolving regulations and changes in applicable laws relating to data privacy may increase our expenditures related to compliance efforts or otherwise limit the solutions we can offer, which may harm our business and adversely affect our financial condition.</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Enhanced United States fiscal, tax and trade restrictions and executive and legislative actions could adversely affect our business, financial condition, and results of operations.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The increasing focus on environmental sustainability and social initiatives could increase our costs, harm our reputation and adversely impact our financial results.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An assertion by a third party that we are infringing its intellectual property could subject us to costly and time-consuming litigation or expensive licenses and our business could be harmed.</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 xml:space="preserve">If we are unable to protect our intellectual property and proprietary rights, our competitive position and our business could be harmed. </w:t>
      </w:r>
    </w:p>
    <w:p>
      <w:pPr>
        <w:pStyle w:val="TextBody"/>
        <w:bidi w:val="0"/>
        <w:spacing w:lineRule="auto" w:line="276" w:before="60" w:after="60"/>
        <w:jc w:val="left"/>
        <w:rPr>
          <w:rFonts w:ascii="Times New Roman;sans-serif" w:hAnsi="Times New Roman;sans-serif"/>
          <w:b/>
          <w:i/>
          <w:color w:val="000000"/>
          <w:sz w:val="20"/>
        </w:rPr>
      </w:pPr>
      <w:r>
        <w:rPr>
          <w:rFonts w:ascii="Times New Roman;sans-serif" w:hAnsi="Times New Roman;sans-serif"/>
          <w:b/>
          <w:i/>
          <w:color w:val="000000"/>
          <w:sz w:val="20"/>
        </w:rPr>
        <w:t>Risks Related to International Operations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Due to the global nature of our operations, we are subject to political and economic risks of doing business internationally.</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Weakness or deterioration in global economic conditions or jurisdictions where we have significant foreign operations could have a material adverse effect on our results of operations and financial condition.</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Weakness or deterioration in global political conditions where we have significant business interests could have a material adverse effect on our business, results of operations and financial condition.</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Fluctuations in foreign currency exchange rates could adversely affect our results of operations.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Unionization efforts in certain countries in which we operate could materially increase our costs or limit our flexibility.</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Our international operations may increase our exposure to potential liability under anti-corruption, trade protection, tax and other laws and regulations.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A governmental challenge to our transfer pricing policies or practices could impose significant costs on us.</w:t>
      </w:r>
    </w:p>
    <w:p>
      <w:pPr>
        <w:pStyle w:val="TextBody"/>
        <w:bidi w:val="0"/>
        <w:spacing w:lineRule="auto" w:line="276" w:before="60" w:after="60"/>
        <w:jc w:val="left"/>
        <w:rPr>
          <w:rFonts w:ascii="Times New Roman;sans-serif" w:hAnsi="Times New Roman;sans-serif"/>
          <w:b/>
          <w:i/>
          <w:color w:val="000000"/>
          <w:sz w:val="20"/>
        </w:rPr>
      </w:pPr>
      <w:r>
        <w:rPr>
          <w:rFonts w:ascii="Times New Roman;sans-serif" w:hAnsi="Times New Roman;sans-serif"/>
          <w:b/>
          <w:i/>
          <w:color w:val="000000"/>
          <w:sz w:val="20"/>
        </w:rPr>
        <w:t>Risks Related to Business Development Activities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We may acquire companies and businesses, and/or divest assets or businesses. The completion of acquisition or divestiture transactions could have an adverse effect on our financial condition.</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If our goodwill and acquired intangible assets become impaired, we may be required to record a significant charge to earnings.</w:t>
      </w:r>
    </w:p>
    <w:p>
      <w:pPr>
        <w:pStyle w:val="TextBody"/>
        <w:bidi w:val="0"/>
        <w:spacing w:lineRule="auto" w:line="276" w:before="60" w:after="60"/>
        <w:jc w:val="left"/>
        <w:rPr>
          <w:rFonts w:ascii="Times New Roman;sans-serif" w:hAnsi="Times New Roman;sans-serif"/>
          <w:b/>
          <w:i/>
          <w:color w:val="000000"/>
          <w:sz w:val="20"/>
        </w:rPr>
      </w:pPr>
      <w:r>
        <w:rPr>
          <w:rFonts w:ascii="Times New Roman;sans-serif" w:hAnsi="Times New Roman;sans-serif"/>
          <w:b/>
          <w:i/>
          <w:color w:val="000000"/>
          <w:sz w:val="20"/>
        </w:rPr>
        <w:t>Risks Related to Owning Our Securities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Our share price has been highly volatile in the past and could be highly volatile in the future.</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Our ability to use our net operating loss carryforwards and certain other tax attributes may be limited</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 xml:space="preserve">The price of our stock may be vulnerable to manipulation, including through short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1"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Future settlements of any conversion obligations with respect to the 2025 Notes may result in dilution to existing stockholders, lower prevailing market prices for our common stock or require a significant cash outlay.</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Ownership of our common stock is concentrated, and as a result, certain stockholders may exercise significant influence over the Company.</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Our outstanding Series E Preferred Stock or future equity offerings could adversely affect the holders of our common stock in some circumstances.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We do not currently intend to pay dividends on our common stock, and, consequently, your ability to achieve a return on your investment will depend on appreciation, if any, in the price of our common stock.</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Our restated certificate of incorporation and restated bylaws and Delaware law could prevent a takeover that stockholders consider favorable and could also reduce the market price of our stock.</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If financial or industry analysts do not publish research or reports about our business, or if they issue negative or misleading evaluations of our stock, our stock price and trading volume could decline.</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If we fail to maintain an effective system of internal controls over financial reporting, we may not be able to report our financial results timely and accurately, which could adversely affect investor confidence in us, and in turn, our results of operations and our stock price.</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 xml:space="preserve">If the accounting estimates we make, and the assumptions on which we rely, in preparing our financial statements prove inaccurate, our actual results may be adversely affected. </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Changes to the accounting systems or new accounting system implementations may be ineffective or cause delays in our ability to record transactions and/or provide timely financial results.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Any changes to existing accounting pronouncements or taxation rules or practices may cause adverse fluctuations in our reported results of operations or affect how we conduct our business.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Our quarterly operating results have fluctuated in the past and may fluctuate in the future, which could cause declines or volatility in the price of our common stock.</w:t>
      </w:r>
    </w:p>
    <w:p>
      <w:pPr>
        <w:pStyle w:val="TextBody"/>
        <w:bidi w:val="0"/>
        <w:spacing w:lineRule="auto" w:line="276" w:before="60" w:after="60"/>
        <w:jc w:val="left"/>
        <w:rPr>
          <w:rFonts w:ascii="Times New Roman;sans-serif" w:hAnsi="Times New Roman;sans-serif"/>
          <w:b/>
          <w:i/>
          <w:color w:val="000000"/>
          <w:sz w:val="20"/>
        </w:rPr>
      </w:pPr>
      <w:r>
        <w:rPr>
          <w:rFonts w:ascii="Times New Roman;sans-serif" w:hAnsi="Times New Roman;sans-serif"/>
          <w:b/>
          <w:i/>
          <w:color w:val="000000"/>
          <w:sz w:val="20"/>
        </w:rPr>
        <w:t>General Risk Factors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We may not be able to maintain and expand our business if we are not able to hire, retain and manage additional qualified personnel.</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Our business may be adversely affected by unfavorable macroeconomic conditions</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000000"/>
          <w:sz w:val="20"/>
        </w:rPr>
        <w:t>Adverse economic conditions or reduced spending on information technology solutions may adversely impact our revenue and profitability.</w:t>
      </w:r>
    </w:p>
    <w:p>
      <w:pPr>
        <w:pStyle w:val="TextBody"/>
        <w:bidi w:val="0"/>
        <w:spacing w:lineRule="auto" w:line="276" w:before="60" w:after="60"/>
        <w:ind w:left="0" w:right="0" w:hanging="360"/>
        <w:jc w:val="left"/>
        <w:rPr/>
      </w:pPr>
      <w:r>
        <w:rPr>
          <w:color w:val="000000"/>
        </w:rPr>
        <w:t>•</w:t>
      </w:r>
      <w:r>
        <w:rPr>
          <w:rFonts w:ascii="Times New Roman;sans-serif" w:hAnsi="Times New Roman;sans-serif"/>
          <w:b w:val="false"/>
          <w:color w:val="231F20"/>
          <w:sz w:val="20"/>
          <w:shd w:fill="FFFFFF" w:val="clear"/>
        </w:rPr>
        <w:t>We may be exposed to risks related to litigation and administrative proceedings that could materially and adversely affect our business, results of operations and financial condition.</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RISKS RELATED TO OUR OUTSTANDING DEBT</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Our debt service requirements are significant, and we may not have sufficient cash flow from our business to pay our substantial debt.</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outstanding principal amount of our 3.25% convertible senior notes due 2025 (the “2025 Notes”) at December 31, 2023 was $161.9 million. The 2025 Notes have a maturity date of May 1, 2025. In addition, we have a line of credit pursuant to a Loan and Security Agreement (the “Credit Agreement”) by and among Siena Lending Group LLC, as lender, the borrower parties thereto and the Company, as guarantor, which established a $50 million revolving credit facility (the “Credit Facility”). As of December 31, 2023, the Credit Facility had outstanding borrowings of $4.1 million. The Credit Facility has a maturity date of December 31, 2024. The Company’s intention is to restructure or refinance the Credit Facility and the 2025 Notes, however, there can be no assurance that any required or desired restructuring or financing will be available on terms favorable to the Company, or at all.</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on, or to refinance our indebtedness, depends on our future performance, which is subject to economic, financial, competitive and other factors beyond our control. Our business may not generate cash flow from operations in the future sufficient to service our debt and other fixed charges, fund working capital needs and make necessary capital expenditures. If we are unable to generate such cash flow, we may be required to adopt one or more alternatives, such as selling assets, refinancing or restructuring debt or obtaining additional equity capital on terms that may be onerous or dilutive. Our ability to refinance or restructure our indebtedness will depend on the condition of the capital markets and our financial condition at such time. We may not be able to engage in any of these activities or engage in these activities on favorable terms, which could result in a default on our debt obligations. Any default under such indebtedness could have a material adverse effect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Our future capital needs are uncertain, and we may need to raise additional funds in the future. We may not be able to raise such additional funds on acceptable terms or at all.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need to raise substantial additional capital in the future to refinance our indebtedness, fund our operations, develop and commercialize new products and solutions or acquire companies. If we require additional funds in the future, we may not be able to obtain those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In addition, restrictions in our existing debt agreements may limit the amount and/or type of indebtedness that we are able to incur.</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do not have, or are not able to obtain, sufficient funds, we may have to delay development or commercialization of our products and solutions, liquidate some or all of our assets, or delay, reduce the scope of or eliminate some or all of our sales and marketing expansion programs. Any of these actions could harm our operating results.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We are required to comply with certain financial and other covenants under our Credit Agreement and, if we fail to meet those covenants or otherwise suffer a default thereunder, our lender may accelerate the payment of such obligations.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various covenants, restrictions and events of default. Among other things, these provisions require us to maintain a certain level of consolidated liquidity and impose certain limits on our ability to engage in certain activities. The restrictions in the Credit Agreement impose operating and financial restrictions on us and may limit our ability to compete effectively, take advantage of new business opportunities or take other actions that may be in our, or our shareholders’, best interests. Further, various risks and uncertainties may impact our ability to comply with our obligations under the Credit Agreement. Our obligations under the Credit Agreement are secured by a continuing security interest in all property (other than certain excluded collateral) of the Company and each of the borrower parties.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inability to comply with any of the provisions of the Credit Agreement could result in a default under it. If such a default occurs, the lender may elect to (a) terminate all or any portion of its commitments without prior notice, (b) demand payment in full of all or any portion of our obligations under the Credit Facility, along with an early payment/termination premium, and (c) demand that the letters of credit be cash collateralized and/or foreclose on our assets. The occurrence of any of these events could have a material adverse effect on our business, financial condition, results of operations and liquidity.</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RISKS RELATED TO OUR ABILITY TO GENERATE REVENUES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We depend upon two customers for a substantial portion of our revenues, and our business would be negatively affected by an adverse change in our dealings with either of these customers.</w:t>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Sales to Verizon Wireless and T-Mobile collectively accounted for 59% and 67% of our consolidated net revenues for the years ended December 31, 2023 and 2022, respectively. Revenues from T-Mobile generated through our wireless subscriber management solution (Inseego Subscribe) makes up a significant portion of our Services and other revenue. While we have accelerated our engagements with prospective new customers and continue to focus on growing revenue in other parts of our business, we expect that Verizon Wireless and T-Mobile will continue to account for a substantial portion of our net revenues, and any impairment of our relationship or reduction in our services with Verizon Wireless or T-Mobile would adversely affect our business and financial position. Additionally, any change in the forecasted or actual product sell-through of Verizon Wireless or T-Mobile could have a detrimental impact on our revenue, bottom line and cash position.</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We may not be able to retain and increase sales to our existing customers, which could negatively impact our financial results.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seek to license our software and enterprise solutions pursuant to customer agreements with multi-year terms and subscriptions. However, our customers have no obligation to renew these agreements after their initial terms expire. We also actively seek to sell additional solutions to our existing customers. If our efforts to satisfy our existing customers are not successful, we may not be able to retain them or sell additional functionality to them and, as a result, our revenue and ability to grow could be adversely affected. Customers may choose not to renew their subscriptions for many reasons, including the belief that our service is not required for their business needs or is otherwise not cost-effective, a desire to reduce discretionary spending, or a belief that our competitors’ services provide better value. Additionally, our customers may not renew for reasons entirely out of our control, such as the dissolution of their business or an economic downturn in their industry. A significant increase in our churn rate would have an adverse effect on our business, financial condition, and operating results.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part of our growth strategy is to sell additional new features and solutions to our existing customers. Our ability to sell new features to customers will depend in significant part on our ability to anticipate industry evolution, practices and standards and to continue to enhance existing solutions or introduce or acquire new solutions on a timely basis to keep pace with technological developments both within our industry and in related industries, and to remain compliant with any regulations mandated by federal agencies or state-mandated or foreign government regulations as they pertain to our customers. However,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3"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prove unsuccessful either in developing new features or in expanding the third-party software and products with which our solutions integrate. In addition, the success of any enhancement or new feature depends on several factors, including the timely completion, introduction and market acceptance of the enhancement or feature. Any new solutions we develop or acquire might not be introduced in a timely or cost-effective manner and might not achieve the broad market acceptance necessary to generate significant revenue. If any of our competitors implement new technologies before we are able to implement them or better anticipate the innovation and integration opportunities in related industries, those competitors may be able to provide more effective or cheaper solutions than ours.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Another part of our growth strategy is to sell additional subscriptions to existing customers as their fleet sizes or asset portfolios increase. We cannot be assured that our customers’ fleet sizes or asset portfolios will continue to increase. A significant decrease in our ability to sell additional functionality or subscriptions to existing customers could have an adverse effect on our business, financial condition, and operating results.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Loss of, or a significant reduction in business from, one or more significant customers could adversely affect our revenue and profitability.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Loss of one or more of our larger customers could result in a meaningful decrease in revenue and profitability. If we lose one or more large enterprise or government customers, or if we experience a significant reduction in business from one or more large enterprise or government customers, there is no assurance that we would be able to replace those customers to generate comparable revenue over a short time period, which could harm our operating results and profitability.</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The FWA market may take longer to materialize than we expect or, if it does materialize rapidly, we may not be able to meet the development schedule and other customer demands.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FWA market and its emerging standards is continuing to develop, and this market may not see as much growth as we expect or this growth may take longer to materialize than we expect which could delay important commercial network launches. If the market does materialize at a rapid pace, we may have difficulties meeting aggressive timing expectations of our current customers and getting our products to market on time to meet the demands of our customers. The FWA market requires us to design routers and antennas that meet certain technical specifications, and we may have difficulties meeting the market and any further technical specifications and timelines. Additionally, our target customers have no guarantee that the configurations of their respective target products will be successful or that they can reach the appropriate target client base to provide a positive return on the research and development investments we are making in the FWA market. While we believe that 5G technology will provide expanded use cases and opportunities and that we are strategically placed to realize these opportunities, the development of our products and our portfolio may not prove to be as successful as we expect. </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The marketability of our products may suffer if wireless telecommunications operators do not deliver acceptable wireless services.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our business depends, in part, on the capacity, affordability, reliability and prevalence of wireless data networks provided by wireless telecommunications operators and on which our products and solutions operate. Currently, various wireless telecommunications operators sell our products in connection with the sale of their wireless data services to their customers. Growth in demand for wireless data access may be limited if, for example, wireless telecommunications operators cease or materially curtail operations, fail to offer services that customers consider valuable at acceptable prices, fail to maintain sufficient capacity to meet demand for wireless data access, delay the expansion of their wireless networks and services, fail to offer and maintain reliable wireless network services or fail to market their services effectively.</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If customers do not adopt our software, we may not be able to monetize these software assets and realize a key part of our growth and profitability strategy.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key part of our business strategy is to increase customer adoption of our software, including Inseego Connect and SD EDGE. If the markets relating to network software solutions do not develop as we anticipate, or if we are unable to commercialize, increase market awareness and gain adoption of our software and services within those markets, revenue from our software may not grow. We have a limited history in commercializing and selling these software solutions and we continue to build out the capability of our software portfolio. Moreover, the market and competitive landscape for these solutions is dynamic, and it is difficult to predict important trends, including the potential growth, if any, of this market. If the market for these software solutions does not evolve in the way we anticipate or if customers do not adopt our software, a part of our strategy for growth would be adversely affected and our financial results may suffer.</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The market for the products and services that we offer is rapidly evolving and highly competitive. We may be unable to compete effectively.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for the products and services that we offer is rapidly evolving and highly competitive. We expect competition to continue to increase and intensify, especially in the 5G market. Many of our competitors or potential competitors have significantly greater financial, technical, operational and marketing resources than we do. These competitors, for example,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4"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 able to respond more rapidly or more effectively than we can to new or emerging technologies, changes in customer requirements, supplier-related developments, or a shift in the business landscape. They also may devote greater or more effective resources than we do to the development, manufacture, promotion, sale, and post-sale support of their respective products and services.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current and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do. They may bundle their competitive products with broader product offerings and may introduce new products, services and enhancements. Current and potential competitors might merge or otherwise establish cooperative relationships among themselves or with third parties to enhance their products, services or market position. In addition, at any time any given customer or supplier of ours could elect to enter our then existing line of business and thereafter compete with us, whether directly or indirectly. As a result, it is possible that new competitors or new or otherwise enhanced relationships among existing competitors may emerge and rapidly acquire significant market share to the detriment of our business.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competitors include:</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 xml:space="preserve">Fleet management – Companies such as Lytx and Samsara; </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Mobile broadband – Companies such as Netgear, Franklin Wireless, TCL and ZTE</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Fixed wireless access – Companies such as Nokia, Cradlepoint, ZTE, Huawei and Cisco</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competitors to continue to improve the features and performance of their current products and to introduce new products, services and technologies which, if successful, could reduce our sales and the market acceptance of our products, generate increased price competition and make our products obsolete. For our products to remain competitive, we must, among other things, continue to invest significant resources (financial, human and otherwise) in, among other things, research and development, sales and marketing, and customer support. We cannot be sure that we will have or will continue to have sufficient resources to make these investments or that we will be able to make the technological advances in the marketplace, meet changing customer requirements, achieve market acceptance and respond to our competitors’ products.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If we fail to develop and maintain strategic relationships, we may not be able to penetrate new markets.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key element of our business strategy is to penetrate new markets by developing new service offerings through strategic relationships with industry participants, including cellular carriers, distributors and channel partners.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with us.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If we fail to develop and timely introduce new products and services or enter new markets for our products and services successfully, we may not achieve our revenue targets, or we may lose key customers or sales and our business could be harmed.</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of new products and services can be difficult, time-consuming and costly. There are inherent risks and uncertainties associated with offering new products and services, especially when new markets are not fully developed, related technology standards are not mature, or when the laws and regulations regarding a new product or solution are not mature. Factors outside of our control, such as developing laws and regulations, regulatory orders, competitive product offerings and changes in commercial and consumer demand for products or services may also materially impact the successful implementation of new products or services. As we introduce new products or solutions, our current customers may not require or desire the features of these new offerings and may not purchase them or might purchase them in smaller quantities than we had expected. We may face similar risks that our products or solutions will not be accepted by customers as we enter new markets for our solutions.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as part of our business, we may enter into contracts with some customers in which we would agree to develop products or solutions that we would sell to such customers. Our ability to generate future revenue and operating income under any such contracts would depend upon, among other factors, our ability to timely and profitably develop products or solutions that can be cost-effectively deployed and that meet required design, technical and performance specifications.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successfully manage these risks or meet required delivery specifications or deadlines in connection with one or more of our key contracts, we may lose key customers or orders and our business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5"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RISKS RELATED TO DEVELOPING, MANUFACTURING AND DELIVERING OUR SOLUTIONS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to manufacture and warehouse many of our products, which exposes us to a number of risks and uncertainties outside our control.</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outsource the manufacturing of many of our products to companies including Foxconn, Inventec Appliances Corporation and AsiaTelco Technologies Co. If one of these third-party manufacturers were to experience delays, disruptions, capacity constraints or quality control problems in its manufacturing operations, product shipments to our customers could be delayed or rejected or our customers could consequently elect to change product demand or cancel the underlying subscription or service. These disruptions would negatively impact our revenues, competitive position and reputation. Further, if we are unable to manage successfully our relationship with a manufacturer, the quality and availability of products used in our services and solutions may be harmed. None of our third-party manufacturers are obligated to supply us with a specific quantity of products, except as may be provided in a particular purchase order that we have submitted to, and that has been accepted by, such third-party manufacturer. Our third-party manufacturers could, under some circumstances, decline to accept new purchase orders from us or otherwise reduce their business with us. If a manufacturer stopped manufacturing our products for any reason or reduced manufacturing capacity, we may be unable to replace the lost manufacturing capacity on a timely and comparatively cost-effective basis, which would adversely impact our operations. In addition, we generally do not enter into long-term contracts with our manufacturers. As a result, we are subject to price increases due to availability, and subsequent price volatility, in the marketplace of the components and materials needed to manufacture our products. If a third-party manufacturer were to negatively change the product pricing and other terms under which it agrees to manufacture for us and we were unable to locate a suitable alternative manufacturer, our manufacturing costs could increase.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outsource the manufacturing of our products, the cost, quality and availability of third-party manufacturing operations is essential to the successful production and sale of our products. Our reliance on third-party manufacturers exposes us to a number of risks which are outside our control, including:</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unexpected increases in manufacturing costs;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interruptions in shipments if a third-party manufacturer is unable to complete production in a timely manner;</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inability to control quality of finished products;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inability to control delivery schedules;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inability to control production levels and to meet minimum volume commitments to our customers;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inability to control manufacturing yield;</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inability to maintain adequate manufacturing capacity; and</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inability to secure adequate volumes of acceptable components at suitable prices or in a timely manner.</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promote ethical business practices and our operations personnel periodically visit and monitor the operations of our manufacturers, we do not control the manufacturers or their labor and other legal compliance practices. If our current manufacturers, or any other third-party manufacturer which we may use in the future, violate U.S.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We depend on sole source suppliers for some components used in our products. The availability and sale of those services would be harmed if any of these suppliers is not able to meet our demand and alternative suitable products are not available on acceptable terms, or at all.</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services use hardware and software from various third parties, some of which are procured from single suppliers. For example our MiFi mobile hotspots and fixed wireless access devices rely substantially on chipsets from Qualcomm. From time to time, certain components used in our products or solutions have been in short supply or their anticipated commercial introduction has been delayed or their availability has been interrupted for reasons outside our control. If there is a shortage or interruption in the availability to us of any such components and we cannot timely obtain a commercially and technologically suitable substitute or make sufficient and timely design or other modifications to permit the use of such a substitute component, we may not be able to timely deliver sufficient quantities of our products or solutions to satisfy our contractual obligations and may not be able to meet particular revenue expectations. Moreover, even if we timely locate a substitute part or product, but its price materially exceeds the original cost of the component or product, then our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6"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Natural disasters, public health crises, political crises and other catastrophic events or other events outside of our control could damage our facilities or the facilities of third parties on which we depend, and could impact consumer spending.</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offices in San Diego, California and the facilities of our third-party contract manufacturers are exposed to various natural hazards, including earthquake, fire, severe weather and landslides. If any of our facilities or the facilities of our third-party service providers, dealers or partners is affected by natural disasters, such as earthquakes, tsunamis, wildfires, power shortages, floods, public health crises (such as pandemics and epidemics), political crises (such as terrorism, war, political instability or other conflict) or other events outside our control, including a cyberattack, our critical business or IT systems could be destroyed or disrupted and our ability to conduct normal business operations and our revenues and operating results could be adversely affected. Moreover, these types of events could negatively impact consumer spending in the impacted regions or, depending upon the severity, globally, which could adversely impact our operating results. </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If disruptions in our transportation network occur or our shipping costs substantially increase, we may be unable to sell or timely deliver our products, and our operating expenses could increase.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highly dependent upon the transportation systems we use to ship our products, including surface and air freight. Our attempts to closely match our inventory levels to our product demand intensify the need for our transportation systems to function effectively and without delay. The transportation network is subject to disruption or congestion from a variety of causes, including labor disputes or port strikes, acts of war or terrorism, natural disasters, pandemics like COVID-19 and congestion resulting from higher shipping volumes. Labor disputes among freight carriers and at ports of entry are common, particularly in Europe, and we expect labor unrest and its effects on shipping our products to be a continuing challenge for us. A port worker strike, work slow-down or other transportation disruption could significantly disrupt our business. Additionally, our international freight is regularly subjected to inspection by governmental entities. If our delivery times increase unexpectedly for these or any other reasons, our ability to deliver products on time would be materially adversely affected and result in delayed or lost revenue as well as customer-imposed penalties. In addition, if increases in fuel prices continue to occur, our transportation costs would likely increase. Moreover, the cost of shipping our products by air freight is greater than other methods. From time to time in the past, we have shipped products using extensive air freight to meet unexpected spikes in demand, shifts in demand between product categories, to bring new product introductions to market quickly and to timely ship products previously ordered. If we rely more heavily upon air freight to deliver our products, our overall shipping costs will increase. A prolonged transportation disruption or a significant increase in the cost of freight could severely disrupt our business and harm our operating results.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We may be unable to adequately control the costs or maintain adequate supply of components and raw materials associated with our operations.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experience increases in the cost or a sustained interruption in the supply or shortage of components or raw materials associated with our operations. We expect to incur significant costs related to procuring raw materials required to manufacture and assemble our products. The prices for and availability of these raw materials fluctuate depending on factors beyond our control. For example, our business depends on the continued supply of semiconductor chips, which are integral components for our 5G and 4G products. A global semiconductor supply shortage is having wide-ranging effects across the technology industry and may negatively impact the supply of semiconductors needed for our testing and production timeline.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reduced availability of these raw materials or substantial increases in the prices for such materials may increase the cost of our components and consequently, the cost of our products. There can be no assurance that we will be able to recoup increasing costs of our components by increasing prices, which in turn could have a material adverse impact on our financial condition, results of operations and cash flows.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work closely with suppliers and customers to minimize the potential adverse impact of the semiconductor supply shortage and monitor the availability of semiconductor chips and other component parts and raw materials. However, if we are not able to mitigate the semiconductor shortage impact, any direct or indirect supply chain disruptions may have a material adverse impact on our financial condition, results of operations and cash flows.</w:t>
      </w:r>
    </w:p>
    <w:p>
      <w:pPr>
        <w:pStyle w:val="TextBody"/>
        <w:bidi w:val="0"/>
        <w:spacing w:lineRule="auto" w:line="276" w:before="180" w:after="180"/>
        <w:jc w:val="both"/>
        <w:rPr>
          <w:rFonts w:ascii="Times New Roman;sans-serif" w:hAnsi="Times New Roman;sans-serif"/>
          <w:b/>
          <w:i/>
          <w:color w:val="000000"/>
          <w:sz w:val="20"/>
        </w:rPr>
      </w:pPr>
      <w:r>
        <w:rPr>
          <w:rFonts w:ascii="Times New Roman;sans-serif" w:hAnsi="Times New Roman;sans-serif"/>
          <w:b/>
          <w:i/>
          <w:color w:val="000000"/>
          <w:sz w:val="20"/>
        </w:rPr>
        <w:t>If we do not effectively manage our sales channel inventory and product mix, we may incur costs associated with excess inventory, or lose sales from having too few products.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properly monitor and manage our sales channel inventory and maintain an appropriate level and mix of products with our distributors and within our sales channels, we may incur increased and unexpected costs associated with this inventory. We determine production levels based on our forecasts of demand for our products. Actual demand for our products depends on many factors, which makes it difficult to forecast. We have experienced differences between our actual and our forecasted demand in the past and expect differences to arise in the future. If we improperly forecast demand for our products, we could end up with too many products and be unable to sell the excess inventory in a timely manner, if at all, or, alternatively we could end up with too few products and not be able to satisfy demand. This problem is exacerbated because we attempt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7"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closely match inventory levels with product demand leaving limited margin for error. If these events occur, we could incur increased expenses associated with writing off excessive or obsolete inventory, lose sales, incur penalties for late delivery or have to ship products by air freight to meet immediate demand incurring incremental freight costs above the sea freight costs, a preferred method, and suffering a corresponding decline in gross margins.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Product liability, product replacement or recall costs could adversely affect our business and financial performance.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product liability and product recall claims if any of our products and services are alleged to have resulted in injury to persons or damage to property. If any of our products proves to be defective, we may need to recall and/or redesign them. In addition, any claim or product recall that results in significant adverse publicity may negatively affect our business, financial condition, or results of operations. We maintain product liability insurance, but this insurance may not adequately cover losses related to product liability claims brought against us. We may also be a defendant in class action litigation, for which no insurance is available. Product liability insurance could become more expensive and difficult to maintain and may not be available on commercially reasonable terms, if at all. In addition, we do not maintain any product recall insurance, so any product recall we are required to initiate could have a significant impact on our financial position, results of operations or cash flows.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We rely on third-party software and other intellectual property to develop and provide our solutions and significant increases in licensing costs or defects in third-party software could harm our business.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software and other intellectual property licensed from third parties to develop and offer our solutions. In addition, we may need to obtain future licenses from third parties to use software or other intellectual property associated with our solutions. We cannot assure you that these licenses will be available to us on acceptable terms, without significant price increases or at all. Any loss of the right to use any such software or other intellectual property required for the development and maintenance of our solutions could result in delays in the provision of our solutions until equivalent technology is either developed by us, or, if available from others, is identified, obtained, and integrated, which could harm our business. Any errors or defects in third-party software could result in errors or a failure of our solutions, which could harm our business.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Our solutions integrate with third-party technologies and if our solutions become incompatible with these technologies, our solutions would lose functionality and our customer acquisition and retention could be adversely affected.</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solutions integrate with third-party software and devices to allow our solutions to perform key functions. Errors, viruses or bugs may be present in third-party software that our customers use in conjunction with our solutions. Changes to third-party software that our customers use in conjunction with our solutions could also render our solutions inoperable. Customers may conclude that our software is the cause of these errors, bugs or viruses and terminate their subscriptions. The inability to easily integrate with, or any defects in, any third-party software could result in increased costs, or in delays in software releases or updates to our products until such issues have been resolved, which could have a material adverse effect on our business, financial condition, results of operations, cash flows and future prospects and could damage our reputation.</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Our software may contain undetected errors, defects or other software problems, and if we fail to correct any defect or other software problems, we could lose customers or incur significant costs, which could result in damage to our reputation or harm to our operating results.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warrant that our software will be free of defects for various periods of time, our software platform and its underlying infrastructure are inherently complex and may contain material defects or errors. We must update our solutions quickly to keep pace with the rapidly changing market and the third-party software and devices with which our solutions integrate. We have from time to time found defects in our software and may discover additional defects in the future, particularly as we continue to migrate our product offerings to new platforms or use new devices in connection with our services and solutions. We may not be able to detect and correct defects or errors before customers begin to use our platform or its applications. Consequently, our solutions could contain undetected errors or defects, especially when first introduced or when new versions are released or when new hardware or software is integrated into our solutions. We implement bug fixes and upgrades as part of our regular system maintenance, which may lead to system downtime. Even if we are able to implement the bug fixes and upgrades in a timely manner, any history of defects or inaccuracies in the performance of our software for our customers could result in damage to our reputation or harm to our operating results.</w:t>
      </w:r>
    </w:p>
    <w:p>
      <w:pPr>
        <w:pStyle w:val="TextBody"/>
        <w:bidi w:val="0"/>
        <w:spacing w:lineRule="auto" w:line="276" w:before="180" w:after="180"/>
        <w:jc w:val="both"/>
        <w:rPr>
          <w:rFonts w:ascii="Times New Roman;sans-serif" w:hAnsi="Times New Roman;sans-serif"/>
          <w:b/>
          <w:i/>
          <w:color w:val="000000"/>
          <w:sz w:val="20"/>
        </w:rPr>
      </w:pPr>
      <w:r>
        <w:rPr>
          <w:rFonts w:ascii="Times New Roman;sans-serif" w:hAnsi="Times New Roman;sans-serif"/>
          <w:b/>
          <w:i/>
          <w:color w:val="000000"/>
          <w:sz w:val="20"/>
        </w:rPr>
        <w:t>Our “over-the-air” transmission of firmware updates could permit a third party to disable our customers’ in-vehicle devices or introduce malware into our customers’ in-vehicle devices, which could expose us to widespread loss of service and customer claims.</w:t>
      </w:r>
    </w:p>
    <w:p>
      <w:pPr>
        <w:pStyle w:val="TextBody"/>
        <w:bidi w:val="0"/>
        <w:spacing w:lineRule="auto" w:line="276" w:before="180" w:after="180"/>
        <w:ind w:left="0" w:right="0" w:firstLine="450"/>
        <w:jc w:val="left"/>
        <w:rPr>
          <w:color w:val="000000"/>
        </w:rPr>
      </w:pPr>
      <w:r>
        <w:rPr>
          <w:color w:val="000000"/>
        </w:rPr>
        <w:t>“</w:t>
      </w:r>
      <w:r>
        <w:rPr>
          <w:rFonts w:ascii="Times New Roman;sans-serif" w:hAnsi="Times New Roman;sans-serif"/>
          <w:b w:val="false"/>
          <w:color w:val="000000"/>
          <w:sz w:val="20"/>
        </w:rPr>
        <w:t xml:space="preserve">Over-the-air” transmission of our firmware updates may provide the opportunity for a third party, who has deep inside knowledge of our systems, to modify or disable our customers’ in-vehicle systems or introduce malware into our customers’ in-vehicle systems. No such incidents have occurred to date, but there can be no assurance that they will not occur in the future. Damage to our customers’ in-vehicle devices as a result of such incidents could only be remedied through direct servicing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8"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their installed in-vehicle devices by trained personnel, which would impose a very significant cost on us, particularly if the incidents are widespread. Moreover, such incidents could expose us to widespread loss of service and claims by our customers under various theories of liability, the outcome of which would be uncertain. Third party interference with our over-the-air transmission of firmware, or with our customers’ in-vehicle devices during such process, could materially and adversely affect our business, financial condition and results of operations.</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AND REGULATORY RISKS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Evolving regulations and changes in applicable laws relating to data privacy may increase our expenditures related to compliance efforts or otherwise limit the solutions we can offer, which may harm our business and adversely affect our financial condition.</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and solutions enable us to collect, manage and store a wide range of data related to vehicle tracking and fleet management such as vehicle location and fuel usage, speed and mileage. Some of the data we collect or use in our business is subject to data privacy laws, which are complex and increase our cost of doing business. The U.S. federal government and various state governments have adopted or proposed limitations on the collection, distribution and use of personal information. Many foreign jurisdictions, including the European Union and the United Kingdom, have adopted legislation (including directives or regulations) that increase or change the requirements governing data collection and storage in these jurisdictions. In addition, the California Consumer Privacy Act, which took effect on January 1, 2020, provides new data privacy rights for California consumers, including the right to know what personal information is being collected about them and how it is being used. We market our products in over 50 countries, and accordingly, we are subject to many different, and potentially conflicting, privacy laws. If our privacy or data security measures fail to comply, or are perceived to fail to comply, with current or future laws and regulations, we may be subject to litigation, regulatory investigations or other liabilities.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there can be no assurance that our employees, contractors and agents will comply with the policies and procedures we establish regarding data privacy and data security, particularly as we expand our operations through organic growth and acquisitions. While our employees may violate our policies and procedures, we remain responsible for, and obligated to implement, policies and procedures and enter into contracts with service providers that require appropriate protection. Any violations could subject us to civil or criminal penalties, including substantial fines or prohibitions on our ability to offer our products in one or more countries, and could also materially damage our reputation, our brand, our international expansion efforts, our business, results of operations and financial condition.</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transmission of data over the Internet and cellular networks is a critical component of our SaaS business model. Additionally, as cloud computing continues to evolve, increased regulation by federal, state or foreign agencies becomes more likely, particularly in the areas of data privacy and data security.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decline in the use of the Internet and the viability of Internet-based services, which could harm our business.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solutions and products enable us to collect, manage and store a wide range of data related to fleet management such as mobile asset location and fuel usage, speed and mileage. We obtain our data from a variety of sources, including our customers and third-party providers. The United States and various state governments have adopted or proposed limitations on the collection, distribution and use of personal data, as well as requirements that must be followed if a breach of such personal data occurs. The European Union and the United Kingdom have adopted legislation (including directives, national laws and regulations) that increase or change the requirements governing data collection, use, storage and disclosure of personal data in these jurisdictions. The current European Union legislation related to data protection is the GDPR, which came into effect on May 25, 2018. We have updated and will continue to evaluate our group data protection and security policies, charters, and procedures to assist in maintaining data privacy and data security in line with international practices.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also be subject to costly notification and remediation requirements if we, or a third party, determines that we have been the subject of a data breach involving personal data of individuals. Data breach notification regulations vary among the countries where we conduct business, and also vary among the states of the United States, and any breach of personal data could be subject to any number of these requirements.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noted above, we have sought to implement internationally recognized practices regarding data privacy and data security. If our privacy or data security measures fail to comply, or are perceived to fail to comply, with current or future laws and regulations, we may be subject to litigation, regulatory investigations or other liabilities. Moreover, if future laws and regulations limit our customers’ ability to use and share this data or our ability to store, process and share data with our customers over the Internet, demand for our solutions could decrease and our costs could increase. We might also have to limit the manner in which we collect data, the types of personal data that we collect, or the solutions we offer. Any of these risks would materially and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9"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Enhanced United States fiscal, tax and trade restrictions and executive and legislative actions could adversely affect our business, financial condition, and results of operations.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is currently significant uncertainty about the future relationship between the United States and various other countries, most significantly China, with respect to trade policies, treaties, tariffs and taxes. The current and former U.S. administrations have called for substantial changes to U.S. foreign trade policy with respect to China and other countries, including significant new and increased tariffs on goods imported into the United States. In 2018, the Office of the U.S. Trade Representative (the “USTR”) enacted tariffs on imports into the U.S. from China, including communications equipment products and components manufactured and imported from China. The tariff became effective in September 2018, with an initial rate of 10% that increased to 25% in May 2019. The current U.S. administration has kept the tariffs in place, however trade negotiations between the U.S. and China continue and there is a possibility that certain product exclusions from the tariffs may be reinstated at some point in the future. Our business may also be affected by tariffs set by countries into which we sell our products, whether as a response to U.S. foreign trade policy or otherwise. In addition, changes in international trade agreements, regulations, restrictions and tariffs, including new tariffs, may increase our operating costs, reduce our margins and make it more difficult for us to compete in the U.S. and overseas markets, and our business, financial condition and results of operations could be adversely impacted.</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taken actions to mitigate the impact of such tariffs, however, there is no assurance that all such efforts will be successful. These actions include moving our contract manufacturing out of mainland China and working directly with U.S. Customs and Border Protection (“CBP”) to address the harmonized tariff codes used for our products. The majority of our move out of mainland China has been completed in prior years. The inability to mitigate the impact of the recently enacted tariffs, including the inability to obtain favorable results from our efforts with CBP, or any similar future increases in tariffs would increase our costs, and our business, financial condition and results of operations could be adversely affected.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some cases, the U.S. government’s imposition of trade restrictions involving products sold by certain Chinese manufacturers has caused U.S. wireless carriers to divert business from international providers to us, and accordingly, we have invested resources in satisfying the needs of such customers. If the U.S. government were to remove or reduce such trade restrictions, it could cause such carriers to reduce their business with us and we may be unable to recoup or attain a return on such investments.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the Inflation Reduction Act of 2022 was signed into law which includes provisions that will impact the U.S. federal income taxation of corporations. Among other items, this legislation includes provisions that will impose a minimum tax on the book income of certain large corporations and an excise tax on certain corporate stock repurchases that would be imposed on the corporation repurchasing such stock. It is unclear how this legislation will be implemented by the U.S. Department of the Treasury and we cannot predict how this legislation or any future changes in tax laws might affect us or purchasers of our securities. </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The increasing focus on environmental sustainability and social initiatives could increase our costs, harm our reputation and adversely impact our financial results.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increasing public focus by investors, environmental activists, the media and governmental and nongovernmental organizations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addition, we may experience increased costs in order to execute upon our sustainability goals and measure achievement of those goals, which could have an adverse impact on our business and financial condition.</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 </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An assertion by a third party that we are infringing its intellectual property could subject us to costly and time-consuming litigation or expensive licenses and our business could be harmed.</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technology industries involving wireless data communications, software and services are characterized by the existence of a large number of patents, copyrights, trademarks and trade secrets and by frequent litigation based on allegations of infringement or other violations of intellectual property rights. Much of this litigation involves patent holding companies or other adverse patent owners who have no relevant product revenues of their own, and against whom our own patent portfolio may provide little or no deterrence. One or more patent infringement lawsuits from non-practicing entities are brought against us or our subsidiaries each year in the ordinary course of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20"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we or our subsidiaries will prevail in any current or future intellectual property infringement or other litigation given the complex technical issues and inherent uncertainties in such litigation. Defending such claims, regardless of their merit, could be time-consuming and distracting to management, result in costly litigation or settlement, cause development delays, or require us or our subsidiaries to enter into royalty or licensing agreements. In addition, we or our subsidiaries could be obligated to indemnify our customers against third parties’ claims of intellectual property infringement based on our products or solutions. If our products or solutions violate any third-party intellectual property rights, we could be required to withdraw them from the market, re-develop them or seek to obtain licenses from third parties, which might not be available on reasonable terms or at all. Any efforts to re-develop our products or solutions, obtain licenses from third parties on favorable terms or license a substitute technology might not be successful and, in any case, might substantially increase our costs and harm our business, financial condition and operating results. Withdrawal of any of our products or solutions from the market could harm our business, financial condition and operating results.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incorporate open source software into our products and solutions.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courts or courts of other jurisdictions, and there is a risk that those licenses could be construed in a manner that imposes unanticipated conditions or restrictions on our ability to commercialize our products and solutions. In that event, we could be required to seek licenses from third parties in order to continue offering our products and solutions, to re-develop our solutions, to discontinue sales of our solutions, or to release our proprietary software source code under the terms of an open source license, any of which could adversely affect our business.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If we are unable to protect our intellectual property and proprietary rights, our competitive position and our business could be harmed.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patent laws, trademark laws, copyright laws, trade secrets, confidentiality procedures and contractual provisions to protect our intellectual property and proprietary rights. However, our issued patents and any future patents that may be issued may not survive a legal challenge to their scope, validity or enforceability, or provide significant protection for us. The failure of our patents to adequately protect our technology might make it easier for our competitors to offer similar products or technologies. In addition, patents may not issue from any of our current or any future applications and significant portions of our intellectual property are held in the form of trade secrets which are not protected by patents.</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Monitoring unauthorized use of our intellectual property is difficult and costly. The steps we have taken to protect our proprietary rights may not be adequate to prevent misappropriation of our intellectual property. We may not be able to detect unauthorized use of, or take appropriate steps to enforce, our intellectual property rights. Our competitors may also independently develop similar technology. In addition, the laws of many countries do not protect our proprietary rights to as great an extent as do the laws of the United States. Any failure by us to meaningfully protect our intellectual property could result in competitors offering products that incorporate our most technologically advanced features, which could seriously reduce demand for our products and solutions. In addition, we may in the future need to initiate infringement claims or litigation. Litigation, whether we are a plaintiff or a defendant, can be expensive, time consuming and may divert the efforts of our technical staff and managerial personnel, which could harm our business, whether or not such litigation results in a determination favorable to us.</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RISKS RELATED TO INTERNATIONAL OPERATIONS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Due to the global nature of our operations, we are subject to political and economic risks of doing business internationally.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revenue represents a significant percentage of our worldwide revenue. The risks inherent in global operations include:</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difficulty managing sales, product development and logistics and support across continents;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limitations on ownership or participation in local enterprises;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lack of familiarity with, and unexpected changes in, foreign laws, regulations and legal standards, including employment laws, product liability laws, privacy laws and environmental laws, which may vary widely across the countries in which we operate;</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increased expense to comply with U.S. laws that apply to foreign operations, including the U.S. Foreign Corrupt Practices Act (the “FCPA”) and Office of Foreign Assets Control regulations;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compliance with, and potentially adverse tax consequences of, foreign tax regimes;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fluctuations in currency exchange rates, currency exchange controls, price controls and limitations on repatriation of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21"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transportation delays and interruptions;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local labor laws;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local economic conditions;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political, social and economic instability and disruptions;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acts of terrorism and other security concerns;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the escalation or continuation of armed conflict, hostilities or economic sanctions between countries or regions, including the current conflict between Russia and Ukraine;</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government embargoes or foreign trade restrictions such as tariffs, duties, taxes or other controls;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import and export controls;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increased product development costs due to differences among countries’ safety regulations and radio frequency allocation schemes and standards;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longer warranty terms and broader product warranty requirements;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increased expense related to localization of products and development of foreign language marketing and sales materials;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 xml:space="preserve">longer sales cycles; </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longer accounts receivable payment cycles and difficulty in collecting accounts receivable in foreign countries;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increased financial accounting and reporting burdens and complexities;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workforce reorganizations in various locations;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restrictive employment regulations;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 xml:space="preserve">difficulties in staffing and managing multi-national operations; </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 xml:space="preserve">difficulties and increased expense in implementing corporate policies and controls; </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international intellectual property laws, which may be more restrictive or offer lower levels of protection than U.S. law;</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compliance with differing and changing local laws and regulations in multiple international locations, including regional data privacy laws, as well as compliance with U.S. laws and regulations where applicable in these international locations; and</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limitations on our ability to enforce legal rights and remedies.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successfully manage these and other risks associated with managing and expanding our international business, the risks could have a material adverse effect on our business, results of operations or financial condition.</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Weakness or deterioration in global economic conditions or jurisdictions where we have significant foreign operations could have a material adverse effect on our results of operations and financial condition.</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weak or deteriorating economic conditions globally, or in certain jurisdictions where we have significant foreign operations, we could experience lower demand for our products, which could adversely impact our results of operations. Additionally, there could be a number of related effects on our business resulting from weak economic conditions, including the insolvency of one or more of our suppliers resulting in product launch or product delivery delays, customer insolvencies resulting in that customer’s inability to order products from us or pay for already delivered products, and reduced demand by the ultimate end-users of our products. Although we continue to monitor market conditions, we cannot predict future market conditions or their impact on demand for our products.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Weakness or deterioration in global political conditions where we have significant business interests could have a material adverse effect on our business, results of operations and financial condition.</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sell to customers throughout the world and we currently have operations and activities in Europe, China and other Asian countries. The political risks associated with the our global operations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2"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economic and commercial instability risks, corruption and changes in local government laws, regulations and policies, such as those related to tariffs and trade barriers, taxation, exchange controls, employment regulations and repatriation of earnings;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political instability, civil unrest, expropriation, nationalization of properties by a government, imposition of sanctions and changes to import or export regulations and fees;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conflicts, territorial disputes, war or terrorist activities;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major public health issues, such as an outbreak of a pandemic or epidemic, which could cause disruptions in our operations or workforce, or the supply of products; and</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difficulties enforcing intellectual property and contractual rights in certain jurisdictions.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impact of any of the foregoing factors is difficult to predict, and any one or more of them could adversely affect our business, operating results and financial condition. Existing insurance arrangements may not provide protection for the costs that may arise from such events.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Fluctuations in foreign currency exchange rates could adversely affect our results of operations.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our revenues are generated from sales agreements denominated in foreign currencies, and we expect to enter into additional such agreements as we expand our international customer base. In addition, we employ a significant number of employees outside the United States, and the associated employment and facilities costs are denominated in foreign currencies. As a result, we are exposed to changes in foreign currency exchange rates. Fluctuations in the value of foreign currencies will create greater uncertainty in our revenues and can significantly and adversely affect our operating results.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do not currently employ any vehicles as a hedge against currency fluctuations, however, we may decide to use hedging vehicles in the future. At times, we may attempt to manage the risk associated with currency changes, in part, by minimizing the effects of volatility on cash flows by identifying forecasted transactions exposed to these risks, or we may decide to use hedging vehicles such as foreign exchange forward contracts. Since there is a high correlation between the hedging instruments and the underlying exposures, the gains and losses on these underlying exposures are generally offset by reciprocal changes in the value of the hedging instruments. We may use derivative financial instruments as risk management tools and not for trading or speculative purposes. Nevertheless, there can be no assurance that we will not incur foreign currency losses or that foreign exchange forward contracts we may enter into to reduce the risk of such losses will be successful.</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Unionization efforts in certain countries in which we operate could materially increase our costs or limit our flexibility.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Efforts may be made from time to time to unionize portions of our global workforce. In addition, we may be subject to strikes or work stoppages and other labor disruptions in the future. Unionization efforts, collective bargaining agreements or work stoppages could materially increase our costs, reduce our net revenues or limit our operational flexibility.</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Our international operations may increase our exposure to potential liability under anti-corruption, trade protection, tax and other laws and regulations.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FCPA and other anti-corruption laws and regulations (“Anti-Corruption Laws”) prohibit corrupt payments by our employees, vendors or agents. From time to time, we may receive inquiries from authorities in the United States and elsewhere about our business activities outside of the United States and our compliance with Anti-Corruption Laws. While we devote substantial resources to our global compliance programs and have implemented policies, training and internal controls designed to reduce the risk of corrupt payments, our employees, vendors or agents may violate our policies.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to comply with Anti-Corruption Laws could result in significant fines and penalties, criminal sanctions against us, our officers or our employees, prohibitions on the conduct of our business, and damage to our reputation. Operations outside of the United States may be affected by changes in trade protection laws, policies and measures, and other regulatory requirements affecting trade and investment.</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our international operations we are subject to foreign tax regulations. Such regulations may not be clear, not consistently applied and subject to sudden change, particularly with regard to international transfer pricing. Our earnings could be reduced by the uncertain and changing nature of such tax regulations.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software contains encryption technologies, certain types of which are subject to U.S. and foreign export control regulations and, in some foreign countries, restrictions on importation and/or use. Any failure on our part to comply with encryption or other applicable export control requirements could result in financial penalties or other sanctions under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3"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or foreign export regulations, including restrictions on future export activities, which could harm our business and operating results. Regulatory restrictions could impair our access to technologies needed to improve our solutions and may also limit or reduce the demand for our solutions outside of the United States.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A governmental challenge to our transfer pricing policies or practices could impose significant costs on us.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company has intercompany transactions with our subsidiaries and consequently closely monitors the appropriateness of our transfer pricing policies and compliance therewith. The global transfer pricing environment, including with respect to operational and reporting requirements, is continuously evolving and subject to input from multiple sources and jurisdictions. These complexities require management to closely monitor new developments, which it does.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Many countries routinely examine transfer pricing policies of taxpayers subject to their jurisdiction, and authorities challenge transfer pricing policies aggressively where there is potential non-compliance and impose interest and penalties where non-compliance is determined. Although the documentation of and support for our transfer pricing policies has not been the subject of a governmental proceeding beyond examination to date, there can be no assurance that a governmental authority will not challenge these policies more aggressively in the future or, if challenged, that we will prevail. We could suffer costs related to one or more challenges to our transfer pricing policies.</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RISKS RELATED TO BUSINESS DEVELOPMENT ACTIVITIES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We may acquire companies and businesses, and/or divest assets or businesses. The completion of acquisition or divestiture transactions could have an adverse effect on our financial condition.</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business strategy, we may review acquisition and divestiture opportunities that we believe would be advantageous or complementary to the development of our business. Based on these opportunities, we may acquire additional businesses, assets or technologies in the future. Alternatively, we may divest businesses, assets or technologies. All of these activities are subject to risks and uncertainties and could disrupt or harm our business. For example, if we divest a business or exit a product line, it could result in any one of which could adversely affect our business, financial condition, results of operations or stock price:</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cause a substantial decrease in revenue;</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reduce gross margins and EBITDA; and</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take substantial charges in connection with disposed assets.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Similarly, if we make an acquisition, we could take any or all of the following actions, any one of which could adversely affect our business, financial condition, results of operations or stock price:</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use a substantial portion of our available cash;</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incur substantial debt, which may not be available to us on favorable terms and may adversely affect our liquidity;</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issue equity or equity-based securities that would dilute the percentage ownership of existing stockholders;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assume contingent liabilities; and</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take substantial charges in connection with acquired assets.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Acquired businesses may have liabilities or adverse operating issues that we fail to discover through due diligence prior to the acquisition, such as: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failure by previous management to comply with applicable laws or regulations;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inaccurate representations; and</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unfulfilled contractual obligations to customers or vendors.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If our goodwill and acquired intangible assets become impaired, we may be required to record a significant charge to earnings.</w:t>
      </w:r>
    </w:p>
    <w:p>
      <w:pPr>
        <w:pStyle w:val="TextBody"/>
        <w:bidi w:val="0"/>
        <w:spacing w:lineRule="auto" w:line="276"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required to be tested for impairment at least annually. Factors that may be considered when determining if the carrying value of our goodwill or intangible assets may not be recoverable include a significant decline in our expected future cash flows or a sustained, significant decline in our stock price and market capitalization.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4"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our acquisition strategy, we may have significant goodwill and intangible assets recorded on our balance sheets. In addition, significant negative industry or economic trends, such as those that have occurred as a result of the recent economic downturn, including reduced estimates of future cash flows or disruptions to our business could indicate that goodwill and intangible assets might be impaired. If, in any period our stock price decreases to the point where our market capitalization is less than our book value, this too could indicate a potential impairment and we may be required to record an impairment charge in that period. Our valuation methodology for assessing impairment requires management to make judgments and assumptions based on projections of future operating performance. The estimates used to calculate the fair value of a reporting unit change from year to year based on operating results and market conditions. Changes in these estimates and assumptions could materially affect the determination of fair value and goodwill impairment for each reporting unit. We operate in highly competitive environments and projections of future operating results and cash flows may vary significantly from actual results. As a result, we may incur substantial impairment charges to earnings in our financial statements should an impairment of our goodwill and intangible assets be determined resulting in an adverse impact on our results of operations.</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RISKS RELATED TO OWNING OUR SECURITIES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Our share price has been highly volatile in the past and could be highly volatile in the future.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can be highly volatile due to the risks and uncertainties described in this report, as well as other factors, including: comments by securities analysts; announcements by us or others regarding, among other things, operating results, additions or departures of key personnel, and acquisitions or divestitures; additional equity or debt financing; technological innovations; introductions of new products; litigation; price and volume fluctuations in the overall stock market; the level of demand for our stock, including the amount of short interest in our stock, and particularly with respect to market prices and trading volumes of other high technology stocks; and our failure to meet market expectations.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 has from time to time experienced extreme price and volume fluctuations that were unrelated to the operating performance of particular companies. In the past, some companies have experienced volatility that subsequently resulted in securities class action litigation. If litigation were instituted on this basis, it could result in substantial costs and a diversion of management’s attention and resources.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 had U.S. federal net operating loss carryforwards (“NOLs”) related to tax years 2021 and prior of approximately $405.1 million. Approximately $106.9 million of these NOLs have no expiration date. The remainder began to expire in 2024, unless previously utilized. Some of these NOLs may be limited by either past or future changes in control events. The Company had California NOLs at December 31, 2023 of approximately $64.2 million, which begin to expire in 2028, unless previously utilized, and foreign NOLs for its active foreign subsidiaries of approximately $25.5 million, which generally have no expiration date. At December 31, 2023, the Company had federal research and development tax credit carryforwards of approximately $10.9 million, which begin to expire in 2026, unless previously utilized, and California research and development tax credit carryforwards of approximately $10.9 million, which have no expiration date. It is possible that we will not generate taxable income in time to use these NOLs before their expiration and additional NOLs will expire unused.</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legislative changes made in December 2017, as modified by federal tax law changes enacted in March 2020, U.S. federal net operating losses incurred in tax years beginning after December 31, 2017 and in future years may be carried forward indefinitely, but, for tax years beginning after December 31, 2020, the deductibility of such net operating losses is limited. In addition, the federal and state net operating loss carryforwards and certain tax credits may be subject to significant limitations under Section 382 and Section 383 of the Internal Revenue Code of 1986, as amended, or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completed a Section 382 review and have determined that none of the operating losses will expire solely due to Section 382 limitation(s). However, we may experience ownership changes in the future as a result of future shifts in our stock ownership, some of which may be outside of our control. If an ownership change occurs and our ability to use our net operating loss carryforwards and tax credits is materially limited, it would harm our business by effectively increasing our future tax obligations.</w:t>
      </w:r>
    </w:p>
    <w:p>
      <w:pPr>
        <w:pStyle w:val="TextBody"/>
        <w:bidi w:val="0"/>
        <w:spacing w:lineRule="auto" w:line="276" w:before="180" w:after="180"/>
        <w:jc w:val="left"/>
        <w:rPr/>
      </w:pPr>
      <w:r>
        <w:rPr>
          <w:rFonts w:ascii="Times New Roman;sans-serif" w:hAnsi="Times New Roman;sans-serif"/>
          <w:b/>
          <w:i/>
          <w:color w:val="000000"/>
          <w:sz w:val="20"/>
        </w:rPr>
        <w:t>The price of our stock may be vulnerable to manipulation, including through short sales.</w:t>
      </w:r>
      <w:r>
        <w:rPr>
          <w:color w:val="000000"/>
        </w:rPr>
        <w:t xml:space="preserve"> </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We believe there has been and may continue to be substantial off-market transactions in derivatives of our stock, including short selling activity or related similar activities, which are beyond our control and which may be beyond the full control of the SEC and Financial Institutions Regulatory Authority (“FINRA”).</w:t>
      </w:r>
      <w:r>
        <w:rPr>
          <w:color w:val="000000"/>
        </w:rPr>
        <w:t xml:space="preserve"> </w:t>
      </w:r>
      <w:r>
        <w:rPr>
          <w:rFonts w:ascii="Times New Roman;sans-serif" w:hAnsi="Times New Roman;sans-serif"/>
          <w:b w:val="false"/>
          <w:color w:val="000000"/>
          <w:sz w:val="20"/>
        </w:rPr>
        <w:t xml:space="preserve">Short sales are transactions in which a market participant sells a security that it does not own. To complete the transaction, the market participant must borrow the security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5"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make delivery to the buyer. The market participant is then obligated to replace the security borrowed by purchasing the security at the market price at the time of required replacement. If the price at the time of replacement is lower than the price at which the security was originally sold by the market participant, then the market participant will realize a gain on the transaction. Thus, it is in the market participant’s interest for the market price of the underlying security to decline as much as possible during the period prior to the time of replacement. While SEC and FINRA rules prohibit some forms of short selling and other activities that may result in stock price manipulation, such activity may nonetheless occur without detection or enforcement. Significant short selling or other types of market manipulation could cause our stock trading price to decline, to become more volatile, or both.</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Previous short selling efforts have impacted, and may in the future continue to impact, the value of our stock in an extreme and volatile manner to our detriment and the detriment of our stockholders. In addition, market participants with admitted short positions in our stock have published, and may in the future continue to publish, negative information regarding us and our management team on internet sites or blogs that we believe is inaccurate and misleading. We believe that the publication of this negative information may in the future lead to significant downward pressure on the price of our stock to our detriment and the further detriment of our stockholders. These and other efforts by certain market participants to manipulate the price of our common stock for their personal financial gain may cause our stockholders to lose a portion of their investment, may make it more difficult for us to raise equity capital when needed without significantly diluting existing stockholders, and may reduce demand from new investors to purchase shares of our stock.</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Future settlements of any conversion obligations with respect to the 2025 Notes may result in dilution to existing stockholders, lower prevailing market prices for our common stock or require a significant cash outlay.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2025 Notes are currently convertible at the option of the holders at any time until close of business on the business day immediately preceding the maturity date. The 2025 Notes are convertible into shares of the Company’s common stock at a conversion rate of 7.92896 shares of common stock per $1,000 principal amount of 2025 Notes (which is equivalent to an initial conversion price of $126.12 per share of common stock). The conversion rate is subject to adjustment if certain events occur, but in no event will the conversion rate exceed 9.51474 shares of common stock per $1,000 principal amount of 2025 Notes (which is equivalent to a conversion price of $105.10 per share of common stock). Holders of the 2025 Notes who convert may also be entitled to receive, under certain circumstances, an interest make-whole payment payable in, at our election, either cash or shares of common stock. If holders of the 2025 Notes elect to convert their 2025 Notes into common stock, we elect to settle any interest make-whole payments due upon conversion of the 2025 Notes with shares of common stock, or we issue shares of common stock in connection with a future refinancing of the 2025 Notes, this may cause significant dilution to our existing stockholders. Any sales in the public market of the common stock issued upon such conversion could adversely affect prevailing market prices of our common stock. If we do elect to settle any interest make-whole payments due upon conversion of the 2025 Notes with cash, such payments could adversely affect our liquidity.</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Certain provisions in the indenture governing the 2025 Notes (as amended or supplemented, the “Indenture”) could make it more difficult or more expensive for a third party to acquire us and could delay or prevent an otherwise beneficial takeover or takeover attempt. For example, if a takeover would constitute a fundamental change (as defined in the Indenture), holders of the 2025 Notes will have the right to require us to repurchase their notes in cash. In addition, if a takeover constitutes a make-whole fundamental change, we may be required to increase the conversion rate for holders who convert their 2025 Notes in connection with such takeover. In either case, and in other cases, our obligations under the 2025 Notes and the related Indenture could increase the cost of acquiring us or otherwise discourage a third party from acquiring us</w:t>
      </w:r>
      <w:r>
        <w:rPr>
          <w:rFonts w:ascii="Times New Roman;sans-serif" w:hAnsi="Times New Roman;sans-serif"/>
          <w:b w:val="false"/>
          <w:color w:val="008080"/>
          <w:sz w:val="24"/>
        </w:rPr>
        <w:t>.</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Ownership of our common stock is concentrated, and as a result, certain stockholders may exercise significant influence over the Company.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Golden Harbor Ltd. and North Sound Trading, L.P. (together the “Investors”) and their affiliates owned an aggregate of approximately 17.7% and 4.0%, respectively, for an aggregate of approximately 21.7%, of the outstanding shares of our common stock. The Investors and their affiliates also hold approximately $80.4 million of the 2025 Notes (49.7% of the outstanding principal amount). The Indenture relating to the 2025 Notes includes a Section 382 conversion blocker that may prevent the Investors from converting their 2025 Notes unless they receive the prior written approval of our Board of Directors. Assuming the conversion of the 2025 Notes owned by the Investors and their affiliates, the Investors and their affiliates would own approximately 26.4% of the outstanding shares of our common stock (19.0% for Golden harbor Ltd. and 7.4% for North Sound Trading, L.P.). As a result, the Investors have the ability to significantly influence the outcome of any matter submitted for the vote of the holders of our common stock.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concentration of voting power could exert substantial influence over our business. For example, the concentration of voting power could delay, defer or prevent a change of control, entrench our management and the board of directors or delay or prevent a merger, consolidation, takeover or other business combination involving us on terms that other security holders may desire. In addition, conflicts of interest could arise in the future between us on the one hand, and either or both of the Investors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6"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the other hand, concerning potential competitive business activities, business opportunities, capital financing, the issuance of additional securities and other matters.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pursuant to that certain Securities Purchase Agreement, dated August 6, 2018, by and among Inseego and the Investors (the “Purchase Agreement”), each of the Investors has the right to nominate a director so long as such Investor and its affiliates beneficially own at least 5% of the issued and outstanding shares of common stock of the Company, subject to satisfaction of reasonable qualification standards. The Purchase Agreement further provides that, at any time at which either Investor, together with its affiliates, beneficially owns more than 20% of the issued and outstanding common shares of stock of the Company, such Investor shall be entitled to appoint a second director, and the size of our Board of Directors shall not be increased to exceed seven directors. Notwithstanding the fact that all directors will be subject to fiduciary duties to the Company and to applicable law, the interests of the directors designated by the Investors may differ from the interests of our security holders as a whole or of our other directors.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Our outstanding Series E Preferred Stock or future equity offerings could adversely affect the holders of our common stock in some circumstances.</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As of December 31, 2023, there were 25,000 shares of Series E Fixed-Rate Cumulative Perpetual Preferred Stock, par value $0.001 per share (the “Series E Preferred Stock”) outstanding with an aggregate liquidation preference of $25 million. The Series E Preferred Stock is senior to our shares of common stock in right of payment of dividends and other distributions. In the event of a liquidation, dissolution or winding up of the Company, the holders of the Series E Preferred Stock will be entitled to receive, after satisfaction of liabilities to creditors and subject to the rights of holders of any senior securities, but before any distribution of assets is made to holders of common stock or any other junior securities, the Series E Base Amount (as defined below) in </w:t>
      </w:r>
      <w:r>
        <w:rPr>
          <w:rFonts w:ascii="Times New Roman;sans-serif" w:hAnsi="Times New Roman;sans-serif"/>
          <w:b w:val="false"/>
          <w:i/>
          <w:color w:val="000000"/>
          <w:sz w:val="20"/>
        </w:rPr>
        <w:t>Note 7 – Preferred Stock and Common Stock</w:t>
      </w:r>
      <w:r>
        <w:rPr>
          <w:color w:val="000000"/>
        </w:rPr>
        <w:t xml:space="preserve"> </w:t>
      </w:r>
      <w:r>
        <w:rPr>
          <w:rFonts w:ascii="Times New Roman;sans-serif" w:hAnsi="Times New Roman;sans-serif"/>
          <w:b w:val="false"/>
          <w:color w:val="000000"/>
          <w:sz w:val="20"/>
        </w:rPr>
        <w:t>in the Notes to the Consolidated Financial Statements) plus (without duplication) any accrued and unpaid dividends. In the future, we may offer additional shares of Series E Preferred Stock or other equity, equity-linked or debt securities, which may have rights, preferences or privileges senior to our common stock. Because our decision to issue debt or equity securities or incur other borrowings in the future will depend on market conditions and other factors beyond our control, the amount, timing, nature or success of our future capital raising efforts is uncertain. Thus, holders of our common stock bear the risk that our future issuances of debt or equity securities or our incurrence of other borrowings may negatively affect the market price of our common stock.</w:t>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do not currently intend to pay dividends on our common stock, and, consequently, your ability to achieve a return on your investment will depend on appreciation, if any, in the price of our common stock.</w:t>
      </w:r>
    </w:p>
    <w:p>
      <w:pPr>
        <w:pStyle w:val="TextBody"/>
        <w:bidi w:val="0"/>
        <w:spacing w:before="0" w:after="0"/>
        <w:jc w:val="left"/>
        <w:rPr/>
      </w:pPr>
      <w:r>
        <w:rPr/>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 on our common stock. We currently anticipate that we will retain any future earnings for the development, operation and expansion of our business and do not anticipate declaring or paying any cash dividends for the foreseeable future. In addition, the terms of our debt agreements and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pStyle w:val="TextBody"/>
        <w:bidi w:val="0"/>
        <w:spacing w:before="0" w:after="0"/>
        <w:ind w:left="0" w:right="0" w:firstLine="45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restated certificate of incorporation and restated bylaws and Delaware law could prevent a takeover that stockholders consider favorable and could also reduce the market price of our stock.</w:t>
      </w:r>
    </w:p>
    <w:p>
      <w:pPr>
        <w:pStyle w:val="TextBody"/>
        <w:bidi w:val="0"/>
        <w:spacing w:lineRule="auto" w:line="276"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restated certificate of incorporation and restated bylaws contain provisions that could delay or prevent a change in control of us. These provisions could also make it more difficult for stockholders to elect directors and take other corporate actions. These provisions include: providing for a classified board of directors with staggered, three-year terms; authorizing the board of directors to issue, without stockholder approval, preferred stock with rights senior to those of our common stock; providing that vacancies on our board of directors be filled by appointment by the board of directors; prohibiting stockholder action by written consent; requiring that certain litigation must be brought in Delaware; limiting the persons who may call special meetings of stockholders; and requiring advance notification of stockholder nominations and proposals. In addition, we are subject to Section 203 of the Delaware General Corporation Law which may prohibit large stockholders, in particular those owning fifteen percent or more of our outstanding voting stock, from merging or combining with us for a certain period of time without the consent of our board of directors. These and other provisions in our restated certificate of incorporation and our restated bylaws and under the Delaware General Corporation Law could discourage potential takeover attempts, reduce the price that investors might be willing to pay in the future for shares of our common stock and result in the market price of our common stock being lower than it would be without these provisions.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If financial or industry analysts do not publish research or reports about our business, or if they issue negative or misleading evaluations of our stock, our stock price and trading volume could decline.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market for our common stock will be influenced by the research and reports that industry or financial analysts publish about us or our business. We do not control these analysts, or the content and opinions included in their reports. If one or more of the analysts who cover us were to adversely change their recommendation regarding our stock, or provide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7"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favorable relative recommendations about our competitors, our stock price could decline. If one or more of the analysts who cover us cease coverage of our Company or fail to publish reports on us regularly, we could lose visibility in the financial markets, which in turn could cause our stock price or trading volume to decline.</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controls over financial reporting, we may not be able to report our financial results timely and accurately, which could adversely affect investor confidence in us, and in turn, our results of operations and our stock price.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internal controls are necessary for us to provide reliable financial reports and operate successfully as a public company. Section 404 of the Sarbanes-Oxley Act of 2002 requires that companies evaluate and report on their systems of internal control over financial reporting. In addition, our independent registered public accounting firm must report on its evaluation of those controls.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failure to maintain effective internal controls could cause a delay in compliance with our reporting obligations, SEC rules and regulations or Section 404 of the Sarbanes-Oxley Act of 2002, which could subject us to a variety of administrative sanctions, including, but not limited to, SEC enforcement action, ineligibility for short form registration, the suspension or delisting of our common stock from the stock exchange on which it is listed and the inability of registered broker-dealers to make a market in our common stock, which could adversely affect our business and the trading price of our common stock.</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If the accounting estimates we make, and the assumptions on which we rely, in preparing our financial statements prove inaccurate, our actual results may be adversely affected.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have been prepared in accordance with accounting principles generally accepted in the United States. The preparation of these financial statements requires us to make estimates and judgments about, among other things, allowance for credit losses, provision for excess and obsolete inventory, valuation of intangible and long-lived assets, valuation of goodwill, royalty costs, accruals relating to litigation and restructuring, income taxes, share-based compensation expense and our ability to continue as a going concern. These estimates and judgments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and at the time they are made. If our estimates or the assumptions underlying them are not correct, actual results may differ materially from our estimates and we may need to, among other things, accrue additional charges that could adversely affect our results of operations, which in turn could adversely affect our stock price. In addition, new accounting pronouncements and interpretations of accounting pronouncements have occurred and may occur in the future that could adversely affect our reported financial results.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Changes to the accounting systems or new accounting system implementations may be ineffective or cause delays in our ability to record transactions and/or provide timely financial results.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change in our accounting systems or new accounting system implementations could cause trial balances to be out of balance or hinder the reconciliation of items which are time consuming to diagnose, impacting our ability to provide timely audited and unaudited financial results. Any such change could have a significant impact on the effectiveness of our system of internal controls and could cause a delay in compliance with our reporting obligations, which could adversely affect our business and the trading price of our common stock.</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Any changes to existing accounting pronouncements or taxation rules or practices may cause adverse fluctuations in our reported results of operations or affect how we conduct our business.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Our quarterly operating results have fluctuated in the past and may fluctuate in the future, which could cause declines or volatility in the price of our common stock.</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operating results have fluctuated in the past and may fluctuate in the future as a result of a variety of factors, many of which are outside of our control. If our quarterly operating results or guidance fall below the expectations of research analysts or investors, the price of our common stock could decline substantially. The following factors, among others, could cause fluctuations in our quarterly operating results: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our ability to attract new customers and retain existing customers;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our ability to accurately forecast revenue and appropriately plan our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8"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our ability to accurately predict changes in customer demand due to matters beyond our control;</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our ability to introduce new features, including integration of our existing solutions with third-party software and devices;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the actions of our competitors, including consolidation within the industry, pricing changes or the introduction of new services;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our ability to effectively manage our growth;</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 xml:space="preserve">our ability to attract and retain key employees, given intense competition for qualified personnel; </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our ability to successfully manage and realize the anticipated benefits of any future divestitures or acquisitions of businesses, solutions or technologies;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our ability to successfully launch new services or solutions or sell existing services or solutions into additional geographies or vertical markets;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the timing and cost of developing or acquiring technologies, services or businesses;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the timing, operating costs, and capital expenditures related to the operation, maintenance and expansion of our business;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service outages or security breaches and any related occurrences which could impact our reputation;</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the impact of worldwide economic, industry, and market conditions, including disruptions in financial markets and the deterioration of the underlying economic conditions in some countries, rises in inflation and interest rates, and those conditions specific to Internet usage and online businesses;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the emergence of global events, which could extend lead times in our supply chain and lengthen sales cycles with our customers;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fluctuations in currency exchange rates;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trade protection measures (such as tariffs and duties) and import or export licensing requirements;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costs associated with defending intellectual property infringement and other claims;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changes in laws and regulations affecting our business; and</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the provision of fleet management solutions or asset management solutions from cellular carrier-controlled or OEM-controlled channels from which Inseego may be excluded.</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quarterly revenue and operating results may vary significantly in the future and that period-to-period comparisons of our operating results may not be meaningful. You should not rely on the results of any quarter as an indication of future performance.</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RISK FACTORS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We may not be able to maintain and expand our business if we are not able to hire, retain and manage additional qualified personnel.</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in the future depends in part on the continued contribution of our executive, technical, engineering, sales, marketing, operations and administrative personnel. Recruiting and retaining skilled personnel in the industries in which we operate, including engineers and other technical staff and skilled sales and marketing personnel, is highly competitive. In addition, in the event that we acquire another business or company, the success of any acquisition will depend in part on our retention and integration of key personnel from the acquired company or business.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may enter into employment agreements with members of our senior management and other key personnel, these arrangements do not prevent any of our management or key personnel from leaving the Company. If we are not able to attract or retain qualified personnel in the future, or if we experience delays in hiring required personnel, particularly qualified technical and sales personnel, we may not be able to maintain and expand our business.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Our business may be adversely affected by unfavorable macroeconomic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9"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our results of operations and our financial condition could be adversely affected by various macroeconomic factors and the current and future conditions in the global financial markets. The global credit and financial markets have recently experienced extreme volatility and disruptions, including severely diminished liquidity and credit availability, declines in consumer confidence, declines in economic growth, rising interest rates, inflation, increases in unemployment rates and uncertainty about economic stability. The financial markets and the global economy may also be adversely affected by the current or anticipated impact of military conflicts, including the conflict between Russia and Ukraine, terrorism or other geopolitical events. Sanctions imposed by the U.S. and other countries in response to such conflicts, including the one in Ukraine, may also adversely impact the financial markets and the global economy, and any economic countermeasures by affected countries and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w:t>
      </w:r>
    </w:p>
    <w:p>
      <w:pPr>
        <w:pStyle w:val="TextBody"/>
        <w:bidi w:val="0"/>
        <w:spacing w:lineRule="auto" w:line="276"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these macroeconomic factors could affect the ability of our current or potential future third-party manufacturers or sole source suppliers to remain in business, or otherwise maintain our manufacturing or supply demands, which could result in potential supply chain disruptions. This, along with any of the foregoing factors, could impact our financial conditions, results of operations and cash flows. We cannot anticipate all of the ways in which the current and future economic climate and financial market conditions could adversely impact our business.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Adverse economic conditions or reduced spending on information technology solutions may adversely impact our revenue and profitability.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Uncertainty about future economic conditions makes it difficult for us to forecast operating results and to make decisions about future investments. We are unable to predict the likely duration and severity of adverse economic conditions in the United States and other countries, but the longer the duration, the greater risks we face in operating our business. We cannot assure you that current economic conditions, worsening economic conditions or prolonged poor economic conditions will not have a significant adverse impact on the demand for our solutions, and consequently on our results of operations and prospects.</w:t>
      </w:r>
    </w:p>
    <w:p>
      <w:pPr>
        <w:pStyle w:val="TextBody"/>
        <w:bidi w:val="0"/>
        <w:spacing w:lineRule="auto" w:line="276" w:before="180" w:after="180"/>
        <w:jc w:val="left"/>
        <w:rPr>
          <w:rFonts w:ascii="Times New Roman;sans-serif" w:hAnsi="Times New Roman;sans-serif"/>
          <w:b/>
          <w:i/>
          <w:color w:val="231F20"/>
          <w:sz w:val="20"/>
          <w:shd w:fill="FFFFFF" w:val="clear"/>
        </w:rPr>
      </w:pPr>
      <w:r>
        <w:rPr>
          <w:rFonts w:ascii="Times New Roman;sans-serif" w:hAnsi="Times New Roman;sans-serif"/>
          <w:b/>
          <w:i/>
          <w:color w:val="231F20"/>
          <w:sz w:val="20"/>
          <w:shd w:fill="FFFFFF" w:val="clear"/>
        </w:rPr>
        <w:t>We may be exposed to risks related to litigation and administrative proceedings that could materially and adversely affect our business, results of operations and financial condition.</w:t>
      </w:r>
    </w:p>
    <w:p>
      <w:pPr>
        <w:pStyle w:val="TextBody"/>
        <w:bidi w:val="0"/>
        <w:spacing w:lineRule="auto" w:line="276" w:before="180" w:after="18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to intellectual property and other claims mentioned above, our business may expose us to litigation and administrative proceedings relating to labor, regulatory, tax proceedings, governmental investigations, tort claims, contractual disputes and criminal prosecution, among other matters, that could materially and adversely affect our business, results of operations, and financial condition. In the context of these proceedings, we may not only be required to pay fines or monetary damages but also be subject to sanctions or injunctions affecting our ability to continue our operations. While we may contest these matters vigorously and make insurance claims when appropriate, litigation and other proceedings are inherently costly and unpredictable, making it difficult to accurately estimate the outcome of actual or potential litigation or proceedings. Although we will establish provisions in accordance with the requirements of GAAP, the amounts that we reserve could vary significantly from any amounts we actually pay due to the inherent uncertainties in the estimation process. In addition, litigation and administrative proceedings can involve significant management time and attention and be expensive, regardless of outcome. During the course of any litigation and administrative proceedings, there may be announcements of the results of hearings and motions and other interim developments. If securities analysts or investors regard these announcements as negative, the trading price of our common stock may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Item 1B.    </w:t>
      </w:r>
      <w:r>
        <w:rPr>
          <w:rFonts w:ascii="Times New Roman;sans-serif" w:hAnsi="Times New Roman;sans-serif"/>
          <w:b/>
          <w:i/>
          <w:color w:val="000000"/>
          <w:sz w:val="20"/>
        </w:rPr>
        <w:t xml:space="preserve">Unresolved Staff Comments </w:t>
      </w:r>
    </w:p>
    <w:p>
      <w:pPr>
        <w:pStyle w:val="TextBody"/>
        <w:bidi w:val="0"/>
        <w:spacing w:lineRule="auto" w:line="288" w:before="120" w:after="2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Item 1C.    </w:t>
      </w:r>
      <w:r>
        <w:rPr>
          <w:rFonts w:ascii="Times New Roman;sans-serif" w:hAnsi="Times New Roman;sans-serif"/>
          <w:b/>
          <w:i/>
          <w:color w:val="000000"/>
          <w:sz w:val="20"/>
        </w:rPr>
        <w:t>Cybersecurity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the critical importance of maintaining the safety and security of our technology systems and data and have a holistic process for overseeing and managing cybersecurity and information technology related risks. This process is supported by both management and our Board. The Audit Committee (the “Audit Committee”) of our Board has oversight of the Company’s risk management program, and cybersecurity is a component of our overall approach to risk management.</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policies, standards, processes, and practices are integrated across our operational risk management programs and are based on recognized frameworks. A cybersecurity threat is any potential unauthorized occurrence, on or conducted through, our information systems that may result in adverse effects on the confidentiality, integrity or availability of our information systems or any information residing therein.</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Cybersecurity risk management and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30"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As one of the critical elements of our overall risk management program, our cybersecurity program is focused on the following key areas:</w:t>
      </w:r>
    </w:p>
    <w:p>
      <w:pPr>
        <w:pStyle w:val="TextBody"/>
        <w:bidi w:val="0"/>
        <w:spacing w:lineRule="auto" w:line="276" w:before="180" w:after="180"/>
        <w:ind w:left="0" w:right="0" w:firstLine="450"/>
        <w:jc w:val="left"/>
        <w:rPr/>
      </w:pPr>
      <w:r>
        <w:rPr>
          <w:color w:val="000000"/>
        </w:rPr>
        <w:t>•</w:t>
      </w:r>
      <w:r>
        <w:rPr>
          <w:rFonts w:ascii="Times New Roman;sans-serif" w:hAnsi="Times New Roman;sans-serif"/>
          <w:b/>
          <w:color w:val="231F20"/>
          <w:sz w:val="20"/>
        </w:rPr>
        <w:t xml:space="preserve">Technical Safeguards: </w:t>
      </w:r>
      <w:r>
        <w:rPr>
          <w:rFonts w:ascii="Times New Roman;sans-serif" w:hAnsi="Times New Roman;sans-serif"/>
          <w:b w:val="false"/>
          <w:color w:val="231F20"/>
          <w:sz w:val="20"/>
        </w:rPr>
        <w:t>We deploy technical safeguards that are designed to protect our information systems from cybersecurity threats, including firewalls, intrusion prevention and detection systems, anti-malware functionality and access controls, which are regularly evaluated and improved through vulnerability assessments and cybersecurity threat intelligence.</w:t>
      </w:r>
    </w:p>
    <w:p>
      <w:pPr>
        <w:pStyle w:val="TextBody"/>
        <w:bidi w:val="0"/>
        <w:spacing w:lineRule="auto" w:line="276" w:before="180" w:after="180"/>
        <w:ind w:left="0" w:right="0" w:firstLine="450"/>
        <w:jc w:val="left"/>
        <w:rPr/>
      </w:pPr>
      <w:r>
        <w:rPr>
          <w:color w:val="000000"/>
        </w:rPr>
        <w:t>•</w:t>
      </w:r>
      <w:r>
        <w:rPr>
          <w:rFonts w:ascii="Times New Roman;sans-serif" w:hAnsi="Times New Roman;sans-serif"/>
          <w:b/>
          <w:color w:val="231F20"/>
          <w:sz w:val="20"/>
        </w:rPr>
        <w:t xml:space="preserve">Incident Response &amp; Recovery Planning: </w:t>
      </w:r>
      <w:r>
        <w:rPr>
          <w:rFonts w:ascii="Times New Roman;sans-serif" w:hAnsi="Times New Roman;sans-serif"/>
          <w:b w:val="false"/>
          <w:color w:val="231F20"/>
          <w:sz w:val="20"/>
        </w:rPr>
        <w:t>We have established and maintain incident response and recovery plans that address our response procedures in the event of a multitude of various cybersecurity incidents. We leverage a Managed Detection and Response service which further helps support our internal security team to identify real time threats across our landscape.</w:t>
      </w:r>
    </w:p>
    <w:p>
      <w:pPr>
        <w:pStyle w:val="TextBody"/>
        <w:bidi w:val="0"/>
        <w:spacing w:lineRule="auto" w:line="276" w:before="180" w:after="180"/>
        <w:ind w:left="0" w:right="0" w:firstLine="450"/>
        <w:jc w:val="left"/>
        <w:rPr/>
      </w:pPr>
      <w:r>
        <w:rPr>
          <w:color w:val="000000"/>
        </w:rPr>
        <w:t>•</w:t>
      </w:r>
      <w:r>
        <w:rPr>
          <w:rFonts w:ascii="Times New Roman;sans-serif" w:hAnsi="Times New Roman;sans-serif"/>
          <w:b/>
          <w:color w:val="231F20"/>
          <w:sz w:val="20"/>
        </w:rPr>
        <w:t xml:space="preserve">Risk Management: </w:t>
      </w:r>
      <w:r>
        <w:rPr>
          <w:rFonts w:ascii="Times New Roman;sans-serif" w:hAnsi="Times New Roman;sans-serif"/>
          <w:b w:val="false"/>
          <w:color w:val="231F20"/>
          <w:sz w:val="20"/>
        </w:rPr>
        <w:t xml:space="preserve">We maintain a preemptive and comprehensive risk-based approach to identifying and overseeing potential cybersecurity risks across our entire technology stack. The approach aligns to industry standards such as ISO 27005 (Information Security Risk Management). This approach also includes third-party risk management issues presented by third parties, including our vendors, service providers and other external users of our systems. We conduct cybersecurity assessments of third-party vendors that we engage with in our operations to identify and evaluate potential vulnerabilities, including on-site visits for evaluation of certain core operational third-party vendors. In addition, our agreements with material vendors include indemnification provisions with respect to cybersecurity matters. </w:t>
      </w:r>
    </w:p>
    <w:p>
      <w:pPr>
        <w:pStyle w:val="TextBody"/>
        <w:bidi w:val="0"/>
        <w:spacing w:lineRule="auto" w:line="276" w:before="180" w:after="180"/>
        <w:ind w:left="0" w:right="0" w:firstLine="450"/>
        <w:jc w:val="both"/>
        <w:rPr/>
      </w:pPr>
      <w:r>
        <w:rPr>
          <w:color w:val="000000"/>
        </w:rPr>
        <w:t>•</w:t>
      </w:r>
      <w:r>
        <w:rPr>
          <w:rFonts w:ascii="Times New Roman;sans-serif" w:hAnsi="Times New Roman;sans-serif"/>
          <w:b/>
          <w:color w:val="231F20"/>
          <w:sz w:val="20"/>
        </w:rPr>
        <w:t xml:space="preserve">Outside Consultants: </w:t>
      </w:r>
      <w:r>
        <w:rPr>
          <w:rFonts w:ascii="Times New Roman;sans-serif" w:hAnsi="Times New Roman;sans-serif"/>
          <w:b w:val="false"/>
          <w:color w:val="231F20"/>
          <w:sz w:val="20"/>
        </w:rPr>
        <w:t>In addition to the broad capabilities of our internal information security team, we also engage various outside consultants, including contractors, auditors, and other third parties, to among other things</w:t>
      </w:r>
      <w:r>
        <w:rPr>
          <w:rFonts w:ascii="Times New Roman;sans-serif" w:hAnsi="Times New Roman;sans-serif"/>
          <w:b w:val="false"/>
          <w:color w:val="000000"/>
          <w:sz w:val="20"/>
        </w:rPr>
        <w:t xml:space="preserve">, conduct regular testing of our networks and systems to identify vulnerabilities through penetration testing, while also measuring and advise on potential improvements to our incident prevention, response, and documentation procedures. </w:t>
      </w:r>
    </w:p>
    <w:p>
      <w:pPr>
        <w:pStyle w:val="TextBody"/>
        <w:bidi w:val="0"/>
        <w:spacing w:lineRule="auto" w:line="276" w:before="180" w:after="180"/>
        <w:ind w:left="0" w:right="0" w:firstLine="450"/>
        <w:jc w:val="left"/>
        <w:rPr/>
      </w:pPr>
      <w:r>
        <w:rPr>
          <w:color w:val="000000"/>
        </w:rPr>
        <w:t>•</w:t>
      </w:r>
      <w:r>
        <w:rPr>
          <w:rFonts w:ascii="Times New Roman;sans-serif" w:hAnsi="Times New Roman;sans-serif"/>
          <w:b/>
          <w:color w:val="231F20"/>
          <w:sz w:val="20"/>
        </w:rPr>
        <w:t xml:space="preserve">Team Member Education &amp; Awareness: </w:t>
      </w:r>
      <w:r>
        <w:rPr>
          <w:rFonts w:ascii="Times New Roman;sans-serif" w:hAnsi="Times New Roman;sans-serif"/>
          <w:b w:val="false"/>
          <w:color w:val="231F20"/>
          <w:sz w:val="20"/>
        </w:rPr>
        <w:t xml:space="preserve">We provide training to new team members, as well as frequent, mandatory training for all team members regarding cybersecurity threats to equip our team members with effective tools to identify and prevent cybersecurity threats, and to communicate our evolving information security policies, standards, processes and practices. </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Governance &amp; Personnel</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Board has delegated to the Audit Committee the responsibility for monitoring and overseeing our cybersecurity and other information technology risks, controls, strategies and procedures. The Audit Committee periodically evaluates our information security strategies to ensure effectiveness and, if appropriate, may also include a review from third-party consultants and experts. Senior management updates the Board and Audit Committee on matters regarding information security policies and procedures and cybersecurity risk management strategy. In addition, the full Board may review and assess cybersecurity risks as part of its responsibilities for our risk management oversight.</w:t>
      </w:r>
    </w:p>
    <w:p>
      <w:pPr>
        <w:pStyle w:val="TextBody"/>
        <w:bidi w:val="0"/>
        <w:spacing w:lineRule="auto" w:line="276" w:before="180" w:after="180"/>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 addition, we have an IT Security Committee comprised of our top executives from across the Company, including our Chief Executive Officer, Chief Financial Officer, General Counsel, our Director of Information Security and Privacy. The IT Security Committee meets quarterly to discuss and address management of the risks facing our business. Technological risk is a regular component analyzed by our IT Security Committee to identify and assess potential cybersecurity risks across our business operations.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information security team is led by our Director of Information Security and Privacy, who has decades of experience in information technology and cybersecurity. Furthermore, our Director of Information Security and Privacy holds a number of certifications, including CISSP (Certified Information Systems Security Professional) and CCSP (Certified Cloud Security Professional). The information security team conducts periodic assessment and testing of our policies, standards, processes, and practices that are designed to address a multitude of potential cybersecurity threats and incidents. These efforts include a wide range of activities, including penetration testing, adoption and regular evaluation of incident response plans and procedures, regular team member email phishing test campaigns, email security monitoring, real-time vulnerability scanning and intrusion detection, team member cybersecurity awareness programming, regular audits &amp; evaluations of internal and third-party systems, and continuous improvement of the information security management system. </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Impact of cybersecurity risks on business strategy, results of operations or financial condition</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Form 10-K, there have been no cybersecurity incidents that have materially affected, or are likely to materially affect the Company’s business strategy,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31"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pPr>
      <w:r>
        <w:rPr>
          <w:rFonts w:ascii="Times New Roman;sans-serif" w:hAnsi="Times New Roman;sans-serif"/>
          <w:b/>
          <w:color w:val="000000"/>
          <w:sz w:val="20"/>
        </w:rPr>
        <w:t>Item 2.    </w:t>
      </w:r>
      <w:r>
        <w:rPr>
          <w:rFonts w:ascii="Times New Roman;sans-serif" w:hAnsi="Times New Roman;sans-serif"/>
          <w:b/>
          <w:i/>
          <w:color w:val="000000"/>
          <w:sz w:val="20"/>
        </w:rPr>
        <w:t>Properties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 is located in San Diego, California. Our corporate offices are located in San Diego, California where we lease approximately 38,000 square feet under an arrangement that expires in August 2027 and approximately 12,000 square feet under an arrangement that expires in July 2027. We further lease space in various geographic locations abroad primarily for sales and support personnel, for research and development, or for temporary facilities. We believe that our existing facilities are adequate to meet our current needs and that we can renew our existing leases or obtain alternative space on terms that would not have a material impact on our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pPr>
      <w:r>
        <w:rPr>
          <w:rFonts w:ascii="Times New Roman;sans-serif" w:hAnsi="Times New Roman;sans-serif"/>
          <w:b/>
          <w:color w:val="000000"/>
          <w:sz w:val="20"/>
        </w:rPr>
        <w:t>Item 3.    </w:t>
      </w:r>
      <w:r>
        <w:rPr>
          <w:rFonts w:ascii="Times New Roman;sans-serif" w:hAnsi="Times New Roman;sans-serif"/>
          <w:b/>
          <w:i/>
          <w:color w:val="000000"/>
          <w:sz w:val="20"/>
        </w:rPr>
        <w:t xml:space="preserve">Legal Proceedings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engaged in legal actions that arise in the ordinary course of our business. In general, while there can be no assurance, we believe that the ultimate outcome of these legal actions will not have a material adverse effect on our business, results of operations, financial condition or cash flows. </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See Part IV Item 15 </w:t>
      </w:r>
      <w:r>
        <w:rPr>
          <w:rFonts w:ascii="Times New Roman;sans-serif" w:hAnsi="Times New Roman;sans-serif"/>
          <w:b w:val="false"/>
          <w:i/>
          <w:color w:val="000000"/>
          <w:sz w:val="20"/>
        </w:rPr>
        <w:t>Note 10 – Commitments and Contingencies</w:t>
      </w:r>
      <w:r>
        <w:rPr>
          <w:rFonts w:ascii="Times New Roman;sans-serif" w:hAnsi="Times New Roman;sans-serif"/>
          <w:b w:val="false"/>
          <w:color w:val="000000"/>
          <w:sz w:val="20"/>
        </w:rPr>
        <w:t xml:space="preserve">, in the accompanying consolidated financial statements for additional disclosure, which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pPr>
      <w:r>
        <w:rPr>
          <w:rFonts w:ascii="Times New Roman;sans-serif" w:hAnsi="Times New Roman;sans-serif"/>
          <w:b/>
          <w:color w:val="000000"/>
          <w:sz w:val="20"/>
        </w:rPr>
        <w:t>Item 4.    </w:t>
      </w:r>
      <w:r>
        <w:rPr>
          <w:rFonts w:ascii="Times New Roman;sans-serif" w:hAnsi="Times New Roman;sans-serif"/>
          <w:b/>
          <w:i/>
          <w:color w:val="000000"/>
          <w:sz w:val="20"/>
        </w:rPr>
        <w:t xml:space="preserve">Mine Safety Disclosures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2"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pPr>
      <w:r>
        <w:rPr>
          <w:rFonts w:ascii="Times New Roman;sans-serif" w:hAnsi="Times New Roman;sans-serif"/>
          <w:b/>
          <w:color w:val="000000"/>
          <w:sz w:val="20"/>
        </w:rPr>
        <w:t>Item 5.    </w:t>
      </w:r>
      <w:r>
        <w:rPr>
          <w:rFonts w:ascii="Times New Roman;sans-serif" w:hAnsi="Times New Roman;sans-serif"/>
          <w:b/>
          <w:i/>
          <w:color w:val="000000"/>
          <w:sz w:val="20"/>
        </w:rPr>
        <w:t>Market for Registrant’s Common Equity, Related Stockholder Matters and Issuer Purchases of Equity Securities</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Common Stock Data</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our common stock are currently quoted and traded on The Nasdaq Global Select Market under the symbol “INSG.” </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Number of Stockholders of Record</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16, 2024, there were approximately 17 holders of record of our common stock. Because many of the shares of our common stock are held by brokers and other institutions on behalf of stockholders, we are unable to estimate the total number of stockholders represented by these record holders.</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cash dividends on any shares of our capital stock. We currently intend to retain all available funds for use in the operation and development of our business and, therefore, do not anticipate paying any cash dividends in the foreseeable future. Any future determination relating to our dividend policy will be made at the discretion of our Board of Directors and will depend on a number of factors, including future earnings, capital requirements, financial condition and future prospects and other factors the Board of Directors may deem relevant. </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Unregistered Sales of Equity Securities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 xml:space="preserve">Purchases of Equity Securities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pPr>
      <w:r>
        <w:rPr>
          <w:rFonts w:ascii="Times New Roman;sans-serif" w:hAnsi="Times New Roman;sans-serif"/>
          <w:b/>
          <w:color w:val="000000"/>
          <w:sz w:val="20"/>
        </w:rPr>
        <w:t>Item 6.    </w:t>
      </w:r>
      <w:r>
        <w:rPr>
          <w:rFonts w:ascii="Times New Roman;sans-serif" w:hAnsi="Times New Roman;sans-serif"/>
          <w:b/>
          <w:i/>
          <w:color w:val="000000"/>
          <w:sz w:val="20"/>
        </w:rPr>
        <w:t>Reserved</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3"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pPr>
      <w:r>
        <w:rPr>
          <w:rFonts w:ascii="Times New Roman;sans-serif" w:hAnsi="Times New Roman;sans-serif"/>
          <w:b/>
          <w:color w:val="000000"/>
          <w:sz w:val="20"/>
        </w:rPr>
        <w:t>Item 7.    </w:t>
      </w:r>
      <w:r>
        <w:rPr>
          <w:rFonts w:ascii="Times New Roman;sans-serif" w:hAnsi="Times New Roman;sans-serif"/>
          <w:b/>
          <w:i/>
          <w:color w:val="000000"/>
          <w:sz w:val="20"/>
        </w:rPr>
        <w:t>Management’s Discussion and Analysis of Financial Condition and Results of Operations</w:t>
      </w:r>
    </w:p>
    <w:p>
      <w:pPr>
        <w:pStyle w:val="TextBody"/>
        <w:bidi w:val="0"/>
        <w:spacing w:lineRule="auto" w:line="276" w:before="180" w:after="18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of our consolidated financial condition and results of operations should be read in conjunction with our consolidated financial statements and related notes included elsewhere in this report. This report contains certain forward-looking statements relating to future events or our future financial performance. These statements are subject to risks and uncertainties which could cause actual results to differ materially from those discussed in this report. You are cautioned not to place undue reliance on this information which speaks only as of the date of this report. Except as required by law, we assume no responsibility for updating any forward-looking statements, whether as a result of new information, future events or otherwise. For a discussion of the important risks related to our business and future operating performance, see the discussion under the caption “Item 1A. Risk Factors” and under the caption “Factors Which May Influence Future Results of Operations” below. </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76" w:before="0" w:after="0"/>
        <w:ind w:left="0" w:right="0" w:firstLine="450"/>
        <w:jc w:val="left"/>
        <w:rPr/>
      </w:pPr>
      <w:r>
        <w:rPr>
          <w:rFonts w:ascii="Times New Roman;sans-serif" w:hAnsi="Times New Roman;sans-serif"/>
          <w:b w:val="false"/>
          <w:color w:val="353740"/>
          <w:sz w:val="20"/>
        </w:rPr>
        <w:t xml:space="preserve">Inseego Corp. is a leader in the design and development of cloud-managed wireless wide area network (“WWAN”) and intelligent edge solutions. Our 4G and 5G WAN portfolio is comprised of secure and high-performance mobile broadband and fixed wireless access (“FWA”) solutions with associated cloud solutions for real time WAN visibility, monitoring, automation and control with centralized orchestration of network functions. These solutions are specifically built for the enterprise and small and medium business (“SMB”) market segments with a focus on performance, scalability, quality and enterprise grade security. Our intelligent edge telematics solutions are designed to improve business outcomes for enterprise and SMB market segments. </w:t>
      </w:r>
      <w:r>
        <w:rPr>
          <w:rFonts w:ascii="Times New Roman;sans-serif" w:hAnsi="Times New Roman;sans-serif"/>
          <w:b w:val="false"/>
          <w:color w:val="000000"/>
          <w:sz w:val="20"/>
        </w:rPr>
        <w:t>We also provide a wireless subscriber management solution for carrier’s management of their government and complex enterprise customer subscriptions.</w:t>
      </w:r>
    </w:p>
    <w:p>
      <w:pPr>
        <w:pStyle w:val="TextBody"/>
        <w:bidi w:val="0"/>
        <w:spacing w:before="0" w:after="0"/>
        <w:ind w:left="0" w:right="0" w:firstLine="720"/>
        <w:jc w:val="left"/>
        <w:rPr/>
      </w:pPr>
      <w:r>
        <w:rPr/>
      </w:r>
    </w:p>
    <w:p>
      <w:pPr>
        <w:pStyle w:val="TextBody"/>
        <w:bidi w:val="0"/>
        <w:spacing w:lineRule="auto" w:line="276" w:before="0" w:after="0"/>
        <w:ind w:left="0" w:right="0" w:firstLine="450"/>
        <w:jc w:val="left"/>
        <w:rPr>
          <w:rFonts w:ascii="Times New Roman;sans-serif" w:hAnsi="Times New Roman;sans-serif"/>
          <w:b w:val="false"/>
          <w:color w:val="353740"/>
          <w:sz w:val="20"/>
        </w:rPr>
      </w:pPr>
      <w:r>
        <w:rPr>
          <w:rFonts w:ascii="Times New Roman;sans-serif" w:hAnsi="Times New Roman;sans-serif"/>
          <w:b w:val="false"/>
          <w:color w:val="353740"/>
          <w:sz w:val="20"/>
        </w:rPr>
        <w:t>Our 5G products and associated cloud solutions are designed and developed in the U.S. and are used in mission-critical applications requiring the highest levels of security and zero unscheduled downtime. These solutions support applications such as business broadband for both mobile and fixed use cases, enterprise networking and software-defined wide area network (“SD-WAN”) failover management.</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Business Segment Reporting</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as one business segment. Our Chief Executive Officer, who is also our Chief Operating Decision Maker, evaluates the business as a single entity and reviews financial information and makes business decisions based on the overall results of the business. As such, our operations constitute a single operating segment and one reportable segment. </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Financial Statement Presentation</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During 2023 the Company reclassified revenues on the Consolidated Statement of Operations in order to align with how management currently reviews revenue results. Historically, the Company classified revenues from products and services into two categories, IoT &amp; Mobile Solutions and Enterprise SaaS Solutions. The Company is now classifying revenues into the following two categories: Product Revenue, which consists of our Mobile Solutions and Fixed Wireless Access Solutions, and Services and Other. See the </w:t>
      </w:r>
      <w:r>
        <w:rPr>
          <w:rFonts w:ascii="Times New Roman;sans-serif" w:hAnsi="Times New Roman;sans-serif"/>
          <w:b w:val="false"/>
          <w:i/>
          <w:color w:val="000000"/>
          <w:sz w:val="20"/>
          <w:shd w:fill="FFFFFF" w:val="clear"/>
        </w:rPr>
        <w:t>Supplemental disclosure of quarterly revenues and cost of revenues</w:t>
      </w:r>
      <w:r>
        <w:rPr>
          <w:color w:val="000000"/>
          <w:shd w:fill="FFFFFF" w:val="clear"/>
        </w:rPr>
        <w:t xml:space="preserve"> </w:t>
      </w:r>
      <w:r>
        <w:rPr>
          <w:rFonts w:ascii="Times New Roman;sans-serif" w:hAnsi="Times New Roman;sans-serif"/>
          <w:b w:val="false"/>
          <w:color w:val="000000"/>
          <w:sz w:val="20"/>
          <w:shd w:fill="FFFFFF" w:val="clear"/>
        </w:rPr>
        <w:t xml:space="preserve">section below for a table of revenues and related costs of revenues under the current classification for each of the four quarters during the years ended December 31, 2023 and 2022. </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Additionally, during 2023 the Company reclassified all depreciation and amortization expense previously recorded in the operating expense line items of research and development, sales and marketing, and general and administrative expenses on the Consolidated Statement of Operations into a separate line labeled </w:t>
      </w:r>
      <w:r>
        <w:rPr>
          <w:rFonts w:ascii="Times New Roman;sans-serif" w:hAnsi="Times New Roman;sans-serif"/>
          <w:b w:val="false"/>
          <w:i/>
          <w:color w:val="000000"/>
          <w:sz w:val="20"/>
        </w:rPr>
        <w:t>Depreciation and amortization.</w:t>
      </w:r>
      <w:r>
        <w:rPr>
          <w:color w:val="000000"/>
        </w:rPr>
        <w:t xml:space="preserve"> </w:t>
      </w:r>
      <w:r>
        <w:rPr>
          <w:rFonts w:ascii="Times New Roman;sans-serif" w:hAnsi="Times New Roman;sans-serif"/>
          <w:b w:val="false"/>
          <w:color w:val="000000"/>
          <w:sz w:val="20"/>
        </w:rPr>
        <w:t>All prior periods have been reclassified to conform to the current period presentation for these changes.</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Factors Which May Influence Future Results of Operations</w:t>
      </w:r>
    </w:p>
    <w:p>
      <w:pPr>
        <w:pStyle w:val="TextBody"/>
        <w:bidi w:val="0"/>
        <w:spacing w:lineRule="auto" w:line="276" w:before="0" w:after="0"/>
        <w:jc w:val="left"/>
        <w:rPr/>
      </w:pPr>
      <w:r>
        <w:rPr>
          <w:rFonts w:ascii="Times New Roman;sans-serif" w:hAnsi="Times New Roman;sans-serif"/>
          <w:b w:val="false"/>
          <w:i/>
          <w:color w:val="000000"/>
          <w:sz w:val="20"/>
        </w:rPr>
        <w:t>Revenues.</w:t>
      </w:r>
      <w:r>
        <w:rPr>
          <w:color w:val="000000"/>
        </w:rPr>
        <w:t xml:space="preserve"> </w:t>
      </w:r>
      <w:r>
        <w:rPr>
          <w:rFonts w:ascii="Times New Roman;sans-serif" w:hAnsi="Times New Roman;sans-serif"/>
          <w:b w:val="false"/>
          <w:color w:val="000000"/>
          <w:sz w:val="20"/>
        </w:rPr>
        <w:t>We classify our revenues from the sale of our products and services into two categories: Product Revenue, which consists of our Mobile Solutions and Fixed Wireless Access Solutions, and Services and Other. Historically, the Company classified revenues from products and services into two different categories, IoT &amp; Mobile Solutions and Enterprise SaaS Solutions. All prior periods have been reclassified to conform to the current period presentation for this change. A description of each of the current revenue classifications is as follows:</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i/>
          <w:color w:val="000000"/>
          <w:sz w:val="20"/>
        </w:rPr>
        <w:t>Mobile solutions</w:t>
      </w:r>
      <w:r>
        <w:rPr>
          <w:rFonts w:ascii="Times New Roman;sans-serif" w:hAnsi="Times New Roman;sans-serif"/>
          <w:b w:val="false"/>
          <w:i/>
          <w:color w:val="000000"/>
          <w:sz w:val="24"/>
        </w:rPr>
        <w:t xml:space="preserve">: </w:t>
      </w:r>
      <w:r>
        <w:rPr>
          <w:rFonts w:ascii="Times New Roman;sans-serif" w:hAnsi="Times New Roman;sans-serif"/>
          <w:b w:val="false"/>
          <w:color w:val="000000"/>
          <w:sz w:val="20"/>
        </w:rPr>
        <w:t xml:space="preserve">Our mobile broadband solutions, sold under the MiFi brand, are actively used by millions of end users to provide secure and convenient high-speed access to corporate, public and personal information through the Internet and enterprise networks. Our mobile portfolio is supported by our cloud offerings - Inseego Connect for device management, and 5G SD EDGE for secure networking enabling corporate managed mobile remote workforce. Our Mobile Solutions portfolio also includes 4G VoLTE products and 4G USB modems. Our Mobile Solutions customer base is primarily comprised of mobile operators. These mobile operators include Verizon Wireless, T-Mobile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4"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and U.S. Cellular in the United States, Rogers and Telus in Canada, Telstra in Australia, as well as other international wireless operators, distributors and various companies in other vertical markets and geographies.</w:t>
      </w:r>
      <w:r>
        <w:rPr>
          <w:color w:val="000000"/>
        </w:rPr>
        <w:t xml:space="preserve"> </w:t>
      </w:r>
    </w:p>
    <w:p>
      <w:pPr>
        <w:pStyle w:val="TextBody"/>
        <w:bidi w:val="0"/>
        <w:spacing w:before="0" w:after="0"/>
        <w:ind w:left="0" w:right="0" w:firstLine="450"/>
        <w:jc w:val="left"/>
        <w:rPr/>
      </w:pPr>
      <w:r>
        <w:rPr/>
      </w:r>
    </w:p>
    <w:p>
      <w:pPr>
        <w:pStyle w:val="TextBody"/>
        <w:bidi w:val="0"/>
        <w:spacing w:lineRule="auto" w:line="276" w:before="0" w:after="0"/>
        <w:jc w:val="left"/>
        <w:rPr/>
      </w:pPr>
      <w:r>
        <w:rPr>
          <w:rFonts w:ascii="Times New Roman;sans-serif" w:hAnsi="Times New Roman;sans-serif"/>
          <w:b w:val="false"/>
          <w:i/>
          <w:color w:val="000000"/>
          <w:sz w:val="20"/>
        </w:rPr>
        <w:t xml:space="preserve">Fixed wireless access solutions: </w:t>
      </w:r>
      <w:r>
        <w:rPr>
          <w:rFonts w:ascii="Times New Roman;sans-serif" w:hAnsi="Times New Roman;sans-serif"/>
          <w:b w:val="false"/>
          <w:color w:val="000000"/>
          <w:sz w:val="20"/>
        </w:rPr>
        <w:t>Our fixed wireless access solutions are deployed by enterprise and SMB customers for their distributed sites and employees as a fully secure and corporate managed wireless WWAN solution.</w:t>
      </w:r>
      <w:r>
        <w:rPr>
          <w:color w:val="000000"/>
        </w:rPr>
        <w:t xml:space="preserve"> </w:t>
      </w:r>
      <w:r>
        <w:rPr>
          <w:rFonts w:ascii="Times New Roman;sans-serif" w:hAnsi="Times New Roman;sans-serif"/>
          <w:b w:val="false"/>
          <w:color w:val="000000"/>
          <w:sz w:val="20"/>
        </w:rPr>
        <w:t xml:space="preserve">The portfolio consists of indoor, outdoor and industrial routers and gateways supported by our cloud solutions – Inseego Connect for device management and 5G SD Edge for secure cloud networking. These solutions, sold under the Wavemaker and Skyus brands, are sold by mobile operators such as T-Mobile, U.S. Cellular and Verizon Wireless along with distribution and channel partners. </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i/>
          <w:color w:val="000000"/>
          <w:sz w:val="20"/>
        </w:rPr>
        <w:t xml:space="preserve">Services and other: </w:t>
      </w:r>
      <w:r>
        <w:rPr>
          <w:rFonts w:ascii="Times New Roman;sans-serif" w:hAnsi="Times New Roman;sans-serif"/>
          <w:b w:val="false"/>
          <w:color w:val="000000"/>
          <w:sz w:val="20"/>
        </w:rPr>
        <w:t>We sell certain other types of SaaS solutions. First is our telematics and asset tracking solution that is deployed across multiple vertical markets in Europe, UK, Australia and New Zealand. This solution provides real time visibility to fleet managers on their deployed vehicles with live maps and data to improve driver safety and performance. We have thousands of enterprise and SMB customers currently subscribed to this service. Second, we provide a wireless subscriber management solution (Inseego Subscribe) for carrier’s management of their government and complex enterprise customer subscriptions. We also categorize non-recurring engineering services we provide to our customers as Service and other revenue.</w:t>
      </w:r>
      <w:r>
        <w:rPr>
          <w:color w:val="000000"/>
        </w:rPr>
        <w:t xml:space="preserve"> </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future revenues will be influenced by a number of factors including:</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deployment of 5G infrastructure equipment;</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adoption of 5G end point products;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competition in the area of 5G technology;</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increased competition from other fleet and vehicle telematics solutions, as well as suppliers of emerging devices that contain wireless data access or device management features;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acceptance of our products by new vertical markets;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rate of change to new products;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economic environment and related market conditions;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product pricing; and</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changes in technologies.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revenues are also significantly dependent upon the availability of materials and components used in our hardware products.</w:t>
      </w:r>
    </w:p>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Cost of Revenues.</w:t>
      </w:r>
      <w:r>
        <w:rPr>
          <w:color w:val="000000"/>
        </w:rPr>
        <w:t xml:space="preserve"> </w:t>
      </w:r>
      <w:r>
        <w:rPr>
          <w:rFonts w:ascii="Times New Roman;sans-serif" w:hAnsi="Times New Roman;sans-serif"/>
          <w:b w:val="false"/>
          <w:color w:val="000000"/>
          <w:sz w:val="20"/>
        </w:rPr>
        <w:t>Cost of revenues includes all costs associated with our contract manufacturers, distribution, fulfillment and repair services, delivery of SaaS services, warranty costs, amortization of intangible assets, depreciation of rental assets for telematics services, royalties, operations overhead, costs associated with cancellation of purchase orders and costs related to outside services. Also included in cost of revenues are costs related to inventory adjustments, as well as any write downs for excess and obsolete inventory and abandoned product lines. Inventory adjustments are impacted primarily by demand for our products, which is influenced by the factors discussed above.</w:t>
      </w:r>
    </w:p>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 xml:space="preserve">Operating Costs and Expenses. </w:t>
      </w:r>
      <w:r>
        <w:rPr>
          <w:rFonts w:ascii="Times New Roman;sans-serif" w:hAnsi="Times New Roman;sans-serif"/>
          <w:b w:val="false"/>
          <w:color w:val="000000"/>
          <w:sz w:val="20"/>
        </w:rPr>
        <w:t>Our operating costs consist of four primary categories: research and development, sales and marketing, general and administrative, and depreciation and amortization costs,.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is at the core of our ability to produce innovative, leading-edge products. These expenses consist primarily of engineers and technicians who design and test our highly complex products and the procurement of testing and certification services.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consist primarily of our sales force and product-marketing professionals. In order to maintain strong sales relationships, we provide co-marketing, trade show support and product training. We are also engaged in a wide variety of marketing activities, such as awareness and lead generation programs as well as product marketing. Other marketing initiatives include public relations, seminars and co-branding with partners.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include primarily corporate functions such as accounting, human resources, legal, administrative support, information technology, and professional fees. This category includes the expenses needed to operate as a publicly traded company, including compliance with the Sarbanes-Oxley Act of 2002, as amended, SEC filings,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w:t>
      </w:r>
    </w:p>
    <w:p>
      <w:pPr>
        <w:pStyle w:val="TextBody"/>
        <w:bidi w:val="0"/>
        <w:spacing w:lineRule="auto" w:line="276" w:before="180" w:after="180"/>
        <w:ind w:left="0" w:right="0" w:firstLine="450"/>
        <w:jc w:val="left"/>
        <w:rPr/>
      </w:pPr>
      <w:r>
        <w:rPr>
          <w:rFonts w:ascii="Times New Roman;sans-serif" w:hAnsi="Times New Roman;sans-serif"/>
          <w:b w:val="false"/>
          <w:i/>
          <w:color w:val="000000"/>
          <w:sz w:val="20"/>
          <w:shd w:fill="FFFFFF" w:val="clear"/>
        </w:rPr>
        <w:t>Depreciation and amortization expenses</w:t>
      </w:r>
      <w:r>
        <w:rPr>
          <w:rFonts w:ascii="Times New Roman;sans-serif" w:hAnsi="Times New Roman;sans-serif"/>
          <w:b w:val="false"/>
          <w:color w:val="000000"/>
          <w:sz w:val="20"/>
          <w:shd w:fill="FFFFFF" w:val="clear"/>
        </w:rPr>
        <w:t xml:space="preserve">. Our depreciation and amortization expenses primarily include depreciation on our property, plant, and equipment, amortization of capitalized software projects, and amortization of intangibles purchased through acquisitions. Depreciation related to rental assets of our telematics services are included in </w:t>
      </w:r>
      <w:r>
        <w:rPr>
          <w:rFonts w:ascii="Times New Roman;sans-serif" w:hAnsi="Times New Roman;sans-serif"/>
          <w:b w:val="false"/>
          <w:i/>
          <w:color w:val="000000"/>
          <w:sz w:val="20"/>
          <w:shd w:fill="FFFFFF" w:val="clear"/>
        </w:rPr>
        <w:t xml:space="preserve">Cost of Revenues </w:t>
      </w:r>
      <w:r>
        <w:rPr>
          <w:rFonts w:ascii="Times New Roman;sans-serif" w:hAnsi="Times New Roman;sans-serif"/>
          <w:b w:val="false"/>
          <w:color w:val="000000"/>
          <w:sz w:val="20"/>
          <w:shd w:fill="FFFFFF" w:val="clear"/>
        </w:rPr>
        <w:t xml:space="preserve">as noted above. </w:t>
      </w:r>
    </w:p>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 xml:space="preserve">Impairment of capitalized software. </w:t>
      </w:r>
      <w:r>
        <w:rPr>
          <w:rFonts w:ascii="Times New Roman;sans-serif" w:hAnsi="Times New Roman;sans-serif"/>
          <w:b w:val="false"/>
          <w:color w:val="000000"/>
          <w:sz w:val="20"/>
        </w:rPr>
        <w:t>Impairment expenses can be recorded on capitalized software intended for internal and external use. Impairments of capitalized software intended for internal use are recorded when the carrying value of the asset group to which the software belongs is not recoverable and exceeds its fair value. Impairments of capitalized software intended for external use are recorded when the net realizable value of the asset falls below its carrying value.</w:t>
      </w:r>
    </w:p>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 xml:space="preserve">Operating Results. </w:t>
      </w:r>
      <w:r>
        <w:rPr>
          <w:rFonts w:ascii="Times New Roman;sans-serif" w:hAnsi="Times New Roman;sans-serif"/>
          <w:b w:val="false"/>
          <w:color w:val="000000"/>
          <w:sz w:val="20"/>
        </w:rPr>
        <w:t>Our results are affected by numerous macroeconomic factors including inflation, consumer spending confidence and global supply chains. The existence of inflation in the U.S. and global economy has resulted in, and may continue to result in, higher interest rates and capital costs, increased costs of labor, fluctuating exchange rates and other similar effects. If the inflation rate continues to increase, it could affect our expenses, especially employee compensation expense. Inflation and related increases in interest rates could also increase our customers' operating costs, which could result in reduced operating budgets. To the extent our products are perceived by customers and potential customers as discretionary, our revenue may be disproportionately affected by delays or reductions in general information technology spending. Such delays or reductions in technology spending are often associated with enhanced budget scrutiny by our customers including additional levels of approvals, cloud optimization efforts and additional time to evaluate and test our products, which can lead to long and unpredictable sales cycles. Such increases have, and may continue to have, a negative impact on the Company’s revenue and profit margins, if the selling prices of products do not increase with the increased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consolidated statements of operations in dollars (in thousands) and expressed as a percentage of revenues, derived from the accompanying consolidated financial statements for the periods indicated.</w:t>
      </w:r>
    </w:p>
    <w:tbl>
      <w:tblPr>
        <w:tblW w:w="7487" w:type="dxa"/>
        <w:jc w:val="left"/>
        <w:tblInd w:w="0" w:type="dxa"/>
        <w:tblLayout w:type="fixed"/>
        <w:tblCellMar>
          <w:top w:w="28" w:type="dxa"/>
          <w:left w:w="28" w:type="dxa"/>
          <w:bottom w:w="28" w:type="dxa"/>
          <w:right w:w="28" w:type="dxa"/>
        </w:tblCellMar>
      </w:tblPr>
      <w:tblGrid>
        <w:gridCol w:w="1201"/>
        <w:gridCol w:w="1055"/>
        <w:gridCol w:w="1059"/>
        <w:gridCol w:w="196"/>
        <w:gridCol w:w="721"/>
        <w:gridCol w:w="109"/>
        <w:gridCol w:w="278"/>
        <w:gridCol w:w="278"/>
        <w:gridCol w:w="256"/>
        <w:gridCol w:w="109"/>
        <w:gridCol w:w="109"/>
        <w:gridCol w:w="109"/>
        <w:gridCol w:w="196"/>
        <w:gridCol w:w="736"/>
        <w:gridCol w:w="109"/>
        <w:gridCol w:w="278"/>
        <w:gridCol w:w="278"/>
        <w:gridCol w:w="256"/>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1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3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4018" w:type="dxa"/>
            <w:gridSpan w:val="15"/>
            <w:vMerge w:val="restart"/>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4018" w:type="dxa"/>
            <w:gridSpan w:val="15"/>
            <w:vMerge w:val="continue"/>
            <w:tcBorders>
              <w:top w:val="single" w:sz="8" w:space="0" w:color="000000"/>
            </w:tcBorders>
            <w:shd w:fill="FFFFFF" w:val="clear"/>
            <w:tcMar>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Mobile solutions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wireless access solutions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revenues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 and 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 and 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revenues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costs and expenses: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capitalized software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costs and expenses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 (benefit)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E preferred stock dividends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7"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 xml:space="preserve">Year Ended December 31, 2023 Compared to Year Ended December 31, 2022 </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Revenues</w:t>
      </w:r>
      <w:r>
        <w:rPr>
          <w:rFonts w:ascii="Times New Roman;sans-serif" w:hAnsi="Times New Roman;sans-serif"/>
          <w:b w:val="false"/>
          <w:color w:val="000000"/>
          <w:sz w:val="20"/>
        </w:rPr>
        <w:t>. Revenues for the year ended December 31, 2023 were $195.7 million, a decrease of $49.6 million, or 20.2%, compared to the same period in 2022.</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net revenues by category (dollars in thousands):</w:t>
      </w:r>
    </w:p>
    <w:tbl>
      <w:tblPr>
        <w:tblW w:w="7597" w:type="dxa"/>
        <w:jc w:val="left"/>
        <w:tblInd w:w="0" w:type="dxa"/>
        <w:tblLayout w:type="fixed"/>
        <w:tblCellMar>
          <w:top w:w="28" w:type="dxa"/>
          <w:left w:w="28" w:type="dxa"/>
          <w:bottom w:w="28" w:type="dxa"/>
          <w:right w:w="28" w:type="dxa"/>
        </w:tblCellMar>
      </w:tblPr>
      <w:tblGrid>
        <w:gridCol w:w="847"/>
        <w:gridCol w:w="746"/>
        <w:gridCol w:w="747"/>
        <w:gridCol w:w="109"/>
        <w:gridCol w:w="109"/>
        <w:gridCol w:w="109"/>
        <w:gridCol w:w="196"/>
        <w:gridCol w:w="736"/>
        <w:gridCol w:w="109"/>
        <w:gridCol w:w="109"/>
        <w:gridCol w:w="109"/>
        <w:gridCol w:w="109"/>
        <w:gridCol w:w="196"/>
        <w:gridCol w:w="736"/>
        <w:gridCol w:w="109"/>
        <w:gridCol w:w="109"/>
        <w:gridCol w:w="109"/>
        <w:gridCol w:w="109"/>
        <w:gridCol w:w="196"/>
        <w:gridCol w:w="721"/>
        <w:gridCol w:w="109"/>
        <w:gridCol w:w="109"/>
        <w:gridCol w:w="109"/>
        <w:gridCol w:w="109"/>
        <w:gridCol w:w="269"/>
        <w:gridCol w:w="271"/>
        <w:gridCol w:w="301"/>
      </w:tblGrid>
      <w:tr>
        <w:trPr/>
        <w:tc>
          <w:tcPr>
            <w:tcW w:w="84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Mobile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wireless access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245,323 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Mobile solutions.</w:t>
      </w:r>
      <w:r>
        <w:rPr>
          <w:color w:val="000000"/>
        </w:rPr>
        <w:t xml:space="preserve"> </w:t>
      </w:r>
      <w:r>
        <w:rPr>
          <w:rFonts w:ascii="Times New Roman;sans-serif" w:hAnsi="Times New Roman;sans-serif"/>
          <w:b w:val="false"/>
          <w:color w:val="000000"/>
          <w:sz w:val="20"/>
        </w:rPr>
        <w:t>The $63.0 million decrease in mobile solutions revenues is primarily due to decreases in our carrier offerings and lower sales of LTE gigabit hotspots as we transition from 4G products to 5G product offerings, partially offset by sales of 5G hotspots related to our MiFi business (launched in the second half of 2022).</w:t>
      </w:r>
    </w:p>
    <w:p>
      <w:pPr>
        <w:pStyle w:val="TextBody"/>
        <w:bidi w:val="0"/>
        <w:spacing w:lineRule="auto" w:line="276" w:before="180" w:after="180"/>
        <w:ind w:left="0" w:right="0" w:firstLine="450"/>
        <w:jc w:val="left"/>
        <w:rPr/>
      </w:pPr>
      <w:r>
        <w:rPr>
          <w:rFonts w:ascii="Times New Roman;sans-serif" w:hAnsi="Times New Roman;sans-serif"/>
          <w:b w:val="false"/>
          <w:i/>
          <w:color w:val="000000"/>
          <w:sz w:val="20"/>
          <w:shd w:fill="FFFFFF" w:val="clear"/>
        </w:rPr>
        <w:t xml:space="preserve">Fixed wireless access solutions. </w:t>
      </w:r>
      <w:r>
        <w:rPr>
          <w:rFonts w:ascii="Times New Roman;sans-serif" w:hAnsi="Times New Roman;sans-serif"/>
          <w:b w:val="false"/>
          <w:color w:val="000000"/>
          <w:sz w:val="20"/>
          <w:shd w:fill="FFFFFF" w:val="clear"/>
        </w:rPr>
        <w:t>The</w:t>
      </w:r>
      <w:r>
        <w:rPr>
          <w:color w:val="000000"/>
          <w:shd w:fill="FFFFFF" w:val="clear"/>
        </w:rPr>
        <w:t xml:space="preserve"> </w:t>
      </w:r>
      <w:r>
        <w:rPr>
          <w:rFonts w:ascii="Times New Roman;sans-serif" w:hAnsi="Times New Roman;sans-serif"/>
          <w:b w:val="false"/>
          <w:color w:val="000000"/>
          <w:sz w:val="20"/>
          <w:shd w:fill="FFFFFF" w:val="clear"/>
        </w:rPr>
        <w:t xml:space="preserve">$11.3 million increase in fixed wireless access solutions revenues is primarily due increased adoption of fixed wireless access products, specifically sales of a 5G Fixed Wireless Access device that we launched in the second quarter of 2023. </w:t>
      </w:r>
    </w:p>
    <w:p>
      <w:pPr>
        <w:pStyle w:val="TextBody"/>
        <w:bidi w:val="0"/>
        <w:spacing w:lineRule="auto" w:line="276" w:before="180" w:after="180"/>
        <w:ind w:left="0" w:right="0" w:firstLine="450"/>
        <w:jc w:val="left"/>
        <w:rPr/>
      </w:pPr>
      <w:r>
        <w:rPr>
          <w:rFonts w:ascii="Times New Roman;sans-serif" w:hAnsi="Times New Roman;sans-serif"/>
          <w:b w:val="false"/>
          <w:i/>
          <w:color w:val="000000"/>
          <w:sz w:val="20"/>
          <w:shd w:fill="FFFFFF" w:val="clear"/>
        </w:rPr>
        <w:t>Services and other.</w:t>
      </w:r>
      <w:r>
        <w:rPr>
          <w:color w:val="000000"/>
          <w:shd w:fill="FFFFFF" w:val="clear"/>
        </w:rPr>
        <w:t xml:space="preserve"> </w:t>
      </w:r>
      <w:r>
        <w:rPr>
          <w:rFonts w:ascii="Times New Roman;sans-serif" w:hAnsi="Times New Roman;sans-serif"/>
          <w:b w:val="false"/>
          <w:color w:val="000000"/>
          <w:sz w:val="20"/>
          <w:shd w:fill="FFFFFF" w:val="clear"/>
        </w:rPr>
        <w:t xml:space="preserve">The $2.1 million increase in services and other net revenues is primarily due to increased telematics subscription revenues. </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Cost of revenues.</w:t>
      </w:r>
      <w:r>
        <w:rPr>
          <w:color w:val="000000"/>
        </w:rPr>
        <w:t xml:space="preserve"> </w:t>
      </w:r>
      <w:r>
        <w:rPr>
          <w:rFonts w:ascii="Times New Roman;sans-serif" w:hAnsi="Times New Roman;sans-serif"/>
          <w:b w:val="false"/>
          <w:color w:val="000000"/>
          <w:sz w:val="20"/>
        </w:rPr>
        <w:t xml:space="preserve">Cost of revenues for the year ended December 31, 2023 was $143.2 million, or 73.2% of net revenues, compared to $178.4 million, or 72.7% of net revenues, for the same period in 2022.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cost of revenues by category (dollars in thousands):</w:t>
      </w:r>
    </w:p>
    <w:tbl>
      <w:tblPr>
        <w:tblW w:w="6741" w:type="dxa"/>
        <w:jc w:val="left"/>
        <w:tblInd w:w="0" w:type="dxa"/>
        <w:tblLayout w:type="fixed"/>
        <w:tblCellMar>
          <w:top w:w="28" w:type="dxa"/>
          <w:left w:w="28" w:type="dxa"/>
          <w:bottom w:w="28" w:type="dxa"/>
          <w:right w:w="28" w:type="dxa"/>
        </w:tblCellMar>
      </w:tblPr>
      <w:tblGrid>
        <w:gridCol w:w="537"/>
        <w:gridCol w:w="473"/>
        <w:gridCol w:w="474"/>
        <w:gridCol w:w="109"/>
        <w:gridCol w:w="109"/>
        <w:gridCol w:w="109"/>
        <w:gridCol w:w="196"/>
        <w:gridCol w:w="736"/>
        <w:gridCol w:w="109"/>
        <w:gridCol w:w="109"/>
        <w:gridCol w:w="109"/>
        <w:gridCol w:w="109"/>
        <w:gridCol w:w="196"/>
        <w:gridCol w:w="736"/>
        <w:gridCol w:w="109"/>
        <w:gridCol w:w="109"/>
        <w:gridCol w:w="109"/>
        <w:gridCol w:w="109"/>
        <w:gridCol w:w="196"/>
        <w:gridCol w:w="721"/>
        <w:gridCol w:w="109"/>
        <w:gridCol w:w="109"/>
        <w:gridCol w:w="109"/>
        <w:gridCol w:w="109"/>
        <w:gridCol w:w="269"/>
        <w:gridCol w:w="271"/>
        <w:gridCol w:w="301"/>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Product.</w:t>
      </w:r>
      <w:r>
        <w:rPr>
          <w:color w:val="000000"/>
        </w:rPr>
        <w:t xml:space="preserve"> </w:t>
      </w:r>
      <w:r>
        <w:rPr>
          <w:rFonts w:ascii="Times New Roman;sans-serif" w:hAnsi="Times New Roman;sans-serif"/>
          <w:b w:val="false"/>
          <w:color w:val="000000"/>
          <w:sz w:val="20"/>
        </w:rPr>
        <w:t>The $34.8 million decrease in Product cost of revenues is primarily is a result of lower sales of LTE gigabit hotspots, partially offset by an increase in inventory and contract manufacturer reserves as further described below.</w:t>
      </w:r>
    </w:p>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 xml:space="preserve">Services and other. </w:t>
      </w:r>
      <w:r>
        <w:rPr>
          <w:rFonts w:ascii="Times New Roman;sans-serif" w:hAnsi="Times New Roman;sans-serif"/>
          <w:b w:val="false"/>
          <w:color w:val="000000"/>
          <w:sz w:val="20"/>
        </w:rPr>
        <w:t>The $0.4 million decrease in Services and other cost of revenues is primarily due to reduced costs associa</w:t>
      </w:r>
      <w:r>
        <w:rPr>
          <w:rFonts w:ascii="Times New Roman;sans-serif" w:hAnsi="Times New Roman;sans-serif"/>
          <w:b w:val="false"/>
          <w:color w:val="000000"/>
          <w:sz w:val="20"/>
          <w:shd w:fill="FFFFFF" w:val="clear"/>
        </w:rPr>
        <w:t>ted with providing our telematics services.</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Gross profit.</w:t>
      </w:r>
      <w:r>
        <w:rPr>
          <w:color w:val="000000"/>
        </w:rPr>
        <w:t xml:space="preserve"> </w:t>
      </w:r>
      <w:r>
        <w:rPr>
          <w:rFonts w:ascii="Times New Roman;sans-serif" w:hAnsi="Times New Roman;sans-serif"/>
          <w:b w:val="false"/>
          <w:color w:val="000000"/>
          <w:sz w:val="20"/>
        </w:rPr>
        <w:t xml:space="preserve">Gross profit for the year ended December 31, 2023 was $52.5 million, or a gross margin of 26.8%, compared to $66.9 million, or a gross margin of 27.3%, for the same period in 2022. The decrease in gross profit is primarily due to lower revenues. The slight decrease in gross profit margin is due to an increase in inventory and contract manufacturer reserves discussed below, which were partially offset by a higher percentage of high margin service revenues, higher margins in our telematics business, and various initiatives to improve efficiencies in production. </w:t>
      </w:r>
    </w:p>
    <w:p>
      <w:pPr>
        <w:pStyle w:val="TextBody"/>
        <w:bidi w:val="0"/>
        <w:spacing w:lineRule="auto" w:line="268" w:before="180" w:after="180"/>
        <w:ind w:left="0" w:right="0" w:firstLine="450"/>
        <w:jc w:val="left"/>
        <w:rPr/>
      </w:pPr>
      <w:r>
        <w:rPr>
          <w:rFonts w:ascii="Times New Roman;sans-serif" w:hAnsi="Times New Roman;sans-serif"/>
          <w:b w:val="false"/>
          <w:color w:val="000000"/>
          <w:sz w:val="20"/>
        </w:rPr>
        <w:t xml:space="preserve">As discussed in Part IV Item 15 </w:t>
      </w:r>
      <w:r>
        <w:rPr>
          <w:rFonts w:ascii="Times New Roman;sans-serif" w:hAnsi="Times New Roman;sans-serif"/>
          <w:b w:val="false"/>
          <w:i/>
          <w:color w:val="000000"/>
          <w:sz w:val="20"/>
        </w:rPr>
        <w:t xml:space="preserve">Note 2 – Financial Statement Details, </w:t>
      </w:r>
      <w:r>
        <w:rPr>
          <w:rFonts w:ascii="Times New Roman;sans-serif" w:hAnsi="Times New Roman;sans-serif"/>
          <w:b w:val="false"/>
          <w:color w:val="000000"/>
          <w:sz w:val="20"/>
        </w:rPr>
        <w:t>in the year ended December 31, 2023</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the Company </w:t>
      </w:r>
      <w:r>
        <w:rPr>
          <w:rFonts w:ascii="Times New Roman;sans-serif" w:hAnsi="Times New Roman;sans-serif"/>
          <w:b w:val="false"/>
          <w:color w:val="000000"/>
          <w:sz w:val="20"/>
          <w:shd w:fill="FFFFFF" w:val="clear"/>
        </w:rPr>
        <w:t xml:space="preserve">recorded a </w:t>
      </w:r>
      <w:r>
        <w:rPr>
          <w:rFonts w:ascii="Times New Roman;sans-serif" w:hAnsi="Times New Roman;sans-serif"/>
          <w:b w:val="false"/>
          <w:color w:val="000000"/>
          <w:sz w:val="20"/>
        </w:rPr>
        <w:t xml:space="preserve">write-down of $9.6 million to reflect inventories at net realizable value, in addition to a $1.3 million write-off of capitalized inventory order fees. Further, management accrued an additional $6.8 million in net charges for contract manufacturing liabilities (whose remaining balance is accrued in the </w:t>
      </w:r>
      <w:r>
        <w:rPr>
          <w:rFonts w:ascii="Times New Roman;sans-serif" w:hAnsi="Times New Roman;sans-serif"/>
          <w:b w:val="false"/>
          <w:i/>
          <w:color w:val="000000"/>
          <w:sz w:val="20"/>
        </w:rPr>
        <w:t>Accrued Expenses and Other Current Liabilities</w:t>
      </w:r>
      <w:r>
        <w:rPr>
          <w:rFonts w:ascii="Times New Roman;sans-serif" w:hAnsi="Times New Roman;sans-serif"/>
          <w:b w:val="false"/>
          <w:color w:val="000000"/>
          <w:sz w:val="20"/>
        </w:rPr>
        <w:t>) related to excess materials at the contract manufacturers’ sites. All $17.7 million of th</w:t>
      </w:r>
      <w:r>
        <w:rPr>
          <w:rFonts w:ascii="Times New Roman;sans-serif" w:hAnsi="Times New Roman;sans-serif"/>
          <w:b w:val="false"/>
          <w:color w:val="000000"/>
          <w:sz w:val="20"/>
          <w:shd w:fill="FFFFFF" w:val="clear"/>
        </w:rPr>
        <w:t xml:space="preserve">ese charges were recorded in cost of product revenues during the year ended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and thereby negatively impacted Gross Profit. Management’s analysis was based on new information that became available during the year, updated sales projections and other dynamics in the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8"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180" w:after="180"/>
        <w:ind w:left="0" w:right="0" w:firstLine="450"/>
        <w:jc w:val="left"/>
        <w:rPr/>
      </w:pPr>
      <w:r>
        <w:rPr>
          <w:rFonts w:ascii="Times New Roman;sans-serif" w:hAnsi="Times New Roman;sans-serif"/>
          <w:b/>
          <w:i/>
          <w:color w:val="000000"/>
          <w:sz w:val="20"/>
          <w:shd w:fill="FFFFFF" w:val="clear"/>
        </w:rPr>
        <w:t xml:space="preserve">Supplemental disclosure of quarterly revenues and cost of revenues. </w:t>
      </w:r>
      <w:r>
        <w:rPr>
          <w:rFonts w:ascii="Times New Roman;sans-serif" w:hAnsi="Times New Roman;sans-serif"/>
          <w:b w:val="false"/>
          <w:color w:val="000000"/>
          <w:sz w:val="20"/>
          <w:shd w:fill="FFFFFF" w:val="clear"/>
        </w:rPr>
        <w:t xml:space="preserve">As noted above, the Company has elected to classify revenues into two categories: </w:t>
      </w:r>
      <w:r>
        <w:rPr>
          <w:rFonts w:ascii="Times New Roman;sans-serif" w:hAnsi="Times New Roman;sans-serif"/>
          <w:b w:val="false"/>
          <w:color w:val="000000"/>
          <w:sz w:val="20"/>
        </w:rPr>
        <w:t>Product Revenue, which consists of our Mobile Solutions and Fixed Wireless Access Solutions, and Services and Other</w:t>
      </w:r>
      <w:r>
        <w:rPr>
          <w:rFonts w:ascii="Times New Roman;sans-serif" w:hAnsi="Times New Roman;sans-serif"/>
          <w:b w:val="false"/>
          <w:color w:val="000000"/>
          <w:sz w:val="20"/>
          <w:shd w:fill="FFFFFF" w:val="clear"/>
        </w:rPr>
        <w:t>. The company has reclassified all prior periods to conform to the current period presentation for this change. Below is a supplemental disclosure of revenues and costs of revenues under the current classification for the each quarter in the years ended December 31, 2023 and 2022 (in thousands):</w:t>
      </w:r>
    </w:p>
    <w:tbl>
      <w:tblPr>
        <w:tblW w:w="10205" w:type="dxa"/>
        <w:jc w:val="left"/>
        <w:tblInd w:w="0" w:type="dxa"/>
        <w:tblLayout w:type="fixed"/>
        <w:tblCellMar>
          <w:top w:w="28" w:type="dxa"/>
          <w:left w:w="28" w:type="dxa"/>
          <w:bottom w:w="28" w:type="dxa"/>
          <w:right w:w="28" w:type="dxa"/>
        </w:tblCellMar>
      </w:tblPr>
      <w:tblGrid>
        <w:gridCol w:w="687"/>
        <w:gridCol w:w="604"/>
        <w:gridCol w:w="605"/>
        <w:gridCol w:w="276"/>
        <w:gridCol w:w="911"/>
        <w:gridCol w:w="153"/>
        <w:gridCol w:w="109"/>
        <w:gridCol w:w="109"/>
        <w:gridCol w:w="109"/>
        <w:gridCol w:w="276"/>
        <w:gridCol w:w="911"/>
        <w:gridCol w:w="153"/>
        <w:gridCol w:w="109"/>
        <w:gridCol w:w="109"/>
        <w:gridCol w:w="109"/>
        <w:gridCol w:w="282"/>
        <w:gridCol w:w="933"/>
        <w:gridCol w:w="157"/>
        <w:gridCol w:w="109"/>
        <w:gridCol w:w="109"/>
        <w:gridCol w:w="109"/>
        <w:gridCol w:w="221"/>
        <w:gridCol w:w="729"/>
        <w:gridCol w:w="123"/>
        <w:gridCol w:w="109"/>
        <w:gridCol w:w="109"/>
        <w:gridCol w:w="109"/>
        <w:gridCol w:w="240"/>
        <w:gridCol w:w="795"/>
        <w:gridCol w:w="133"/>
        <w:gridCol w:w="109"/>
        <w:gridCol w:w="109"/>
        <w:gridCol w:w="109"/>
        <w:gridCol w:w="109"/>
        <w:gridCol w:w="109"/>
        <w:gridCol w:w="163"/>
      </w:tblGrid>
      <w:tr>
        <w:trPr/>
        <w:tc>
          <w:tcPr>
            <w:tcW w:w="68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708" w:type="dxa"/>
            <w:gridSpan w:val="6"/>
            <w:tcBorders/>
          </w:tcPr>
          <w:p>
            <w:pPr>
              <w:pStyle w:val="TableContents"/>
              <w:bidi w:val="0"/>
              <w:spacing w:before="0" w:after="283"/>
              <w:jc w:val="left"/>
              <w:rPr>
                <w:sz w:val="4"/>
                <w:szCs w:val="4"/>
              </w:rPr>
            </w:pPr>
            <w:r>
              <w:rPr>
                <w:sz w:val="4"/>
                <w:szCs w:val="4"/>
              </w:rPr>
            </w:r>
          </w:p>
        </w:tc>
      </w:tr>
      <w:tr>
        <w:trPr/>
        <w:tc>
          <w:tcPr>
            <w:tcW w:w="18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Mobile solutions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80,498 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23,040 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wireless access solutions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revenues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135,398 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28,440 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33,648 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38,400 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34,910 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60,290 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195,688 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42,754 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48,583 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53,557 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50,794 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revenues:</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127,157 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25,782 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27,967 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revenues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143,234 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46,688 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34,661 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32,607 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52,454 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13,476 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18,896 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83"/>
        <w:gridCol w:w="688"/>
        <w:gridCol w:w="690"/>
        <w:gridCol w:w="272"/>
        <w:gridCol w:w="1023"/>
        <w:gridCol w:w="151"/>
        <w:gridCol w:w="109"/>
        <w:gridCol w:w="109"/>
        <w:gridCol w:w="109"/>
        <w:gridCol w:w="295"/>
        <w:gridCol w:w="975"/>
        <w:gridCol w:w="164"/>
        <w:gridCol w:w="109"/>
        <w:gridCol w:w="109"/>
        <w:gridCol w:w="109"/>
        <w:gridCol w:w="303"/>
        <w:gridCol w:w="1003"/>
        <w:gridCol w:w="169"/>
        <w:gridCol w:w="109"/>
        <w:gridCol w:w="109"/>
        <w:gridCol w:w="109"/>
        <w:gridCol w:w="227"/>
        <w:gridCol w:w="750"/>
        <w:gridCol w:w="126"/>
        <w:gridCol w:w="109"/>
        <w:gridCol w:w="109"/>
        <w:gridCol w:w="109"/>
        <w:gridCol w:w="249"/>
        <w:gridCol w:w="823"/>
        <w:gridCol w:w="206"/>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Mobile solutions</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143,524 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21,469 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40,292 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37,469 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44,294 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wireless access solutions</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revenues</w:t>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187,126 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37,936 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54,465 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47,404 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47,321 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 and other</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58,197 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14,452 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245,323 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52,916 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69,167 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61,856 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61,384 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161,943 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46,777 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39,953 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42,192 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 and other</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revenues</w:t>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178,414 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37,103 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51,211 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43,964 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46,136 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66,909 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17,956 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15,248 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ans-serif" w:hAnsi="Times New Roman;sans-serif"/>
          <w:b/>
          <w:i/>
          <w:color w:val="000000"/>
          <w:sz w:val="20"/>
        </w:rPr>
        <w:t xml:space="preserve">Operating costs and expenses. </w:t>
      </w:r>
      <w:r>
        <w:rPr>
          <w:rFonts w:ascii="Times New Roman;sans-serif" w:hAnsi="Times New Roman;sans-serif"/>
          <w:b w:val="false"/>
          <w:color w:val="000000"/>
          <w:sz w:val="20"/>
        </w:rPr>
        <w:t>The following table summarizes operating costs and expenses (dollars in thousands):</w:t>
      </w:r>
    </w:p>
    <w:tbl>
      <w:tblPr>
        <w:tblW w:w="7731" w:type="dxa"/>
        <w:jc w:val="left"/>
        <w:tblInd w:w="0" w:type="dxa"/>
        <w:tblLayout w:type="fixed"/>
        <w:tblCellMar>
          <w:top w:w="28" w:type="dxa"/>
          <w:left w:w="28" w:type="dxa"/>
          <w:bottom w:w="28" w:type="dxa"/>
          <w:right w:w="28" w:type="dxa"/>
        </w:tblCellMar>
      </w:tblPr>
      <w:tblGrid>
        <w:gridCol w:w="928"/>
        <w:gridCol w:w="817"/>
        <w:gridCol w:w="819"/>
        <w:gridCol w:w="109"/>
        <w:gridCol w:w="109"/>
        <w:gridCol w:w="109"/>
        <w:gridCol w:w="196"/>
        <w:gridCol w:w="646"/>
        <w:gridCol w:w="109"/>
        <w:gridCol w:w="109"/>
        <w:gridCol w:w="109"/>
        <w:gridCol w:w="109"/>
        <w:gridCol w:w="196"/>
        <w:gridCol w:w="736"/>
        <w:gridCol w:w="109"/>
        <w:gridCol w:w="109"/>
        <w:gridCol w:w="109"/>
        <w:gridCol w:w="109"/>
        <w:gridCol w:w="196"/>
        <w:gridCol w:w="721"/>
        <w:gridCol w:w="109"/>
        <w:gridCol w:w="109"/>
        <w:gridCol w:w="109"/>
        <w:gridCol w:w="109"/>
        <w:gridCol w:w="269"/>
        <w:gridCol w:w="271"/>
        <w:gridCol w:w="301"/>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88,736 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124,827 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(36,091)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ans-serif" w:hAnsi="Times New Roman;sans-serif"/>
          <w:b/>
          <w:i/>
          <w:color w:val="000000"/>
          <w:sz w:val="20"/>
        </w:rPr>
        <w:t>Research and development expenses.</w:t>
      </w:r>
      <w:r>
        <w:rPr>
          <w:color w:val="000000"/>
        </w:rPr>
        <w:t xml:space="preserve"> </w:t>
      </w:r>
      <w:r>
        <w:rPr>
          <w:rFonts w:ascii="Times New Roman;sans-serif" w:hAnsi="Times New Roman;sans-serif"/>
          <w:b w:val="false"/>
          <w:color w:val="000000"/>
          <w:sz w:val="20"/>
        </w:rPr>
        <w:t>Research and development expenses for the year ended December 31, 2023 were $21.5 million, or 11.0% of net revenues, compared to $38.3 million, or 15.6% of net revenues, for the same period in 2022. The decrease in research and development expenses was primarily due to a reduction in headcount and lower consulting and outside service fees, in pursuit of cost reduction efforts, compared to the same period in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firstLine="450"/>
        <w:jc w:val="left"/>
        <w:rPr/>
      </w:pPr>
      <w:r>
        <w:rPr>
          <w:rFonts w:ascii="Times New Roman;sans-serif" w:hAnsi="Times New Roman;sans-serif"/>
          <w:b/>
          <w:i/>
          <w:color w:val="000000"/>
          <w:sz w:val="20"/>
        </w:rPr>
        <w:t>Sales and marketing expenses.</w:t>
      </w:r>
      <w:r>
        <w:rPr>
          <w:color w:val="000000"/>
        </w:rPr>
        <w:t xml:space="preserve"> </w:t>
      </w:r>
      <w:r>
        <w:rPr>
          <w:rFonts w:ascii="Times New Roman;sans-serif" w:hAnsi="Times New Roman;sans-serif"/>
          <w:b w:val="false"/>
          <w:color w:val="000000"/>
          <w:sz w:val="20"/>
        </w:rPr>
        <w:t>Sales and marketing expenses for the year ended December 31, 2023 were $21.5 million, or 11.0% of net revenues, compared to $32.8 million, or 13.4% of net revenues, for the same period in 2022.</w:t>
      </w:r>
      <w:r>
        <w:rPr>
          <w:color w:val="000000"/>
          <w:shd w:fill="FFFFFF" w:val="clear"/>
        </w:rPr>
        <w:t xml:space="preserve"> </w:t>
      </w:r>
      <w:r>
        <w:rPr>
          <w:rFonts w:ascii="Times New Roman;sans-serif" w:hAnsi="Times New Roman;sans-serif"/>
          <w:b w:val="false"/>
          <w:color w:val="000000"/>
          <w:sz w:val="20"/>
          <w:shd w:fill="FFFFFF" w:val="clear"/>
        </w:rPr>
        <w:t xml:space="preserve">The decrease in sales and marketing expenses </w:t>
      </w:r>
      <w:r>
        <w:rPr>
          <w:rFonts w:ascii="Times New Roman;sans-serif" w:hAnsi="Times New Roman;sans-serif"/>
          <w:b w:val="false"/>
          <w:color w:val="000000"/>
          <w:sz w:val="20"/>
        </w:rPr>
        <w:t>was primarily due to lower professional fees and reduction in sales headcount compared to the same period in 2022.</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General and administrative expenses.</w:t>
      </w:r>
      <w:r>
        <w:rPr>
          <w:color w:val="000000"/>
        </w:rPr>
        <w:t xml:space="preserve"> </w:t>
      </w:r>
      <w:r>
        <w:rPr>
          <w:rFonts w:ascii="Times New Roman;sans-serif" w:hAnsi="Times New Roman;sans-serif"/>
          <w:b w:val="false"/>
          <w:color w:val="000000"/>
          <w:sz w:val="20"/>
        </w:rPr>
        <w:t xml:space="preserve">General and administrative expenses for the year ended December 31, 2023 were $20.7 million, or 10.6% of net revenues, compared to $26.2 million, or 10.7% of net revenues, for the same period in 2022. The decrease in general and administrative expenses was primarily due to a decrease in share-based compensation expense due to lower restricted stock unit (“RSU”) based bonuses during the year ended December 31, 2023 compared to the same period in 2022. </w:t>
      </w:r>
    </w:p>
    <w:p>
      <w:pPr>
        <w:pStyle w:val="TextBody"/>
        <w:bidi w:val="0"/>
        <w:spacing w:lineRule="auto" w:line="276" w:before="180" w:after="180"/>
        <w:ind w:left="0" w:right="0" w:firstLine="450"/>
        <w:jc w:val="left"/>
        <w:rPr/>
      </w:pPr>
      <w:r>
        <w:rPr>
          <w:rFonts w:ascii="Times New Roman;sans-serif" w:hAnsi="Times New Roman;sans-serif"/>
          <w:b/>
          <w:i/>
          <w:color w:val="000000"/>
          <w:sz w:val="20"/>
          <w:shd w:fill="FFFFFF" w:val="clear"/>
        </w:rPr>
        <w:t>Depreciation and amortization expenses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Depreciation and amortization expenses for the years ended December 31, 2023 was $19.8 million, or 10.1% of net revenues, compared to $24.5 million, or 10.0% of net revenues, for the same period in 2022. The decrease in depreciation and amortization expenses was primarily due to lower amortization related to capitalized software projects during the year ended December 31, 2023 compared to the same period in 2022. </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 xml:space="preserve">Impairment of capitalized software. </w:t>
      </w:r>
      <w:r>
        <w:rPr>
          <w:rFonts w:ascii="Times New Roman;sans-serif" w:hAnsi="Times New Roman;sans-serif"/>
          <w:b w:val="false"/>
          <w:color w:val="000000"/>
          <w:sz w:val="20"/>
        </w:rPr>
        <w:t>For the years ended December 31, 2023 and 2022, we recorded</w:t>
      </w:r>
      <w:r>
        <w:rPr>
          <w:color w:val="000000"/>
          <w:shd w:fill="FFFFFF" w:val="clear"/>
        </w:rPr>
        <w:t xml:space="preserve"> </w:t>
      </w:r>
      <w:r>
        <w:rPr>
          <w:rFonts w:ascii="Times New Roman;sans-serif" w:hAnsi="Times New Roman;sans-serif"/>
          <w:b w:val="false"/>
          <w:color w:val="000000"/>
          <w:sz w:val="20"/>
          <w:shd w:fill="FFFFFF" w:val="clear"/>
        </w:rPr>
        <w:t>impairments of</w:t>
      </w:r>
      <w:r>
        <w:rPr>
          <w:color w:val="000000"/>
        </w:rPr>
        <w:t xml:space="preserve"> </w:t>
      </w:r>
      <w:r>
        <w:rPr>
          <w:rFonts w:ascii="Times New Roman;sans-serif" w:hAnsi="Times New Roman;sans-serif"/>
          <w:b w:val="false"/>
          <w:color w:val="000000"/>
          <w:sz w:val="20"/>
        </w:rPr>
        <w:t>$5.2 million and $3.0 million, respectively. The impairments during 2023 were primarily related to the decision to discontinue a software project related to our telematics business in the fourth quarter of 2023.</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Other income (expense).</w:t>
      </w:r>
      <w:r>
        <w:rPr>
          <w:color w:val="000000"/>
        </w:rPr>
        <w:t xml:space="preserve"> </w:t>
      </w:r>
      <w:r>
        <w:rPr>
          <w:rFonts w:ascii="Times New Roman;sans-serif" w:hAnsi="Times New Roman;sans-serif"/>
          <w:b w:val="false"/>
          <w:color w:val="000000"/>
          <w:sz w:val="20"/>
        </w:rPr>
        <w:t>The following table summarizes other income (expense) (dollars in thousands):</w:t>
      </w:r>
    </w:p>
    <w:tbl>
      <w:tblPr>
        <w:tblW w:w="7030" w:type="dxa"/>
        <w:jc w:val="left"/>
        <w:tblInd w:w="0" w:type="dxa"/>
        <w:tblLayout w:type="fixed"/>
        <w:tblCellMar>
          <w:top w:w="28" w:type="dxa"/>
          <w:left w:w="28" w:type="dxa"/>
          <w:bottom w:w="28" w:type="dxa"/>
          <w:right w:w="28" w:type="dxa"/>
        </w:tblCellMar>
      </w:tblPr>
      <w:tblGrid>
        <w:gridCol w:w="767"/>
        <w:gridCol w:w="671"/>
        <w:gridCol w:w="677"/>
        <w:gridCol w:w="109"/>
        <w:gridCol w:w="109"/>
        <w:gridCol w:w="109"/>
        <w:gridCol w:w="196"/>
        <w:gridCol w:w="631"/>
        <w:gridCol w:w="109"/>
        <w:gridCol w:w="109"/>
        <w:gridCol w:w="109"/>
        <w:gridCol w:w="109"/>
        <w:gridCol w:w="196"/>
        <w:gridCol w:w="721"/>
        <w:gridCol w:w="109"/>
        <w:gridCol w:w="109"/>
        <w:gridCol w:w="109"/>
        <w:gridCol w:w="109"/>
        <w:gridCol w:w="196"/>
        <w:gridCol w:w="556"/>
        <w:gridCol w:w="109"/>
        <w:gridCol w:w="109"/>
        <w:gridCol w:w="109"/>
        <w:gridCol w:w="109"/>
        <w:gridCol w:w="314"/>
        <w:gridCol w:w="316"/>
        <w:gridCol w:w="154"/>
      </w:tblGrid>
      <w:tr>
        <w:trPr/>
        <w:tc>
          <w:tcPr>
            <w:tcW w:w="76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ans-serif" w:hAnsi="Times New Roman;sans-serif"/>
          <w:b/>
          <w:i/>
          <w:color w:val="000000"/>
          <w:sz w:val="20"/>
        </w:rPr>
        <w:t>Interest expense, net.</w:t>
      </w:r>
      <w:r>
        <w:rPr>
          <w:color w:val="000000"/>
        </w:rPr>
        <w:t xml:space="preserve"> </w:t>
      </w:r>
      <w:r>
        <w:rPr>
          <w:rFonts w:ascii="Times New Roman;sans-serif" w:hAnsi="Times New Roman;sans-serif"/>
          <w:b w:val="false"/>
          <w:color w:val="000000"/>
          <w:sz w:val="20"/>
        </w:rPr>
        <w:t xml:space="preserve">The $0.5 million increase in interest expense, net for the year ended </w:t>
      </w:r>
      <w:r>
        <w:rPr>
          <w:rFonts w:ascii="Times New Roman;sans-serif" w:hAnsi="Times New Roman;sans-serif"/>
          <w:b w:val="false"/>
          <w:color w:val="000000"/>
          <w:sz w:val="20"/>
          <w:shd w:fill="FFFFFF" w:val="clear"/>
        </w:rPr>
        <w:t xml:space="preserve">December 31, 2023 </w:t>
      </w:r>
      <w:r>
        <w:rPr>
          <w:rFonts w:ascii="Times New Roman;sans-serif" w:hAnsi="Times New Roman;sans-serif"/>
          <w:b w:val="false"/>
          <w:color w:val="000000"/>
          <w:sz w:val="20"/>
        </w:rPr>
        <w:t>over the same period in 2022 was primarily due higher interest rates in 2023 and the Credit Agreement which commenced in the second half of 2022.</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Other income (expense), net.</w:t>
      </w:r>
      <w:r>
        <w:rPr>
          <w:color w:val="000000"/>
        </w:rPr>
        <w:t xml:space="preserve"> </w:t>
      </w:r>
      <w:r>
        <w:rPr>
          <w:rFonts w:ascii="Times New Roman;sans-serif" w:hAnsi="Times New Roman;sans-serif"/>
          <w:b w:val="false"/>
          <w:color w:val="000000"/>
          <w:sz w:val="20"/>
        </w:rPr>
        <w:t>The $2.0 million increase in other income, net over the same period in 2022 was primarily due to favorable changes in foreign exchange rates in the current period.</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Income tax provision (benefit).</w:t>
      </w:r>
      <w:r>
        <w:rPr>
          <w:color w:val="000000"/>
        </w:rPr>
        <w:t xml:space="preserve"> </w:t>
      </w:r>
      <w:r>
        <w:rPr>
          <w:rFonts w:ascii="Times New Roman;sans-serif" w:hAnsi="Times New Roman;sans-serif"/>
          <w:b w:val="false"/>
          <w:color w:val="000000"/>
          <w:sz w:val="20"/>
        </w:rPr>
        <w:t xml:space="preserve">Income tax provision for the years ended December 31, 2023 and 2022 was a provision of $0.9 million and a benefit of $0.5 million, respectively. This $1.4 million increase in income tax expense was driven by an increase in pre-tax profits at certain foreign subsidiaries for the current year period compared to a loss in the prior year period. </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Series E Preferred Stock dividends and deemed dividend from the preferred stock exchange.</w:t>
      </w:r>
      <w:r>
        <w:rPr>
          <w:color w:val="000000"/>
        </w:rPr>
        <w:t> </w:t>
      </w:r>
      <w:r>
        <w:rPr>
          <w:rFonts w:ascii="Times New Roman;sans-serif" w:hAnsi="Times New Roman;sans-serif"/>
          <w:b w:val="false"/>
          <w:color w:val="000000"/>
          <w:sz w:val="20"/>
        </w:rPr>
        <w:t>During the years ended December 31, 2023 and 2022, we recorded dividends of $3.0 million and $2.7 million, respectively, on our Series E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Reverse Stock Split</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24, 2024, the Company completed a 1-for-10 reverse stock split of its issued and outstanding common stock (the “Reverse Stock Split”). As a result of the Reverse Stock Split, each share of common stock issued and outstanding immediately prior to January 24, 2024 were automatically converted into one-tenth (1/10) of a share of common stock. The Reverse Stock Split did not change the par value of the common stock or the authorized number of shares of common stock. All outstanding convertible notes, stock options and RSUs entitling their holders to purchase or obtain or convert into shares of our common stock were adjusted, as required by the terms of these securities. All applicable common share and per share amounts have been retrospectively restated to show the effect of the reverse split.</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sources of liquidity are our existing cash and cash equivalents, cash generated from operations and a revolving credit facility as discussed further below. As of December 31, 2023, we had available unrestricted cash and cash equivalents totaling $7.5 million and $3.2 million of availability under the Credit Facility compared with cash and cash equivalents of $7.1 million as of December 31, 2022. As of December 31, 2023, we had working capital of $2.3 million compared to working capital as of December 31, 2022 of $21.4 million. </w:t>
      </w:r>
    </w:p>
    <w:p>
      <w:pPr>
        <w:pStyle w:val="TextBody"/>
        <w:bidi w:val="0"/>
        <w:spacing w:lineRule="auto" w:line="25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history of operating and net losses and overall usage of cash from operating and investing activities. The Company’s management believes that its cash and cash equivalents on-hand, together with anticipated cash flows from operations, expected availability under its secured asset-backed Credit Facility, and anticipated savings from ongoing cost reduction efforts, will be sufficient to meet its cash flow needs for the next twelve months from the filing date of this report. The Company’s ability to attain profitable operations and generate positive cash flow is dependent upon achieving a level and mix of revenues adequate to support its evolving cost structure. If events or circumstances occur such that the Company does not meet its operating plan as expected, or if the Company becomes obligated to pay unforeseen expenditures as a result of potential litigation or otherwise, the Company may be required to raise capital, reduce planned research and development activities, incur additional restructuring charges or reduce other operating expenses and capital expenditures, which could have an adverse impact on the Company’s ability to achieve its intended business objectives.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Credit Facility has a maturity date of December 31, 2024. The Company’s convertible 2025 Notes (as defined below) have a principal balance of $161.9 million and matures on May 1, 2025. The Company’s intention is to restructure or refinance the Credit Facility and the 2025 Notes, however there can be no assurance that any required or desired restructuring or financing will be available on terms favorable to the Company, or at all.</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liquidity could be compromised if there is any interruption in our business operations, a material failure to satisfy our contractual commitments or a failure to generate revenue from new or existing products. If additional funds are raised by the issuance of equity securities, Company stockholders could experience dilution of their ownership interests and securities issued may have rights senior to those of the holders of the Company’s common stock.</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Facility</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5, 2022, we entered into a Loan and Security Agreement (the “Credit Agreement”) with Siena Lending Group LLC, as lender (“Lender”). The Credit Agreement established a $50.0 million secured asset-backed revolving credit facility (“Credit Facility”) with a final maturity date of December 31, 2024. On February 25, 2023, we entered into an amendment of the Credit Agreement with an effective date of December 15, 2022, which clarified certain terms within the Credit Agreement. On May 2, 2023, we entered into a third amendment of the Credit Agreement which increased the borrowing base under the Credit Facility by $4.0 million, increased the minimum borrowing amount for interest calculations to $8.5 million, and modified certain covenants (as so amended, the “Amended Credit Agreement”). On February 20, 2024, we entered into a fourth amendment (the “Fourth Amendment”) of the Credit Agreement which relaxed the financial covenants under the Credit Agreement by decreasing the minimum liquidity level we are required to maintain from $10 million to $8 million. Availability under the Credit Facility is determined monthly by a Borrowing Base (as defined in the Amended Credit Agreement) comprised of a percentage of eligible accounts receivable and eligible inventory of the Borrowers. Outstanding amounts exceeding the borrowing base must be repaid immediately.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Facility may take the form of base rate (“Base Rate”) loans or Secured Overnight Financing Rate (“SOFR”) loans. SOFR loans will bear interest at a rate per annum equal to Term SOFR (as defined in the Amended Credit Agreement as the Term SOFR Reference Rate for a term of one month on the day) plus the Applicable Margin (as defined in the Amended Credit Agreement), with a Term SOFR floor of 1%. Base Rate loans will bear interest at a rate per annum equal to the Applicable Margin plus the greatest of (a) the per annum rate of interest which is identified as the “Prime Rate” and normally published in the Money Rates section of The Wall Street Journal, (b) the sum of the Federal Funds Rate (as defined in the Amended Credit Agreement) plus 0.5% and (c) 3.50% per annum.</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Applicable Margin varies depending on the average outstanding amount for a preceding month. If the average outstanding amount for a preceding month is less than $15 million, the Applicable Margin will be 2.50% for Base Rate loans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and 3.50% for SOFR loans. If the average outstanding amount for a preceding month is between $15 million and $25 million, the Applicable Margin will be 3.00% for Base Rate loans and 4.00% for SOFR loans. If the average outstanding amount for a preceding month is greater than $25 million, the Applicable Margin will be 4.5% for Base Rate loans and 5.50% for SOFR loans.</w:t>
      </w:r>
    </w:p>
    <w:p>
      <w:pPr>
        <w:pStyle w:val="TextBody"/>
        <w:bidi w:val="0"/>
        <w:spacing w:lineRule="auto" w:line="26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May 2, 2023, in addition to the amendment to the Credit Agreement entered into as described above, South Ocean Funding, LLC and North Sound Ventures, LP (the “Participants”) collectively purchased a $4.0 million last-out subordinated participation interest in the Amended Credit Agreement (the “Participation Interest”) from the Lender pursuant to a Participation Agreement between the Participants and the Lender (the “Participation Agreement”). In connection with the purchase of the Participation Interest, we agreed to pay the Participants an exit fee upon the earlier of (a) the scheduled maturity date of the Amended Credit Agreement, (b) the termination of the Lender’s commitment to make revolving loans prior to the scheduled maturity date of the Amended Credit Agreement, and (c) the early redemption of the Participants’ Participation Interest under the Participation Agreement (the earliest to occur of the foregoing, the “Exit Event”). The aggregate exit fee payable to the Participants is equal to (i) 7.5% of the Participation Interest, if the Exit Event occurs on or before December 31, 2023, (ii) 10.0% of the Participation Interest, if the Exit Event occurs between January 1, 2024 and June 30, 2024 and (iii) 12.5% of the Participation Interest, if the Exit Events occurs after June 30, 2024. Further, the purchase of the Participation Interest granted an option for the Participants to purchase the subject revolving loan or to redeem its Participation Interest under certain circumstances. South Ocean Funding, LLC is an affiliate of Golden Harbor, Ltd. and North Sound Ventures, LP is an affiliate of North Sound Management, Inc. As of the date hereof, each of Golden Harbor, Ltd. and North Sound Management, Inc. hold in excess of 5% of the Company’s outstanding common stock. James Avery, a member of our Board of Directors, currently serves as Senior Managing Director of Tavistock Group, an affiliate of South Ocean Funding, LLC.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Credit Agreement contains a financial covenant whereby the Loan Parties shall not permit the consolidated Liquidity (as defined in the Amended Credit Agreement) to be less than $8 million at any time. The Amended Credit Agreement also contains certain customary covenants, which include, but are not limited to, restrictions on indebtedness, liens, fundamental changes, restricted payments, asset sales, and investments, and places limits on various other payments. We were in compliance with the financial covenants contained in the Amended Credit Agreement as of December 31, 2023.</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outstanding borrowings under the Credit Agreement of $4.1 million and availability of $3.2 million.</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2025 Notes</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After taking into account exchanges and redemptions occurring in prior periods, the outstanding principal balance of the 2025 Notes was $161.9 million as of both December 31, 2023 and </w:t>
      </w:r>
      <w:r>
        <w:rPr>
          <w:rFonts w:ascii="Times New Roman;sans-serif" w:hAnsi="Times New Roman;sans-serif"/>
          <w:b w:val="false"/>
          <w:color w:val="000000"/>
          <w:sz w:val="20"/>
          <w:shd w:fill="FFFFFF" w:val="clear"/>
        </w:rPr>
        <w:t>December 31, 2022</w:t>
      </w:r>
      <w:r>
        <w:rPr>
          <w:rFonts w:ascii="Times New Roman;sans-serif" w:hAnsi="Times New Roman;sans-serif"/>
          <w:b w:val="false"/>
          <w:color w:val="000000"/>
          <w:sz w:val="20"/>
        </w:rPr>
        <w:t>. Assuming no repurchases or conversions of the 2025 Notes prior to May 1, 2025, the entire principal balance of $161.9 million is due on May 1, 2025. The 2025 Notes are senior unsecured obligations of the Company and bear interest at an annual rate of 3.25%, payable semi-annually in arrears on May 1 and November 1 of each year.</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Distribution Agreement</w:t>
      </w:r>
    </w:p>
    <w:p>
      <w:pPr>
        <w:pStyle w:val="TextBody"/>
        <w:bidi w:val="0"/>
        <w:spacing w:lineRule="auto" w:line="268" w:before="0" w:after="0"/>
        <w:ind w:left="0" w:right="0" w:firstLine="450"/>
        <w:jc w:val="left"/>
        <w:rPr/>
      </w:pPr>
      <w:r>
        <w:rPr>
          <w:rFonts w:ascii="Times New Roman;sans-serif" w:hAnsi="Times New Roman;sans-serif"/>
          <w:b w:val="false"/>
          <w:color w:val="000000"/>
          <w:sz w:val="20"/>
        </w:rPr>
        <w:t>On January 25, 2021, we entered into an Equity Distribution Agreement with Canaccord Genuity LLC (the “Agent”), pursuant to which we may offer and sell, from time to time, through or to the Agent, up to $40.0 million of shares of our common stock (the “ATM Offering”) pursuant to the Company’s Registration Statement on Form S-3ASR (File No. 333-238057), as filed with the SEC on May 7, 2020 and amended from time to time. D</w:t>
      </w:r>
      <w:r>
        <w:rPr>
          <w:rFonts w:ascii="Times New Roman;sans-serif" w:hAnsi="Times New Roman;sans-serif"/>
          <w:b w:val="false"/>
          <w:color w:val="000000"/>
          <w:sz w:val="20"/>
          <w:shd w:fill="FFFFFF" w:val="clear"/>
        </w:rPr>
        <w:t xml:space="preserve">uring the year end ended </w:t>
      </w:r>
      <w:r>
        <w:rPr>
          <w:rFonts w:ascii="Times New Roman;sans-serif" w:hAnsi="Times New Roman;sans-serif"/>
          <w:b w:val="false"/>
          <w:color w:val="000000"/>
          <w:sz w:val="20"/>
        </w:rPr>
        <w:t xml:space="preserve">December 31, 2023, the Company </w:t>
      </w:r>
      <w:r>
        <w:rPr>
          <w:rFonts w:ascii="Times New Roman;sans-serif" w:hAnsi="Times New Roman;sans-serif"/>
          <w:b w:val="false"/>
          <w:color w:val="000000"/>
          <w:sz w:val="20"/>
          <w:shd w:fill="FFFFFF" w:val="clear"/>
        </w:rPr>
        <w:t xml:space="preserve">sold </w:t>
      </w:r>
      <w:r>
        <w:rPr>
          <w:rFonts w:ascii="Times New Roman;sans-serif" w:hAnsi="Times New Roman;sans-serif"/>
          <w:b w:val="false"/>
          <w:color w:val="000000"/>
          <w:sz w:val="20"/>
        </w:rPr>
        <w:t xml:space="preserve">803,596 </w:t>
      </w:r>
      <w:r>
        <w:rPr>
          <w:rFonts w:ascii="Times New Roman;sans-serif" w:hAnsi="Times New Roman;sans-serif"/>
          <w:b w:val="false"/>
          <w:color w:val="000000"/>
          <w:sz w:val="20"/>
          <w:shd w:fill="FFFFFF" w:val="clear"/>
        </w:rPr>
        <w:t xml:space="preserve">shares of common stock, at an average price of $7.50 per share, for net proceeds of $5.9 million, after deducting underwriter fees and discounts. There was no ATM transactions during the year ended December 31, 2022. </w:t>
      </w:r>
      <w:r>
        <w:rPr>
          <w:rFonts w:ascii="Times New Roman;sans-serif" w:hAnsi="Times New Roman;sans-serif"/>
          <w:b w:val="false"/>
          <w:color w:val="000000"/>
          <w:sz w:val="20"/>
        </w:rPr>
        <w:t>Effective as of November 2, 2023</w:t>
      </w:r>
      <w:r>
        <w:rPr>
          <w:rFonts w:ascii="Times New Roman;sans-serif" w:hAnsi="Times New Roman;sans-serif"/>
          <w:b w:val="false"/>
          <w:color w:val="000000"/>
          <w:sz w:val="20"/>
          <w:shd w:fill="FFFFFF" w:val="clear"/>
        </w:rPr>
        <w:t>, the Equity Distribution Agreement was terminated by the Company, and there will be no further sales under the ATM Offering</w:t>
      </w:r>
      <w:r>
        <w:rPr>
          <w:rFonts w:ascii="Times New Roman;sans-serif" w:hAnsi="Times New Roman;sans-serif"/>
          <w:b w:val="false"/>
          <w:color w:val="000000"/>
          <w:sz w:val="20"/>
        </w:rPr>
        <w:t xml:space="preserve">. </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Contractual Obligations and Commitments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our material contractual obligations consisted of the following: </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To mitigate the risk of material shortages and price increases, we enter into non-cancellable purchase obligations with certain key contract manufacturers for the purchase of goods and services in the three to four quarters following the balance sheet date. Our purchase obligations consist of agreements to purchase goods and services entered into in the ordinary course of business. As of December 31, 2023, our future payments under these noncancellable purchase obligations were approximately $33.9 million.</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 xml:space="preserve">$161.9 million in outstanding principal amount of 2025 Notes with required interest payments; see Part IV Item 15 </w:t>
      </w:r>
      <w:r>
        <w:rPr>
          <w:rFonts w:ascii="Times New Roman;sans-serif" w:hAnsi="Times New Roman;sans-serif"/>
          <w:b w:val="false"/>
          <w:i/>
          <w:color w:val="000000"/>
          <w:sz w:val="20"/>
        </w:rPr>
        <w:t>Note 5 – Debt</w:t>
      </w:r>
      <w:r>
        <w:rPr>
          <w:rFonts w:ascii="Times New Roman;sans-serif" w:hAnsi="Times New Roman;sans-serif"/>
          <w:b w:val="false"/>
          <w:color w:val="000000"/>
          <w:sz w:val="20"/>
        </w:rPr>
        <w:t>;</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 xml:space="preserve">$4.1 million in outstanding borrowings under the Credit Facility; see Part IV Item 15 </w:t>
      </w:r>
      <w:r>
        <w:rPr>
          <w:rFonts w:ascii="Times New Roman;sans-serif" w:hAnsi="Times New Roman;sans-serif"/>
          <w:b w:val="false"/>
          <w:i/>
          <w:color w:val="000000"/>
          <w:sz w:val="20"/>
        </w:rPr>
        <w:t>Note 5 – Debt</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 xml:space="preserve">Operating lease liabilities that are included on our consolidated balance sheet; see Part IV Item 15 </w:t>
      </w:r>
      <w:r>
        <w:rPr>
          <w:rFonts w:ascii="Times New Roman;sans-serif" w:hAnsi="Times New Roman;sans-serif"/>
          <w:b w:val="false"/>
          <w:i/>
          <w:color w:val="000000"/>
          <w:sz w:val="20"/>
        </w:rPr>
        <w:t>Note 11 – Leases</w:t>
      </w:r>
      <w:r>
        <w:rPr>
          <w:rFonts w:ascii="Times New Roman;sans-serif" w:hAnsi="Times New Roman;sans-serif"/>
          <w:b w:val="false"/>
          <w:color w:val="000000"/>
          <w:sz w:val="20"/>
        </w:rPr>
        <w:t>; and</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Historical Cash Flows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consolidated statements of cash flows for the periods indicated (in thousands):</w:t>
      </w:r>
    </w:p>
    <w:tbl>
      <w:tblPr>
        <w:tblW w:w="7148" w:type="dxa"/>
        <w:jc w:val="left"/>
        <w:tblInd w:w="0" w:type="dxa"/>
        <w:tblLayout w:type="fixed"/>
        <w:tblCellMar>
          <w:top w:w="28" w:type="dxa"/>
          <w:left w:w="28" w:type="dxa"/>
          <w:bottom w:w="28" w:type="dxa"/>
          <w:right w:w="28" w:type="dxa"/>
        </w:tblCellMar>
      </w:tblPr>
      <w:tblGrid>
        <w:gridCol w:w="1771"/>
        <w:gridCol w:w="1556"/>
        <w:gridCol w:w="1562"/>
        <w:gridCol w:w="196"/>
        <w:gridCol w:w="556"/>
        <w:gridCol w:w="109"/>
        <w:gridCol w:w="109"/>
        <w:gridCol w:w="109"/>
        <w:gridCol w:w="109"/>
        <w:gridCol w:w="196"/>
        <w:gridCol w:w="721"/>
        <w:gridCol w:w="154"/>
      </w:tblGrid>
      <w:tr>
        <w:trPr/>
        <w:tc>
          <w:tcPr>
            <w:tcW w:w="177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rates on cash</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for the year ended December 31, 2023 is primarily comprised of a $46.2 million net loss incurred during the period, partially offset by non-cash charges, including depreciation and amortization of $22.5 million, excess and obsolete inventory provisions of $9.6 million, share-based compensation expense of $7.4 million, capitalized software impairments of $5.2 million, and amortization of debt discount and debt issuance costs of $2.0 million.</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N</w:t>
      </w:r>
      <w:r>
        <w:rPr>
          <w:rFonts w:ascii="Times New Roman;sans-serif" w:hAnsi="Times New Roman;sans-serif"/>
          <w:b w:val="false"/>
          <w:color w:val="000000"/>
          <w:sz w:val="20"/>
          <w:shd w:fill="FFFFFF" w:val="clear"/>
        </w:rPr>
        <w:t xml:space="preserve">et cash used in operating activities for the year ended December 31, 2022 </w:t>
      </w:r>
      <w:r>
        <w:rPr>
          <w:rFonts w:ascii="Times New Roman;sans-serif" w:hAnsi="Times New Roman;sans-serif"/>
          <w:b w:val="false"/>
          <w:color w:val="000000"/>
          <w:sz w:val="20"/>
        </w:rPr>
        <w:t>is primarily comprised of a $68.0 million net loss and $17.8 million of net cash used by working capital, partially offset by non-cash charges, including depreciation and amortization of $27.2 million, share-based compensation expense of $17.9 million, of amortization of debt issuance and discount costs of $3.0 million, capitalized software impairments of $3.0 million, and excess and obsolete inventory provisions of $2.6 million .</w:t>
      </w:r>
    </w:p>
    <w:p>
      <w:pPr>
        <w:pStyle w:val="TextBody"/>
        <w:bidi w:val="0"/>
        <w:spacing w:lineRule="auto" w:line="276" w:before="180" w:after="18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Net cash used in investing activities during the year ended December 31, 2023 </w:t>
      </w:r>
      <w:r>
        <w:rPr>
          <w:rFonts w:ascii="Times New Roman;sans-serif" w:hAnsi="Times New Roman;sans-serif"/>
          <w:b w:val="false"/>
          <w:color w:val="000000"/>
          <w:sz w:val="20"/>
          <w:shd w:fill="FFFFFF" w:val="clear"/>
        </w:rPr>
        <w:t xml:space="preserve">is primarily comprised of </w:t>
      </w:r>
      <w:r>
        <w:rPr>
          <w:rFonts w:ascii="Times New Roman;sans-serif" w:hAnsi="Times New Roman;sans-serif"/>
          <w:b w:val="false"/>
          <w:color w:val="000000"/>
          <w:sz w:val="20"/>
        </w:rPr>
        <w:t>$9.5 million in of c</w:t>
      </w:r>
      <w:r>
        <w:rPr>
          <w:rFonts w:ascii="Times New Roman;sans-serif" w:hAnsi="Times New Roman;sans-serif"/>
          <w:b w:val="false"/>
          <w:color w:val="000000"/>
          <w:sz w:val="20"/>
          <w:shd w:fill="FFFFFF" w:val="clear"/>
        </w:rPr>
        <w:t xml:space="preserve">ash outflows related to the development of software in support of our products and services and </w:t>
      </w:r>
      <w:r>
        <w:rPr>
          <w:rFonts w:ascii="Times New Roman;sans-serif" w:hAnsi="Times New Roman;sans-serif"/>
          <w:b w:val="false"/>
          <w:color w:val="000000"/>
          <w:sz w:val="20"/>
        </w:rPr>
        <w:t xml:space="preserve">$0.7 million of </w:t>
      </w:r>
      <w:r>
        <w:rPr>
          <w:rFonts w:ascii="Times New Roman;sans-serif" w:hAnsi="Times New Roman;sans-serif"/>
          <w:b w:val="false"/>
          <w:color w:val="000000"/>
          <w:sz w:val="20"/>
          <w:shd w:fill="FFFFFF" w:val="clear"/>
        </w:rPr>
        <w:t xml:space="preserve">property, plant and equipment and rental asset purchases. </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Net cash used in investing activities during the year ended December 31, 2022 was primarily comprised of $11.8 million of cash outflows related to the development </w:t>
      </w:r>
      <w:r>
        <w:rPr>
          <w:rFonts w:ascii="Times New Roman;sans-serif" w:hAnsi="Times New Roman;sans-serif"/>
          <w:b w:val="false"/>
          <w:color w:val="000000"/>
          <w:sz w:val="20"/>
          <w:shd w:fill="FFFFFF" w:val="clear"/>
        </w:rPr>
        <w:t xml:space="preserve">of software in support of our products and services and </w:t>
      </w:r>
      <w:r>
        <w:rPr>
          <w:rFonts w:ascii="Times New Roman;sans-serif" w:hAnsi="Times New Roman;sans-serif"/>
          <w:b w:val="false"/>
          <w:color w:val="000000"/>
          <w:sz w:val="20"/>
        </w:rPr>
        <w:t xml:space="preserve">$1.5 million of </w:t>
      </w:r>
      <w:r>
        <w:rPr>
          <w:rFonts w:ascii="Times New Roman;sans-serif" w:hAnsi="Times New Roman;sans-serif"/>
          <w:b w:val="false"/>
          <w:color w:val="000000"/>
          <w:sz w:val="20"/>
          <w:shd w:fill="FFFFFF" w:val="clear"/>
        </w:rPr>
        <w:t>property, plant and equipment and rental asset purchases.</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Financing activities.</w:t>
      </w:r>
      <w:r>
        <w:rPr>
          <w:color w:val="000000"/>
        </w:rPr>
        <w:t xml:space="preserve">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during the year ended December 31, 2023 is primarily comprised of $6.1 million in proceeds from the public offering, partially offset by $3.8 million of cash outflow related to net repayments of our Credit Facility. </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Net cash provided by financing activities during the year ended December 31, 2022 is primarily comprised of $7.9 million net borrowing of our Credit Facility, partially offset by $1.6 million in principal repayme</w:t>
      </w:r>
      <w:r>
        <w:rPr>
          <w:rFonts w:ascii="Times New Roman;sans-serif" w:hAnsi="Times New Roman;sans-serif"/>
          <w:b w:val="false"/>
          <w:color w:val="000000"/>
          <w:sz w:val="20"/>
          <w:shd w:fill="FFFFFF" w:val="clear"/>
        </w:rPr>
        <w:t>nts of financed assets.</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accounting principles generally accepted in the United States requires management to make estimates and assumptions. These estimates and assumptions affect the reported amounts of assets, liabilities, revenues, expenses and disclosures of contingent assets and liabilities. Actual results could differ from these estimates. </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Software Development Costs for External Use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Software development costs for external use are expensed as incurred until technological feasibility has been established, at which time those costs are capitalized as intangible assets until the software is available for general release to customers.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establishment of technological feasibility and the ongoing assessment for recoverability of capitalized computer software development costs requires considerable judgment by us with respect to certain external factors including, but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limited to, technological feasibility, anticipated future gross revenues, estimated economic life and changes in software and hardware technologies. Capitalized software development costs are comprised primarily of salaries, other direct payroll-related costs and payments to third party vendors. </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Capitalized software development costs are amortized on a straight-line basis over the estimated economic life. Costs incurred to enhance existing software or after the software is available for general release to customers are expensed in the period they are incurred and included in research and development expense in our consolidated statements of operations. The straight-line recognition method approximates the manner in which the expected benefit will be derived. At each balance sheet date, the unamortized capitalized software development costs for external use is compared to the net realizable value of that product by analyzing critical inputs such as expected future lifetime revenue. The amount by which unamortized software costs exceed the net realizable value, if any, is recognized as a charge to amortization expense in the period it is determined.</w:t>
      </w:r>
      <w:r>
        <w:rPr>
          <w:color w:val="000000"/>
        </w:rPr>
        <w:t xml:space="preserve"> </w:t>
      </w:r>
    </w:p>
    <w:p>
      <w:pPr>
        <w:pStyle w:val="TextBody"/>
        <w:bidi w:val="0"/>
        <w:spacing w:lineRule="auto" w:line="256" w:before="180" w:after="180"/>
        <w:jc w:val="left"/>
        <w:rPr>
          <w:rFonts w:ascii="Times New Roman;sans-serif" w:hAnsi="Times New Roman;sans-serif"/>
          <w:b/>
          <w:i/>
          <w:color w:val="000000"/>
          <w:sz w:val="20"/>
        </w:rPr>
      </w:pPr>
      <w:r>
        <w:rPr>
          <w:rFonts w:ascii="Times New Roman;sans-serif" w:hAnsi="Times New Roman;sans-serif"/>
          <w:b/>
          <w:i/>
          <w:color w:val="000000"/>
          <w:sz w:val="20"/>
        </w:rPr>
        <w:t>Inventories and Provision for Excess and Obsolete Inventory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(first-in, first-out method) or net realizable value. The valuation of inventory requires significant judgment and estimates, including evaluating the need for any adjustments to net realizable value related to excess or obsolete inventory to ensure that the inventory is reported at the lower of cost or net realizable value. The Company reviews the components of its inventory and its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the Company or its customers that vary from its current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pPr>
      <w:r>
        <w:rPr>
          <w:rFonts w:ascii="Times New Roman;sans-serif" w:hAnsi="Times New Roman;sans-serif"/>
          <w:b/>
          <w:color w:val="000000"/>
          <w:sz w:val="20"/>
        </w:rPr>
        <w:t>Item 7A.    </w:t>
      </w:r>
      <w:r>
        <w:rPr>
          <w:rFonts w:ascii="Times New Roman;sans-serif" w:hAnsi="Times New Roman;sans-serif"/>
          <w:b/>
          <w:i/>
          <w:color w:val="000000"/>
          <w:sz w:val="20"/>
        </w:rPr>
        <w:t>Quantitative and Qualitative Disclosures About Market Risk</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2025 Notes and Embedded Derivative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total fixed-rate borrowings under the 2025 Notes as of December 31, 2023 and 2022 were $161.9 million. We record all of our fixed-rate borrowings at amortized cost and therefore, any changes in interest rates do not impact the values that we report for these senior notes on our consolidated financial statements. As of December 31, 2023 and 2022, we had no variable-rate borrowings related to the 2025 Notes. </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The 2025 Notes include an embedded derivative which was marked to a fair value of zero at both December 31, 2023 and 2022. The fair value inputs to the derivative valuation include dividend yield, term, volatility, stock price, and risk-free rate. Consequently we may incur gains and losses on the derivative as changes occur in the stock price, volatility, and risk-free rate at each reporting period. Additional details regarding our 2025 Notes and the embedded derivative are included in Item IV Part 15 </w:t>
      </w:r>
      <w:r>
        <w:rPr>
          <w:rFonts w:ascii="Times New Roman;sans-serif" w:hAnsi="Times New Roman;sans-serif"/>
          <w:b w:val="false"/>
          <w:i/>
          <w:color w:val="000000"/>
          <w:sz w:val="20"/>
        </w:rPr>
        <w:t>Note 4 – Fair Value Measurements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Note 5 – Debt</w:t>
      </w:r>
      <w:r>
        <w:rPr>
          <w:color w:val="000000"/>
        </w:rPr>
        <w:t xml:space="preserve"> </w:t>
      </w:r>
      <w:r>
        <w:rPr>
          <w:rFonts w:ascii="Times New Roman;sans-serif" w:hAnsi="Times New Roman;sans-serif"/>
          <w:b w:val="false"/>
          <w:color w:val="000000"/>
          <w:sz w:val="20"/>
        </w:rPr>
        <w:t>in this Annual Report on Form 10-K.</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We are exposed to interest rate risk associated with fluctuations in interest rates on our Credit Facility. As of December 31, 2023, assuming our Credit Facility was fully </w:t>
      </w:r>
      <w:r>
        <w:rPr>
          <w:rFonts w:ascii="Times New Roman;sans-serif" w:hAnsi="Times New Roman;sans-serif"/>
          <w:b w:val="false"/>
          <w:color w:val="000000"/>
          <w:sz w:val="20"/>
          <w:shd w:fill="FFFFFF" w:val="clear"/>
        </w:rPr>
        <w:t>drawn up to the $15.0 million borrowing base, a 1% change in interest rates would result in a $0.2 million change in annualized interest expense.</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76"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Inflation has increased during the period covered by this Annual Report on Form 10-K, and is expected to continue to increase for the near future. Inflationary factors, such as increases in the cost of our materials, supplies, and overhead costs may adversely affect our operating results. Although we do not believe that inflation has had a material impact on our financial position or results of operations to date, we may experience an effect if inflation rates continue to rise. Significant adverse changes in inflation and prices in the future could result in material losses.</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Currency Risk</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and cash flows are subject to fluctuations due to changes in foreign currency exchange rates. A majority of our revenue is denominated in U.S. Dollars. However, as we have operations in foreign countries, primarily in Europe, a stronger U.S. Dollar could make our products and services more expensive in foreign countries and therefore reduce demand. A weaker U.S. Dollar could have the opposite effect. Such economic exposure to currency fluctuations is difficult to measure or predict because our sales are also influenced by many other factors.</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For the fiscal year ended December 31, 2023, sales denominated in foreign currencies were approximately</w:t>
      </w:r>
      <w:r>
        <w:rPr>
          <w:color w:val="000000"/>
          <w:shd w:fill="FFFFFF" w:val="clear"/>
        </w:rPr>
        <w:t xml:space="preserve"> </w:t>
      </w:r>
      <w:r>
        <w:rPr>
          <w:rFonts w:ascii="Times New Roman;sans-serif" w:hAnsi="Times New Roman;sans-serif"/>
          <w:b w:val="false"/>
          <w:color w:val="000000"/>
          <w:sz w:val="20"/>
        </w:rPr>
        <w:t xml:space="preserve">16.5% of total revenue. Our results of operations and cash flows are, therefore, subject to fluctuations due to changes in foreign currency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exchange rates and may be adversely affected in the future due to changes in foreign exchange rates. These foreign currencies primarily consist of the South African Rand, British Pound, Euro, and Australian Dollar. For the twelve months ended December 31, 2023, a hypothetical 10% change in these foreign currencies would have increased or decreased our revenue by approximately $3.2 million. Actual gains and losses in the future may differ materially from the hypothetical gains and losses discussed above based on changes in the timing and amount of foreign currency exchange rate movements.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pPr>
      <w:r>
        <w:rPr>
          <w:rFonts w:ascii="Times New Roman;sans-serif" w:hAnsi="Times New Roman;sans-serif"/>
          <w:b/>
          <w:color w:val="000000"/>
          <w:sz w:val="20"/>
        </w:rPr>
        <w:t>Item 8.    </w:t>
      </w:r>
      <w:r>
        <w:rPr>
          <w:rFonts w:ascii="Times New Roman;sans-serif" w:hAnsi="Times New Roman;sans-serif"/>
          <w:b/>
          <w:i/>
          <w:color w:val="000000"/>
          <w:sz w:val="20"/>
        </w:rPr>
        <w:t>Financial Statements and Supplementary Data</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and the Reports of Independent Registered Public Accounting Firms appear in Part IV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pPr>
      <w:r>
        <w:rPr>
          <w:rFonts w:ascii="Times New Roman;sans-serif" w:hAnsi="Times New Roman;sans-serif"/>
          <w:b/>
          <w:color w:val="000000"/>
          <w:sz w:val="20"/>
        </w:rPr>
        <w:t>Item 9.    </w:t>
      </w:r>
      <w:r>
        <w:rPr>
          <w:rFonts w:ascii="Times New Roman;sans-serif" w:hAnsi="Times New Roman;sans-serif"/>
          <w:b/>
          <w:i/>
          <w:color w:val="000000"/>
          <w:sz w:val="20"/>
        </w:rPr>
        <w:t>Changes in and Disagreements With Accountants on Accounting and Financial Disclosure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pPr>
      <w:r>
        <w:rPr>
          <w:rFonts w:ascii="Times New Roman;sans-serif" w:hAnsi="Times New Roman;sans-serif"/>
          <w:b/>
          <w:color w:val="000000"/>
          <w:sz w:val="20"/>
        </w:rPr>
        <w:t>Item 9A.    </w:t>
      </w:r>
      <w:r>
        <w:rPr>
          <w:rFonts w:ascii="Times New Roman;sans-serif" w:hAnsi="Times New Roman;sans-serif"/>
          <w:b/>
          <w:i/>
          <w:color w:val="000000"/>
          <w:sz w:val="20"/>
        </w:rPr>
        <w:t>Controls and Procedures</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 13a-15(e) under the Exchange Act)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SEC rules, we carried out an evaluation, under the supervision and with the participation of our management, including our principal executive officer and our principal financial officer, of the effectiveness of the design and operation of our disclosure controls and procedures as of December 31, 2023, the end of the period covered by this report. Based on the foregoing, our principal executive officer and principal financial officer concluded that our disclosure controls and procedures were effective as of December 31, 2023.</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such term is defined in Exchange Act Rules 13a-15(f) and 15d-15(f). Our internal control over financial reporting is a process designed to provide reasonable assurance regarding the reliability of financial reporting and the preparation of the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because the degree of compliance with policies and procedures may deteriorate.</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set forth in by the Committee of Sponsoring Organizations of the Treadway Commission (COSO) (2013 framework) in </w:t>
      </w:r>
      <w:r>
        <w:rPr>
          <w:rFonts w:ascii="Times New Roman;sans-serif" w:hAnsi="Times New Roman;sans-serif"/>
          <w:b w:val="false"/>
          <w:i/>
          <w:color w:val="000000"/>
          <w:sz w:val="20"/>
        </w:rPr>
        <w:t>Internal Control—Integrated Framework</w:t>
      </w:r>
      <w:r>
        <w:rPr>
          <w:rFonts w:ascii="Times New Roman;sans-serif" w:hAnsi="Times New Roman;sans-serif"/>
          <w:b w:val="false"/>
          <w:color w:val="000000"/>
          <w:sz w:val="20"/>
        </w:rPr>
        <w:t xml:space="preserve">. Based on our evaluation under the framework in </w:t>
      </w:r>
      <w:r>
        <w:rPr>
          <w:rFonts w:ascii="Times New Roman;sans-serif" w:hAnsi="Times New Roman;sans-serif"/>
          <w:b w:val="false"/>
          <w:i/>
          <w:color w:val="000000"/>
          <w:sz w:val="20"/>
        </w:rPr>
        <w:t>Internal Control—Integrated Framework</w:t>
      </w:r>
      <w:r>
        <w:rPr>
          <w:rFonts w:ascii="Times New Roman;sans-serif" w:hAnsi="Times New Roman;sans-serif"/>
          <w:b w:val="false"/>
          <w:color w:val="000000"/>
          <w:sz w:val="20"/>
        </w:rPr>
        <w:t>, our management concluded that our internal control over financial reporting was effective as of December 31, 2023.</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 evaluation was also performed under the supervision and with the participation of our management, including our principal executive officer and our principal financial officer, of any change in our internal control over financial reporting that occurred during our last fiscal quarter and that has materially affected, or is reasonably likely to materially affect, our internal control over financial reporting. The evaluation did not identify any change in our internal control over financial reporting that occurred during our latest fiscal quarter and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pPr>
      <w:r>
        <w:rPr>
          <w:rFonts w:ascii="Times New Roman;sans-serif" w:hAnsi="Times New Roman;sans-serif"/>
          <w:b/>
          <w:color w:val="000000"/>
          <w:sz w:val="20"/>
        </w:rPr>
        <w:t>Item 9B.    </w:t>
      </w:r>
      <w:r>
        <w:rPr>
          <w:rFonts w:ascii="Times New Roman;sans-serif" w:hAnsi="Times New Roman;sans-serif"/>
          <w:b/>
          <w:i/>
          <w:color w:val="000000"/>
          <w:sz w:val="20"/>
        </w:rPr>
        <w:t>Other Information</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pPr>
      <w:r>
        <w:rPr>
          <w:rFonts w:ascii="Times New Roman;sans-serif" w:hAnsi="Times New Roman;sans-serif"/>
          <w:b/>
          <w:color w:val="000000"/>
          <w:sz w:val="20"/>
        </w:rPr>
        <w:t>Item 9C.</w:t>
      </w:r>
      <w:r>
        <w:rPr>
          <w:color w:val="000000"/>
        </w:rPr>
        <w:t xml:space="preserve"> </w:t>
      </w:r>
      <w:r>
        <w:rPr>
          <w:rFonts w:ascii="Times New Roman;sans-serif" w:hAnsi="Times New Roman;sans-serif"/>
          <w:b/>
          <w:i/>
          <w:color w:val="000000"/>
          <w:sz w:val="20"/>
        </w:rPr>
        <w:t>Disclosure Regarding Foreign Jurisdictions that Prevent Inspections.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Items 10, 11, 12, 13 and 14.</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Items 10, 11, 12, 13 and 14 is incorporated by reference from the Company’s definitive proxy statement for the 2024 Annual Meeting of Stockholders or an amendment to this report, which the Company intends to file with the SEC within 120 days of the end of the fiscal year end to which this report relates.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ans-serif" w:hAnsi="Times New Roman;sans-serif"/>
          <w:b/>
          <w:color w:val="000000"/>
          <w:sz w:val="20"/>
        </w:rPr>
        <w:t>Item 15.    </w:t>
      </w:r>
      <w:r>
        <w:rPr>
          <w:rFonts w:ascii="Times New Roman;sans-serif" w:hAnsi="Times New Roman;sans-serif"/>
          <w:b/>
          <w:i/>
          <w:color w:val="000000"/>
          <w:sz w:val="20"/>
        </w:rPr>
        <w:t>Exhibit and Financial Statement Schedules</w:t>
      </w:r>
    </w:p>
    <w:p>
      <w:pPr>
        <w:pStyle w:val="TextBody"/>
        <w:bidi w:val="0"/>
        <w:spacing w:lineRule="auto" w:line="276" w:before="180" w:after="18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(a)(1)    The Company’s consolidated financial statements and report of the Marcum LLP, Independent Registered Public Accounting Firm, are included in Section IV of this report beginning on page F-1.</w:t>
      </w:r>
    </w:p>
    <w:p>
      <w:pPr>
        <w:pStyle w:val="TextBody"/>
        <w:bidi w:val="0"/>
        <w:spacing w:lineRule="auto" w:line="276" w:before="180" w:after="18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(a)(2)    Schedules have been omitted because they are not applicable or are not required or the information required to be set forth therein is included in the consolidated financial statements or related notes thereto.</w:t>
      </w:r>
    </w:p>
    <w:p>
      <w:pPr>
        <w:pStyle w:val="TextBody"/>
        <w:bidi w:val="0"/>
        <w:spacing w:lineRule="auto" w:line="276" w:before="180" w:after="18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(a)(3)    Exhibits</w:t>
      </w:r>
    </w:p>
    <w:p>
      <w:pPr>
        <w:pStyle w:val="TextBody"/>
        <w:bidi w:val="0"/>
        <w:spacing w:lineRule="auto" w:line="276" w:before="180" w:after="18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as part of, or incorporated by reference into this report:</w:t>
      </w:r>
    </w:p>
    <w:tbl>
      <w:tblPr>
        <w:tblW w:w="10205" w:type="dxa"/>
        <w:jc w:val="center"/>
        <w:tblInd w:w="0" w:type="dxa"/>
        <w:tblLayout w:type="fixed"/>
        <w:tblCellMar>
          <w:top w:w="28" w:type="dxa"/>
          <w:left w:w="28" w:type="dxa"/>
          <w:bottom w:w="28" w:type="dxa"/>
          <w:right w:w="28" w:type="dxa"/>
        </w:tblCellMar>
      </w:tblPr>
      <w:tblGrid>
        <w:gridCol w:w="291"/>
        <w:gridCol w:w="256"/>
        <w:gridCol w:w="257"/>
        <w:gridCol w:w="109"/>
        <w:gridCol w:w="109"/>
        <w:gridCol w:w="109"/>
        <w:gridCol w:w="2735"/>
        <w:gridCol w:w="2611"/>
        <w:gridCol w:w="3728"/>
      </w:tblGrid>
      <w:tr>
        <w:trPr/>
        <w:tc>
          <w:tcPr>
            <w:tcW w:w="2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3728"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
              <w:r>
                <w:rPr>
                  <w:rStyle w:val="InternetLink"/>
                  <w:rFonts w:ascii="Times New Roman;sans-serif" w:hAnsi="Times New Roman;sans-serif"/>
                  <w:b w:val="false"/>
                  <w:color w:val="0000FF"/>
                  <w:sz w:val="20"/>
                  <w:u w:val="single"/>
                </w:rPr>
                <w:t>Amended and Restated Certificate of Incorporation (incorporated by reference to Exhibit 3.1 to the Company’s Current Report on Form 8-K, filed November 9, 2016).</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3">
              <w:r>
                <w:rPr>
                  <w:rStyle w:val="InternetLink"/>
                  <w:rFonts w:ascii="Times New Roman;sans-serif" w:hAnsi="Times New Roman;sans-serif"/>
                  <w:b w:val="false"/>
                  <w:color w:val="0000FF"/>
                  <w:sz w:val="20"/>
                  <w:u w:val="single"/>
                </w:rPr>
                <w:t>Amended and Restated Bylaws of Inseego Corp. (incorporated by reference to Exhibit 3.2 to the Company’s Current Report on Form 8-K, filed November 9, 2016).</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Certificate of Designation of Series E Fixed-Rate Cumulative Perpetual Preferred Stock (incorporated by reference to Exhibit 3.1 to the Company’s Current Report on Form 8-K, filed August 13, 2019).</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Certificate of Amendment to Certificate of Designation of Series E Fixed-Rate Cumulative Perpetual Preferred Stock (incorporated by reference to Exhibit 3.1 to the Company’s Current Report on Form 8-K, filed March 10, 2020).</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Certificate of Amendment of Certificate of Incorporation of Inseego Corp., dated January 23, 2024 (incorporated by reference to Exhibit 3.1 to the Company’s Current Report on Form 8-K, filed January 23, 2024).</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Form of Inseego Corp. Common Stock Certificate (incorporated by reference to Exhibit 4.1 to the Company’s Current Report on Form 8-K filed November 9, 2016).</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Description of Equity Securities Registered under Section 12 of the Exchange Act. (incorporated by reference to Exhibit 4.2 to the Company’s Annual Report on Form 10-K filed on March 1, 2021).</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 xml:space="preserve">Base Indenture, dated May 12, 2020, between Inseego Corp. and Wilmington Trust, National Association, as trustee (incorporated by reference to Exhibit 4.1 to the Company’s Current Report on Form 8-K, filed May 12, </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First Supplemental Indenture, dated May 12, 2020, between Inseego Corp. and Wilmington Trust, National Association, as trustee (incorporated by reference to Exhibit 4.2 to the Company’s Current Report on Form 8-K, filed May 12, 2020).</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Form of 3.25% convertible senior note due 2025 (incorporated by reference Exhibit 10.5 to the Company’s Quarterly Report on Form 10-Q, filed August 10, 2020).</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Times New Roman;sans-serif" w:hAnsi="Times New Roman;sans-serif"/>
                  <w:b w:val="false"/>
                  <w:color w:val="0000FF"/>
                  <w:sz w:val="20"/>
                  <w:u w:val="single"/>
                </w:rPr>
                <w:t>Registration Rights Agreement, dated August 6, 2018, by and among Inseego Corp. and the Investors identified on Exhibit A to the Securities Purchase Agreement (incorporated by reference to Exhibit 4.3 to the Company’s Current Report on Form 8-K, filed August 7, 2018).</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13">
              <w:r>
                <w:rPr>
                  <w:rStyle w:val="InternetLink"/>
                  <w:rFonts w:ascii="Times New Roman;sans-serif" w:hAnsi="Times New Roman;sans-serif"/>
                  <w:b w:val="false"/>
                  <w:color w:val="000080"/>
                  <w:sz w:val="20"/>
                  <w:u w:val="single"/>
                </w:rPr>
                <w:t xml:space="preserve">Amended and Restated Inseego Corp. 2000 Employee Stock Purchase Plan (incorporated by reference to Exhibit 10.2 to the </w:t>
              </w:r>
            </w:hyperlink>
            <w:hyperlink r:id="rId14">
              <w:r>
                <w:rPr>
                  <w:rStyle w:val="InternetLink"/>
                  <w:rFonts w:ascii="Times New Roman;sans-serif" w:hAnsi="Times New Roman;sans-serif"/>
                  <w:b w:val="false"/>
                  <w:color w:val="000080"/>
                  <w:sz w:val="20"/>
                  <w:u w:val="single"/>
                </w:rPr>
                <w:t>Company</w:t>
              </w:r>
            </w:hyperlink>
            <w:hyperlink r:id="rId15">
              <w:r>
                <w:rPr>
                  <w:rStyle w:val="InternetLink"/>
                  <w:rFonts w:ascii="Times New Roman;sans-serif" w:hAnsi="Times New Roman;sans-serif"/>
                  <w:b w:val="false"/>
                  <w:color w:val="000080"/>
                  <w:sz w:val="20"/>
                  <w:u w:val="single"/>
                </w:rPr>
                <w:t>’s Current Report on Form 8-K (File No. 001-38358), filed on August 9, 2022).</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Change in Control Agreement dated September 25, 2017 between Inseego Corp. and Ashish Sharma (incorporated by reference to Exhibit 10.20 to the Company’s Annual Report on form 10-K, filed March 3, 2023).</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17">
              <w:r>
                <w:rPr>
                  <w:rStyle w:val="InternetLink"/>
                  <w:rFonts w:ascii="Times New Roman;sans-serif" w:hAnsi="Times New Roman;sans-serif"/>
                  <w:b w:val="false"/>
                  <w:color w:val="0000FF"/>
                  <w:sz w:val="20"/>
                  <w:u w:val="single"/>
                </w:rPr>
                <w:t>Form of Indemnification (incorporated by reference to Exhibit 10.3 to the Company’s Current Report on Form 8-K, filed August 21, 2017).</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9"/>
        <w:gridCol w:w="246"/>
        <w:gridCol w:w="247"/>
        <w:gridCol w:w="109"/>
        <w:gridCol w:w="109"/>
        <w:gridCol w:w="109"/>
        <w:gridCol w:w="2704"/>
        <w:gridCol w:w="2638"/>
        <w:gridCol w:w="3764"/>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64"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80"/>
                  <w:sz w:val="20"/>
                  <w:u w:val="single"/>
                </w:rPr>
                <w:t xml:space="preserve">Amended Inseego Corp. 2018 Omnibus Incentive Compensation Plan (incorporated by reference to Exhibit 10.1 to the </w:t>
              </w:r>
            </w:hyperlink>
            <w:hyperlink r:id="rId19">
              <w:r>
                <w:rPr>
                  <w:rStyle w:val="InternetLink"/>
                  <w:rFonts w:ascii="Times New Roman;sans-serif" w:hAnsi="Times New Roman;sans-serif"/>
                  <w:b w:val="false"/>
                  <w:color w:val="000080"/>
                  <w:sz w:val="20"/>
                  <w:u w:val="single"/>
                </w:rPr>
                <w:t>Company</w:t>
              </w:r>
            </w:hyperlink>
            <w:hyperlink r:id="rId20">
              <w:r>
                <w:rPr>
                  <w:rStyle w:val="InternetLink"/>
                  <w:rFonts w:ascii="Times New Roman;sans-serif" w:hAnsi="Times New Roman;sans-serif"/>
                  <w:b w:val="false"/>
                  <w:color w:val="000080"/>
                  <w:sz w:val="20"/>
                  <w:u w:val="single"/>
                </w:rPr>
                <w:t>’s Current Report on Form 8-K (File No. 001-38358), filed on August 9, 2022).</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Securities Purchase Agreement, dated August 6, 2018, by and among Inseego Corp. and the Investors identified on Exhibit A thereto (incorporated by reference to Exhibit 4.1 to the Company’s Current Report on Form 8-K, filed August 7, 2018).</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Inseego Corp. Executive Officer Clawback Policy (incorporated by reference to Exhibit 10.1 to the Company’s Current Report on Form 8-K, filed on October 30, 2023).</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3">
              <w:r>
                <w:rPr>
                  <w:rStyle w:val="InternetLink"/>
                  <w:rFonts w:ascii="Times New Roman;sans-serif" w:hAnsi="Times New Roman;sans-serif"/>
                  <w:b w:val="false"/>
                  <w:color w:val="0000FF"/>
                  <w:sz w:val="20"/>
                  <w:u w:val="single"/>
                </w:rPr>
                <w:t>Equity Distribution Agreement, dated as of January 25, 2021, by and between Inseego Corp. and Canaccord Genuity LLC (incorporated by reference to Exhibit 10.1 to the Company’s Current Report on Form 8-K, filed January 26, 2021).</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4">
              <w:r>
                <w:rPr>
                  <w:rStyle w:val="InternetLink"/>
                  <w:rFonts w:ascii="Times New Roman;sans-serif" w:hAnsi="Times New Roman;sans-serif"/>
                  <w:b w:val="false"/>
                  <w:color w:val="0000FF"/>
                  <w:sz w:val="20"/>
                  <w:u w:val="single"/>
                </w:rPr>
                <w:t>Offer Letter dated September 12, 2023 between Inseego Corp. and Steven Gatoff. (incorporated by reference to Exhibit 10.1 to the Company’s Quarterly Report on Form 10-Q, filed November 3, 2023).</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5">
              <w:r>
                <w:rPr>
                  <w:rStyle w:val="InternetLink"/>
                  <w:rFonts w:ascii="Times New Roman;sans-serif" w:hAnsi="Times New Roman;sans-serif"/>
                  <w:b w:val="false"/>
                  <w:color w:val="0000FF"/>
                  <w:sz w:val="20"/>
                  <w:u w:val="single"/>
                </w:rPr>
                <w:t>Change in Control Agreement dated October 25, 2021 between Inseego Corp. and Robert G. Barbieri (incorporated by reference to Exhibit 10.3 to the Company’s Current on Form 8-K/A, filed October 26, 2021).</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6">
              <w:r>
                <w:rPr>
                  <w:rStyle w:val="InternetLink"/>
                  <w:rFonts w:ascii="Times New Roman;sans-serif" w:hAnsi="Times New Roman;sans-serif"/>
                  <w:b w:val="false"/>
                  <w:color w:val="000080"/>
                  <w:sz w:val="20"/>
                  <w:u w:val="single"/>
                </w:rPr>
                <w:t>Loan and Security Agreement, dated as of August 5, 2022, among Siena Lending Group LLC (as Lender), Inseego Wireless, Inc., and Inseego North America LLC (as Borrowers), and Inseego Corp. (as Guarantor)</w:t>
              </w:r>
            </w:hyperlink>
            <w:hyperlink r:id="rId27">
              <w:r>
                <w:rPr>
                  <w:rStyle w:val="InternetLink"/>
                  <w:rFonts w:ascii="Times New Roman;sans-serif" w:hAnsi="Times New Roman;sans-serif"/>
                  <w:b w:val="false"/>
                  <w:color w:val="000080"/>
                  <w:sz w:val="20"/>
                  <w:u w:val="single"/>
                </w:rPr>
                <w:t xml:space="preserve"> (incorporate</w:t>
              </w:r>
            </w:hyperlink>
            <w:hyperlink r:id="rId28">
              <w:r>
                <w:rPr>
                  <w:rStyle w:val="InternetLink"/>
                  <w:rFonts w:ascii="Times New Roman;sans-serif" w:hAnsi="Times New Roman;sans-serif"/>
                  <w:b w:val="false"/>
                  <w:color w:val="000080"/>
                  <w:sz w:val="20"/>
                  <w:u w:val="single"/>
                </w:rPr>
                <w:t>d by reference to the Company</w:t>
              </w:r>
            </w:hyperlink>
            <w:hyperlink r:id="rId29">
              <w:r>
                <w:rPr>
                  <w:rStyle w:val="InternetLink"/>
                  <w:rFonts w:ascii="Times New Roman;sans-serif" w:hAnsi="Times New Roman;sans-serif"/>
                  <w:b w:val="false"/>
                  <w:color w:val="000080"/>
                  <w:sz w:val="20"/>
                  <w:u w:val="single"/>
                </w:rPr>
                <w:t>’</w:t>
              </w:r>
            </w:hyperlink>
            <w:hyperlink r:id="rId30">
              <w:r>
                <w:rPr>
                  <w:rStyle w:val="InternetLink"/>
                  <w:rFonts w:ascii="Times New Roman;sans-serif" w:hAnsi="Times New Roman;sans-serif"/>
                  <w:b w:val="false"/>
                  <w:color w:val="000080"/>
                  <w:sz w:val="20"/>
                  <w:u w:val="single"/>
                </w:rPr>
                <w:t>s</w:t>
              </w:r>
            </w:hyperlink>
            <w:hyperlink r:id="rId31">
              <w:r>
                <w:rPr>
                  <w:rStyle w:val="InternetLink"/>
                  <w:rFonts w:ascii="Times New Roman;sans-serif" w:hAnsi="Times New Roman;sans-serif"/>
                  <w:b w:val="false"/>
                  <w:color w:val="000080"/>
                  <w:sz w:val="20"/>
                  <w:u w:val="single"/>
                </w:rPr>
                <w:t xml:space="preserve"> (incoroporated by reference to Exhibit 10.3 to the Company</w:t>
              </w:r>
            </w:hyperlink>
            <w:hyperlink r:id="rId32">
              <w:r>
                <w:rPr>
                  <w:rStyle w:val="InternetLink"/>
                  <w:rFonts w:ascii="Times New Roman;sans-serif" w:hAnsi="Times New Roman;sans-serif"/>
                  <w:b w:val="false"/>
                  <w:color w:val="000080"/>
                  <w:sz w:val="20"/>
                  <w:u w:val="single"/>
                </w:rPr>
                <w:t>’</w:t>
              </w:r>
            </w:hyperlink>
            <w:hyperlink r:id="rId33">
              <w:r>
                <w:rPr>
                  <w:rStyle w:val="InternetLink"/>
                  <w:rFonts w:ascii="Times New Roman;sans-serif" w:hAnsi="Times New Roman;sans-serif"/>
                  <w:b w:val="false"/>
                  <w:color w:val="000080"/>
                  <w:sz w:val="20"/>
                  <w:u w:val="single"/>
                </w:rPr>
                <w:t>s Quarterly Report on form 10-Q, filed November 3, 2022</w:t>
              </w:r>
            </w:hyperlink>
            <w:hyperlink r:id="rId34">
              <w:r>
                <w:rPr>
                  <w:rStyle w:val="InternetLink"/>
                  <w:rFonts w:ascii="Times New Roman;sans-serif" w:hAnsi="Times New Roman;sans-serif"/>
                  <w:b w:val="false"/>
                  <w:color w:val="000080"/>
                  <w:sz w:val="20"/>
                  <w:u w:val="single"/>
                </w:rPr>
                <w:t>.</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35">
              <w:r>
                <w:rPr>
                  <w:rStyle w:val="InternetLink"/>
                  <w:rFonts w:ascii="Times New Roman;sans-serif" w:hAnsi="Times New Roman;sans-serif"/>
                  <w:b w:val="false"/>
                  <w:color w:val="000080"/>
                  <w:sz w:val="20"/>
                  <w:u w:val="single"/>
                </w:rPr>
                <w:t>First Amendment, dated as of December 15, 2022, to Loan and Security Agreement, dated as of August 5, 2022, among Siena Lending Group LLC (as Lender), Inseego Wireless, Inc., and Inseego North America LLC (as Borrowers), and Inseego Corp. (as Guarantor)</w:t>
              </w:r>
            </w:hyperlink>
            <w:hyperlink r:id="rId36">
              <w:r>
                <w:rPr>
                  <w:rStyle w:val="InternetLink"/>
                  <w:rFonts w:ascii="Times New Roman;sans-serif" w:hAnsi="Times New Roman;sans-serif"/>
                  <w:b w:val="false"/>
                  <w:color w:val="000080"/>
                  <w:sz w:val="20"/>
                  <w:u w:val="single"/>
                </w:rPr>
                <w:t xml:space="preserve"> (incorporated by reference to Exhibit 10.20 t</w:t>
              </w:r>
            </w:hyperlink>
            <w:hyperlink r:id="rId37">
              <w:r>
                <w:rPr>
                  <w:rStyle w:val="InternetLink"/>
                  <w:rFonts w:ascii="Times New Roman;sans-serif" w:hAnsi="Times New Roman;sans-serif"/>
                  <w:b w:val="false"/>
                  <w:color w:val="000080"/>
                  <w:sz w:val="20"/>
                  <w:u w:val="single"/>
                </w:rPr>
                <w:t>o</w:t>
              </w:r>
            </w:hyperlink>
            <w:hyperlink r:id="rId38">
              <w:r>
                <w:rPr>
                  <w:rStyle w:val="InternetLink"/>
                  <w:rFonts w:ascii="Times New Roman;sans-serif" w:hAnsi="Times New Roman;sans-serif"/>
                  <w:b w:val="false"/>
                  <w:color w:val="000080"/>
                  <w:sz w:val="20"/>
                  <w:u w:val="single"/>
                </w:rPr>
                <w:t xml:space="preserve"> the Company</w:t>
              </w:r>
            </w:hyperlink>
            <w:hyperlink r:id="rId39">
              <w:r>
                <w:rPr>
                  <w:rStyle w:val="InternetLink"/>
                  <w:rFonts w:ascii="Times New Roman;sans-serif" w:hAnsi="Times New Roman;sans-serif"/>
                  <w:b w:val="false"/>
                  <w:color w:val="000080"/>
                  <w:sz w:val="20"/>
                  <w:u w:val="single"/>
                </w:rPr>
                <w:t>’</w:t>
              </w:r>
            </w:hyperlink>
            <w:hyperlink r:id="rId40">
              <w:r>
                <w:rPr>
                  <w:rStyle w:val="InternetLink"/>
                  <w:rFonts w:ascii="Times New Roman;sans-serif" w:hAnsi="Times New Roman;sans-serif"/>
                  <w:b w:val="false"/>
                  <w:color w:val="000080"/>
                  <w:sz w:val="20"/>
                  <w:u w:val="single"/>
                </w:rPr>
                <w:t xml:space="preserve">s Annual Report on form </w:t>
              </w:r>
            </w:hyperlink>
            <w:hyperlink r:id="rId41">
              <w:r>
                <w:rPr>
                  <w:rStyle w:val="InternetLink"/>
                  <w:rFonts w:ascii="Times New Roman;sans-serif" w:hAnsi="Times New Roman;sans-serif"/>
                  <w:b w:val="false"/>
                  <w:color w:val="000080"/>
                  <w:sz w:val="20"/>
                  <w:u w:val="single"/>
                </w:rPr>
                <w:t>10-K, filed March 3, 2023)</w:t>
              </w:r>
            </w:hyperlink>
            <w:hyperlink r:id="rId42">
              <w:r>
                <w:rPr>
                  <w:rStyle w:val="InternetLink"/>
                  <w:rFonts w:ascii="Times New Roman;sans-serif" w:hAnsi="Times New Roman;sans-serif"/>
                  <w:b w:val="false"/>
                  <w:color w:val="000080"/>
                  <w:sz w:val="20"/>
                  <w:u w:val="single"/>
                </w:rPr>
                <w:t>.</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43">
              <w:r>
                <w:rPr>
                  <w:rStyle w:val="InternetLink"/>
                  <w:rFonts w:ascii="Times New Roman;sans-serif" w:hAnsi="Times New Roman;sans-serif"/>
                  <w:b w:val="false"/>
                  <w:color w:val="0000FF"/>
                  <w:sz w:val="20"/>
                  <w:u w:val="single"/>
                </w:rPr>
                <w:t>Third Amendment, dated as of May 2, 2023, to Loan and Security Agreement, dated as of August 5, 2022, among Siena Lending Group LLC (as Lender), Inseego Wireless, Inc., and Inseego North America LLC (as Borrowers), and Inseego Corp. (as Guarantor) (incorporated by reference to Exhibit 10.2 to the Company’s Current Report on Form 10-Q, filed on May 3, 2023).</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44">
              <w:r>
                <w:rPr>
                  <w:rStyle w:val="InternetLink"/>
                  <w:rFonts w:ascii="Times New Roman;sans-serif" w:hAnsi="Times New Roman;sans-serif"/>
                  <w:b w:val="false"/>
                  <w:color w:val="0000FF"/>
                  <w:sz w:val="20"/>
                  <w:u w:val="single"/>
                </w:rPr>
                <w:t>Exit Fee Letter Agreement, dated May 2, 2023, between Inseego Wireless, Inc., South Ocean Funding, LLC, and North Sound Ventures, LP. (incorporated by reference to Exhibit 10.3 to the Registrant’s Current Report on Form 10-Q, filed on May 3, 2023).</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sg20231231ex21.htm">
              <w:r>
                <w:rPr>
                  <w:rStyle w:val="InternetLink"/>
                  <w:rFonts w:ascii="Times New Roman;sans-serif" w:hAnsi="Times New Roman;sans-serif"/>
                  <w:b w:val="false"/>
                  <w:color w:val="0000FF"/>
                  <w:sz w:val="20"/>
                  <w:u w:val="single"/>
                </w:rPr>
                <w:t>Subsidiaries of Inseego Corp.</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nsg20231231ex231.htm">
              <w:r>
                <w:rPr>
                  <w:rStyle w:val="InternetLink"/>
                  <w:rFonts w:ascii="Times New Roman;sans-serif" w:hAnsi="Times New Roman;sans-serif"/>
                  <w:b w:val="false"/>
                  <w:color w:val="0000FF"/>
                  <w:sz w:val="20"/>
                  <w:u w:val="single"/>
                </w:rPr>
                <w:t>Consent of Independent Registered Public Accounting Firm (Marcum LLP).</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nsg20231231ex311.htm">
              <w:r>
                <w:rPr>
                  <w:rStyle w:val="InternetLink"/>
                  <w:rFonts w:ascii="Times New Roman;sans-serif" w:hAnsi="Times New Roman;sans-serif"/>
                  <w:b w:val="false"/>
                  <w:color w:val="0000FF"/>
                  <w:sz w:val="20"/>
                  <w:u w:val="single"/>
                </w:rPr>
                <w:t>Certification of our Principal Executive Officer adopted pursuant to Section 302 of the Sarbanes-Oxley Act of 2002.</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nsg20231231ex312.htm">
              <w:r>
                <w:rPr>
                  <w:rStyle w:val="InternetLink"/>
                  <w:rFonts w:ascii="Times New Roman;sans-serif" w:hAnsi="Times New Roman;sans-serif"/>
                  <w:b w:val="false"/>
                  <w:color w:val="0000FF"/>
                  <w:sz w:val="20"/>
                  <w:u w:val="single"/>
                </w:rPr>
                <w:t>Certification of our Principal Financial Officer adopted pursuant to Section 302 of the Sarbanes-Oxley Act of 2002.</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nsg20231231e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nsg20231231e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7"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6145" w:type="dxa"/>
        <w:jc w:val="center"/>
        <w:tblInd w:w="0" w:type="dxa"/>
        <w:tblLayout w:type="fixed"/>
        <w:tblCellMar>
          <w:top w:w="28" w:type="dxa"/>
          <w:left w:w="28" w:type="dxa"/>
          <w:bottom w:w="28" w:type="dxa"/>
          <w:right w:w="28" w:type="dxa"/>
        </w:tblCellMar>
      </w:tblPr>
      <w:tblGrid>
        <w:gridCol w:w="363"/>
        <w:gridCol w:w="320"/>
        <w:gridCol w:w="321"/>
        <w:gridCol w:w="109"/>
        <w:gridCol w:w="109"/>
        <w:gridCol w:w="109"/>
        <w:gridCol w:w="1405"/>
        <w:gridCol w:w="1405"/>
        <w:gridCol w:w="200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compensatory plan or arrangement</w:t>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72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See Item 15(a)(3) above.</w:t>
      </w:r>
      <w:r>
        <w:rPr>
          <w:color w:val="000000"/>
        </w:rPr>
        <w:t xml:space="preserve"> </w:t>
      </w:r>
    </w:p>
    <w:p>
      <w:pPr>
        <w:pStyle w:val="TextBody"/>
        <w:bidi w:val="0"/>
        <w:spacing w:lineRule="auto" w:line="276" w:before="180" w:after="180"/>
        <w:ind w:left="0" w:right="0" w:firstLine="72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See Item 15(a)(2)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8"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5652"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65"/>
        <w:gridCol w:w="165"/>
        <w:gridCol w:w="165"/>
        <w:gridCol w:w="165"/>
        <w:gridCol w:w="165"/>
        <w:gridCol w:w="165"/>
        <w:gridCol w:w="659"/>
        <w:gridCol w:w="659"/>
        <w:gridCol w:w="93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INSEEGO CORP.</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w:t>
            </w:r>
            <w:r>
              <w:rPr>
                <w:color w:val="000000"/>
              </w:rPr>
              <w:t xml:space="preserve"> </w:t>
            </w:r>
            <w:r>
              <w:rPr>
                <w:rFonts w:ascii="Times New Roman;sans-serif" w:hAnsi="Times New Roman;sans-serif"/>
                <w:b w:val="false"/>
                <w:color w:val="000000"/>
                <w:sz w:val="20"/>
              </w:rPr>
              <w:t>Ashish Sharma</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Ashish Sharma</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Chief Executive Officer</w:t>
              <w:br/>
              <w:t>(Principal Executive Officer)</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Annual Report on Form 10-K has been signed below by the following persons on behalf of the Registrant and in the capacities and on the dates indicated.</w:t>
      </w:r>
    </w:p>
    <w:p>
      <w:pPr>
        <w:pStyle w:val="TextBody"/>
        <w:bidi w:val="0"/>
        <w:spacing w:lineRule="auto" w:line="288" w:before="0" w:after="0"/>
        <w:jc w:val="left"/>
        <w:rPr>
          <w:color w:val="000000"/>
        </w:rPr>
      </w:pPr>
      <w:r>
        <w:rPr>
          <w:color w:val="000000"/>
        </w:rPr>
        <w:t> </w:t>
      </w:r>
    </w:p>
    <w:tbl>
      <w:tblPr>
        <w:tblW w:w="8018" w:type="dxa"/>
        <w:jc w:val="left"/>
        <w:tblInd w:w="0" w:type="dxa"/>
        <w:tblLayout w:type="fixed"/>
        <w:tblCellMar>
          <w:top w:w="28" w:type="dxa"/>
          <w:left w:w="28" w:type="dxa"/>
          <w:bottom w:w="28" w:type="dxa"/>
          <w:right w:w="28" w:type="dxa"/>
        </w:tblCellMar>
      </w:tblPr>
      <w:tblGrid>
        <w:gridCol w:w="728"/>
        <w:gridCol w:w="640"/>
        <w:gridCol w:w="641"/>
        <w:gridCol w:w="109"/>
        <w:gridCol w:w="109"/>
        <w:gridCol w:w="109"/>
        <w:gridCol w:w="1236"/>
        <w:gridCol w:w="1236"/>
        <w:gridCol w:w="1248"/>
        <w:gridCol w:w="109"/>
        <w:gridCol w:w="109"/>
        <w:gridCol w:w="109"/>
        <w:gridCol w:w="477"/>
        <w:gridCol w:w="477"/>
        <w:gridCol w:w="681"/>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Ashish Sharma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w:t>
              <w:b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Ashish Sharma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Steven Gatoff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Steven Gatoff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Tuder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Jeffrey Tuder</w:t>
            </w:r>
          </w:p>
        </w:tc>
        <w:tc>
          <w:tcPr>
            <w:tcW w:w="40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Christopher Lytle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Christopher Lytle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Christopher Harland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Christopher Harland</w:t>
            </w:r>
          </w:p>
        </w:tc>
        <w:tc>
          <w:tcPr>
            <w:tcW w:w="40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James B. Avery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B. Avery</w:t>
            </w:r>
          </w:p>
        </w:tc>
        <w:tc>
          <w:tcPr>
            <w:tcW w:w="40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Stephanie Bowers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Stephanie Bowers</w:t>
            </w:r>
          </w:p>
        </w:tc>
        <w:tc>
          <w:tcPr>
            <w:tcW w:w="40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Philip Brace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Philip Brace</w:t>
            </w:r>
          </w:p>
        </w:tc>
        <w:tc>
          <w:tcPr>
            <w:tcW w:w="40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9"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bidi w:val="0"/>
        <w:spacing w:lineRule="auto" w:line="288" w:before="0" w:after="0"/>
        <w:jc w:val="left"/>
        <w:rPr>
          <w:color w:val="000000"/>
        </w:rPr>
      </w:pPr>
      <w:r>
        <w:rPr>
          <w:color w:val="000000"/>
        </w:rPr>
        <w:t> </w:t>
      </w:r>
    </w:p>
    <w:tbl>
      <w:tblPr>
        <w:tblW w:w="6794" w:type="dxa"/>
        <w:jc w:val="center"/>
        <w:tblInd w:w="0" w:type="dxa"/>
        <w:tblLayout w:type="fixed"/>
        <w:tblCellMar>
          <w:top w:w="28" w:type="dxa"/>
          <w:left w:w="28" w:type="dxa"/>
          <w:bottom w:w="28" w:type="dxa"/>
          <w:right w:w="28" w:type="dxa"/>
        </w:tblCellMar>
      </w:tblPr>
      <w:tblGrid>
        <w:gridCol w:w="2307"/>
        <w:gridCol w:w="2028"/>
        <w:gridCol w:w="2039"/>
        <w:gridCol w:w="123"/>
        <w:gridCol w:w="123"/>
        <w:gridCol w:w="174"/>
      </w:tblGrid>
      <w:tr>
        <w:trPr/>
        <w:tc>
          <w:tcPr>
            <w:tcW w:w="2307"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88">
              <w:r>
                <w:rPr>
                  <w:rStyle w:val="InternetLink"/>
                  <w:rFonts w:ascii="Times New Roman;sans-serif" w:hAnsi="Times New Roman;sans-serif"/>
                  <w:b w:val="false"/>
                  <w:color w:val="0000FF"/>
                  <w:sz w:val="20"/>
                  <w:u w:val="single"/>
                </w:rPr>
                <w:t>Report of Independent Registered Public Accounting Firm (PCAOB ID #</w:t>
              </w:r>
            </w:hyperlink>
            <w:r>
              <w:rPr>
                <w:rFonts w:ascii="Times New Roman;sans-serif" w:hAnsi="Times New Roman;sans-serif"/>
                <w:b w:val="false"/>
                <w:color w:val="000000"/>
                <w:sz w:val="20"/>
              </w:rPr>
              <w:t>688</w:t>
            </w:r>
            <w:hyperlink w:anchor="ib120a795cd684d81b8a1cb81cc07638d_88">
              <w:r>
                <w:rPr>
                  <w:rStyle w:val="InternetLink"/>
                  <w:rFonts w:ascii="Times New Roman;sans-serif" w:hAnsi="Times New Roman;sans-serif"/>
                  <w:b w:val="false"/>
                  <w:color w:val="0000FF"/>
                  <w:sz w:val="20"/>
                  <w:u w:val="single"/>
                </w:rPr>
                <w:t>)</w:t>
              </w:r>
            </w:hyperlink>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E32E1"/>
                <w:sz w:val="20"/>
                <w:u w:val="single"/>
              </w:rPr>
              <w:t>F-</w:t>
            </w:r>
            <w:hyperlink w:anchor="ib120a795cd684d81b8a1cb81cc07638d_88">
              <w:r>
                <w:rPr>
                  <w:rStyle w:val="InternetLink"/>
                  <w:rFonts w:ascii="Times New Roman;sans-serif" w:hAnsi="Times New Roman;sans-serif"/>
                  <w:b w:val="false"/>
                  <w:color w:val="000080"/>
                  <w:sz w:val="20"/>
                  <w:u w:val="single"/>
                </w:rPr>
                <w:t>2</w:t>
              </w:r>
            </w:hyperlink>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91">
              <w:r>
                <w:rPr>
                  <w:rStyle w:val="InternetLink"/>
                  <w:rFonts w:ascii="Times New Roman;sans-serif" w:hAnsi="Times New Roman;sans-serif"/>
                  <w:b w:val="false"/>
                  <w:color w:val="0000FF"/>
                  <w:sz w:val="20"/>
                  <w:u w:val="single"/>
                </w:rPr>
                <w:t>Consolidated Balance Sheets</w:t>
              </w:r>
            </w:hyperlink>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E32E1"/>
                <w:sz w:val="20"/>
                <w:u w:val="single"/>
              </w:rPr>
              <w:t>F-</w:t>
            </w:r>
            <w:hyperlink w:anchor="ib120a795cd684d81b8a1cb81cc07638d_91">
              <w:r>
                <w:rPr>
                  <w:rStyle w:val="InternetLink"/>
                  <w:rFonts w:ascii="Times New Roman;sans-serif" w:hAnsi="Times New Roman;sans-serif"/>
                  <w:b w:val="false"/>
                  <w:color w:val="000080"/>
                  <w:sz w:val="20"/>
                  <w:u w:val="single"/>
                </w:rPr>
                <w:t>3</w:t>
              </w:r>
            </w:hyperlink>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97">
              <w:r>
                <w:rPr>
                  <w:rStyle w:val="InternetLink"/>
                  <w:rFonts w:ascii="Times New Roman;sans-serif" w:hAnsi="Times New Roman;sans-serif"/>
                  <w:b w:val="false"/>
                  <w:color w:val="0000FF"/>
                  <w:sz w:val="20"/>
                  <w:u w:val="single"/>
                </w:rPr>
                <w:t>Consolidated Statements of Operations</w:t>
              </w:r>
            </w:hyperlink>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E32E1"/>
                <w:sz w:val="20"/>
                <w:u w:val="single"/>
              </w:rPr>
              <w:t>F-</w:t>
            </w:r>
            <w:hyperlink w:anchor="ib120a795cd684d81b8a1cb81cc07638d_97">
              <w:r>
                <w:rPr>
                  <w:rStyle w:val="InternetLink"/>
                  <w:rFonts w:ascii="Times New Roman;sans-serif" w:hAnsi="Times New Roman;sans-serif"/>
                  <w:b w:val="false"/>
                  <w:color w:val="000080"/>
                  <w:sz w:val="20"/>
                  <w:u w:val="single"/>
                </w:rPr>
                <w:t>4</w:t>
              </w:r>
            </w:hyperlink>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100">
              <w:r>
                <w:rPr>
                  <w:rStyle w:val="InternetLink"/>
                  <w:rFonts w:ascii="Times New Roman;sans-serif" w:hAnsi="Times New Roman;sans-serif"/>
                  <w:b w:val="false"/>
                  <w:color w:val="0000FF"/>
                  <w:sz w:val="20"/>
                  <w:u w:val="single"/>
                </w:rPr>
                <w:t>Consolidated Statements of Comprehensive Loss</w:t>
              </w:r>
            </w:hyperlink>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E32E1"/>
                <w:sz w:val="20"/>
                <w:u w:val="single"/>
              </w:rPr>
              <w:t>F-</w:t>
            </w:r>
            <w:hyperlink w:anchor="ib120a795cd684d81b8a1cb81cc07638d_100">
              <w:r>
                <w:rPr>
                  <w:rStyle w:val="InternetLink"/>
                  <w:rFonts w:ascii="Times New Roman;sans-serif" w:hAnsi="Times New Roman;sans-serif"/>
                  <w:b w:val="false"/>
                  <w:color w:val="000080"/>
                  <w:sz w:val="20"/>
                  <w:u w:val="single"/>
                </w:rPr>
                <w:t>5</w:t>
              </w:r>
            </w:hyperlink>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103">
              <w:r>
                <w:rPr>
                  <w:rStyle w:val="InternetLink"/>
                  <w:rFonts w:ascii="Times New Roman;sans-serif" w:hAnsi="Times New Roman;sans-serif"/>
                  <w:b w:val="false"/>
                  <w:color w:val="0000FF"/>
                  <w:sz w:val="20"/>
                  <w:u w:val="single"/>
                </w:rPr>
                <w:t>Consolidated Statements of Stockholders’ Deficit</w:t>
              </w:r>
            </w:hyperlink>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E32E1"/>
                <w:sz w:val="20"/>
                <w:u w:val="single"/>
              </w:rPr>
              <w:t>F-</w:t>
            </w:r>
            <w:hyperlink w:anchor="ib120a795cd684d81b8a1cb81cc07638d_103">
              <w:r>
                <w:rPr>
                  <w:rStyle w:val="InternetLink"/>
                  <w:rFonts w:ascii="Times New Roman;sans-serif" w:hAnsi="Times New Roman;sans-serif"/>
                  <w:b w:val="false"/>
                  <w:color w:val="000080"/>
                  <w:sz w:val="20"/>
                  <w:u w:val="single"/>
                </w:rPr>
                <w:t>6</w:t>
              </w:r>
            </w:hyperlink>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106">
              <w:r>
                <w:rPr>
                  <w:rStyle w:val="InternetLink"/>
                  <w:rFonts w:ascii="Times New Roman;sans-serif" w:hAnsi="Times New Roman;sans-serif"/>
                  <w:b w:val="false"/>
                  <w:color w:val="0000FF"/>
                  <w:sz w:val="20"/>
                  <w:u w:val="single"/>
                </w:rPr>
                <w:t>Consolidated Statements of Cash Flows</w:t>
              </w:r>
            </w:hyperlink>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E32E1"/>
                <w:sz w:val="20"/>
                <w:u w:val="single"/>
              </w:rPr>
              <w:t>F-</w:t>
            </w:r>
            <w:hyperlink w:anchor="ib120a795cd684d81b8a1cb81cc07638d_106">
              <w:r>
                <w:rPr>
                  <w:rStyle w:val="InternetLink"/>
                  <w:rFonts w:ascii="Times New Roman;sans-serif" w:hAnsi="Times New Roman;sans-serif"/>
                  <w:b w:val="false"/>
                  <w:color w:val="000080"/>
                  <w:sz w:val="20"/>
                  <w:u w:val="single"/>
                </w:rPr>
                <w:t>7</w:t>
              </w:r>
            </w:hyperlink>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120a795cd684d81b8a1cb81cc07638d_109">
              <w:r>
                <w:rPr>
                  <w:rStyle w:val="InternetLink"/>
                  <w:rFonts w:ascii="Times New Roman;sans-serif" w:hAnsi="Times New Roman;sans-serif"/>
                  <w:b w:val="false"/>
                  <w:color w:val="0000FF"/>
                  <w:sz w:val="20"/>
                  <w:u w:val="single"/>
                </w:rPr>
                <w:t>Notes to Consolidated Financial Statements</w:t>
              </w:r>
            </w:hyperlink>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E32E1"/>
                <w:sz w:val="20"/>
                <w:u w:val="single"/>
              </w:rPr>
              <w:t>F-</w:t>
            </w:r>
            <w:hyperlink w:anchor="ib120a795cd684d81b8a1cb81cc07638d_109">
              <w:r>
                <w:rPr>
                  <w:rStyle w:val="InternetLink"/>
                  <w:rFonts w:ascii="Times New Roman;sans-serif" w:hAnsi="Times New Roman;sans-serif"/>
                  <w:b w:val="false"/>
                  <w:color w:val="000080"/>
                  <w:sz w:val="20"/>
                  <w:u w:val="single"/>
                </w:rPr>
                <w:t>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center"/>
        <w:rPr>
          <w:rFonts w:ascii="Times New Roman;sans-serif" w:hAnsi="Times New Roman;sans-serif"/>
          <w:b/>
          <w:color w:val="000000"/>
          <w:sz w:val="22"/>
        </w:rPr>
      </w:pPr>
      <w:r>
        <w:rPr>
          <w:rFonts w:ascii="Times New Roman;sans-serif" w:hAnsi="Times New Roman;sans-serif"/>
          <w:b/>
          <w:color w:val="000000"/>
          <w:sz w:val="22"/>
        </w:rPr>
        <w:t>REPORT OF INDEPENDENT REGISTERED PUBLIC ACCOUNTING FIRM</w:t>
      </w:r>
    </w:p>
    <w:p>
      <w:pPr>
        <w:pStyle w:val="TextBody"/>
        <w:bidi w:val="0"/>
        <w:spacing w:lineRule="auto" w:line="276"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Board of Directors of Inseego Corp. </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76"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Inseego Corp. (the “Company”) as of December 31, 2023 and 2022, the related consolidated statements of operations, comprehensive loss, stockholders’ deficit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76"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76"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bidi w:val="0"/>
        <w:spacing w:lineRule="auto" w:line="276"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lineRule="auto" w:line="276" w:before="180" w:after="180"/>
        <w:jc w:val="left"/>
        <w:rPr/>
      </w:pPr>
      <w:r>
        <w:rPr>
          <w:rFonts w:ascii="Times New Roman;sans-serif" w:hAnsi="Times New Roman;sans-serif"/>
          <w:b/>
          <w:color w:val="000000"/>
          <w:sz w:val="20"/>
        </w:rPr>
        <w:t xml:space="preserve">/s/ </w:t>
      </w:r>
      <w:r>
        <w:rPr>
          <w:rFonts w:ascii="Times New Roman;sans-serif" w:hAnsi="Times New Roman;sans-serif"/>
          <w:b w:val="false"/>
          <w:color w:val="000000"/>
          <w:sz w:val="20"/>
        </w:rPr>
        <w:t xml:space="preserve">Marcum </w:t>
      </w:r>
      <w:r>
        <w:rPr>
          <w:rFonts w:ascii="Times New Roman;sans-serif" w:hAnsi="Times New Roman;sans-serif"/>
          <w:b w:val="false"/>
          <w:color w:val="000000"/>
          <w:sz w:val="16"/>
        </w:rPr>
        <w:t>LLP</w:t>
      </w:r>
    </w:p>
    <w:p>
      <w:pPr>
        <w:pStyle w:val="TextBody"/>
        <w:bidi w:val="0"/>
        <w:spacing w:lineRule="auto" w:line="276" w:before="180" w:after="180"/>
        <w:jc w:val="left"/>
        <w:rPr/>
      </w:pPr>
      <w:r>
        <w:rPr>
          <w:rFonts w:ascii="Times New Roman;sans-serif" w:hAnsi="Times New Roman;sans-serif"/>
          <w:b w:val="false"/>
          <w:color w:val="000000"/>
          <w:sz w:val="20"/>
        </w:rPr>
        <w:t xml:space="preserve">Marcum </w:t>
      </w:r>
      <w:r>
        <w:rPr>
          <w:rFonts w:ascii="Times New Roman;sans-serif" w:hAnsi="Times New Roman;sans-serif"/>
          <w:b w:val="false"/>
          <w:color w:val="000000"/>
          <w:sz w:val="16"/>
        </w:rPr>
        <w:t>LLP</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served as the Company’s auditor since 2018. </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Philadelphia, Pennsylvania </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p>
      <w:pPr>
        <w:pStyle w:val="TextBody"/>
        <w:bidi w:val="0"/>
        <w:spacing w:before="180" w:after="180"/>
        <w:jc w:val="left"/>
        <w:rPr/>
      </w:pPr>
      <w:r>
        <w:rPr/>
      </w:r>
    </w:p>
    <w:p>
      <w:pPr>
        <w:pStyle w:val="TextBody"/>
        <w:bidi w:val="0"/>
        <w:spacing w:before="180" w:after="180"/>
        <w:jc w:val="center"/>
        <w:rPr/>
      </w:pPr>
      <w:r>
        <w:rPr/>
      </w:r>
    </w:p>
    <w:p>
      <w:pPr>
        <w:pStyle w:val="TextBody"/>
        <w:bidi w:val="0"/>
        <w:spacing w:before="180" w:after="180"/>
        <w:jc w:val="center"/>
        <w:rPr/>
      </w:pPr>
      <w:r>
        <w:rPr/>
      </w:r>
    </w:p>
    <w:p>
      <w:pPr>
        <w:pStyle w:val="TextBody"/>
        <w:bidi w:val="0"/>
        <w:spacing w:before="180" w:after="180"/>
        <w:jc w:val="both"/>
        <w:rPr/>
      </w:pPr>
      <w:r>
        <w:rPr/>
      </w:r>
    </w:p>
    <w:p>
      <w:pPr>
        <w:pStyle w:val="TextBody"/>
        <w:bidi w:val="0"/>
        <w:spacing w:before="180" w:after="180"/>
        <w:jc w:val="left"/>
        <w:rPr/>
      </w:pPr>
      <w:r>
        <w:rPr/>
      </w:r>
    </w:p>
    <w:p>
      <w:pPr>
        <w:pStyle w:val="TextBody"/>
        <w:bidi w:val="0"/>
        <w:spacing w:before="180" w:after="180"/>
        <w:jc w:val="left"/>
        <w:rPr/>
      </w:pPr>
      <w:r>
        <w:rPr/>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3118"/>
        <w:gridCol w:w="2312"/>
        <w:gridCol w:w="2319"/>
        <w:gridCol w:w="196"/>
        <w:gridCol w:w="736"/>
        <w:gridCol w:w="109"/>
        <w:gridCol w:w="109"/>
        <w:gridCol w:w="109"/>
        <w:gridCol w:w="109"/>
        <w:gridCol w:w="196"/>
        <w:gridCol w:w="736"/>
        <w:gridCol w:w="156"/>
      </w:tblGrid>
      <w:tr>
        <w:trPr/>
        <w:tc>
          <w:tcPr>
            <w:tcW w:w="3118"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 for expected credit losses of $1,113 and $541,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of accumulated depreciation of $28,920 and $26,049,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Rental assets, net of accumulated depreciation of $7,003 and $5,484,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 of accumulated amortization of $39,987 and $31,629,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DEFICIT</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Notes,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deficit: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par value $0.001; 2,000,000 shares authorized: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E Preferred stock, par value $0.001; 39,500 shares designated, 25,000 shares issued and outstanding as of December 31, 2023 and 2022 (aggregate liquidation preference of $35,123)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Common stock, par value $0.001; 150,000,000 shares authorized, 11,878,557 shares issued and outstanding as of December 31, 2023 and 10,846,815 shares issued and outstanding as of December 31, 2022 </w:t>
            </w:r>
            <w:r>
              <w:rPr>
                <w:rFonts w:ascii="Times New Roman;sans-serif" w:hAnsi="Times New Roman;sans-serif"/>
                <w:b w:val="false"/>
                <w:color w:val="000000"/>
                <w:sz w:val="12"/>
              </w:rPr>
              <w:t>(</w:t>
            </w:r>
            <w:r>
              <w:rPr>
                <w:rFonts w:ascii="Times New Roman;sans-serif" w:hAnsi="Times New Roman;sans-serif"/>
                <w:b w:val="false"/>
                <w:color w:val="000000"/>
                <w:sz w:val="18"/>
              </w:rPr>
              <w:t>*</w:t>
            </w:r>
            <w:r>
              <w:rPr>
                <w:rFonts w:ascii="Times New Roman;sans-serif" w:hAnsi="Times New Roman;sans-serif"/>
                <w:b w:val="false"/>
                <w:color w:val="000000"/>
                <w:sz w:val="12"/>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Additional paid-in capital </w:t>
            </w:r>
            <w:r>
              <w:rPr>
                <w:rFonts w:ascii="Times New Roman;sans-serif" w:hAnsi="Times New Roman;sans-serif"/>
                <w:b w:val="false"/>
                <w:color w:val="000000"/>
                <w:sz w:val="12"/>
              </w:rPr>
              <w:t>(</w:t>
            </w:r>
            <w:r>
              <w:rPr>
                <w:rFonts w:ascii="Times New Roman;sans-serif" w:hAnsi="Times New Roman;sans-serif"/>
                <w:b w:val="false"/>
                <w:color w:val="000000"/>
                <w:sz w:val="18"/>
              </w:rPr>
              <w:t>*</w:t>
            </w:r>
            <w:r>
              <w:rPr>
                <w:rFonts w:ascii="Times New Roman;sans-serif" w:hAnsi="Times New Roman;sans-serif"/>
                <w:b w:val="false"/>
                <w:color w:val="000000"/>
                <w:sz w:val="12"/>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793,952 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(857,752)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(70,118)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deficit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159,949 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Adjusted retroactively for reverse stock split that occurred on January 24, 2024, see Note 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p>
      <w:pPr>
        <w:pStyle w:val="TextBody"/>
        <w:bidi w:val="0"/>
        <w:spacing w:lineRule="auto" w:line="288" w:before="0" w:after="0"/>
        <w:jc w:val="left"/>
        <w:rPr>
          <w:color w:val="000000"/>
        </w:rPr>
      </w:pPr>
      <w:r>
        <w:rPr>
          <w:color w:val="000000"/>
        </w:rPr>
        <w:t> </w:t>
      </w:r>
    </w:p>
    <w:tbl>
      <w:tblPr>
        <w:tblW w:w="8046" w:type="dxa"/>
        <w:jc w:val="left"/>
        <w:tblInd w:w="0" w:type="dxa"/>
        <w:tblLayout w:type="fixed"/>
        <w:tblCellMar>
          <w:top w:w="28" w:type="dxa"/>
          <w:left w:w="28" w:type="dxa"/>
          <w:bottom w:w="28" w:type="dxa"/>
          <w:right w:w="28" w:type="dxa"/>
        </w:tblCellMar>
      </w:tblPr>
      <w:tblGrid>
        <w:gridCol w:w="2005"/>
        <w:gridCol w:w="1761"/>
        <w:gridCol w:w="1768"/>
        <w:gridCol w:w="219"/>
        <w:gridCol w:w="742"/>
        <w:gridCol w:w="109"/>
        <w:gridCol w:w="109"/>
        <w:gridCol w:w="109"/>
        <w:gridCol w:w="109"/>
        <w:gridCol w:w="202"/>
        <w:gridCol w:w="759"/>
        <w:gridCol w:w="154"/>
      </w:tblGrid>
      <w:tr>
        <w:trPr/>
        <w:tc>
          <w:tcPr>
            <w:tcW w:w="2005"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Mobile solutions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wireless access solutions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revenues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 and other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245,323 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 and other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revenues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costs and expenses: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capitalized software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costs and expenses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 (benefit)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(67,969)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E preferred stock dividends and deemed dividends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 share data:</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Basic and diluted </w:t>
            </w:r>
            <w:r>
              <w:rPr>
                <w:rFonts w:ascii="Times New Roman;sans-serif" w:hAnsi="Times New Roman;sans-serif"/>
                <w:b w:val="false"/>
                <w:color w:val="000000"/>
                <w:sz w:val="12"/>
              </w:rPr>
              <w:t>(</w:t>
            </w:r>
            <w:r>
              <w:rPr>
                <w:rFonts w:ascii="Times New Roman;sans-serif" w:hAnsi="Times New Roman;sans-serif"/>
                <w:b w:val="false"/>
                <w:color w:val="000000"/>
                <w:sz w:val="18"/>
              </w:rPr>
              <w:t>*</w:t>
            </w:r>
            <w:r>
              <w:rPr>
                <w:rFonts w:ascii="Times New Roman;sans-serif" w:hAnsi="Times New Roman;sans-serif"/>
                <w:b w:val="false"/>
                <w:color w:val="000000"/>
                <w:sz w:val="12"/>
              </w:rPr>
              <w:t>)</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computation of net loss per common share:</w:t>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Basic and diluted </w:t>
            </w:r>
            <w:r>
              <w:rPr>
                <w:rFonts w:ascii="Times New Roman;sans-serif" w:hAnsi="Times New Roman;sans-serif"/>
                <w:b w:val="false"/>
                <w:color w:val="000000"/>
                <w:sz w:val="12"/>
              </w:rPr>
              <w:t>(</w:t>
            </w:r>
            <w:r>
              <w:rPr>
                <w:rFonts w:ascii="Times New Roman;sans-serif" w:hAnsi="Times New Roman;sans-serif"/>
                <w:b w:val="false"/>
                <w:color w:val="000000"/>
                <w:sz w:val="18"/>
              </w:rPr>
              <w:t>*</w:t>
            </w:r>
            <w:r>
              <w:rPr>
                <w:rFonts w:ascii="Times New Roman;sans-serif" w:hAnsi="Times New Roman;sans-serif"/>
                <w:b w:val="false"/>
                <w:color w:val="000000"/>
                <w:sz w:val="12"/>
              </w:rPr>
              <w:t>)</w:t>
            </w:r>
          </w:p>
        </w:tc>
        <w:tc>
          <w:tcPr>
            <w:tcW w:w="96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11,372,069 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10,726,933 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Adjusted retroactively for reverse stock split that occurred on January 24, 2024, see Note 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tbl>
      <w:tblPr>
        <w:tblW w:w="5349" w:type="dxa"/>
        <w:jc w:val="center"/>
        <w:tblInd w:w="0" w:type="dxa"/>
        <w:tblLayout w:type="fixed"/>
        <w:tblCellMar>
          <w:top w:w="28" w:type="dxa"/>
          <w:left w:w="28" w:type="dxa"/>
          <w:bottom w:w="28" w:type="dxa"/>
          <w:right w:w="28" w:type="dxa"/>
        </w:tblCellMar>
      </w:tblPr>
      <w:tblGrid>
        <w:gridCol w:w="1058"/>
        <w:gridCol w:w="927"/>
        <w:gridCol w:w="940"/>
        <w:gridCol w:w="196"/>
        <w:gridCol w:w="721"/>
        <w:gridCol w:w="109"/>
        <w:gridCol w:w="109"/>
        <w:gridCol w:w="109"/>
        <w:gridCol w:w="109"/>
        <w:gridCol w:w="196"/>
        <w:gridCol w:w="721"/>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gain:</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comprehensive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(65,767)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before="6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DEFICIT</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tbl>
      <w:tblPr>
        <w:tblW w:w="10743" w:type="dxa"/>
        <w:jc w:val="center"/>
        <w:tblInd w:w="0" w:type="dxa"/>
        <w:tblLayout w:type="fixed"/>
        <w:tblCellMar>
          <w:top w:w="28" w:type="dxa"/>
          <w:left w:w="28" w:type="dxa"/>
          <w:bottom w:w="28" w:type="dxa"/>
          <w:right w:w="28" w:type="dxa"/>
        </w:tblCellMar>
      </w:tblPr>
      <w:tblGrid>
        <w:gridCol w:w="735"/>
        <w:gridCol w:w="225"/>
        <w:gridCol w:w="226"/>
        <w:gridCol w:w="203"/>
        <w:gridCol w:w="203"/>
        <w:gridCol w:w="171"/>
        <w:gridCol w:w="109"/>
        <w:gridCol w:w="109"/>
        <w:gridCol w:w="109"/>
        <w:gridCol w:w="196"/>
        <w:gridCol w:w="406"/>
        <w:gridCol w:w="109"/>
        <w:gridCol w:w="109"/>
        <w:gridCol w:w="109"/>
        <w:gridCol w:w="109"/>
        <w:gridCol w:w="323"/>
        <w:gridCol w:w="323"/>
        <w:gridCol w:w="171"/>
        <w:gridCol w:w="109"/>
        <w:gridCol w:w="109"/>
        <w:gridCol w:w="109"/>
        <w:gridCol w:w="196"/>
        <w:gridCol w:w="421"/>
        <w:gridCol w:w="109"/>
        <w:gridCol w:w="109"/>
        <w:gridCol w:w="109"/>
        <w:gridCol w:w="109"/>
        <w:gridCol w:w="196"/>
        <w:gridCol w:w="736"/>
        <w:gridCol w:w="109"/>
        <w:gridCol w:w="109"/>
        <w:gridCol w:w="109"/>
        <w:gridCol w:w="109"/>
        <w:gridCol w:w="109"/>
        <w:gridCol w:w="109"/>
        <w:gridCol w:w="196"/>
        <w:gridCol w:w="751"/>
        <w:gridCol w:w="109"/>
        <w:gridCol w:w="109"/>
        <w:gridCol w:w="109"/>
        <w:gridCol w:w="109"/>
        <w:gridCol w:w="228"/>
        <w:gridCol w:w="665"/>
        <w:gridCol w:w="128"/>
        <w:gridCol w:w="109"/>
        <w:gridCol w:w="109"/>
        <w:gridCol w:w="109"/>
        <w:gridCol w:w="196"/>
        <w:gridCol w:w="751"/>
        <w:gridCol w:w="154"/>
      </w:tblGrid>
      <w:tr>
        <w:trPr/>
        <w:tc>
          <w:tcPr>
            <w:tcW w:w="7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 xml:space="preserve">Comprehensive (Loss)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 Deficit</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Shares </w:t>
            </w:r>
            <w:r>
              <w:rPr>
                <w:rFonts w:ascii="Times New Roman;sans-serif" w:hAnsi="Times New Roman;sans-serif"/>
                <w:b/>
                <w:color w:val="000000"/>
                <w:sz w:val="9"/>
              </w:rPr>
              <w:t>(</w:t>
            </w:r>
            <w:r>
              <w:rPr>
                <w:rFonts w:ascii="Times New Roman;sans-serif" w:hAnsi="Times New Roman;sans-serif"/>
                <w:b/>
                <w:color w:val="000000"/>
                <w:sz w:val="14"/>
              </w:rPr>
              <w:t>*</w:t>
            </w:r>
            <w:r>
              <w:rPr>
                <w:rFonts w:ascii="Times New Roman;sans-serif" w:hAnsi="Times New Roman;sans-serif"/>
                <w:b/>
                <w:color w:val="000000"/>
                <w:sz w:val="9"/>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2021</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10,538 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(787,047)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loss </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(67,969)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 relating to extinguishment of 2022 Notes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 vesting of RSUs and stock issued under ESPP</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withheld on net settled vesting of RSUs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E preferred stock dividends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Impact of retroactively adjusted stock split</w:t>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2022</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10,847 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(857,752)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(6,329)</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RSUs and stock issued under ESPP, net of taxes withheld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in connection with a public offering, net of issuance costs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E preferred stock dividends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Impact of retroactively adjusted reverse stock split</w:t>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2023</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11,879 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810,138 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(906,928)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(5,327)</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(102,105)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Adjusted retroactively for reverse stock split that occurred on January 24, 2024, see Note 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INSEEGO CORP.</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tbl>
      <w:tblPr>
        <w:tblW w:w="8499" w:type="dxa"/>
        <w:jc w:val="center"/>
        <w:tblInd w:w="0" w:type="dxa"/>
        <w:tblLayout w:type="fixed"/>
        <w:tblCellMar>
          <w:top w:w="28" w:type="dxa"/>
          <w:left w:w="28" w:type="dxa"/>
          <w:bottom w:w="28" w:type="dxa"/>
          <w:right w:w="28" w:type="dxa"/>
        </w:tblCellMar>
      </w:tblPr>
      <w:tblGrid>
        <w:gridCol w:w="2201"/>
        <w:gridCol w:w="1929"/>
        <w:gridCol w:w="1945"/>
        <w:gridCol w:w="196"/>
        <w:gridCol w:w="721"/>
        <w:gridCol w:w="109"/>
        <w:gridCol w:w="109"/>
        <w:gridCol w:w="109"/>
        <w:gridCol w:w="109"/>
        <w:gridCol w:w="196"/>
        <w:gridCol w:w="721"/>
        <w:gridCol w:w="154"/>
      </w:tblGrid>
      <w:tr>
        <w:trPr/>
        <w:tc>
          <w:tcPr>
            <w:tcW w:w="2201"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provided by (used in) operating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adjustment on derivative instrument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expected credit losses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capitalized software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excess and obsolete inventory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Write-off of capitalized inventory order fees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operating lease right-of-use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discount and debt issuance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debt conversion and extinguishment,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 net of effects of divestiture:</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other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(33,289)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plant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Additions to capitalized software development costs and purchases of intangible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repayment of bank and overdraft facilities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(repayments) borrowings on asset-backed revolving credit facility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debt issuance costs on asset-backed revolving credit facility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under finance lease obligations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financed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a public offering, net of issuance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stock option exercises and ESPP</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rates on cash</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cash equivalents and restricted cash</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disclosures of cash flow information:</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year for:</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disclosures of non-cash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 of inventories to rental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 obtained in exchange for operating leases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 financed through accounts payable or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6"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Note 1. Nature of Business and Significant Accounting Policies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Inseego Corp. (the “Company”, “Inseego”, “We” or “Our”) is a leader in the design and development of fixed and mobile wireless products as well as cloud solutions for businesses, consumers, and governments around the globe. Our products and solutions are powered by our key wireless innovations in mobile and FWA technologies, including a suite of products employing the 5G NR standards, and purpose-built SaaS cloud platforms.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Inseego is a Delaware corporation formed in 2016 and is the successor to Novatel Wireless, Inc., a Delaware corporation formed in 1996, resulting from an internal reorganization that was completed in November 2016. The Company’s principal executive office is located at 9710 Scranton Road, Suite 200, San Diego, CA 92121. The Company’s corporate offices are also located at 9710 Scranton Road, Suite 200, San Diego CA 92121 and its sales and engineering offices are located throughout the world. Inseego’s common stock trades on the NASDAQ Global Select Market under the trading symbol “INSG.”</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the Company and its wholly-owned subsidiaries. All intercompany transactions and balances have been eliminated in consolidation.</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of Inseego Corp. present information in accordance with generally accepted accounting principles in the U.S. (“GAAP”), have been prepared pursuant to the rules and regulations of the SEC and, in the opinion of management, present fairly the consolidated financial position, results of operations and cash flows of the Company and its wholly-owned subsidiaries for the periods presented.</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Certain amounts recorded in the prior period consolidated financial statements have been reclassified to conform to the current period financial statement presentation. These reclassifications had no effect on previously reported operating results.</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During 2023 the Company has reclassified revenue on the Consolidated Statement of Operations. Historically, the Company classified revenues from products and services into two categories, IoT &amp; Mobile Solutions and Enterprise SaaS Solutions. The Company is now classifying revenues from products and services into the following two categories: Product Revenue, which consists of our Mobile Solutions and Fixed Wireless Access Solutions, and Services and Other. See </w:t>
      </w:r>
      <w:r>
        <w:rPr>
          <w:rFonts w:ascii="Times New Roman;sans-serif" w:hAnsi="Times New Roman;sans-serif"/>
          <w:b w:val="false"/>
          <w:i/>
          <w:color w:val="000000"/>
          <w:sz w:val="20"/>
        </w:rPr>
        <w:t>Revenue Recognition</w:t>
      </w:r>
      <w:r>
        <w:rPr>
          <w:color w:val="000000"/>
        </w:rPr>
        <w:t xml:space="preserve"> </w:t>
      </w:r>
      <w:r>
        <w:rPr>
          <w:rFonts w:ascii="Times New Roman;sans-serif" w:hAnsi="Times New Roman;sans-serif"/>
          <w:b w:val="false"/>
          <w:color w:val="000000"/>
          <w:sz w:val="20"/>
        </w:rPr>
        <w:t xml:space="preserve">below for a description of these groupings. Additionally, during 2023 the Company reclassified all depreciation and amortization expense previously recorded in the operating expense line items of research and development, sales and marketing, and general and administrative expenses on the Consolidated Statement of Operations into a separate line labeled </w:t>
      </w:r>
      <w:r>
        <w:rPr>
          <w:rFonts w:ascii="Times New Roman;sans-serif" w:hAnsi="Times New Roman;sans-serif"/>
          <w:b w:val="false"/>
          <w:i/>
          <w:color w:val="000000"/>
          <w:sz w:val="20"/>
        </w:rPr>
        <w:t>Depreciation and amortization.</w:t>
      </w:r>
      <w:r>
        <w:rPr>
          <w:color w:val="000000"/>
        </w:rPr>
        <w:t xml:space="preserve"> </w:t>
      </w:r>
      <w:r>
        <w:rPr>
          <w:rFonts w:ascii="Times New Roman;sans-serif" w:hAnsi="Times New Roman;sans-serif"/>
          <w:b w:val="false"/>
          <w:color w:val="000000"/>
          <w:sz w:val="20"/>
        </w:rPr>
        <w:t>All prior periods have been reclassified to conform to the current period presentation for these changes.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Reverse Stock Split</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24, 2024, the Company completed a 1-for-10 reverse stock split of its issued and outstanding common stock (the “Reverse Stock Split”). As a result of the Reverse Stock Split, each share of common stock issued and outstanding immediately prior to January 24th were automatically converted into one-tenth (1/10) of a share of common stock. The Reverse Stock Split affected all common stockholders uniformly and did not alter any stockholder's percentage interest in the Company's equity, except to the extent that the Reverse Stock Split would result in a stockholder owning a fractional share. No fractional shares were issued in connection with the Reverse Stock Split. Stockholders who otherwise would be entitled to receive a fractional share instead were entitled to receive cash in lieu of such fractional share.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Reverse Stock Split did not change the par value of the common stock or the authorized number of shares of common stock. All outstanding convertible notes entitling their holders to purchase or obtain or convert into shares of our common stock were adjusted, as required by the terms of these securities.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common share and per-share amounts in this Form 10-K have been retroactively restated to reflect the effect of the Reverse Stock Split.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7"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one reportable segment. The Chief Executive Officer, who is also the Chief Operating Decision Maker, does not manage any part of the Company separately, and the allocation of resources and assessment of performance is based solely on the Company’s consolidated operations and financial results. </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These estimates and assumptions affect the reported amounts of assets, liabilities, revenues and expenses, and the disclosure of contingent liabilities. Actual results could differ materially from these estimates. Estimates are assessed each period and updated to reflect current information. Significant estimates include revenue recognition, capitalized software costs, allowance for credit losses, provision for excess and obsolete inventory, accrued liabilities related to our contract manufacturers, valuation of tangible and intangible long-lived assets, valuation of goodwill, valuation of derivatives, accruals relating to litigation, income taxes and share-based compensation expense.</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Risks and Uncertainties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be affected by various macroeconomic factors and the current and future conditions in the global financial markets. The global credit and financial markets have recently experienced volatility and disruptions, including diminished liquidity and credit availability, declines in consumer confidence, declines in economic growth, rising interest rates, inflation, increases in unemployment rates and uncertainty about economic stability. The inflationary pressures impacting the global supply chain could potentially increase the cost of revenues in the current and future years. The ongoing inflation challenges could adversely impact future revenues, gross margins and financial results.</w:t>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a global semiconductor supply shortage continues to have wide-ranging impacts across the technology industry. While the shortage has not materially impacted the Company’s operations and financial results, it may negatively impact the Company’s customers and the supply of materials needed for testing and production timeline. The Company’s suppliers, contract manufacturers, and customers are all taking actions to reduce the impact of the semiconductor shortage; however, if the shortage persists, the impact on operations and financial results could be material.</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had available cash and cash equivalents totaling $7.5 million, working capital of $2.3 million, and $3.2 million of availability to borrow under its secured asset-backed Credit Facility (as defined below). </w:t>
      </w:r>
    </w:p>
    <w:p>
      <w:pPr>
        <w:pStyle w:val="TextBody"/>
        <w:bidi w:val="0"/>
        <w:spacing w:lineRule="auto" w:line="25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history of operating and net losses and overall usage of cash from operating and investing activities. The Company’s management believes that its cash and cash equivalents on-hand, together with anticipated cash flows from operations, expected availability under its secured asset-backed Credit Facility, and anticipated savings from ongoing cost reduction efforts, will be sufficient to meet its cash flow needs for the next twelve months from the filing date of this report. The Company’s ability to attain profitable operations and generate positive cash flow is dependent upon achieving a level and mix of revenues adequate to support its evolving cost structure. If events or circumstances occur such that the Company does not meet its operating plan as expected, or if the Company becomes obligated to pay unforeseen expenditures as a result of potential litigation or otherwise, the Company may be required to raise capital, reduce planned research and development activities, incur additional restructuring charges or reduce other operating expenses and capital expenditures, which could have an adverse impact on the Company’s ability to achieve its intended business objectives.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Credit Facility has a maturity date of December 31, 2024. The Company’s convertible 2025 Notes (as defined below) have a principal balance of $161.9 million and matures on May 1, 2025. The Company’s intention is to restructure or refinance the Credit Facility and the 2025 Notes, however there can be no assurance that any required or desired restructuring or financing will be available on terms favorable to the Company, or at all. See Note 5 – Debt for more information on the Credit Facility and the 2025 Notes. </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highly liquid investments with original maturities of three months or less. The Company’s cash and cash equivalents are generally held with large financial institutions worldwide to reduce the amount of exposure to credit risk. Cash and cash equivalents are recorded at market value, which approximates cost. There are no cash equivalents as of December 31, 2023 or December 31, 2022. Gains and losses associated with the Company’s foreign currency denominated demand deposits are recorded as a component of other income, net, in the consolidated statements of operations. Restricted cash held in escrow as of December 31, 2021 was released during 2022 and we no longer have any restricted cash on our balance sheet as of December 31, 2023 and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8" name="Frame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products and services primarily include intelligent mobile hotspots, wireless routers for IoT applications, USB modems, integrated telematics and mobile tracking hardware devices, which are supported by applications software and cloud services designed to enable customers to easily analyze data insights and configure and manage their hardware.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classifies its revenues from the sale of its products and services into two categories, Product Revenue, which consists of our Mobile Solutions and Fixed Wireless Access Solutions, and Services and Other. </w:t>
      </w:r>
    </w:p>
    <w:p>
      <w:pPr>
        <w:pStyle w:val="TextBody"/>
        <w:bidi w:val="0"/>
        <w:spacing w:lineRule="auto" w:line="276" w:before="180" w:after="180"/>
        <w:jc w:val="left"/>
        <w:rPr/>
      </w:pPr>
      <w:r>
        <w:rPr>
          <w:rFonts w:ascii="Times New Roman;sans-serif" w:hAnsi="Times New Roman;sans-serif"/>
          <w:b w:val="false"/>
          <w:color w:val="000000"/>
          <w:sz w:val="20"/>
        </w:rPr>
        <w:t xml:space="preserve">See geographic disaggregation information in </w:t>
      </w:r>
      <w:r>
        <w:rPr>
          <w:rFonts w:ascii="Times New Roman;sans-serif" w:hAnsi="Times New Roman;sans-serif"/>
          <w:b w:val="false"/>
          <w:i/>
          <w:color w:val="000000"/>
          <w:sz w:val="20"/>
        </w:rPr>
        <w:t>Note 12 – Geographic Information and Concentrations of Risk</w:t>
      </w:r>
      <w:r>
        <w:rPr>
          <w:rFonts w:ascii="Times New Roman;sans-serif" w:hAnsi="Times New Roman;sans-serif"/>
          <w:b w:val="false"/>
          <w:color w:val="000000"/>
          <w:sz w:val="20"/>
        </w:rPr>
        <w:t>.</w:t>
      </w:r>
    </w:p>
    <w:p>
      <w:pPr>
        <w:pStyle w:val="TextBody"/>
        <w:bidi w:val="0"/>
        <w:spacing w:lineRule="auto" w:line="276" w:before="0" w:after="0"/>
        <w:ind w:left="0" w:right="0" w:firstLine="450"/>
        <w:jc w:val="left"/>
        <w:rPr/>
      </w:pPr>
      <w:r>
        <w:rPr>
          <w:rFonts w:ascii="Times New Roman;sans-serif" w:hAnsi="Times New Roman;sans-serif"/>
          <w:b w:val="false"/>
          <w:i/>
          <w:color w:val="000000"/>
          <w:sz w:val="20"/>
          <w:shd w:fill="FFFFFF" w:val="clear"/>
        </w:rPr>
        <w:t>Mobile solutions:</w:t>
      </w:r>
      <w:r>
        <w:rPr>
          <w:color w:val="000000"/>
          <w:shd w:fill="FFFFFF" w:val="clear"/>
        </w:rPr>
        <w:t xml:space="preserve"> </w:t>
      </w:r>
      <w:r>
        <w:rPr>
          <w:rFonts w:ascii="Times New Roman;sans-serif" w:hAnsi="Times New Roman;sans-serif"/>
          <w:b w:val="false"/>
          <w:color w:val="000000"/>
          <w:sz w:val="20"/>
        </w:rPr>
        <w:t xml:space="preserve">Our Mobile wireless product portfolio consists of intelligent mobile broadband solutions, HD quality VoLTE products, 4G mobile solutions and an advanced 5G portfolio of mobile products. Our mobile broadband solutions, sold under the MiFi brand, are actively used by millions of end users annually to provide secure and convenient high-speed access to corporate, public and personal information through the Internet and enterprise networks. Our mobile portfolio includes cloud offerings with Inseego Connect for device management, and 5G SD EDGE for secure networking enabling corporate managed mobile remote workforce. </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pPr>
      <w:r>
        <w:rPr>
          <w:rFonts w:ascii="Times New Roman;sans-serif" w:hAnsi="Times New Roman;sans-serif"/>
          <w:b w:val="false"/>
          <w:i/>
          <w:color w:val="000000"/>
          <w:sz w:val="20"/>
          <w:shd w:fill="FFFFFF" w:val="clear"/>
        </w:rPr>
        <w:t xml:space="preserve">Fixed wireless access solutions: </w:t>
      </w:r>
      <w:r>
        <w:rPr>
          <w:rFonts w:ascii="Times New Roman;sans-serif" w:hAnsi="Times New Roman;sans-serif"/>
          <w:b w:val="false"/>
          <w:color w:val="000000"/>
          <w:sz w:val="20"/>
          <w:shd w:fill="FFFFFF" w:val="clear"/>
        </w:rPr>
        <w:t>O</w:t>
      </w:r>
      <w:r>
        <w:rPr>
          <w:rFonts w:ascii="Times New Roman;sans-serif" w:hAnsi="Times New Roman;sans-serif"/>
          <w:b w:val="false"/>
          <w:color w:val="000000"/>
          <w:sz w:val="20"/>
        </w:rPr>
        <w:t>ur Fixed Wireless Solutions product portfolio consists of indoor, outdoor and industrial wireless broadband solutions. Our Fixed Wireless solutions, sold under the Wavemaker and Skyus brands, are sold by wireless operators such as T-Mobile, U.S. Cellular and Verizon Wireless along with distribution and channel partners.</w:t>
      </w:r>
    </w:p>
    <w:p>
      <w:pPr>
        <w:pStyle w:val="TextBody"/>
        <w:bidi w:val="0"/>
        <w:spacing w:lineRule="auto" w:line="276" w:before="180" w:after="180"/>
        <w:ind w:left="0" w:right="0" w:firstLine="450"/>
        <w:jc w:val="left"/>
        <w:rPr/>
      </w:pPr>
      <w:r>
        <w:rPr>
          <w:rFonts w:ascii="Times New Roman;sans-serif" w:hAnsi="Times New Roman;sans-serif"/>
          <w:b w:val="false"/>
          <w:i/>
          <w:color w:val="000000"/>
          <w:sz w:val="20"/>
          <w:shd w:fill="FFFFFF" w:val="clear"/>
        </w:rPr>
        <w:t xml:space="preserve">Services and other: </w:t>
      </w:r>
      <w:r>
        <w:rPr>
          <w:rFonts w:ascii="Times New Roman;sans-serif" w:hAnsi="Times New Roman;sans-serif"/>
          <w:b w:val="false"/>
          <w:color w:val="000000"/>
          <w:sz w:val="20"/>
          <w:shd w:fill="FFFFFF" w:val="clear"/>
        </w:rPr>
        <w:t xml:space="preserve">Services and other primarily consists of various subscription offerings within the Company’s telematics platforms, which provide fleet vehicle, aviation ground vehicle and asset tracking and performance information, and other telematics applications; services performed under our Inseego Subscribe SaaS application, which provides managed the selection, deployment, and spend of customers’ wireless assets; and non-recurring engineering services provided to our customers. </w:t>
      </w:r>
    </w:p>
    <w:p>
      <w:pPr>
        <w:pStyle w:val="TextBody"/>
        <w:bidi w:val="0"/>
        <w:spacing w:lineRule="auto" w:line="276" w:before="180" w:after="18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Revenue Recognition Criteria</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The Company follows Accounting Standards Update (“ASU”) 2014-09, </w:t>
      </w:r>
      <w:r>
        <w:rPr>
          <w:rFonts w:ascii="Times New Roman;sans-serif" w:hAnsi="Times New Roman;sans-serif"/>
          <w:b w:val="false"/>
          <w:i/>
          <w:color w:val="000000"/>
          <w:sz w:val="20"/>
        </w:rPr>
        <w:t xml:space="preserve">Revenue from Contracts with Customers (Topic 606) </w:t>
      </w:r>
      <w:r>
        <w:rPr>
          <w:rFonts w:ascii="Times New Roman;sans-serif" w:hAnsi="Times New Roman;sans-serif"/>
          <w:b w:val="false"/>
          <w:color w:val="000000"/>
          <w:sz w:val="20"/>
        </w:rPr>
        <w:t>(as amended, “ASC 606”), which provides guidance on recognizing revenue, including a five-step model to determine when revenue recognition is appropriate. The standard requires that an entity recognize revenue to depict the transfer of control of promised goods or services to customers in an amount that reflects the consideration to which the entity expects to be entitled in exchange for those goods or services.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upon transfer of control of products or services to customers in an amount that reflects the consideration the Company expects to receive in exchange for those products or services. The Company determines revenue recognition according to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performance obligations are satisfied. Substantially all of our product revenues are recognized at a point in time, while substantially all of our service and other revenues are recognized over time. </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Customer Contracts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routinely enters into a variety of agreements with customers, including quality agreements, pricing agreements and master supply agreements which outline the general commercial terms and conditions under which the Company does business with a specific customer, including shipping terms and pricing for the products and services that the Company offers. The Company also sells to some customers solely based on purchase orders. The Company has concluded, for the vast majority of its revenues, that its contracts with customers are either a purchase order or the combination of a purchase order with a master supply agreement.</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a contract when it has approval and commitment from both parties, the rights of the parties are identified, payment terms are identified, the contract has commercial substance and collectability of consideration is probable. </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Obligations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performance obligations are established when a customer submits a purchase order notification (in writing, electronically or verbally) for goods and services, and the Company accepts the order. The Company identifies performance obligations as the delivery of the requested product or service in appropriate quantities and to the location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9" name="Frame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specified in the customer’s contract and/or purchase order. The Company generally recognizes revenue upon the satisfaction of these criteria when control of the product or service has been transferred to the customer at which time the Company has an unconditional right to receive payment. The Company’s prices are fixed and have no history of being affected by contingent events that could impact the transaction price. The Company does not offer price concessions and does not accept payment that is less than the price stated upon acceptance of a customer purchase order.</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contracts that may include various combinations of products and services which are generally capable of being distinct and accounted for as separate performance obligations. </w:t>
      </w:r>
    </w:p>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 xml:space="preserve">Hardware. </w:t>
      </w:r>
      <w:r>
        <w:rPr>
          <w:rFonts w:ascii="Times New Roman;sans-serif" w:hAnsi="Times New Roman;sans-serif"/>
          <w:b w:val="false"/>
          <w:color w:val="000000"/>
          <w:sz w:val="20"/>
        </w:rPr>
        <w:t>Hardware revenue from the sale of the Company’s devices is recognized when the Company transfers control to the customer, typically at the time when the product is delivered, shipped or installed, at which time, title passes to the customer and there are no further performance obligations with regards to the hardware device. The Company also considered the performance obligations in its customer master supply agreements and determined that, for the majority of its revenue, the Company generally satisfies performance obligations at a point in time upon delivery of the product to the customer.</w:t>
      </w:r>
    </w:p>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 xml:space="preserve">Maintenance and support services revenue. </w:t>
      </w:r>
      <w:r>
        <w:rPr>
          <w:rFonts w:ascii="Times New Roman;sans-serif" w:hAnsi="Times New Roman;sans-serif"/>
          <w:b w:val="false"/>
          <w:color w:val="000000"/>
          <w:sz w:val="20"/>
        </w:rPr>
        <w:t>Periodically, the Company sells separately-priced warranty contracts that extend beyond the Company’s base warranty period. The separately priced service contracts range from 12 to 36 months. The Company typically receives payment at the inception of the contract and recognizes revenue as earned on a straight-line basis over the term of the contract. The Company’s estimated allowances for product warranties can vary from actual results and the Company may have to record additional charges to cost of revenue.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Within cost of revenue, the Company records an estimate to reflect its standard warranty obligation to end users to provide for replacement of a defective product. The standard obligation period for most regions is 12 months. Factors that affect the warranty obligation include product failure rates, material usage, and service delivery costs incurred in correcting product failures. </w:t>
      </w:r>
    </w:p>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 xml:space="preserve">SaaS and other services. </w:t>
      </w:r>
      <w:r>
        <w:rPr>
          <w:rFonts w:ascii="Times New Roman;sans-serif" w:hAnsi="Times New Roman;sans-serif"/>
          <w:b w:val="false"/>
          <w:color w:val="000000"/>
          <w:sz w:val="20"/>
        </w:rPr>
        <w:t xml:space="preserve">SaaS subscription revenue is recognized over time on a ratable basis over the contract term beginning on the date that its service is made available to the customer. Subscription periods range from monthly to multi-year, with the majority of contracts being one to three years in length. Revenues from the Company’s SaaS subscription services represent a single promise to provide continuous access to its software solutions and their processing capabilities, in the form of a service, through one of the Company’s data centers or a hosted data center. As each day of providing access to the software is substantially the same, and the customer simultaneously receives and consumes the benefits as access is provided, the Company has determined that its subscription services arrangements include a single performance obligation comprised of a series of distinct services. The Company’s SaaS subscriptions also include an unspecified volume of call center support and any remote system diagnostic and software upgrades as needed. These services are combined with the recurring monthly subscription service since they are highly interrelated and interdependent. </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Our telematics services include devices which collect and transmit information from vehicles or other assets. The Company’s customers have an option to purchase the monitoring device or lease it over the term of the contract. If the customer purchases the hardware device, the Company recognizes the revenue at a point in time as discussed above. Because the Company’s rental asset contracts qualify as operating leases under Accounting Standards Codification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and the contracts also include services to operate and maintain the underlying asset, the Company has elected to combine the lease and non-lease components because the service is the predominant element in the eyes of the customer and the pattern of service delivery is the same for both elements. The Company recognizes revenue ratably over time throughout the term of the contract.</w:t>
      </w:r>
    </w:p>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 xml:space="preserve">Professional services revenue. </w:t>
      </w:r>
      <w:r>
        <w:rPr>
          <w:rFonts w:ascii="Times New Roman;sans-serif" w:hAnsi="Times New Roman;sans-serif"/>
          <w:b w:val="false"/>
          <w:color w:val="000000"/>
          <w:sz w:val="20"/>
        </w:rPr>
        <w:t>From time to time, the Company enters into special engineering design service agreements. Revenues from engineering design services are designed to meet specifications of a particular product, and therefore do not create an asset with an alternative use. The Company recognizes revenue based on the achievement of certain applicable milestones and the amount of payment the Company believes it is entitled to at the time.</w:t>
      </w:r>
    </w:p>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 xml:space="preserve">Multiple performance obligations. </w:t>
      </w:r>
      <w:r>
        <w:rPr>
          <w:rFonts w:ascii="Times New Roman;sans-serif" w:hAnsi="Times New Roman;sans-serif"/>
          <w:b w:val="false"/>
          <w:color w:val="000000"/>
          <w:sz w:val="20"/>
        </w:rPr>
        <w:t xml:space="preserve">The Company’s contracts with customers may include commitments to transfer multiple products and services to a customer. When hardware, software and services are sold in various combinations, judgment is required to determine whether each performance obligation is considered distinct and accounted for separately, or not distinct and accounted for together with other performance obligations. The Company considered the performance obligations in its customer master supply agreements and determined that, for the majority of its revenue, the Company generally satisfies performance obligations at a point in time upon delivery of the product to the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60" name="Frame6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instances where the software elements included within hardware for various products are considered to be functioning together with non-software elements to provide the tangible product’s essential functionality, these arrangements are accounted for as a single distinct performance obligation.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Judgment is required to determine the stand-alone selling price (“SSP”) for each distinct performance obligation. When available, the Company uses observable inputs to determine SSP. In instances where SSP is not directly observable, such as when the Company does not sell the product or service separately, it determines the SSP based on a cost-plus model as market and other observable inputs are seldom present based on the proprietary nature of the Company’s products.</w:t>
      </w:r>
    </w:p>
    <w:p>
      <w:pPr>
        <w:pStyle w:val="TextBody"/>
        <w:bidi w:val="0"/>
        <w:spacing w:lineRule="auto" w:line="276"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Assets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capitalizes sales commissions earned by its sales force as contract acquisition costs if such costs are significant and both incremental and recoverable. Any capitalized sales commissions are either deferred and amortized over a period of benefit exceeding one year or are expensed as incurred if the period of benefit is one year or less. There were no contract assets related to customer acquisition costs as of December 31, 2023 or 2022 since the Company’s customer contracts are predominantly hardware sales that are immediately recognized as revenue upon either shipment or delivery, and therefore the related contract acquisition costs are also immediately recognized. Sales commissions are included in sales and marketing expense as incurred. Sales commissions associated with SaaS offerings are not material.</w:t>
      </w:r>
    </w:p>
    <w:p>
      <w:pPr>
        <w:pStyle w:val="TextBody"/>
        <w:bidi w:val="0"/>
        <w:spacing w:lineRule="auto" w:line="276"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Liabilities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Timing of revenue recognition may differ from the timing of invoicing to customers. If customers are invoiced for subscription services in advance of the service period, then deferred revenue is recorded. Contract liabilities are also recorded when the Company collects payments in advance of performing the services. As of December 31, 2023 and 2022, the Company had contract liabilities comprised of $5.6 million and $5.1 million of short-term deferred revenue included within accrued expenses and other current liabilities and $1.7 million and $0.6 million of long-term deferred revenue included within other long-term liabilities on the consolidated balance sheets, respectively. </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includes the costs associated with the manufacturing of our portfolio of hardware devices, as well as direct personnel costs for employees and contractors, depreciation and amortization, and other period adjustments related to costs of inventories sold or for sale or use in manufacturing.</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Shipping and Handling Charges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Fees charged to customers for shipping and handling of products are included in product revenues, and costs for shipping and handling of products are included as a component of sales and marketing expense. Shipping and handling costs were approximately $1.0 million and $2.3 million for the years ended December 31, 2023 and December 31,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61" name="Frame6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Taxes Collected from Customers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Taxes collected on the value of transaction revenue are excluded from product and services revenues and cost of sales and are accrued in current liabilities until remitted to governmental authorities. </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Accounts Receivable and Allowance for Expected Credit Losses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are customer obligations generally due under normal trade terms for the industry. Credit terms are granted and periodically revised based on evaluations of the customer’s financial condition. The Company performs ongoing credit evaluations of its customers. The Company’s payment terms are generally net 30 days from invoice date and could go up to 90 days for large carrier customers.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an allowance for credit losses at the time a receivable is recorded based on its estimate of expected credit losses and adjusts this estimate over the life of the receivable as needed. The Company evaluates the aggregation and risk characteristics of a receivable pool and develops loss rates that reflect historical collections, current forecasts of future economic conditions over the time horizon the Company is exposed to credit risk, and payment terms or conditions that may materially affect future forecasts. As needed, amounts are written-off when determined to be uncollectible.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2022, the Company reported $22.6 million and $25.3 million, respectively, of accounts receivable, net of allowances of $1.1 million and $0.5 million, respectively. </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Inventories and Provision for Excess and Obsolete Inventory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(first-in, first-out method) or net realizable value. Inbound shipping and handling costs are classified as a component of cost of revenues in the consolidated statements of operations. The Company reviews the components of its inventory and its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the Company or its customers that vary from its current expectations. Whenever inventory is written down, a new cost basis is established and the inventory is not subsequently written up if market conditions improve.</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Intangible Assets other than Goodwill</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Intangible assets include purchased finite-lived and indefinite-lived intangible assets resulting from previous acquisitions, along with the costs of non-exclusive and perpetual worldwide software technology licenses and capitalized software development costs for both internal and external use. Finite-lived intangible assets are amortized on a straight-line basis over the estimated useful lives of the assets, which range fr</w:t>
      </w:r>
      <w:r>
        <w:rPr>
          <w:rFonts w:ascii="Times New Roman;sans-serif" w:hAnsi="Times New Roman;sans-serif"/>
          <w:b w:val="false"/>
          <w:color w:val="000000"/>
          <w:sz w:val="20"/>
          <w:shd w:fill="FFFFFF" w:val="clear"/>
        </w:rPr>
        <w:t>om two to ten years. In</w:t>
      </w:r>
      <w:r>
        <w:rPr>
          <w:rFonts w:ascii="Times New Roman;sans-serif" w:hAnsi="Times New Roman;sans-serif"/>
          <w:b w:val="false"/>
          <w:color w:val="000000"/>
          <w:sz w:val="20"/>
        </w:rPr>
        <w:t>definite-lived intangible assets, including in-process capitalized software development costs, are not amortized; however, they are tested for impairment annually, and between annual tests, if certain events occur indicating that the carrying amounts may be impaired.</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Software Development Costs for External Use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Software development costs for external use are expensed as incurred until technological feasibility has been established, at which time those costs are capitalized as intangible assets until the software is available for general release to customers. Capitalized software development costs are amortized on a straight-line basis over the estimated economic life. The straight-line recognition method approximates the manner in which the expected benefit will be derived. Costs incurred to enhance existing software or after the software is available for general release to customers are expensed in the period they are incurred and included in research and development expense in the consolidated statements of operations. At each balance sheet date, the unamortized capitalized software development cost for external use is compared to its net realizable value by analyzing critical inputs such as expected future lifetime revenue. The amount by which unamortized software costs exceed the net realizable value, if any, is recognized as a charge to amortization expense in the period it is determined.</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Software Development Costs for Internal Use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incurred in the preliminary stages of development are expensed as incurred and included in research and development expense in the consolidated statements of operations. Once an application has reached the development stage, internal and external costs, if direct and incremental, are capitalized. Capitalization ceases upon completion of all substantial testing performed to ensure the product is ready for its intended use. The Company also capitalizes costs related to specific upgrades and enhancements of internal-use software when it is probable that the expenditures will result in additional functionality. Maintenance and training costs are expensed as incurred. Capitalized internal-use software costs are recorded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62" name="Frame6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and are amortized on a straight-line basis to general and administrative expense in the consolidated statement of operations over the estimated useful life of the software. The Company tests these assets for impairment whenever events or circumstances occur that could impact their recoverability.</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Valuation of Indefinite-Lived Intangible Assets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performs an annual impairment review of indefinite-lived assets during the fourth quarter of each year, and more frequently if the Company believes indicators of impairment exist. To review for impairment, the Company first assesses qualitative factors to determine whether events or circumstances lead to a determination that it is more likely than not that the fair value of the asset is less than its carrying amount. The Company’s qualitative assessment is based on various macroeconomic, industry-specific, and company specific factors. These factors include: (i) industry or economic trends; (ii) current, historical, or projected financial performance, and; (iii) the Company’s market capitalization. After assessing the totality of events and circumstances, if the Company determines that it is not more likely than not that the fair value of the asset is less than its carrying amount, then no further assessment is performed. If the Company determines that it is more likely than not that the fair value of the asset is less than its carrying amount, then the Company calculates the fair value of the asset and compares the fair value to the asset’s carrying value. An impairment charge is recognized if the asset’s estimated fair value is less than it’s carrying value. The Company did not record any impairment losses related to indefinite-lived intangible assets during the years ended December 31, 2023 and 2022.</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purchase price over estimated fair value of net assets of businesses acquired in a business combination. Goodwill is tested for impairment during the fourth quarter of each year, and more frequently if the Company believes indicators of impairment exist. </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Valuation of Goodwill</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Goodwill is tested for impairment at the reporting unit level by first assessing qualitative factors to determine whether events or circumstances lead to a determination that it is more likely than not that the fair value of the Company’s reporting unit is less than its carrying amount. The Company’s qualitative assessment is based on various macroeconomic, industry-specific, and company specific factors. These factors include: (i) industry or economic trends; (ii) current, historical, or projected financial performance, and; (iii) the Company’s market capitalization. After assessing the totality of events and circumstances, if the Company determines that it is not more likely than not that the fair value of the Company’s reporting unit is less than its carrying amount, no further assessment is performed. If the Company determines that it is more likely than not that the fair value of the Company’s reporting unit is less than its carrying amount, the Company calculates the fair value of the reporting unit and compares the fair value to the reporting unit’s carrying amount. An impairment charge is recognized if the fair value of the business (reporting unit) is less than its carrying value. The Company has identified two reporting units for the purpose of goodwill impairment testing, Ctrack and Inseego North America (“INA”), and performed a qualitative test for goodwill impairment of the two reporting units during the fourth fiscal quarter. Based upon the results of qualitative testing, the Company believed that it was more-likely-than not that the fair value of these reporting units were greater than their respective carrying values. For the years ended December 31, 2023 and 2022, the Company recorded no impairment loss related to goodwill.</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Long-Lived Assets</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The Company periodically evaluates the carrying value of the unamortized balances of its long-lived assets, including property, plant and equipment and rental assets, to determine whether impairment of these assets has occurred or whether a revision to the related amortization periods should be made. If the carrying value of the long-lived asset group exceeds the estimated future undiscounted cash flows, an impairment loss is recorded based on the amount by which the asset group’s carrying amount exceeds its fair value. Fair value is determined based on an evaluation of the assets’ associated discounted future cash flows or appraised value</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For the years ended December 31, 2023 and 2022, the Company had no impairment loss related to long-lived assets, except for the impairment of the capitalized software development costs for internal and external use, described further </w:t>
      </w:r>
      <w:r>
        <w:rPr>
          <w:rFonts w:ascii="Times New Roman;sans-serif" w:hAnsi="Times New Roman;sans-serif"/>
          <w:b w:val="false"/>
          <w:i/>
          <w:color w:val="000000"/>
          <w:sz w:val="20"/>
        </w:rPr>
        <w:t>Note 3 – Goodwill and Other Intangible Assets</w:t>
      </w:r>
      <w:r>
        <w:rPr>
          <w:rFonts w:ascii="Times New Roman;sans-serif" w:hAnsi="Times New Roman;sans-serif"/>
          <w:b w:val="false"/>
          <w:color w:val="000000"/>
          <w:sz w:val="20"/>
        </w:rPr>
        <w:t>.</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are initially stated at cost and depreciated using the straight-line method. Land is not depreciated. Buildings are depreciated over 50 years. Leasehold improvements are depreciated over the shorter of the related remaining lease period or useful life, not to exceed 5 years. Product tooling is depreciated over 13 months. Computer equipment, purchased software, vehicles, production equipment, and furniture and fixtures, are depreciated over lives ranging from 2 to 7 years. Amortization of equipment under finance leases is included in depreciation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63" name="Frame6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Expenditures for repairs and maintenance are expensed as incurred. Expenditures for major renewals and betterment that extend the useful lives of existing property, plant and equipment are capitalized and depreciated. Upon retirement or disposition of property, plant and equipment, any resulting gain or loss is recognized in other income (expense), net, in the consolidated statements of operations.</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Rental Assets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 of rental assets, which represents fleet management and vehicle tracking hardware installed in customers’ vehicles where such hardware is provided as part of a fixed term contract with the customer, is capitalized and disclosed separately in the consolidated balance sheets. The Company recognizes depreciation expense on rental assets to costs of services and other revenues on a straight-line basis over the term of the contract, generally three to four years, commencing on installation of the rental asset. </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Convertible Debt Instruments</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The Company evaluates embedded features within convertible debt that will be settled in shares upon conversion under ASC 815,</w:t>
      </w:r>
      <w:r>
        <w:rPr>
          <w:color w:val="000000"/>
        </w:rPr>
        <w:t xml:space="preserve"> </w:t>
      </w:r>
      <w:r>
        <w:rPr>
          <w:rFonts w:ascii="Times New Roman;sans-serif" w:hAnsi="Times New Roman;sans-serif"/>
          <w:b w:val="false"/>
          <w:i/>
          <w:color w:val="000000"/>
          <w:sz w:val="20"/>
        </w:rPr>
        <w:t>Derivatives and Hedging</w:t>
      </w:r>
      <w:r>
        <w:rPr>
          <w:color w:val="000000"/>
        </w:rPr>
        <w:t xml:space="preserve"> </w:t>
      </w:r>
      <w:r>
        <w:rPr>
          <w:rFonts w:ascii="Times New Roman;sans-serif" w:hAnsi="Times New Roman;sans-serif"/>
          <w:b w:val="false"/>
          <w:color w:val="000000"/>
          <w:sz w:val="20"/>
        </w:rPr>
        <w:t>(“ASC 815”) to determine whether the embedded feature(s) should be bifurcated from the host instrument and accounted for as a derivative at fair value with changes in fair value recorded in earnings.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an embedded derivative is bifurcated from share-settled convertible debt, then the Company records the debt component at cost less a debt discount equal to the bifurcated derivative’s fair value. The Company amortizes the debt discount over the life of the debt instrument as additional non-cash interest expense utilizing the effective interest method. The convertible debt and the derivative liability are presented in total on the consolidated balance sheet. The derivative liability is remeasured at each reporting period with changes in fair value recorded in the consolidated statements of operations within other income (expense), net.</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Derivative Financial Instruments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stock warrants, debt instruments and other contracts to determine if those contracts or embedded components of those contracts qualify as derivative financial instruments to be separately accounted for under the relevant sections of ASC 815. The result of this accounting treatment could be that the fair value of a financial instrument is classified as a derivative financial instrument and is marked-to-market at each balance sheet date and recorded as an asset or liability. In the event that the fair value is recorded as an asset or liability, the change in fair value is recorded in the consolidated statements of operations as other income or other expense. Upon conversion, exercise or expiration of a derivative financial instrument, the instrument is marked to fair value.</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consists primarily of personnel costs for our engineers engaged in the design and development of our products, software and technologies, project material costs, services, depreciation and amortization. Such costs are charged to research and development expense as they are incurred, to the extent not capitalized as software development costs for external or internal use.</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Lease Accounting</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Lessee Arrangements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if an arrangement contains a lease at inception. The Company primarily leases office space, automobiles and equipment. Certain of the Company’s leases contain provisions that provide for one or more options to renew at the Company’s sole discretion. Certain real estate leases also include executory costs such as common area maintenance. The Company accounts for lease and non-lease components, including common area maintenance, as a single lease component as a practical expedient election. None of the Company’s operating lease agreements contain any material residual value guarantees or material restrictive covenants.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Right-of-use (“ROU”) assets represent the Company’s right to use an underlying asset for the lease term and lease liabilities represent the Company’s obligation to make lease payments arising from the lease. ROU assets and lease liabilities are recognized at the commencement date based on the present value of lease payments over the lease term. The lease term includes the base non-cancelable term, and any renewal options that are reasonably certain to be exercised at the commencement date. The Company uses its incremental borrowing rate based on the information available at commencement date in determining the present value of lease payments. ROU assets also include any lease prepayments made and exclude lease incentives. Rental expense related to operating leases is recognized on a straight-line basis over the lease term.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64" name="Frame6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180" w:after="180"/>
        <w:jc w:val="left"/>
        <w:rPr/>
      </w:pPr>
      <w:r>
        <w:rPr>
          <w:rFonts w:ascii="Times New Roman;sans-serif" w:hAnsi="Times New Roman;sans-serif"/>
          <w:b w:val="false"/>
          <w:color w:val="000000"/>
          <w:sz w:val="20"/>
        </w:rPr>
        <w:t xml:space="preserve">Company has elected the practical expedient to exclude any short-term lease, defined as a lease with an original term of 12 months or less, from the provisions of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lease payments that do not depend on an index or rate are excluded from the measurement of ROU assets and lease liabilities and are recognized in the period in which the obligation for those payments is incurred.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elected not to present short-term leases on the consolidated balance sheet as these leases have a lease term of 12 months or less at lease inception and do not contain purchase options or renewal terms that the Company is reasonably certain to exercise.</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Lessor Arrangements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serves as lessor for certain monitoring device leases and classifies such arrangements as operating leases. Accordingly, the Company carries rental devices at historical cost less accumulated depreciation and impairment, if any. The Company combines the lease and the non-lease components under these arrangements because the service is the predominant element from the customer’s perspective and the pattern of service delivery is the same for both elements. The Company accounts for the combined component as a single performance obligation under ASC 606.</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Foreign Currency Transactions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transactions are transactions denominated in a currency other than a subsidiary’s functional currency. A change in the exchange rate between a subsidiary’s functional currency and the currency in which a transaction is denominated increases or decreases the expected amount of functional currency cash flows upon settlement of the transaction. Such increase or decrease is reported by the Company as a foreign currency transaction gain or loss within Other income (expense), net, in the consolidated statements of operations. We recognize foreign currency transaction gains and losses primarily on intercompany transactions between certain subsidiaries in foreign countries. Based upon historical experience, the Company anticipates repayment of these transactions in the foreseeable future and recognizes realized and unrealized gains and losses on these transactions in the period in which they occur.</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Foreign Currency Translation</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of the Company’s international subsidiaries in which the local currency is the functional currency are translated into U.S. Dollars at period-end exchange rates. Income and expenses are translated into U.S. Dollars at the average exchange rates during the period. The resulting translation adjustments are included in the Company’s consolidated balance sheets as a component of accumulated other comprehensive loss.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Deferred tax assets and liabilities are measured using enacted tax rates expected to apply to taxable income in the years in which those temporary differences are expected to be recovered or settled.</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are reduced by valuation allowances if, based on the consideration of all available evidence, it is more likely than not that some portion of the deferred tax asset will not be realized. The Company evaluates deferred income taxes on a quarterly basis to determine if valuation allowances are required by considering available evidence. If the Company is unable to generate sufficient future taxable income in certain tax jurisdictions, or if there is a material change in the actual effective tax rates or time period within which the underlying temporary differences become taxable or deductible, the Company could be required to increase its valuation allowance against its deferred tax assets which could result in an increase in the Company’s effective tax rate and an adverse impact on operating results. The Company will continue to evaluate the necessity of the valuation allowance based on the remaining deferred tax assets.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Uncertain tax positions are recognized in the first subsequent financial reporting period in which that threshold is met or from changes in circumstances such as the expiration of applicable statutes of limitations. The Company’s policy is to include interest and penalties related to such positions as a component of income tax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65" name="Frame6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from time to time, party to various legal proceedings arising in the ordinary course of business. The Company records a loss when information indicates that a loss is both probable and reasonably estimable. Where a liability is probable and there is a range of estimated loss with no best estimate in the range, the Company records the minimum estimated liability related to the claim. As additional information becomes available, the Company revises its estimates, if necessary. The Company expenses litigation costs as incurred.</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granted stock options and restricted stock units (“RSUs”) to employees, non-employee consultants and non-employee members of our Board of Directors. The Company also has an employee stock purchase plan (“ESPP”) for eligible employees. The Company measures the compensation cost associated with all share-based payments based on grant date fair values. The fair value of each stock option and stock purchase right is estimated on the date of grant using an option pricing model that meets certain requirements. The Company generally uses the Black-Scholes option pricing model to estimate the fair value of its stock options and stock purchase rights. The determination of the fair value of share-based payment awards utilizing the Black-Scholes model is affected by the Company’s stock price and a number of assumptions, including expected volatility, expected term, risk-free interest rate and expected dividends.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grants of stock options, the Company uses a blend of historical and implied volatility for traded options on its stock in order to estimate the expected volatility assumption required in the Black-Scholes model. The Company’s use of a blended volatility estimate in computing the expected volatility assumption for stock options is based on its belief that while the implied volatility is representative of expected future volatility, the historical volatility over the expected term of the award is also an indicator of expected future volatility. Due to the short duration of stock purchase rights under the Company’s ESPP, the Company utilizes a blended volatility estimate that consists of implied volatility and historical volatility in order to estimate the expected volatility assumption of the Black-Scholes model.</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term of stock options granted is estimated using historical experience. The risk-free interest rate assumption is based on observed interest rates appropriate for the expected terms of the Company’s stock options and stock purchase rights. The dividend yield assumption is based on the Company’s history and expectation of no dividend payouts. The Company estimates forfeitures at the time of grant and revises these estimates, if necessary, in subsequent periods if actual forfeitures differ from those estimates. The Company estimates its forfeiture rate assumption for all types of share-based compensation awards based on historical forfeiture rates related to each category of award.</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cost associated with grants of restricted stock units are measured at fair value, which has historically been the closing price of the Company’s common stock on the date of grant.</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share-based compensation expense over the requisite service period of each individual award, which generally equals the vesting period, using the straight-line method for awards that contain only service conditions. For awards that contain performance conditions, the Company recognizes the share-based compensation expense on a straight-line basis for each vesting tranche, when achievement of that tranche is considered probable.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the assumptions used to value stock awards on a quarterly basis. If factors change and the Company employs different assumptions, share-based compensation expense may differ significantly from what it has recorded in the past. If there are any modifications or cancellations of the underlying unvested securities, the Company may be required to accelerate, increase or cancel any remaining unearned share-based compensation expense. </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Retirement Savings Plan</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defined contribution 401(k) retirement savings plan (the “Plan”). Substantially all of the Company’s U.S. employees are eligible to participate in the Plan after meeting certain minimum age and service requirements. The Company matches 50% of the first 6% of an employee’s designated deferral of their eligible compensation. Employees may make discretionary contributions to the Plan subject to Internal Revenue Service limitations. Employer matching contributions under the Plan were $0.7 million and $0.9 million for the years ended December 31, 2023 and 2022, respectively. Employer matching contributions vest immediately.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66" name="Frame6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Net Loss Per Share Attributable to Common Stockholders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attributable to common stockholders is computed by dividing the net loss attributable to common stockholders by the weighted-average number of shares that were outstanding during the period. Diluted net loss attributable to common stockholders (“EPS”) reflects the potential dilution that could occur if securities or other contracts to acquire common stock were exercised or converted into common stock. Potentially dilutive securities are excluded from the diluted EPS computation in loss periods as their effect would be anti-dilutive. </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and is defined as follows:</w:t>
      </w:r>
    </w:p>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Level 1:    </w:t>
      </w:r>
      <w:r>
        <w:rPr>
          <w:rFonts w:ascii="Times New Roman;sans-serif" w:hAnsi="Times New Roman;sans-serif"/>
          <w:b w:val="false"/>
          <w:color w:val="000000"/>
          <w:sz w:val="20"/>
        </w:rPr>
        <w:t>Pricing inputs are based on quoted market prices for identical assets or liabilities in active markets (e.g., NYSE or NASDAQ). Active markets are those in which transactions for the asset or liability occur in sufficient frequency and volume to provide pricing information on an ongoing basis.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Level 2:    Pricing inputs include benchmark yields, trade data, reported trades and broker dealer quotes, two-sided markets and industry and economic 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Level 3</w:t>
      </w:r>
      <w:r>
        <w:rPr>
          <w:rFonts w:ascii="Times New Roman;sans-serif" w:hAnsi="Times New Roman;sans-serif"/>
          <w:b w:val="false"/>
          <w:color w:val="000000"/>
          <w:sz w:val="20"/>
        </w:rPr>
        <w:t>:    Pricing inputs include significant inputs that are generally less observable from objective sources, including the Company’s own assumptions.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the fair value hierarchy classification on a quarterly basis. Changes in the observability of valuation inputs may result in a reclassification of levels for certain securities within the fair value hierarchy.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67" name="Frame6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Comprehensive Loss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consists of two components: net loss and other comprehensive loss. Other comprehensive loss refers to losses that are recorded as an element of stockholders’ deficit and are excluded from net loss. The Company’s other comprehensive loss is currently composed of foreign currency translation adjustments.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In August 2020, the Financial Accounting Standards Board (“FASB”) issued Accounting Standards Update (“ASU”) 2020-06, </w:t>
      </w:r>
      <w:r>
        <w:rPr>
          <w:rFonts w:ascii="Times New Roman;sans-serif" w:hAnsi="Times New Roman;sans-serif"/>
          <w:b w:val="false"/>
          <w:i/>
          <w:color w:val="000000"/>
          <w:sz w:val="20"/>
        </w:rPr>
        <w:t>Debt with Conversion and Other Options</w:t>
      </w:r>
      <w:r>
        <w:rPr>
          <w:color w:val="000000"/>
        </w:rPr>
        <w:t xml:space="preserve"> </w:t>
      </w:r>
      <w:r>
        <w:rPr>
          <w:rFonts w:ascii="Times New Roman;sans-serif" w:hAnsi="Times New Roman;sans-serif"/>
          <w:b w:val="false"/>
          <w:color w:val="000000"/>
          <w:sz w:val="20"/>
        </w:rPr>
        <w:t xml:space="preserve">(Subtopic 470-20) and </w:t>
      </w:r>
      <w:r>
        <w:rPr>
          <w:rFonts w:ascii="Times New Roman;sans-serif" w:hAnsi="Times New Roman;sans-serif"/>
          <w:b w:val="false"/>
          <w:i/>
          <w:color w:val="000000"/>
          <w:sz w:val="20"/>
        </w:rPr>
        <w:t>Derivatives and Hedging-Contracts in Entity's Own Equity</w:t>
      </w:r>
      <w:r>
        <w:rPr>
          <w:color w:val="000000"/>
        </w:rPr>
        <w:t xml:space="preserve"> </w:t>
      </w:r>
      <w:r>
        <w:rPr>
          <w:rFonts w:ascii="Times New Roman;sans-serif" w:hAnsi="Times New Roman;sans-serif"/>
          <w:b w:val="false"/>
          <w:color w:val="000000"/>
          <w:sz w:val="20"/>
        </w:rPr>
        <w:t>(Subtopic 815-40)-</w:t>
      </w:r>
      <w:r>
        <w:rPr>
          <w:rFonts w:ascii="Times New Roman;sans-serif" w:hAnsi="Times New Roman;sans-serif"/>
          <w:b w:val="false"/>
          <w:i/>
          <w:color w:val="000000"/>
          <w:sz w:val="20"/>
        </w:rPr>
        <w:t>Accounting For Convertible Instruments and Contracts in an Entity's Own Equity</w:t>
      </w:r>
      <w:r>
        <w:rPr>
          <w:rFonts w:ascii="Times New Roman;sans-serif" w:hAnsi="Times New Roman;sans-serif"/>
          <w:b w:val="false"/>
          <w:color w:val="000000"/>
          <w:sz w:val="20"/>
        </w:rPr>
        <w:t>. The ASU simplifies accounting for convertible instruments by removing major separation models required under current GAAP. Consequently, 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net income per share calculation in certain areas. The guidance is effective for annual and interim periods beginning after December 15, 2021. The Company adopted the ASU in the first quarter of 2022 and there was no impact to the consolidated financial statements.</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In May 2021, the FASB issued ASU 2021-04, </w:t>
      </w:r>
      <w:r>
        <w:rPr>
          <w:rFonts w:ascii="Times New Roman;sans-serif" w:hAnsi="Times New Roman;sans-serif"/>
          <w:b w:val="false"/>
          <w:i/>
          <w:color w:val="000000"/>
          <w:sz w:val="20"/>
        </w:rPr>
        <w:t>Earnings Per Share</w:t>
      </w:r>
      <w:r>
        <w:rPr>
          <w:color w:val="000000"/>
        </w:rPr>
        <w:t xml:space="preserve"> </w:t>
      </w:r>
      <w:r>
        <w:rPr>
          <w:rFonts w:ascii="Times New Roman;sans-serif" w:hAnsi="Times New Roman;sans-serif"/>
          <w:b w:val="false"/>
          <w:color w:val="000000"/>
          <w:sz w:val="20"/>
        </w:rPr>
        <w:t xml:space="preserve">(Topic 260), </w:t>
      </w:r>
      <w:r>
        <w:rPr>
          <w:rFonts w:ascii="Times New Roman;sans-serif" w:hAnsi="Times New Roman;sans-serif"/>
          <w:b w:val="false"/>
          <w:i/>
          <w:color w:val="000000"/>
          <w:sz w:val="20"/>
        </w:rPr>
        <w:t>Debt-Modifications and Extinguishments</w:t>
      </w:r>
      <w:r>
        <w:rPr>
          <w:color w:val="000000"/>
        </w:rPr>
        <w:t xml:space="preserve"> </w:t>
      </w:r>
      <w:r>
        <w:rPr>
          <w:rFonts w:ascii="Times New Roman;sans-serif" w:hAnsi="Times New Roman;sans-serif"/>
          <w:b w:val="false"/>
          <w:color w:val="000000"/>
          <w:sz w:val="20"/>
        </w:rPr>
        <w:t xml:space="preserve">(Subtopic 470-50), </w:t>
      </w:r>
      <w:r>
        <w:rPr>
          <w:rFonts w:ascii="Times New Roman;sans-serif" w:hAnsi="Times New Roman;sans-serif"/>
          <w:b w:val="false"/>
          <w:i/>
          <w:color w:val="000000"/>
          <w:sz w:val="20"/>
        </w:rPr>
        <w:t>Compensation-Stock Compensation</w:t>
      </w:r>
      <w:r>
        <w:rPr>
          <w:color w:val="000000"/>
        </w:rPr>
        <w:t xml:space="preserve"> </w:t>
      </w:r>
      <w:r>
        <w:rPr>
          <w:rFonts w:ascii="Times New Roman;sans-serif" w:hAnsi="Times New Roman;sans-serif"/>
          <w:b w:val="false"/>
          <w:color w:val="000000"/>
          <w:sz w:val="20"/>
        </w:rPr>
        <w:t xml:space="preserve">(Topic 718), and </w:t>
      </w:r>
      <w:r>
        <w:rPr>
          <w:rFonts w:ascii="Times New Roman;sans-serif" w:hAnsi="Times New Roman;sans-serif"/>
          <w:b w:val="false"/>
          <w:i/>
          <w:color w:val="000000"/>
          <w:sz w:val="20"/>
        </w:rPr>
        <w:t>Derivatives and Hedging-Contracts in Entity’s Own Equity</w:t>
      </w:r>
      <w:r>
        <w:rPr>
          <w:color w:val="000000"/>
        </w:rPr>
        <w:t xml:space="preserve"> </w:t>
      </w:r>
      <w:r>
        <w:rPr>
          <w:rFonts w:ascii="Times New Roman;sans-serif" w:hAnsi="Times New Roman;sans-serif"/>
          <w:b w:val="false"/>
          <w:color w:val="000000"/>
          <w:sz w:val="20"/>
        </w:rPr>
        <w:t>(Subtopic 815-40). The ASU addresses issuer’s accounting for certain modifications or exchanges of freestanding equity-classified written call options. The ASU is effective for annual and interim periods beginning after December 15, 2021. The Company adopted the ASU in the first quarter of 2022 and there was no impact to the consolidated financial statements.</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In September 2022, the FASB issued ASU No. 2022-04, </w:t>
      </w:r>
      <w:r>
        <w:rPr>
          <w:rFonts w:ascii="Times New Roman;sans-serif" w:hAnsi="Times New Roman;sans-serif"/>
          <w:b w:val="false"/>
          <w:i/>
          <w:color w:val="000000"/>
          <w:sz w:val="20"/>
        </w:rPr>
        <w:t>Liabilities—Supplier Finance Programs</w:t>
      </w:r>
      <w:r>
        <w:rPr>
          <w:color w:val="000000"/>
        </w:rPr>
        <w:t xml:space="preserve"> </w:t>
      </w:r>
      <w:r>
        <w:rPr>
          <w:rFonts w:ascii="Times New Roman;sans-serif" w:hAnsi="Times New Roman;sans-serif"/>
          <w:b w:val="false"/>
          <w:color w:val="000000"/>
          <w:sz w:val="20"/>
        </w:rPr>
        <w:t>(Subtopic 405-50). The ASU requires disclosure of the key terms of outstanding supplier finance programs and a rollforward of the related obligations. The ASU does not affect the recognition, measurement or financial statement presentation of supplier finance program obligations. The ASU is effective for annual and interim periods beginning after December 15, 2022, except for the rollforward requirement, which is effective for annual periods beginning after December 15, 2023. The Company adopted the ASU in the first quarter of 2023 and there was no impact to the consolidated financial statements.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Recent Accounting Pronouncements Not Yet Adopted </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In October 2023, the FASB issued ASU 2023-06, </w:t>
      </w:r>
      <w:r>
        <w:rPr>
          <w:rFonts w:ascii="Times New Roman;sans-serif" w:hAnsi="Times New Roman;sans-serif"/>
          <w:b w:val="false"/>
          <w:i/>
          <w:color w:val="000000"/>
          <w:sz w:val="20"/>
        </w:rPr>
        <w:t>Disclosure Improvements: Codification Amendments in Response to the SEC's Disclosure Update and Simplification Initiative</w:t>
      </w:r>
      <w:r>
        <w:rPr>
          <w:rFonts w:ascii="Times New Roman;sans-serif" w:hAnsi="Times New Roman;sans-serif"/>
          <w:b w:val="false"/>
          <w:color w:val="000000"/>
          <w:sz w:val="20"/>
        </w:rPr>
        <w:t>. The FASB issued the standard to introduce changes to US GAAP that originate in either SEC Regulation S-X or S-K, which are rules about the form and content of financial reports. The provisions of the standard are contingent when the SEC removes the related disclosure provisions from Regulation S-X and S-K. The company does not expect the provisions of the standard to have a material impact on the Company's financial statements and related disclosures.</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 xml:space="preserve">Segment Reporting (Topic 280): Improvements to Reportable Segment Disclosures, </w:t>
      </w:r>
      <w:r>
        <w:rPr>
          <w:rFonts w:ascii="Times New Roman;sans-serif" w:hAnsi="Times New Roman;sans-serif"/>
          <w:b w:val="false"/>
          <w:color w:val="000000"/>
          <w:sz w:val="20"/>
        </w:rPr>
        <w:t>which requires that an entity report segment information in accordance with Topic 280, Segment Reporting. The amendment in the ASU is intended to improve reportable segment disclosure requirements primarily through enhanced disclosures about significant segment expenses. The amendments in this Update are effective for fiscal years beginning after December 15, 2023, and interim periods within fiscal years beginning after December 15, 2024. The Company is currently evaluating the impact of the new standard on its consolidated financial statements and related disclosures.</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xml:space="preserve">.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Early adoption is permitted. A public entity should apply the amendments in ASU 2023-09 prospectively to all annual periods beginning after December 15, 2024. The Company is currently evaluating the impact of this standard on our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68" name="Frame6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Note 2. Financial Statement Details</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Inventories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 of the following (in thousands):</w:t>
      </w:r>
    </w:p>
    <w:tbl>
      <w:tblPr>
        <w:tblW w:w="4599" w:type="dxa"/>
        <w:jc w:val="left"/>
        <w:tblInd w:w="0" w:type="dxa"/>
        <w:tblLayout w:type="fixed"/>
        <w:tblCellMar>
          <w:top w:w="28" w:type="dxa"/>
          <w:left w:w="28" w:type="dxa"/>
          <w:bottom w:w="28" w:type="dxa"/>
          <w:right w:w="28" w:type="dxa"/>
        </w:tblCellMar>
      </w:tblPr>
      <w:tblGrid>
        <w:gridCol w:w="841"/>
        <w:gridCol w:w="739"/>
        <w:gridCol w:w="745"/>
        <w:gridCol w:w="196"/>
        <w:gridCol w:w="646"/>
        <w:gridCol w:w="109"/>
        <w:gridCol w:w="109"/>
        <w:gridCol w:w="109"/>
        <w:gridCol w:w="109"/>
        <w:gridCol w:w="196"/>
        <w:gridCol w:w="646"/>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 and components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ans-serif" w:hAnsi="Times New Roman;sans-serif"/>
          <w:b w:val="false"/>
          <w:color w:val="000000"/>
          <w:sz w:val="20"/>
          <w:shd w:fill="FFFFFF" w:val="clear"/>
        </w:rPr>
        <w:t xml:space="preserve">During the year ended </w:t>
      </w:r>
      <w:r>
        <w:rPr>
          <w:rFonts w:ascii="Times New Roman;sans-serif" w:hAnsi="Times New Roman;sans-serif"/>
          <w:b w:val="false"/>
          <w:color w:val="000000"/>
          <w:sz w:val="20"/>
        </w:rPr>
        <w:t>December 31, 2023, t</w:t>
      </w:r>
      <w:r>
        <w:rPr>
          <w:rFonts w:ascii="Times New Roman;sans-serif" w:hAnsi="Times New Roman;sans-serif"/>
          <w:b w:val="false"/>
          <w:color w:val="000000"/>
          <w:sz w:val="20"/>
          <w:shd w:fill="FFFFFF" w:val="clear"/>
        </w:rPr>
        <w:t>he Company record</w:t>
      </w:r>
      <w:r>
        <w:rPr>
          <w:rFonts w:ascii="Times New Roman;sans-serif" w:hAnsi="Times New Roman;sans-serif"/>
          <w:b w:val="false"/>
          <w:color w:val="000000"/>
          <w:sz w:val="20"/>
        </w:rPr>
        <w:t xml:space="preserve">ed a write-down of $9.6 million to reflect inventories at net realizable value, in addition to a $1.3 million write-off of capitalized inventory order fees. Further, management accrued an additional $6.8 million in net charges for contract manufacturing liabilities (whose remaining balance is accrued in the </w:t>
      </w:r>
      <w:r>
        <w:rPr>
          <w:rFonts w:ascii="Times New Roman;sans-serif" w:hAnsi="Times New Roman;sans-serif"/>
          <w:b w:val="false"/>
          <w:i/>
          <w:color w:val="000000"/>
          <w:sz w:val="20"/>
        </w:rPr>
        <w:t xml:space="preserve">Accrued Expenses and Other Current Liabilities </w:t>
      </w:r>
      <w:r>
        <w:rPr>
          <w:rFonts w:ascii="Times New Roman;sans-serif" w:hAnsi="Times New Roman;sans-serif"/>
          <w:b w:val="false"/>
          <w:color w:val="000000"/>
          <w:sz w:val="20"/>
        </w:rPr>
        <w:t>section below) related to excess materials at the contract manufacturers’ sites. All $17.7 million of these</w:t>
      </w:r>
      <w:r>
        <w:rPr>
          <w:color w:val="000000"/>
          <w:shd w:fill="FFFFFF" w:val="clear"/>
        </w:rPr>
        <w:t xml:space="preserve"> </w:t>
      </w:r>
      <w:r>
        <w:rPr>
          <w:rFonts w:ascii="Times New Roman;sans-serif" w:hAnsi="Times New Roman;sans-serif"/>
          <w:b w:val="false"/>
          <w:color w:val="000000"/>
          <w:sz w:val="20"/>
          <w:shd w:fill="FFFFFF" w:val="clear"/>
        </w:rPr>
        <w:t>charges are recorded i</w:t>
      </w:r>
      <w:r>
        <w:rPr>
          <w:rFonts w:ascii="Times New Roman;sans-serif" w:hAnsi="Times New Roman;sans-serif"/>
          <w:b w:val="false"/>
          <w:color w:val="000000"/>
          <w:sz w:val="20"/>
        </w:rPr>
        <w:t xml:space="preserve">n product cost of revenues </w:t>
      </w:r>
      <w:r>
        <w:rPr>
          <w:rFonts w:ascii="Times New Roman;sans-serif" w:hAnsi="Times New Roman;sans-serif"/>
          <w:b w:val="false"/>
          <w:color w:val="000000"/>
          <w:sz w:val="20"/>
          <w:shd w:fill="FFFFFF" w:val="clear"/>
        </w:rPr>
        <w:t>on the consolidated statement of operations.</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Prepaid expenses and other</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consists of the following (in thousands):</w:t>
      </w:r>
    </w:p>
    <w:tbl>
      <w:tblPr>
        <w:tblW w:w="5093" w:type="dxa"/>
        <w:jc w:val="left"/>
        <w:tblInd w:w="0" w:type="dxa"/>
        <w:tblLayout w:type="fixed"/>
        <w:tblCellMar>
          <w:top w:w="28" w:type="dxa"/>
          <w:left w:w="28" w:type="dxa"/>
          <w:bottom w:w="28" w:type="dxa"/>
          <w:right w:w="28" w:type="dxa"/>
        </w:tblCellMar>
      </w:tblPr>
      <w:tblGrid>
        <w:gridCol w:w="1085"/>
        <w:gridCol w:w="956"/>
        <w:gridCol w:w="958"/>
        <w:gridCol w:w="196"/>
        <w:gridCol w:w="556"/>
        <w:gridCol w:w="109"/>
        <w:gridCol w:w="109"/>
        <w:gridCol w:w="109"/>
        <w:gridCol w:w="109"/>
        <w:gridCol w:w="196"/>
        <w:gridCol w:w="55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Rebate receivables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contract manufacturers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prepaid expenses and other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consists of the following (in thousands):</w:t>
      </w:r>
    </w:p>
    <w:tbl>
      <w:tblPr>
        <w:tblW w:w="6135" w:type="dxa"/>
        <w:jc w:val="left"/>
        <w:tblInd w:w="0" w:type="dxa"/>
        <w:tblLayout w:type="fixed"/>
        <w:tblCellMar>
          <w:top w:w="28" w:type="dxa"/>
          <w:left w:w="28" w:type="dxa"/>
          <w:bottom w:w="28" w:type="dxa"/>
          <w:right w:w="28" w:type="dxa"/>
        </w:tblCellMar>
      </w:tblPr>
      <w:tblGrid>
        <w:gridCol w:w="1308"/>
        <w:gridCol w:w="1149"/>
        <w:gridCol w:w="1157"/>
        <w:gridCol w:w="196"/>
        <w:gridCol w:w="646"/>
        <w:gridCol w:w="109"/>
        <w:gridCol w:w="109"/>
        <w:gridCol w:w="109"/>
        <w:gridCol w:w="109"/>
        <w:gridCol w:w="196"/>
        <w:gridCol w:w="646"/>
        <w:gridCol w:w="401"/>
      </w:tblGrid>
      <w:tr>
        <w:trPr/>
        <w:tc>
          <w:tcPr>
            <w:tcW w:w="13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Test equipment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19,724 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equipment and purchased software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4,603 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tooling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plant and equipment, gross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31,439 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Less—accumulated 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(26,049)</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plant and equipment,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5,390 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Rental assets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Rental assets consist of the following (in thousands):</w:t>
      </w:r>
    </w:p>
    <w:tbl>
      <w:tblPr>
        <w:tblW w:w="4673" w:type="dxa"/>
        <w:jc w:val="left"/>
        <w:tblInd w:w="0" w:type="dxa"/>
        <w:tblLayout w:type="fixed"/>
        <w:tblCellMar>
          <w:top w:w="28" w:type="dxa"/>
          <w:left w:w="28" w:type="dxa"/>
          <w:bottom w:w="28" w:type="dxa"/>
          <w:right w:w="28" w:type="dxa"/>
        </w:tblCellMar>
      </w:tblPr>
      <w:tblGrid>
        <w:gridCol w:w="869"/>
        <w:gridCol w:w="760"/>
        <w:gridCol w:w="770"/>
        <w:gridCol w:w="196"/>
        <w:gridCol w:w="646"/>
        <w:gridCol w:w="109"/>
        <w:gridCol w:w="109"/>
        <w:gridCol w:w="109"/>
        <w:gridCol w:w="109"/>
        <w:gridCol w:w="196"/>
        <w:gridCol w:w="64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Less—accumulated 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rental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69" name="Frame6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related to property, plant and equipment, including rental assets and property, plant and equipment under finance leases, was $6.1 million and $7.1 million for the years ended December 31, 2023 and 2022, respectively.</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Accrued expenses and other current liabilities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 of the following (in thousands):</w:t>
      </w:r>
    </w:p>
    <w:tbl>
      <w:tblPr>
        <w:tblW w:w="5949" w:type="dxa"/>
        <w:jc w:val="left"/>
        <w:tblInd w:w="0" w:type="dxa"/>
        <w:tblLayout w:type="fixed"/>
        <w:tblCellMar>
          <w:top w:w="28" w:type="dxa"/>
          <w:left w:w="28" w:type="dxa"/>
          <w:bottom w:w="28" w:type="dxa"/>
          <w:right w:w="28" w:type="dxa"/>
        </w:tblCellMar>
      </w:tblPr>
      <w:tblGrid>
        <w:gridCol w:w="1332"/>
        <w:gridCol w:w="1166"/>
        <w:gridCol w:w="1177"/>
        <w:gridCol w:w="196"/>
        <w:gridCol w:w="646"/>
        <w:gridCol w:w="109"/>
        <w:gridCol w:w="109"/>
        <w:gridCol w:w="109"/>
        <w:gridCol w:w="109"/>
        <w:gridCol w:w="196"/>
        <w:gridCol w:w="646"/>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Payroll and related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Warranty obligations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advances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contract manufacturing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Value added tax payables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accrued expenses and other current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Note 3. Goodwill and Other Intangible Assets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a goodwill balance of $21.9 million at both December 31, 2023 and 2022.</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intangible assets are comprised of the following (in thousands):</w:t>
      </w:r>
    </w:p>
    <w:tbl>
      <w:tblPr>
        <w:tblW w:w="9900" w:type="dxa"/>
        <w:jc w:val="left"/>
        <w:tblInd w:w="0" w:type="dxa"/>
        <w:tblLayout w:type="fixed"/>
        <w:tblCellMar>
          <w:top w:w="28" w:type="dxa"/>
          <w:left w:w="28" w:type="dxa"/>
          <w:bottom w:w="28" w:type="dxa"/>
          <w:right w:w="28" w:type="dxa"/>
        </w:tblCellMar>
      </w:tblPr>
      <w:tblGrid>
        <w:gridCol w:w="1325"/>
        <w:gridCol w:w="1164"/>
        <w:gridCol w:w="1171"/>
        <w:gridCol w:w="109"/>
        <w:gridCol w:w="109"/>
        <w:gridCol w:w="352"/>
        <w:gridCol w:w="1162"/>
        <w:gridCol w:w="196"/>
        <w:gridCol w:w="109"/>
        <w:gridCol w:w="109"/>
        <w:gridCol w:w="109"/>
        <w:gridCol w:w="419"/>
        <w:gridCol w:w="1415"/>
        <w:gridCol w:w="235"/>
        <w:gridCol w:w="109"/>
        <w:gridCol w:w="109"/>
        <w:gridCol w:w="109"/>
        <w:gridCol w:w="313"/>
        <w:gridCol w:w="1031"/>
        <w:gridCol w:w="245"/>
      </w:tblGrid>
      <w:tr>
        <w:trPr/>
        <w:tc>
          <w:tcPr>
            <w:tcW w:w="132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Finite-lived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(4,465)</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 and trade names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(7,950)</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(7,447)</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(17,320)</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finite-lived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66,923 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(39,987)</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26,936 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Indefinite-lived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In-process capitalized software development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27,140 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70" name="Frame7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9900" w:type="dxa"/>
        <w:jc w:val="left"/>
        <w:tblInd w:w="0" w:type="dxa"/>
        <w:tblLayout w:type="fixed"/>
        <w:tblCellMar>
          <w:top w:w="28" w:type="dxa"/>
          <w:left w:w="28" w:type="dxa"/>
          <w:bottom w:w="28" w:type="dxa"/>
          <w:right w:w="28" w:type="dxa"/>
        </w:tblCellMar>
      </w:tblPr>
      <w:tblGrid>
        <w:gridCol w:w="1325"/>
        <w:gridCol w:w="1164"/>
        <w:gridCol w:w="1171"/>
        <w:gridCol w:w="109"/>
        <w:gridCol w:w="109"/>
        <w:gridCol w:w="352"/>
        <w:gridCol w:w="1162"/>
        <w:gridCol w:w="196"/>
        <w:gridCol w:w="109"/>
        <w:gridCol w:w="109"/>
        <w:gridCol w:w="109"/>
        <w:gridCol w:w="419"/>
        <w:gridCol w:w="1415"/>
        <w:gridCol w:w="235"/>
        <w:gridCol w:w="109"/>
        <w:gridCol w:w="109"/>
        <w:gridCol w:w="109"/>
        <w:gridCol w:w="313"/>
        <w:gridCol w:w="1031"/>
        <w:gridCol w:w="245"/>
      </w:tblGrid>
      <w:tr>
        <w:trPr/>
        <w:tc>
          <w:tcPr>
            <w:tcW w:w="132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Finite-lived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(4,016)</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 and trade names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(6,597)</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(11,686)</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29,081 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(2,225)</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finite-lived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66,198 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(31,629)</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34,569 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Indefinite-lived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In-process capitalized software development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41,383 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the years ended December 31, 2023 and 2022 was approximately $16.4 million and $20.1 million, respectively, including approximately $14.3 million and $17.9 million related to capitalized software development costs for the years ended December 31, 2023 and 2022, respectively.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the Company recorded $5.2 million and $3.0 million, respectively, of impairment losses on intangible assets related to capitalized software.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represents details of the amortization of finite-lived intangible assets that is estimated to be expensed in the future (in thousands): </w:t>
      </w:r>
    </w:p>
    <w:tbl>
      <w:tblPr>
        <w:tblW w:w="1837" w:type="dxa"/>
        <w:jc w:val="left"/>
        <w:tblInd w:w="0" w:type="dxa"/>
        <w:tblLayout w:type="fixed"/>
        <w:tblCellMar>
          <w:top w:w="28" w:type="dxa"/>
          <w:left w:w="28" w:type="dxa"/>
          <w:bottom w:w="28" w:type="dxa"/>
          <w:right w:w="28" w:type="dxa"/>
        </w:tblCellMar>
      </w:tblPr>
      <w:tblGrid>
        <w:gridCol w:w="304"/>
        <w:gridCol w:w="267"/>
        <w:gridCol w:w="270"/>
        <w:gridCol w:w="196"/>
        <w:gridCol w:w="646"/>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Note 4. Fair Value Measurements</w:t>
      </w:r>
    </w:p>
    <w:p>
      <w:pPr>
        <w:pStyle w:val="TextBody"/>
        <w:bidi w:val="0"/>
        <w:spacing w:lineRule="auto" w:line="268" w:before="180" w:after="180"/>
        <w:ind w:left="0" w:right="0" w:firstLine="450"/>
        <w:jc w:val="left"/>
        <w:rPr/>
      </w:pPr>
      <w:r>
        <w:rPr>
          <w:rFonts w:ascii="Times New Roman;sans-serif" w:hAnsi="Times New Roman;sans-serif"/>
          <w:b w:val="false"/>
          <w:color w:val="000000"/>
          <w:sz w:val="20"/>
        </w:rPr>
        <w:t xml:space="preserve">The Company’s only financial instrument measured at fair value on a recurring basis is its interest make-whole payment derivative liability on its 2025 Notes (see </w:t>
      </w:r>
      <w:r>
        <w:rPr>
          <w:rFonts w:ascii="Times New Roman;sans-serif" w:hAnsi="Times New Roman;sans-serif"/>
          <w:b w:val="false"/>
          <w:i/>
          <w:color w:val="000000"/>
          <w:sz w:val="20"/>
        </w:rPr>
        <w:t>Note 5 – Debt</w:t>
      </w:r>
      <w:r>
        <w:rPr>
          <w:rFonts w:ascii="Times New Roman;sans-serif" w:hAnsi="Times New Roman;sans-serif"/>
          <w:b w:val="false"/>
          <w:color w:val="000000"/>
          <w:sz w:val="20"/>
        </w:rPr>
        <w:t>). The fair value of that liability was zero as of both December 31, 2023 and 2022.</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interest make-whole payment derivative liability was determined using a Monte Carlo model with the following key assumptions:</w:t>
      </w:r>
    </w:p>
    <w:tbl>
      <w:tblPr>
        <w:tblW w:w="4541" w:type="dxa"/>
        <w:jc w:val="left"/>
        <w:tblInd w:w="0" w:type="dxa"/>
        <w:tblLayout w:type="fixed"/>
        <w:tblCellMar>
          <w:top w:w="28" w:type="dxa"/>
          <w:left w:w="28" w:type="dxa"/>
          <w:bottom w:w="28" w:type="dxa"/>
          <w:right w:w="28" w:type="dxa"/>
        </w:tblCellMar>
      </w:tblPr>
      <w:tblGrid>
        <w:gridCol w:w="424"/>
        <w:gridCol w:w="371"/>
        <w:gridCol w:w="374"/>
        <w:gridCol w:w="343"/>
        <w:gridCol w:w="343"/>
        <w:gridCol w:w="814"/>
        <w:gridCol w:w="109"/>
        <w:gridCol w:w="109"/>
        <w:gridCol w:w="109"/>
        <w:gridCol w:w="323"/>
        <w:gridCol w:w="323"/>
        <w:gridCol w:w="899"/>
      </w:tblGrid>
      <w:tr>
        <w:trPr/>
        <w:tc>
          <w:tcPr>
            <w:tcW w:w="42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price</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$2.20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$8.40 per share</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spread</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92.20 </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56.52 </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years</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yield</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71" name="Frame7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interest make-whole derivative liability at December 31, 2023 and December 31, 2022 was determined using assumptions which include an implied credit spread rate for notes with a similar term, the expected volatility and dividend yield of the Company’s common stock and the risk-free interest rate.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and 2022, there were no conversions of the 3.25% convertible senior notes due 2025 (the “2025 Notes”) into shares of the Company’s common stock.</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there was no change in the fair value of the interest make-whole liability. For the year ended December 31, 2022, the Company recorded a $0.9 million gain as a result of the changes in fair value of the interest make-whole liability within other income (expense), net on the consolidated statement of operations.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Other Financial Instruments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of the Company’s other financial assets and liabilities approximate their fair values because of their short-term nature, with the exception of the 2025 Notes. The 2025 Notes are carried at amortized cost, adjusted for changes in fair value of the embedded derivative.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Note 5. Debt</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Convertible Notes</w:t>
      </w:r>
    </w:p>
    <w:p>
      <w:pPr>
        <w:pStyle w:val="TextBody"/>
        <w:bidi w:val="0"/>
        <w:spacing w:lineRule="auto" w:line="276"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2025 Notes</w:t>
      </w:r>
    </w:p>
    <w:p>
      <w:pPr>
        <w:pStyle w:val="TextBody"/>
        <w:bidi w:val="0"/>
        <w:spacing w:lineRule="auto" w:line="276" w:before="180" w:after="180"/>
        <w:ind w:left="0" w:right="0" w:firstLine="450"/>
        <w:jc w:val="both"/>
        <w:rPr/>
      </w:pPr>
      <w:r>
        <w:rPr>
          <w:rFonts w:ascii="Times New Roman;sans-serif" w:hAnsi="Times New Roman;sans-serif"/>
          <w:b w:val="false"/>
          <w:color w:val="000000"/>
          <w:sz w:val="20"/>
        </w:rPr>
        <w:t xml:space="preserve">In May 2020, the Company completed both a registered public offering, and a privately negotiated exchange agreement, that resulted in the issuance of the 2025 Notes. After taking into account exchanges and redemptions occurring in prior periods, the outstanding principal balance of the 2025 Notes was $161.9 million as of both December 31, 2023 and </w:t>
      </w:r>
      <w:r>
        <w:rPr>
          <w:rFonts w:ascii="Times New Roman;sans-serif" w:hAnsi="Times New Roman;sans-serif"/>
          <w:b w:val="false"/>
          <w:color w:val="000000"/>
          <w:sz w:val="20"/>
          <w:shd w:fill="FFFFFF" w:val="clear"/>
        </w:rPr>
        <w:t>December 31, 2022</w:t>
      </w:r>
      <w:r>
        <w:rPr>
          <w:rFonts w:ascii="Times New Roman;sans-serif" w:hAnsi="Times New Roman;sans-serif"/>
          <w:b w:val="false"/>
          <w:color w:val="000000"/>
          <w:sz w:val="20"/>
        </w:rPr>
        <w:t>.</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2025 Notes were issued under an indenture, dated May 12, 2020 (the “Base Indenture”), between the Company and Wilmington Trust, National Association, as trustee (the “Trustee”), as supplemented by the first supplemental indenture, dated May 12, 2020 (the “Supplemental Indenture” and, together with the Base Indenture, the “Indenture”), between the Company and the Trustee.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2025 Notes will mature on May 1, 2025, unless earlier repurchased, redeemed or converted. The 2025 Notes are senior unsecured obligations of the Company and bear interest at an annual rate of 3.25%, payable semi-annually in arrears on May 1 and November 1 of each year.</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2025 Notes may convert the 2025 Notes into shares of the Company’s common stock (together with cash in lieu of any fractional share), at their option, at any time until the close of business on the scheduled trading day immediately before the maturity date. Upon conversion of the 2025 Notes, the Company will deliver for each $1,000 principal amount of 2025 Notes converted a number of shares of the Company’s common stock (together with cash in lieu of any fractional share), equal to the conversion rate.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initial conversion rate for the 2025 Notes is 7.92896 shares of common stock per $1,000 principal amount of 2025 Notes, which represents an initial conversion price of approximately $126.12 per share, and is subject to adjustment upon the occurrence of certain events, including, but not limited to, certain stock dividends, splits and combinations, the issuance of certain rights, options or warrants to holders of the common stock, certain distributions of assets, debt securities, capital stock or other property to holders of the common stock, cash dividends on the common stock and certain Company tender or exchange offers. </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If a fundamental change (as defined in the Indenture) occurs at any time prior to the maturity date, then the noteholders may require the Company to repurchase their 2025 Notes at a cash repurchase price equal to the principal amount of the 2025 Notes to be repurchased, plus accrued and unpaid interest, if any, to, but excluding, the fundamental change repurchase date.</w:t>
      </w:r>
      <w:r>
        <w:rPr>
          <w:color w:val="000000"/>
        </w:rPr>
        <w:t xml:space="preserve"> </w:t>
      </w:r>
      <w:r>
        <w:rPr>
          <w:rFonts w:ascii="Times New Roman;sans-serif" w:hAnsi="Times New Roman;sans-serif"/>
          <w:b w:val="false"/>
          <w:color w:val="000000"/>
          <w:sz w:val="20"/>
        </w:rPr>
        <w:t>If a make-whole fundamental change (as defined in the Indenture) occurs, then the Company will in certain circumstances increase the conversion rate for a specified period of time.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2025 Notes will be redeemable, in whole or in part, at the Company’s option at any time, and from time to time, on or after May 6, 2023 through the last scheduled trading day before the maturity date, at a cash redemption price equal to the principal amount of the 2025 Notes to be redeemed, plus accrued and unpaid interest, if any, to, but excluding, the redemption date, as long as the last reported sale price per share of the common stock exceeds 130% of the conversion price on (i) each of at least 20 trading days, whether or not consecutive, during the 30 consecutive trading days ending on, and including,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72" name="Frame7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trading day immediately before the date the Company sends the related redemption notice; and (ii) the trading day immediately before the date the Company sends such notice.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contains customary events of default. If an event of default (other than certain events of bankruptcy, insolvency or reorganization involving the Company) occurs and is continuing, the Trustee, by notice to the Company, or the holders of the 2025 Notes representing at least 25% in aggregate principal amount of the outstanding 2025 Notes, by notice to the Company and the Trustee, may declare 100% of the principal of, and all accrued and unpaid interest on, all of the then outstanding 2025 Notes to be due and payable immediately. Upon the occurrence of certain events of bankruptcy, insolvency or reorganization involving the Company, 100% of the principal of, and all accrued and unpaid interest on, all of the then outstanding 2025 Notes will automatically become immediately due and payable. Notwithstanding the foregoing, the Indenture provides that, to the extent the Company elects, the sole remedy for an event of default relating to certain failures by the Company to comply with certain reporting covenants in the Indenture will, for the first 360 days after such event of default, consist exclusively of the right to receive additional interest on the 2025 Notes.</w:t>
      </w:r>
    </w:p>
    <w:p>
      <w:pPr>
        <w:pStyle w:val="TextBody"/>
        <w:bidi w:val="0"/>
        <w:spacing w:lineRule="auto" w:line="276"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make-whole payment</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The 2025 Notes also include an interest make-whole payment feature whereby if the last reported sale price of the Company’s common stock for each of the five trading days immediately preceding a conversion date is greater than or equal to $105.10, the Company will, in addition to the other consideration payable or deliverable in connection with such conversion, make an interest make-whole payment to the converting holder equal to the sum of the present values of the scheduled payments of interest that would have been made on the 2025 Notes to be converted had such notes remained outstanding from the conversion date through the earlier of (i) the date that is three years after the conversion date and (ii) the maturity date. The present values will be computed using a discount rate equal to 1%. The Company will satisfy its obligation to pay the interest make-whole payment, at its election, in cash or shares of common stock (together with cash in lieu of fractional shares).</w:t>
      </w:r>
      <w:r>
        <w:rPr>
          <w:color w:val="000000"/>
        </w:rPr>
        <w:t xml:space="preserve"> </w:t>
      </w:r>
      <w:r>
        <w:rPr>
          <w:rFonts w:ascii="Times New Roman;sans-serif" w:hAnsi="Times New Roman;sans-serif"/>
          <w:b w:val="false"/>
          <w:color w:val="000000"/>
          <w:sz w:val="20"/>
        </w:rPr>
        <w:t xml:space="preserve">The Company has determined that this feature is an embedded derivative and has recognized the fair value of this derivative as a liability in the consolidated balance sheets, with subsequent changes to fair value to be recorded at each reporting period on the consolidated statement of operations in other income, net. See </w:t>
      </w:r>
      <w:r>
        <w:rPr>
          <w:rFonts w:ascii="Times New Roman;sans-serif" w:hAnsi="Times New Roman;sans-serif"/>
          <w:b w:val="false"/>
          <w:i/>
          <w:color w:val="000000"/>
          <w:sz w:val="20"/>
        </w:rPr>
        <w:t>Note 4 – Fair Value Measurements</w:t>
      </w:r>
      <w:r>
        <w:rPr>
          <w:rFonts w:ascii="Times New Roman;sans-serif" w:hAnsi="Times New Roman;sans-serif"/>
          <w:b w:val="false"/>
          <w:color w:val="000000"/>
          <w:sz w:val="20"/>
        </w:rPr>
        <w:t>, for more information on this derivative liability.</w:t>
      </w:r>
    </w:p>
    <w:p>
      <w:pPr>
        <w:pStyle w:val="TextBody"/>
        <w:bidi w:val="0"/>
        <w:spacing w:lineRule="auto" w:line="276" w:before="180" w:after="180"/>
        <w:ind w:left="0" w:right="0" w:firstLine="450"/>
        <w:jc w:val="both"/>
        <w:rPr/>
      </w:pPr>
      <w:r>
        <w:rPr>
          <w:rFonts w:ascii="Times New Roman;sans-serif" w:hAnsi="Times New Roman;sans-serif"/>
          <w:b w:val="false"/>
          <w:color w:val="000000"/>
          <w:sz w:val="20"/>
        </w:rPr>
        <w:t>As of December 31, 2023 and 2022, $161.9 million</w:t>
      </w:r>
      <w:r>
        <w:rPr>
          <w:color w:val="000000"/>
          <w:shd w:fill="FFFFFF" w:val="clear"/>
        </w:rPr>
        <w:t xml:space="preserve">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 xml:space="preserve">principal of the 2025 Notes was outstanding, $80.4 million of which were held by related parties. Assuming no repurchases or conversions of the 2025 Notes prior to May 1, 2025, the entire principal balance of $161.9 million of the 2025 Notes is due on May 1, 2025. </w:t>
      </w:r>
    </w:p>
    <w:p>
      <w:pPr>
        <w:pStyle w:val="TextBody"/>
        <w:bidi w:val="0"/>
        <w:spacing w:lineRule="auto" w:line="276"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2025 Notes consist of the following (in thousands):</w:t>
      </w:r>
    </w:p>
    <w:tbl>
      <w:tblPr>
        <w:tblW w:w="5596" w:type="dxa"/>
        <w:jc w:val="left"/>
        <w:tblInd w:w="0" w:type="dxa"/>
        <w:tblLayout w:type="fixed"/>
        <w:tblCellMar>
          <w:top w:w="28" w:type="dxa"/>
          <w:left w:w="28" w:type="dxa"/>
          <w:bottom w:w="28" w:type="dxa"/>
          <w:right w:w="28" w:type="dxa"/>
        </w:tblCellMar>
      </w:tblPr>
      <w:tblGrid>
        <w:gridCol w:w="1057"/>
        <w:gridCol w:w="928"/>
        <w:gridCol w:w="939"/>
        <w:gridCol w:w="196"/>
        <w:gridCol w:w="736"/>
        <w:gridCol w:w="109"/>
        <w:gridCol w:w="109"/>
        <w:gridCol w:w="109"/>
        <w:gridCol w:w="109"/>
        <w:gridCol w:w="196"/>
        <w:gridCol w:w="736"/>
        <w:gridCol w:w="109"/>
        <w:gridCol w:w="109"/>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 fair value of embedded derivative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Less: unamortized debt discount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 of the liability component of the 2025 Notes was 4.17% for the twelve months ended December 31, 2023 and 2022. The following table sets forth total interest expense recognized related to the 2025 Notes (in thousands):</w:t>
      </w:r>
    </w:p>
    <w:tbl>
      <w:tblPr>
        <w:tblW w:w="4734" w:type="dxa"/>
        <w:jc w:val="left"/>
        <w:tblInd w:w="0" w:type="dxa"/>
        <w:tblLayout w:type="fixed"/>
        <w:tblCellMar>
          <w:top w:w="28" w:type="dxa"/>
          <w:left w:w="28" w:type="dxa"/>
          <w:bottom w:w="28" w:type="dxa"/>
          <w:right w:w="28" w:type="dxa"/>
        </w:tblCellMar>
      </w:tblPr>
      <w:tblGrid>
        <w:gridCol w:w="956"/>
        <w:gridCol w:w="839"/>
        <w:gridCol w:w="845"/>
        <w:gridCol w:w="196"/>
        <w:gridCol w:w="556"/>
        <w:gridCol w:w="109"/>
        <w:gridCol w:w="109"/>
        <w:gridCol w:w="109"/>
        <w:gridCol w:w="109"/>
        <w:gridCol w:w="196"/>
        <w:gridCol w:w="55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Contractual 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contractual interest expense on the 2025 Notes recorded within interest expense, net on the consolidated statements of operations attributable to related parties was $2.6 million and $2.6 million in the years ended December 31, 2023 and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73" name="Frame7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respectively. As of both December 31, 2023 and 2022, accrued interest due to related parties of $0.4 million was included within accrued expenses and other current liabilities on the consolidated balance sheets.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Asset-Backed Revolving Credit Facility</w:t>
      </w:r>
    </w:p>
    <w:p>
      <w:pPr>
        <w:pStyle w:val="TextBody"/>
        <w:bidi w:val="0"/>
        <w:spacing w:lineRule="auto" w:line="268" w:before="0" w:after="0"/>
        <w:ind w:left="0" w:right="0" w:firstLine="450"/>
        <w:jc w:val="left"/>
        <w:rPr/>
      </w:pPr>
      <w:r>
        <w:rPr>
          <w:rFonts w:ascii="Times New Roman;sans-serif" w:hAnsi="Times New Roman;sans-serif"/>
          <w:b w:val="false"/>
          <w:color w:val="000000"/>
          <w:sz w:val="20"/>
        </w:rPr>
        <w:t xml:space="preserve">On August 5, 2022, the Company entered into a Loan and Security Agreement (the “Credit Agreement”), by and among Siena Lending Group LLC, as lender (“Lender”), Inseego Wireless, Inc., a Delaware corporation (“Inseego Wireless”), a subsidiary of the Company, and Inseego North America LLC, an Oregon limited liability company, an indirect subsidiary of the Company, as borrowers (together with Inseego Wireless, the “Borrowers”), and the Company, as guarantor (together with the Borrowers, the “Loan Parties”) as subsequently amended (see Note 13 – Subsequent Events for further information on the most recent amendment) . The Credit Agreement establishes a secured asset-backed revolving credit facility which is comprised of a maximum $50 million revolving credit facility (“Credit Facility”), with a minimum </w:t>
      </w:r>
      <w:r>
        <w:rPr>
          <w:rFonts w:ascii="Times New Roman;sans-serif" w:hAnsi="Times New Roman;sans-serif"/>
          <w:b w:val="false"/>
          <w:color w:val="000000"/>
          <w:sz w:val="20"/>
          <w:shd w:fill="FFFFFF" w:val="clear"/>
        </w:rPr>
        <w:t>borrowing amount for interest calculations</w:t>
      </w:r>
      <w:r>
        <w:rPr>
          <w:color w:val="000000"/>
        </w:rPr>
        <w:t xml:space="preserve"> </w:t>
      </w:r>
      <w:r>
        <w:rPr>
          <w:rFonts w:ascii="Times New Roman;sans-serif" w:hAnsi="Times New Roman;sans-serif"/>
          <w:b w:val="false"/>
          <w:color w:val="000000"/>
          <w:sz w:val="20"/>
        </w:rPr>
        <w:t>of $4.5 million upon execution of the Credit Agreement. The Credit Facility matures on December 31, 2024. Availability under the Credit Facility is determined monthly by a borrowing base comprised of a percentage of eligible accounts receivable and eligible inventory of the Borrowers. Outstanding amounts exceeding the borrowing base must be repaid immediately. The Borrowers’ obligations under the Credit Agreement are guaranteed by the Company. The Loan Parties’ obligations under the Credit Agreement are secured by a continuing security interest in all property of each Loan Party, subject to certain Excluded Collateral (as defined in the Credit Agreement).</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Facility may take the form of base rate (“Base Rate”) loans or Secured Overnight Financing Rate (“SOFR”) loans. SOFR loans will bear interest at a rate per annum equal to Term SOFR (as defined in the Credit Agreement as the Term SOFR Reference Rate for a term of one month on the day) plus the Applicable Margin (as defined in the Credit Agreement), with a Term SOFR floor of 1%. Base Rate loans will bear interest at a rate per annum equal to the Applicable Margin plus the greatest of (a) the per annum rate of interest which is identified as the “Prime Rate” and normally published in the Money Rates section of The Wall Street Journal, (b) the sum of the Federal Funds Rate (as defined in the Credit Agreement) plus 0.5% and (c) 3.50% per annum.</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Applicable Margin varies depending on the average outstanding amount for a preceding month. If the average outstanding amount for a preceding month is less than $15 million, the Applicable Margin will be 2.50% for Base Rate loans and 3.50% for SOFR loans. If the average outstanding amount for a preceding month is between $15 million and $25 million, the Applicable Margin will be 3.00% for Base Rate loans and 4.00% for SOFR loans. If the average outstanding amount for a preceding month is greater than $25 million, the Applicable Margin will be 4.5% for Base Rate loans and 5.50% for SOFR loans. The Company pays monthly fees of 0.4% per annum on the unused portion of the Credit Facility.</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The Credit Agreement contains a financial covenant whereby the Loan Parties shall not permit the consolidated Liquidity (as defined in the Amended Credit Agreement) to be less than $8 million at any time (the “Liquidity Covenant”). The Credit Agreement also contains certain customary covenants, which include, but are not limited to, restrictions on indebtedness, liens, fundamental changes, restricted payments, asset sales, and investments, and places limits on various other payments. The Company determined that the term “Eligible Accounts”, as defined in the Credit Agreement would have excluded certain balances used in the determination of eligible collateral upon which the Company’s borrowing base is calculated and that exclusion would have resulted in a violation of the Liquidity Covenant as of December 31, 2022.</w:t>
      </w:r>
      <w:r>
        <w:rPr>
          <w:color w:val="000000"/>
        </w:rPr>
        <w:t xml:space="preserve"> </w:t>
      </w:r>
      <w:r>
        <w:rPr>
          <w:rFonts w:ascii="Times New Roman;sans-serif" w:hAnsi="Times New Roman;sans-serif"/>
          <w:b w:val="false"/>
          <w:color w:val="000000"/>
          <w:sz w:val="20"/>
        </w:rPr>
        <w:t>Accordingly, to clarify this matter and others, the Loan Parties agreed to amend the Credit Agreement (as amended, the “Amended Credit Agreement”) to modify and clarify the definitions of “Eligible Accounts”, “Permitted Indebtedness” and also “Eligible Inventory.” The Amended Credit Agreement was entered into on February 25, 2023 with an effective date of December 15, 2022. The Company was in compliance with the financial covenants of the Amended Credit Agreement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945"/>
                <wp:effectExtent l="0" t="0" r="0" b="0"/>
                <wp:wrapNone/>
                <wp:docPr id="74" name="Frame7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68" w:before="180" w:after="180"/>
        <w:ind w:left="0" w:right="0" w:firstLine="450"/>
        <w:jc w:val="left"/>
        <w:rPr/>
      </w:pPr>
      <w:r>
        <w:rPr>
          <w:rFonts w:ascii="Times New Roman;sans-serif" w:hAnsi="Times New Roman;sans-serif"/>
          <w:b w:val="false"/>
          <w:color w:val="000000"/>
          <w:sz w:val="20"/>
          <w:shd w:fill="FFFFFF" w:val="clear"/>
        </w:rPr>
        <w:t xml:space="preserve">On May 2, 2023, (1) two related parties (the “Participants”) collectively purchased a $4.0 million last-out subordinated participation interest in the Amended Credit Agreement (the “Participation Interest”) from the Lender, and (2) the Borrowers entered into an amendment to the Amended Credit Agreement which increased the borrowing base under the Credit Facility by $4.0 million, increased the minimum borrowing amount for interest calculations to $8.5 million, and modified certain covenants. In connection with the purchase of the Participation Interest, we agreed to pay the Participants an aggregate exit fee ranging from 7.5% to 12.5% of the amount of the Participation Interest, payable upon the earlier to occur of (a) the maturity date of the Credit Facility, (b) termination of the Lender’s commitment to make revolving loans prior to the scheduled maturity date of the Credit Facility, and (c) the early redemption of the Participation Interest, as applicable. Further, the purchase of the Participation Interest granted an option for the Participants to purchase the subject revolving loan or to redeem its Participation Interest under certain circumstances. The Participants are each affiliates of beneficial holders of greater than five percent of our outstanding common stock. </w:t>
      </w:r>
      <w:r>
        <w:rPr>
          <w:rFonts w:ascii="Times New Roman;sans-serif" w:hAnsi="Times New Roman;sans-serif"/>
          <w:b w:val="false"/>
          <w:color w:val="000000"/>
          <w:sz w:val="20"/>
        </w:rPr>
        <w:t>Accretion of the exit fee attributable to related parties recorded within interest expense, net on the consolidated statements of operations was $0.2 million for the year ended December 31, 2023.</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Upon execution of the Credit Agreement on August 5, 2022, the Company paid $1.1 million of debt issuance costs, which are being amortized to interest expense throughout the term of the agreement. Amortization expense of $0.5 million and $0.2 million related to debt issuance cost was recognized for the years ended December 31, 2023 and 2022, respectively. As of December 31, 2023 and 2022, there were $0.5 million and $0.9 million of unamortized debt issuance costs on the Credit Facility included within prepaid expenses and other and other assets on the consolidated balance sheets, respectively. As of December 31, 2023, the Company had outstanding borrowings of $4.1 million and availability of $3.2 million. The Company’s policy is to classify outstanding borrowings as long-term so long as such borrowings are not expected to exceed the borrowing base over the 12 months subsequent to the balance sheet date, in which case, any excess borrowings would be classified as short-term.</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 of the average outstanding balance of the Credit Facility was 54.5%, which includes 14.4% related to amortization of original issuance costs, and 17.7%, which includes 8.5% related to amortization of original issuance costs, for the twelve months ended December 31, 2023 and 2022, respectively. The higher interest rates relate to the fact that there is a minimum borrowing amount for interest calculations under the Credit Facility. The following table sets forth total interest expense recognized related to the Credit Facility (in thousands):</w:t>
      </w:r>
    </w:p>
    <w:tbl>
      <w:tblPr>
        <w:tblW w:w="5093" w:type="dxa"/>
        <w:jc w:val="left"/>
        <w:tblInd w:w="0" w:type="dxa"/>
        <w:tblLayout w:type="fixed"/>
        <w:tblCellMar>
          <w:top w:w="28" w:type="dxa"/>
          <w:left w:w="28" w:type="dxa"/>
          <w:bottom w:w="28" w:type="dxa"/>
          <w:right w:w="28" w:type="dxa"/>
        </w:tblCellMar>
      </w:tblPr>
      <w:tblGrid>
        <w:gridCol w:w="1085"/>
        <w:gridCol w:w="954"/>
        <w:gridCol w:w="960"/>
        <w:gridCol w:w="211"/>
        <w:gridCol w:w="616"/>
        <w:gridCol w:w="109"/>
        <w:gridCol w:w="109"/>
        <w:gridCol w:w="109"/>
        <w:gridCol w:w="109"/>
        <w:gridCol w:w="211"/>
        <w:gridCol w:w="46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Note 6. Income Taxes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loss before income taxes for the years ended December 31, 2023 and 2022 is comprised of the following (in thousands):</w:t>
      </w:r>
    </w:p>
    <w:tbl>
      <w:tblPr>
        <w:tblW w:w="4562" w:type="dxa"/>
        <w:jc w:val="left"/>
        <w:tblInd w:w="0" w:type="dxa"/>
        <w:tblLayout w:type="fixed"/>
        <w:tblCellMar>
          <w:top w:w="28" w:type="dxa"/>
          <w:left w:w="28" w:type="dxa"/>
          <w:bottom w:w="28" w:type="dxa"/>
          <w:right w:w="28" w:type="dxa"/>
        </w:tblCellMar>
      </w:tblPr>
      <w:tblGrid>
        <w:gridCol w:w="695"/>
        <w:gridCol w:w="610"/>
        <w:gridCol w:w="615"/>
        <w:gridCol w:w="196"/>
        <w:gridCol w:w="721"/>
        <w:gridCol w:w="109"/>
        <w:gridCol w:w="109"/>
        <w:gridCol w:w="109"/>
        <w:gridCol w:w="109"/>
        <w:gridCol w:w="196"/>
        <w:gridCol w:w="721"/>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Domestic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945"/>
                <wp:effectExtent l="0" t="0" r="0" b="0"/>
                <wp:wrapNone/>
                <wp:docPr id="75" name="Frame7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(benefit) provision for income taxes for the years ended December 31, 2023 and 2022 is comprised of the following (in thousands):</w:t>
      </w:r>
    </w:p>
    <w:tbl>
      <w:tblPr>
        <w:tblW w:w="4956" w:type="dxa"/>
        <w:jc w:val="left"/>
        <w:tblInd w:w="0" w:type="dxa"/>
        <w:tblLayout w:type="fixed"/>
        <w:tblCellMar>
          <w:top w:w="28" w:type="dxa"/>
          <w:left w:w="28" w:type="dxa"/>
          <w:bottom w:w="28" w:type="dxa"/>
          <w:right w:w="28" w:type="dxa"/>
        </w:tblCellMar>
      </w:tblPr>
      <w:tblGrid>
        <w:gridCol w:w="976"/>
        <w:gridCol w:w="857"/>
        <w:gridCol w:w="867"/>
        <w:gridCol w:w="211"/>
        <w:gridCol w:w="453"/>
        <w:gridCol w:w="117"/>
        <w:gridCol w:w="117"/>
        <w:gridCol w:w="117"/>
        <w:gridCol w:w="117"/>
        <w:gridCol w:w="211"/>
        <w:gridCol w:w="533"/>
        <w:gridCol w:w="117"/>
        <w:gridCol w:w="109"/>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w:t>
            </w:r>
          </w:p>
        </w:tc>
        <w:tc>
          <w:tcPr>
            <w:tcW w:w="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w:t>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w:t>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net deferred tax liabilities consist of the following (in thousands):</w:t>
      </w:r>
    </w:p>
    <w:tbl>
      <w:tblPr>
        <w:tblW w:w="6356" w:type="dxa"/>
        <w:jc w:val="left"/>
        <w:tblInd w:w="0" w:type="dxa"/>
        <w:tblLayout w:type="fixed"/>
        <w:tblCellMar>
          <w:top w:w="28" w:type="dxa"/>
          <w:left w:w="28" w:type="dxa"/>
          <w:bottom w:w="28" w:type="dxa"/>
          <w:right w:w="28" w:type="dxa"/>
        </w:tblCellMar>
      </w:tblPr>
      <w:tblGrid>
        <w:gridCol w:w="1348"/>
        <w:gridCol w:w="1183"/>
        <w:gridCol w:w="1188"/>
        <w:gridCol w:w="211"/>
        <w:gridCol w:w="599"/>
        <w:gridCol w:w="109"/>
        <w:gridCol w:w="109"/>
        <w:gridCol w:w="109"/>
        <w:gridCol w:w="109"/>
        <w:gridCol w:w="245"/>
        <w:gridCol w:w="565"/>
        <w:gridCol w:w="581"/>
      </w:tblGrid>
      <w:tr>
        <w:trPr/>
        <w:tc>
          <w:tcPr>
            <w:tcW w:w="134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excess and obsolete inventory</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research and experimental expenditures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8,986 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debt</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9,782 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limitation</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12,722 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operating loss and tax credit carryforwards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112,297 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3,375 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Right-of-use-asset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Unrecognized tax benefits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152,872 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Valuation allowances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(145,431)</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 net of valuation allowances</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7,441 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(2,518)</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Acquired intangible assets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(4,288)</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foreign currency gains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(7,764)</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The Company records a valuation allowance to reduce any deferred tax assets by the amount of any tax benefits that, based on available evidence and judgment, are not expected to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1945"/>
                <wp:effectExtent l="0" t="0" r="0" b="0"/>
                <wp:wrapNone/>
                <wp:docPr id="76" name="Frame7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assesses whether a valuation allowance should be recorded against its deferred tax assets based on the consideration of all available evidence, using a “more likely than 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and 2022, the Company recognized valuation allowances of $10.1 million, and $13.6 million, respectively, related to its deferred tax assets created in those respective years for entities with historical losses and full valuation allowances. Based on the Company’s current position on valuation allowance, no net income tax benefits resulted in the Company’s consolidated statements of operations from the operating losses created during those years.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Beginning January 1, 2022, we are required to capitalize certain research and development expenditures in accordance with Section 174 of the Internal Revenue Code, as amended by the Tax Cuts and Jobs Act of 2017, instead of expensing such expenditures, as previously allowed. Amortization of such capitalized expenditures are allowed over a 5-year period if incurred domestically or a 15-year period if incurred outside the United States.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(benefit) provision for income taxes reconciles to the amount computed by applying the statutory federal income tax rate of 21% in 2023 and 2022 to loss before income taxes as follows (in thousands):</w:t>
      </w:r>
    </w:p>
    <w:tbl>
      <w:tblPr>
        <w:tblW w:w="5971" w:type="dxa"/>
        <w:jc w:val="left"/>
        <w:tblInd w:w="0" w:type="dxa"/>
        <w:tblLayout w:type="fixed"/>
        <w:tblCellMar>
          <w:top w:w="28" w:type="dxa"/>
          <w:left w:w="28" w:type="dxa"/>
          <w:bottom w:w="28" w:type="dxa"/>
          <w:right w:w="28" w:type="dxa"/>
        </w:tblCellMar>
      </w:tblPr>
      <w:tblGrid>
        <w:gridCol w:w="1236"/>
        <w:gridCol w:w="1087"/>
        <w:gridCol w:w="1096"/>
        <w:gridCol w:w="196"/>
        <w:gridCol w:w="631"/>
        <w:gridCol w:w="109"/>
        <w:gridCol w:w="109"/>
        <w:gridCol w:w="109"/>
        <w:gridCol w:w="109"/>
        <w:gridCol w:w="196"/>
        <w:gridCol w:w="721"/>
        <w:gridCol w:w="109"/>
        <w:gridCol w:w="109"/>
        <w:gridCol w:w="154"/>
      </w:tblGrid>
      <w:tr>
        <w:trPr/>
        <w:tc>
          <w:tcPr>
            <w:tcW w:w="123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tax benefit, at statutory rate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benefit, net of federal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tax rate difference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Valuation allowance against future tax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credits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Non-deductible officers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True-up of prior year provisions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 had U.S. federal net operating loss carryforwards (“NOLs”) related to tax years 2021 and prior of approximately $405.1 million. Approximately $106.9 million of these NOLs have no expiration date. The remainder will begin to expire in 2024, unless previously utilized. Some of these NOLs may be limited by either past or future changes in control events. The Company has California NOLs at December 31, 2023 of approximately $64.2 million, which begin to expire in 2028, unless previously utilized, and foreign NOLs for its active foreign subsidiaries of approximately $25.5 million, which generally have no expiration date. At December 31, 2023, the Company had federal research and development tax credit carryforwards, net of unrecognized tax benefits, of approximately $10.9 million, which begin to expire in 2026, unless previously utilized, and California research and development tax credit carryforwards, net of unrecognized tax benefits, of approximately $10.9 million, which have no expiration date.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Internal Revenue Code (“IRC”) Sections 382 and 383, annual use of the Company’s net operating loss and research and development credit carryforwards may be limited in the event a cumulative change in ownership of more than 50% occurs within a rolling three-year period. An analysis was performed for the period through December 31, 2023 and did not identify any events of cumulative change in ownership during the review period. The Company will continue monitoring any future changes in stock ownership.</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It is the Company’s intention to reinvest undistributed earnings of its foreign subsidiaries and thereby indefinitely postpone their remittance. Accordingly, no provision has been made for foreign withholding taxes on U.S. income taxes which may become payable if undistributed earnings of the foreign subsidiary were paid as dividends to the Company.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27, 2020, the U.S. government enacted the Coronavirus Aid, Relief, and Economic Security Act (“CARES Act”) which includes modifications to the limitation on business interest expense and net operating loss provisions, and provides a payment delay of employer payroll taxes during 2020 after the date of enactment. Payments of approximately $1.4 million of employer payroll taxes otherwise due in 2020, were delayed with 50% due and paid by December 31, 2021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1945"/>
                <wp:effectExtent l="0" t="0" r="0" b="0"/>
                <wp:wrapNone/>
                <wp:docPr id="77" name="Frame7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50% in February 2023. The CARES Act did not have a material impact on the Company’s consolidated financial statements.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No income tax benefit was recognized during the years ended December 31, 2023 and 2022. At December 31, 2023 and 2022, the Company did not have interest expense related to uncertain tax positions or a liability for unrecognized tax benefits. The Company does not expect changes to its uncertain tax position in the next twelve months.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amounts of unrecognized tax benefits is as follows (in thousands):</w:t>
      </w:r>
    </w:p>
    <w:tbl>
      <w:tblPr>
        <w:tblW w:w="6350" w:type="dxa"/>
        <w:jc w:val="left"/>
        <w:tblInd w:w="0" w:type="dxa"/>
        <w:tblLayout w:type="fixed"/>
        <w:tblCellMar>
          <w:top w:w="28" w:type="dxa"/>
          <w:left w:w="28" w:type="dxa"/>
          <w:bottom w:w="28" w:type="dxa"/>
          <w:right w:w="28" w:type="dxa"/>
        </w:tblCellMar>
      </w:tblPr>
      <w:tblGrid>
        <w:gridCol w:w="1938"/>
        <w:gridCol w:w="1706"/>
        <w:gridCol w:w="1710"/>
        <w:gridCol w:w="196"/>
        <w:gridCol w:w="646"/>
        <w:gridCol w:w="154"/>
      </w:tblGrid>
      <w:tr>
        <w:trPr/>
        <w:tc>
          <w:tcPr>
            <w:tcW w:w="1938"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Increases related to current and prior year tax positions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Increases related to current and prior year tax positions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Decreases from lapses of statute of limitations and prior year tax positions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tax benefits that, if recognized, would affect the effective tax rate that are included in the balances of unrecognized tax benefits at December 31, 2023.</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file U.S., state and foreign income tax returns in jurisdictions with various statutes of limitations. The Company’s tax returns are subject to examination by federal, state and foreign taxing authorities. The Company’s federal and state tax returns are subject to examination for the years beginning in 2020 and 2019, respectively. Net operating loss carryforwards arising prior to these years are also open to examination, if and when utilized.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2022, Congress passed, and the President signed into law, the Inflation Reduction Act of 2022 (the “IRA”), which includes certain business tax provisions. The IRA provides for excise taxes on corporate stock buy-backs and a minimum tax on corporate financial statement income in excess of $1.0 billion. These new provisions became effective January 1, 2023. The Company does not expect the IRA to have a material impact on the Company’s effective tax rate or income tax expense for the year ending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Note 7. Preferred Stock and Common Stock</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Preferred Stock</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total of 2,000,000 shares of preferred stock authorized for issuance at a par value of $0.001 per share, 150,000 of which have been designated Series D Preferred Stock and 39,500 of which have been designated Series E Preferred Stock. As of December 31, 2023, the Company had 25,000 shares of Series E preferred stock issued and outstanding.</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share of Series E Preferred Stock entitles the holder thereof to receive, when and if declared by the Company out of assets legally available therefor, cumulative cash dividends at an annual rate of 9.00% payable quarterly in arrears on January 1 April 1, July 1 and October 1 of each year, beginning on October 1, 2019. If dividends are not declared and paid in any quarter, or if such dividends are declared but holders of the Series E Preferred Stock elect not to receive them in cash, the quarterly dividend will be deemed to accrue and will be added to the Series E Base Amount (as defined below). The Series E Preferred Stock has no voting rights unless otherwise required by law. The Series E Preferred Stock is perpetual and has no maturity date. However, the Company may, at its option, redeem shares of the Series E Preferred Stock, in whole or in part, on or after July 1, 2022, at a price equal to 110% of the Series E Base Amount plus (without duplication) any accrued and unpaid dividends. The “Series E Base Amount” means $1,000 per share, plus any accrued but unpaid dividends, whether or not declared by the Company’s board of directors, subject to appropriate adjustment in the event of any stock dividend, stock split, combination or other similar recapitalization with respect to the Series E Preferred Stock. In the event of a liquidation, dissolution or winding up of the Company, the holders of the Series E Preferred Stock will be entitled to receive, after satisfaction of liabilities to creditors and subject to the rights of holders of any senior securities, but before any distribution of assets is made to holders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1945"/>
                <wp:effectExtent l="0" t="0" r="0" b="0"/>
                <wp:wrapNone/>
                <wp:docPr id="78" name="Frame7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or any other junior securities, the Series E Base Amount plus (without duplication) any accrued and unpaid dividends.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but not paid, related to the Series E Preferred Stock resulted in $10.1 million and $7.1 million of dividends accrued, approximating $404.93 and $285.29 per preferred share, as of December 31, 2023 and 2022, respectively.</w:t>
      </w:r>
    </w:p>
    <w:p>
      <w:pPr>
        <w:pStyle w:val="TextBody"/>
        <w:bidi w:val="0"/>
        <w:spacing w:lineRule="auto" w:line="276" w:before="180" w:after="180"/>
        <w:jc w:val="left"/>
        <w:rPr/>
      </w:pPr>
      <w:r>
        <w:rPr>
          <w:rFonts w:ascii="Times New Roman;sans-serif" w:hAnsi="Times New Roman;sans-serif"/>
          <w:b w:val="false"/>
          <w:i/>
          <w:color w:val="000000"/>
          <w:sz w:val="20"/>
        </w:rPr>
        <w:t>Common Stock</w:t>
      </w:r>
      <w:r>
        <w:rPr>
          <w:color w:val="000000"/>
        </w:rPr>
        <w:t xml:space="preserve">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150,000,000 shares of $0.001 par value common stock authorized for issuance and 11,878,557 shares issued and outstanding.</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In January 2021, the Company entered into an Equity Distribution Agreement with Canaccord Genuity LLC (the “Agent”), pursuant to which the Company may offer and sell, from time to time, through or to the Agent, up to $40.0 million of shares of its common stock (the “ATM Offering”). There were no sales under the ATM during the year ended December 31, 2022. During</w:t>
      </w:r>
      <w:r>
        <w:rPr>
          <w:color w:val="000000"/>
          <w:shd w:fill="FFFFFF" w:val="clear"/>
        </w:rPr>
        <w:t xml:space="preserve"> </w:t>
      </w:r>
      <w:r>
        <w:rPr>
          <w:rFonts w:ascii="Times New Roman;sans-serif" w:hAnsi="Times New Roman;sans-serif"/>
          <w:b w:val="false"/>
          <w:color w:val="000000"/>
          <w:sz w:val="20"/>
          <w:shd w:fill="FFFFFF" w:val="clear"/>
        </w:rPr>
        <w:t xml:space="preserve">the year ended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 xml:space="preserve">the Company sold </w:t>
      </w:r>
      <w:r>
        <w:rPr>
          <w:rFonts w:ascii="Times New Roman;sans-serif" w:hAnsi="Times New Roman;sans-serif"/>
          <w:b w:val="false"/>
          <w:color w:val="000000"/>
          <w:sz w:val="20"/>
        </w:rPr>
        <w:t xml:space="preserve">803,596 </w:t>
      </w:r>
      <w:r>
        <w:rPr>
          <w:rFonts w:ascii="Times New Roman;sans-serif" w:hAnsi="Times New Roman;sans-serif"/>
          <w:b w:val="false"/>
          <w:color w:val="000000"/>
          <w:sz w:val="20"/>
          <w:shd w:fill="FFFFFF" w:val="clear"/>
        </w:rPr>
        <w:t>shares of common stock, at an average price of $7.54 per share, for net proceeds of $5.9 million, after deducting underwriter fees and discounts.</w:t>
      </w:r>
      <w:r>
        <w:rPr>
          <w:color w:val="000000"/>
        </w:rPr>
        <w:t xml:space="preserve"> </w:t>
      </w:r>
      <w:r>
        <w:rPr>
          <w:rFonts w:ascii="Times New Roman;sans-serif" w:hAnsi="Times New Roman;sans-serif"/>
          <w:b w:val="false"/>
          <w:color w:val="000000"/>
          <w:sz w:val="20"/>
        </w:rPr>
        <w:t>Effective as of November 2, 2023, the Equity Distribution Agreement was terminated by the Company, and there will be no further sales under the ATM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Note 8. Share-based Compensation</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and 2022, the Company granted awards under the 2018 Omnibus Incentive Compensation Plan, previously named the Amended and Restated 2009 Omnibus Incentive Compensation Plan (the “2018 Plan”). The Compensation Committee of the Board of Directors administers the plans. Under the 2018 Plan, shares of common stock may be issued upon the exercise of stock options, in the form of restricted stock, or in settlement of RSUs or other awards, including awards with alternative vesting schedules such as performance-based criteria. The 2018 Plan authorizes 3,275,309 shares, of which 910,076 remain available for future grants.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and 2022, the Board of Directors of the Company approved and the Company granted RSUs to eligible employees under the 2018 Plan, previously named the Amended and Restated 2009 Omnibus Incentive Compensation Plan (the “2018 Plan”), as annual bonus payments. During the years ended December 31, 2023 and 2022, the total charges related to bonus payments were $1.2 million and $8.8 million, respectively.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the following table presents total share-based compensation expense in each functional line item on the consolidated statements of operations (in thousands):</w:t>
      </w:r>
    </w:p>
    <w:tbl>
      <w:tblPr>
        <w:tblW w:w="4411" w:type="dxa"/>
        <w:jc w:val="left"/>
        <w:tblInd w:w="0" w:type="dxa"/>
        <w:tblLayout w:type="fixed"/>
        <w:tblCellMar>
          <w:top w:w="28" w:type="dxa"/>
          <w:left w:w="28" w:type="dxa"/>
          <w:bottom w:w="28" w:type="dxa"/>
          <w:right w:w="28" w:type="dxa"/>
        </w:tblCellMar>
      </w:tblPr>
      <w:tblGrid>
        <w:gridCol w:w="728"/>
        <w:gridCol w:w="639"/>
        <w:gridCol w:w="642"/>
        <w:gridCol w:w="196"/>
        <w:gridCol w:w="556"/>
        <w:gridCol w:w="109"/>
        <w:gridCol w:w="109"/>
        <w:gridCol w:w="109"/>
        <w:gridCol w:w="109"/>
        <w:gridCol w:w="196"/>
        <w:gridCol w:w="646"/>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of the Board of Directors determines eligibility, vesting schedules and exercise prices for stock options granted. For performance stock awards subject to market-based vesting conditions, fair values are determined using the Monte-Carlo simulation model. Stock options generally have a term of ten years and vest over a three- to four-year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1945"/>
                <wp:effectExtent l="0" t="0" r="0" b="0"/>
                <wp:wrapNone/>
                <wp:docPr id="79" name="Frame7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weighted-average assumptions used in the Black-Scholes valuation model by the Company in calculating the fair value of each stock option granted:</w:t>
      </w:r>
    </w:p>
    <w:tbl>
      <w:tblPr>
        <w:tblW w:w="4899" w:type="dxa"/>
        <w:jc w:val="left"/>
        <w:tblInd w:w="0" w:type="dxa"/>
        <w:tblLayout w:type="fixed"/>
        <w:tblCellMar>
          <w:top w:w="28" w:type="dxa"/>
          <w:left w:w="28" w:type="dxa"/>
          <w:bottom w:w="28" w:type="dxa"/>
          <w:right w:w="28" w:type="dxa"/>
        </w:tblCellMar>
      </w:tblPr>
      <w:tblGrid>
        <w:gridCol w:w="667"/>
        <w:gridCol w:w="588"/>
        <w:gridCol w:w="590"/>
        <w:gridCol w:w="210"/>
        <w:gridCol w:w="211"/>
        <w:gridCol w:w="400"/>
        <w:gridCol w:w="170"/>
        <w:gridCol w:w="170"/>
        <w:gridCol w:w="170"/>
        <w:gridCol w:w="203"/>
        <w:gridCol w:w="203"/>
        <w:gridCol w:w="400"/>
        <w:gridCol w:w="109"/>
        <w:gridCol w:w="109"/>
        <w:gridCol w:w="109"/>
        <w:gridCol w:w="109"/>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dividend yield</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w:t>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4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4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(in years)</w:t>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fair value of stock option awards granted during the years ended December 31, 2023 and 2022 was $3.16 and $29.10, respectively.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stock option activity for the years ended December 31, 2023 and 2022 (dollars in thousands, except per share data):</w:t>
      </w:r>
    </w:p>
    <w:tbl>
      <w:tblPr>
        <w:tblW w:w="9809" w:type="dxa"/>
        <w:jc w:val="left"/>
        <w:tblInd w:w="0" w:type="dxa"/>
        <w:tblLayout w:type="fixed"/>
        <w:tblCellMar>
          <w:top w:w="28" w:type="dxa"/>
          <w:left w:w="28" w:type="dxa"/>
          <w:bottom w:w="28" w:type="dxa"/>
          <w:right w:w="28" w:type="dxa"/>
        </w:tblCellMar>
      </w:tblPr>
      <w:tblGrid>
        <w:gridCol w:w="1386"/>
        <w:gridCol w:w="1216"/>
        <w:gridCol w:w="1222"/>
        <w:gridCol w:w="404"/>
        <w:gridCol w:w="406"/>
        <w:gridCol w:w="336"/>
        <w:gridCol w:w="109"/>
        <w:gridCol w:w="109"/>
        <w:gridCol w:w="109"/>
        <w:gridCol w:w="334"/>
        <w:gridCol w:w="949"/>
        <w:gridCol w:w="188"/>
        <w:gridCol w:w="109"/>
        <w:gridCol w:w="109"/>
        <w:gridCol w:w="109"/>
        <w:gridCol w:w="490"/>
        <w:gridCol w:w="490"/>
        <w:gridCol w:w="491"/>
        <w:gridCol w:w="109"/>
        <w:gridCol w:w="109"/>
        <w:gridCol w:w="109"/>
        <w:gridCol w:w="237"/>
        <w:gridCol w:w="491"/>
        <w:gridCol w:w="188"/>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w:t>
              <w:br/>
              <w:t>Options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Exercise</w:t>
              <w:br/>
              <w:t>Price Per</w:t>
              <w:b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Remaining</w:t>
              <w:br/>
              <w:t>Contractual</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December 31, 2021</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808,579 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150,500 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(37,069)</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Canceled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(108,714)</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December 31, 2022</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813,296 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82,825 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Canceled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(350,249)</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December 31, 2023</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545,872 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Expected to Vest — December 31, 2023</w:t>
            </w:r>
          </w:p>
        </w:tc>
        <w:tc>
          <w:tcPr>
            <w:tcW w:w="81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504,839 </w:t>
            </w:r>
          </w:p>
        </w:tc>
        <w:tc>
          <w:tcPr>
            <w:tcW w:w="3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 December 31, 2023</w:t>
            </w:r>
          </w:p>
        </w:tc>
        <w:tc>
          <w:tcPr>
            <w:tcW w:w="81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365,246 </w:t>
            </w:r>
          </w:p>
        </w:tc>
        <w:tc>
          <w:tcPr>
            <w:tcW w:w="3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intrinsic value of stock options exercised to purchase common stock during the years ended December 31, 2022 was approximately $3.7 million.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total unrecognized share-based compensation expense related to non-vested stock options was $3.0 million, which is expected to be recognized over a weighted-average period of approximately 2.78 years. The Company recognized approximately $4.0 million and $5.9 million of share-based compensation expense related to the vesting of stock option awards during the years ended December 31, 2023 and 2022, respectively. </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2018 Plan and the 2015 Plan, the Company may issue RSUs that, upon satisfaction of vesting conditions, allow recipients to receive common stock. Issuances of such awards reduce common stock available under the 2018 Plan and 2015 Plan for stock incentive awards. The Company measures compensation cost associated with grants of RSUs at fair value, which is generally the closing price of the Company’s stock on the date of grant. RSUs generally vest over a three- to four-year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1945"/>
                <wp:effectExtent l="0" t="0" r="0" b="0"/>
                <wp:wrapNone/>
                <wp:docPr id="80" name="Frame8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restricted stock unit activity under all plans for the years ended December 31, 2023 and 2022 is presented below:</w:t>
      </w:r>
    </w:p>
    <w:tbl>
      <w:tblPr>
        <w:tblW w:w="7585" w:type="dxa"/>
        <w:jc w:val="left"/>
        <w:tblInd w:w="0" w:type="dxa"/>
        <w:tblLayout w:type="fixed"/>
        <w:tblCellMar>
          <w:top w:w="28" w:type="dxa"/>
          <w:left w:w="28" w:type="dxa"/>
          <w:bottom w:w="28" w:type="dxa"/>
          <w:right w:w="28" w:type="dxa"/>
        </w:tblCellMar>
      </w:tblPr>
      <w:tblGrid>
        <w:gridCol w:w="945"/>
        <w:gridCol w:w="830"/>
        <w:gridCol w:w="834"/>
        <w:gridCol w:w="469"/>
        <w:gridCol w:w="469"/>
        <w:gridCol w:w="471"/>
        <w:gridCol w:w="109"/>
        <w:gridCol w:w="109"/>
        <w:gridCol w:w="109"/>
        <w:gridCol w:w="949"/>
        <w:gridCol w:w="949"/>
        <w:gridCol w:w="1342"/>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Grant-Date Fair Value</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 December 31, 2021</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124,772 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76.54 </w:t>
            </w:r>
          </w:p>
        </w:tc>
        <w:tc>
          <w:tcPr>
            <w:tcW w:w="1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254,405 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45.08 </w:t>
            </w:r>
          </w:p>
        </w:tc>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(227,882)</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45.32 </w:t>
            </w:r>
          </w:p>
        </w:tc>
        <w:tc>
          <w:tcPr>
            <w:tcW w:w="1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(33,458)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34.52 </w:t>
            </w:r>
          </w:p>
        </w:tc>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 December 31, 2022</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117,837 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73.30 </w:t>
            </w:r>
          </w:p>
        </w:tc>
        <w:tc>
          <w:tcPr>
            <w:tcW w:w="1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366,713 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(246,706)</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12.92 </w:t>
            </w:r>
          </w:p>
        </w:tc>
        <w:tc>
          <w:tcPr>
            <w:tcW w:w="1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(34,836)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39.77 </w:t>
            </w:r>
          </w:p>
        </w:tc>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 December 31, 2023</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203,008 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19.84 </w:t>
            </w:r>
          </w:p>
        </w:tc>
        <w:tc>
          <w:tcPr>
            <w:tcW w:w="1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and 2022, the total fair value of shares vested was $1.2 million and $9.5 million, respectively.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was $2.3 million of unrecognized share-based compensation expense related to non-vested RSUs, which is expected to be recognized over a weighted-average period of 1.39 years. The Company recognized approximately $3.3 million and $11.7 million of share-based compensation expense related to the vesting of RSUs during the years ended December 31, 2023 and 2022, respectively.</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2000 Employee Stock Purchase Plan</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ESPP permits eligible employees of the Company to purchase newly issued shares of common stock, at a price equal to 85% of the lower of the fair market value on (i) the first day of the offering period or (ii) the last day of each six-month purchase period, through payroll deductions of up to 10% of their annual cash compensation. Under the ESPP, a maximum of 532,400 shares of common stock may be purchased by eligible employees.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and 2022, the Company issued 64,150 shares and 52,567 shares, respectively, under the ESPP. The Company recognized approximately $0.1 million and $0.3 million of share-based compensation expense related to the ESPP during the years ended December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Note 9. Loss per Share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EPS excludes dilution and is computed by dividing net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convertible notes calculated using the if-converted and treasury stock method and warrants, stock options and RSUs calculated using the treasury stock method) are excluded from the diluted EPS computation in loss periods and when the applicable exercise price is greater than the market price on the period end date as their effect would be anti-dilutive.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calculation of basic and diluted earnings per share was as follows (in thousands, except share and per share data):</w:t>
      </w:r>
    </w:p>
    <w:tbl>
      <w:tblPr>
        <w:tblW w:w="6210" w:type="dxa"/>
        <w:jc w:val="left"/>
        <w:tblInd w:w="0" w:type="dxa"/>
        <w:tblLayout w:type="fixed"/>
        <w:tblCellMar>
          <w:top w:w="28" w:type="dxa"/>
          <w:left w:w="28" w:type="dxa"/>
          <w:bottom w:w="28" w:type="dxa"/>
          <w:right w:w="28" w:type="dxa"/>
        </w:tblCellMar>
      </w:tblPr>
      <w:tblGrid>
        <w:gridCol w:w="1261"/>
        <w:gridCol w:w="1108"/>
        <w:gridCol w:w="1111"/>
        <w:gridCol w:w="219"/>
        <w:gridCol w:w="742"/>
        <w:gridCol w:w="109"/>
        <w:gridCol w:w="109"/>
        <w:gridCol w:w="109"/>
        <w:gridCol w:w="109"/>
        <w:gridCol w:w="219"/>
        <w:gridCol w:w="742"/>
        <w:gridCol w:w="109"/>
        <w:gridCol w:w="109"/>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Weighted-average common shares outstanding</w:t>
            </w:r>
            <w:r>
              <w:rPr>
                <w:rFonts w:ascii="Times New Roman;sans-serif" w:hAnsi="Times New Roman;sans-serif"/>
                <w:b w:val="false"/>
                <w:color w:val="000000"/>
                <w:sz w:val="12"/>
              </w:rPr>
              <w:t>*</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11,372,069 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10,726,933 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net loss per share</w:t>
            </w:r>
          </w:p>
        </w:tc>
        <w:tc>
          <w:tcPr>
            <w:tcW w:w="2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ans-serif" w:hAnsi="Times New Roman;sans-serif"/>
          <w:b w:val="false"/>
          <w:color w:val="000000"/>
          <w:sz w:val="16"/>
        </w:rPr>
      </w:pPr>
      <w:r>
        <w:rPr>
          <w:rFonts w:ascii="Times New Roman;sans-serif" w:hAnsi="Times New Roman;sans-serif"/>
          <w:b w:val="false"/>
          <w:color w:val="000000"/>
          <w:sz w:val="16"/>
        </w:rPr>
        <w:t>(*) Adjusted retroactively for reverse stock split that occurred on January 24, 2024, see Note 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1945"/>
                <wp:effectExtent l="0" t="0" r="0" b="0"/>
                <wp:wrapNone/>
                <wp:docPr id="81" name="Frame8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outstanding potential shares of common stock that have been excluded from the computation of diluted net loss per share attributable to common stockholders because their inclusion would have been anti-dilutive: </w:t>
      </w:r>
    </w:p>
    <w:tbl>
      <w:tblPr>
        <w:tblW w:w="4625" w:type="dxa"/>
        <w:jc w:val="left"/>
        <w:tblInd w:w="0" w:type="dxa"/>
        <w:tblLayout w:type="fixed"/>
        <w:tblCellMar>
          <w:top w:w="28" w:type="dxa"/>
          <w:left w:w="28" w:type="dxa"/>
          <w:bottom w:w="28" w:type="dxa"/>
          <w:right w:w="28" w:type="dxa"/>
        </w:tblCellMar>
      </w:tblPr>
      <w:tblGrid>
        <w:gridCol w:w="841"/>
        <w:gridCol w:w="740"/>
        <w:gridCol w:w="743"/>
        <w:gridCol w:w="343"/>
        <w:gridCol w:w="216"/>
        <w:gridCol w:w="216"/>
        <w:gridCol w:w="216"/>
        <w:gridCol w:w="216"/>
        <w:gridCol w:w="216"/>
        <w:gridCol w:w="350"/>
        <w:gridCol w:w="216"/>
        <w:gridCol w:w="312"/>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thousands) </w:t>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Convertible notes </w:t>
            </w:r>
          </w:p>
        </w:tc>
        <w:tc>
          <w:tcPr>
            <w:tcW w:w="5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Non-qualified stock options </w:t>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Restricted stock units </w:t>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Stock Purchase Plan</w:t>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5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Note 10. Commitments and Contingencies</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Noncancellable Purchase Obligations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typically enters into commitments with its contract manufacturers that require future purchases of goods or services in the upcoming three to four quarters following the balance sheet date. Such commitments are noncancellable (“noncancellable purchase obligations). As of December 31, 2023, future payments under these noncancellable purchase obligations were approximately $33.9 million. </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Legal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from time to time, party to various legal proceedings arising in the ordinary course of business. The Company is regularly required to directly or indirectly participate in other U.S. patent infringement actions pursuant to its contractual indemnification obligations to certain customers. Based on an evaluation of these matters the Company currently believes that liabilities arising from, or sums paid in settlement of these existing matters, if any, would not have a material adverse effect on its consolidated results of operations or financial condition. </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Indemnification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periodically enters into agreements that require the Company to indemnify and defend its customers for, among other things, claims alleging that the Company’s products infringe upon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Note 11. Leases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right-of-use assets and lease liabilities were as follows (in thousands):</w:t>
      </w:r>
    </w:p>
    <w:tbl>
      <w:tblPr>
        <w:tblW w:w="9710" w:type="dxa"/>
        <w:jc w:val="left"/>
        <w:tblInd w:w="0" w:type="dxa"/>
        <w:tblLayout w:type="fixed"/>
        <w:tblCellMar>
          <w:top w:w="28" w:type="dxa"/>
          <w:left w:w="28" w:type="dxa"/>
          <w:bottom w:w="28" w:type="dxa"/>
          <w:right w:w="28" w:type="dxa"/>
        </w:tblCellMar>
      </w:tblPr>
      <w:tblGrid>
        <w:gridCol w:w="1309"/>
        <w:gridCol w:w="1152"/>
        <w:gridCol w:w="1154"/>
        <w:gridCol w:w="1104"/>
        <w:gridCol w:w="1104"/>
        <w:gridCol w:w="1107"/>
        <w:gridCol w:w="213"/>
        <w:gridCol w:w="604"/>
        <w:gridCol w:w="278"/>
        <w:gridCol w:w="109"/>
        <w:gridCol w:w="109"/>
        <w:gridCol w:w="109"/>
        <w:gridCol w:w="213"/>
        <w:gridCol w:w="604"/>
        <w:gridCol w:w="278"/>
        <w:gridCol w:w="109"/>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Classification</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right-of-use assets, net</w:t>
            </w:r>
          </w:p>
        </w:tc>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5,412 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6,662 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lease liabilities</w:t>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6,720 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7,662 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 (in years)</w:t>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w:t>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were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1945"/>
                <wp:effectExtent l="0" t="0" r="0" b="0"/>
                <wp:wrapNone/>
                <wp:docPr id="82" name="Frame8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6985" w:type="dxa"/>
        <w:jc w:val="left"/>
        <w:tblInd w:w="0" w:type="dxa"/>
        <w:tblLayout w:type="fixed"/>
        <w:tblCellMar>
          <w:top w:w="28" w:type="dxa"/>
          <w:left w:w="28" w:type="dxa"/>
          <w:bottom w:w="28" w:type="dxa"/>
          <w:right w:w="28" w:type="dxa"/>
        </w:tblCellMar>
      </w:tblPr>
      <w:tblGrid>
        <w:gridCol w:w="1645"/>
        <w:gridCol w:w="1447"/>
        <w:gridCol w:w="1452"/>
        <w:gridCol w:w="228"/>
        <w:gridCol w:w="649"/>
        <w:gridCol w:w="127"/>
        <w:gridCol w:w="127"/>
        <w:gridCol w:w="127"/>
        <w:gridCol w:w="127"/>
        <w:gridCol w:w="228"/>
        <w:gridCol w:w="649"/>
        <w:gridCol w:w="179"/>
      </w:tblGrid>
      <w:tr>
        <w:trPr/>
        <w:tc>
          <w:tcPr>
            <w:tcW w:w="164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costs included in operating costs and expenses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was as follows (in thousands):</w:t>
      </w:r>
    </w:p>
    <w:tbl>
      <w:tblPr>
        <w:tblW w:w="7466" w:type="dxa"/>
        <w:jc w:val="left"/>
        <w:tblInd w:w="0" w:type="dxa"/>
        <w:tblLayout w:type="fixed"/>
        <w:tblCellMar>
          <w:top w:w="28" w:type="dxa"/>
          <w:left w:w="28" w:type="dxa"/>
          <w:bottom w:w="28" w:type="dxa"/>
          <w:right w:w="28" w:type="dxa"/>
        </w:tblCellMar>
      </w:tblPr>
      <w:tblGrid>
        <w:gridCol w:w="1819"/>
        <w:gridCol w:w="1600"/>
        <w:gridCol w:w="1606"/>
        <w:gridCol w:w="228"/>
        <w:gridCol w:w="649"/>
        <w:gridCol w:w="127"/>
        <w:gridCol w:w="127"/>
        <w:gridCol w:w="127"/>
        <w:gridCol w:w="127"/>
        <w:gridCol w:w="228"/>
        <w:gridCol w:w="649"/>
        <w:gridCol w:w="179"/>
      </w:tblGrid>
      <w:tr>
        <w:trPr/>
        <w:tc>
          <w:tcPr>
            <w:tcW w:w="181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related to operating leases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right-of-use assets obtained in exchange for lease liabilities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minimum payments under operating leases were as follows at December 31, 2023 (in thousands):</w:t>
      </w:r>
    </w:p>
    <w:tbl>
      <w:tblPr>
        <w:tblW w:w="4955" w:type="dxa"/>
        <w:jc w:val="left"/>
        <w:tblInd w:w="0" w:type="dxa"/>
        <w:tblLayout w:type="fixed"/>
        <w:tblCellMar>
          <w:top w:w="28" w:type="dxa"/>
          <w:left w:w="28" w:type="dxa"/>
          <w:bottom w:w="28" w:type="dxa"/>
          <w:right w:w="28" w:type="dxa"/>
        </w:tblCellMar>
      </w:tblPr>
      <w:tblGrid>
        <w:gridCol w:w="1464"/>
        <w:gridCol w:w="1285"/>
        <w:gridCol w:w="1300"/>
        <w:gridCol w:w="196"/>
        <w:gridCol w:w="556"/>
        <w:gridCol w:w="154"/>
      </w:tblGrid>
      <w:tr>
        <w:trPr/>
        <w:tc>
          <w:tcPr>
            <w:tcW w:w="1464"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minimum operating lease payments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amounts representing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Present value of net minimum operating lease payments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portion of operating lease obligations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 xml:space="preserve">Note 12. Geographic Information and Concentrations of Risk </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Geographic Information</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Company’s long-lived tangible assets, excluding financial instruments and tax assets, classified by the location of the controlling statutory company (in thousands):</w:t>
      </w:r>
    </w:p>
    <w:tbl>
      <w:tblPr>
        <w:tblW w:w="3593" w:type="dxa"/>
        <w:jc w:val="left"/>
        <w:tblInd w:w="0" w:type="dxa"/>
        <w:tblLayout w:type="fixed"/>
        <w:tblCellMar>
          <w:top w:w="28" w:type="dxa"/>
          <w:left w:w="28" w:type="dxa"/>
          <w:bottom w:w="28" w:type="dxa"/>
          <w:right w:w="28" w:type="dxa"/>
        </w:tblCellMar>
      </w:tblPr>
      <w:tblGrid>
        <w:gridCol w:w="476"/>
        <w:gridCol w:w="419"/>
        <w:gridCol w:w="424"/>
        <w:gridCol w:w="196"/>
        <w:gridCol w:w="646"/>
        <w:gridCol w:w="109"/>
        <w:gridCol w:w="109"/>
        <w:gridCol w:w="109"/>
        <w:gridCol w:w="109"/>
        <w:gridCol w:w="196"/>
        <w:gridCol w:w="646"/>
        <w:gridCol w:w="154"/>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Company’s net revenues by geographic region based on shipping destination (in thousands):</w:t>
      </w:r>
    </w:p>
    <w:tbl>
      <w:tblPr>
        <w:tblW w:w="5154" w:type="dxa"/>
        <w:jc w:val="left"/>
        <w:tblInd w:w="0" w:type="dxa"/>
        <w:tblLayout w:type="fixed"/>
        <w:tblCellMar>
          <w:top w:w="28" w:type="dxa"/>
          <w:left w:w="28" w:type="dxa"/>
          <w:bottom w:w="28" w:type="dxa"/>
          <w:right w:w="28" w:type="dxa"/>
        </w:tblCellMar>
      </w:tblPr>
      <w:tblGrid>
        <w:gridCol w:w="978"/>
        <w:gridCol w:w="857"/>
        <w:gridCol w:w="865"/>
        <w:gridCol w:w="196"/>
        <w:gridCol w:w="736"/>
        <w:gridCol w:w="109"/>
        <w:gridCol w:w="109"/>
        <w:gridCol w:w="109"/>
        <w:gridCol w:w="109"/>
        <w:gridCol w:w="196"/>
        <w:gridCol w:w="73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 and Canada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 (including United Kingdom)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245,323 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1945"/>
                <wp:effectExtent l="0" t="0" r="0" b="0"/>
                <wp:wrapNone/>
                <wp:docPr id="83" name="Frame8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Concentrations of Risk</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three customers accounted for 31.6%, 27.2% and 15.0% of net revenues, respectively. For the year ended December 31, 2022, two customers accounted for 35.1% and 32.2% of net revenues, respectively.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two customers accounted for 41.8% and 10.2% of total accounts receivable, net, respectively. At December 31, 2022, two customers accounted for 37.4% and 21.9% of total accounts receivable, net,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Note 13. Subsequent Events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19, 2024, Ashish Sharma resigned as Chief Executive Officer and President of the Company, to be effective as of February 23, 2024. In addition, the Company’s board of directors (the “Board”) appointed Philip G. Brace, a member of the Board, as Executive Chairman, effective as of February 19, 2024.</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20, 2024, we entered into a fourth amendment (the “Fourth Amendment”) of the Credit Agreement. The Fourth Amendment relaxed the financial covenants under the Credit Agreement by decreasing the minimum liquidity level we are required to maintain from $10 million to $8 million. No costs were incurred by the Company in connection with the Fourth Amendment.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1945"/>
                <wp:effectExtent l="0" t="0" r="0" b="0"/>
                <wp:wrapNone/>
                <wp:docPr id="84" name="Frame8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w:t>
      </w:r>
    </w:p>
    <w:tbl>
      <w:tblPr>
        <w:tblW w:w="6957" w:type="dxa"/>
        <w:jc w:val="center"/>
        <w:tblInd w:w="0" w:type="dxa"/>
        <w:tblLayout w:type="fixed"/>
        <w:tblCellMar>
          <w:top w:w="28" w:type="dxa"/>
          <w:left w:w="28" w:type="dxa"/>
          <w:bottom w:w="28" w:type="dxa"/>
          <w:right w:w="28" w:type="dxa"/>
        </w:tblCellMar>
      </w:tblPr>
      <w:tblGrid>
        <w:gridCol w:w="1136"/>
        <w:gridCol w:w="999"/>
        <w:gridCol w:w="1000"/>
        <w:gridCol w:w="109"/>
        <w:gridCol w:w="109"/>
        <w:gridCol w:w="109"/>
        <w:gridCol w:w="1024"/>
        <w:gridCol w:w="1024"/>
        <w:gridCol w:w="1447"/>
      </w:tblGrid>
      <w:tr>
        <w:trPr/>
        <w:tc>
          <w:tcPr>
            <w:tcW w:w="113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Jurisdiction of Incorporation or Organization</w:t>
            </w:r>
          </w:p>
        </w:tc>
      </w:tr>
      <w:tr>
        <w:trPr/>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Inseego Wireless, Inc.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Inseego Wireless UK Limited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Inseego Japan K.K.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Inseego India Private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Novatel Wireless Australia Pty Ltd.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Novatel Wireless Asia Ltd.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Hong Kong</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Novatel Wireless (Italy) S.r.l.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Italy</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Novatel Wireless (Shanghai) Co. Ltd.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Inseego North America,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Oregon</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Inseego SA (Pty) Ltd.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Africa</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DigiCore International Proprietary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Africa</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Inseego Finance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Inseego International Holdings Ltd.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Inseego Europe Holdings Ltd.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Inseego Ltd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Inseego Europe B.V.</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Netherlands</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Inseego Ireland Limited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Ireland</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Inseego UK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Inseego Eastern Europe Holdings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Inseego ANZ Holdings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Netherlands</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Inseego Australia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Ctrack Asia Sdn. Bhd.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Malaysia</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Inseego New Zealand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Zealand</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Inseego Benelux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Netherlands</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Inseego Belgium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Belgium</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Inseego France SáRL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Inseego Deutschland GmbH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Germany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Independent Registered Public Accounting Firm’s Consent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 consent to the incorporation by reference in:</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1.</w:t>
      </w:r>
      <w:r>
        <w:rPr>
          <w:rFonts w:ascii="Times New Roman;sans-serif" w:hAnsi="Times New Roman;sans-serif"/>
          <w:b w:val="false"/>
          <w:color w:val="000000"/>
          <w:sz w:val="24"/>
        </w:rPr>
        <w:t>the Registration Statement (Form S-3 No. 333-207255) of Novatel Wireless, Inc. (predecessor issuer to Inseego Corp.);</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2.</w:t>
      </w:r>
      <w:r>
        <w:rPr>
          <w:rFonts w:ascii="Times New Roman;sans-serif" w:hAnsi="Times New Roman;sans-serif"/>
          <w:b w:val="false"/>
          <w:color w:val="000000"/>
          <w:sz w:val="24"/>
        </w:rPr>
        <w:t>the Registration Statements (Form S-3 Nos. 333-239728, 333-238057, 333-233206, 333-231350, 333-228315, 333-226753, and 333-221404) of Inseego Corp.; and</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3.</w:t>
      </w:r>
      <w:r>
        <w:rPr>
          <w:rFonts w:ascii="Times New Roman;sans-serif" w:hAnsi="Times New Roman;sans-serif"/>
          <w:b w:val="false"/>
          <w:color w:val="000000"/>
          <w:sz w:val="24"/>
        </w:rPr>
        <w:t>the Registration Statements (Form S-8 Nos. 333-266721, 333-263381, 333-246367, 333-226754, 333-214965, 333-207233, 333-202648, 333-190879, 333-176489, 333-163033, 333-145482, 333-139730, and 333-53692) of Inseego Corp.,</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rPr>
        <w:t>of our report</w:t>
      </w:r>
      <w:r>
        <w:rPr>
          <w:color w:val="000000"/>
        </w:rPr>
        <w:t xml:space="preserve"> </w:t>
      </w:r>
      <w:r>
        <w:rPr>
          <w:rFonts w:ascii="Times New Roman;sans-serif" w:hAnsi="Times New Roman;sans-serif"/>
          <w:b w:val="false"/>
          <w:color w:val="000000"/>
          <w:sz w:val="24"/>
        </w:rPr>
        <w:t>dated February 21, 2024, with respect to our audits of the consolidated financial statements of Inseego Corp. as of December 31, 2023 and 2022 and for each of the two years in the period ended December 31, 2023, appearing in the Annual Report on Form 10-K of Inseego Corp. for the year ended December 31, 2023.</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/s/ Marcum </w:t>
      </w:r>
      <w:r>
        <w:rPr>
          <w:rFonts w:ascii="Times New Roman;sans-serif" w:hAnsi="Times New Roman;sans-serif"/>
          <w:b w:val="false"/>
          <w:color w:val="000000"/>
          <w:sz w:val="20"/>
        </w:rPr>
        <w:t>LLP</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Marcum </w:t>
      </w:r>
      <w:r>
        <w:rPr>
          <w:rFonts w:ascii="Times New Roman;sans-serif" w:hAnsi="Times New Roman;sans-serif"/>
          <w:b w:val="false"/>
          <w:color w:val="000000"/>
          <w:sz w:val="20"/>
        </w:rPr>
        <w:t>LLP</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Philadelphia, Pennsylvania</w:t>
      </w:r>
    </w:p>
    <w:p>
      <w:pPr>
        <w:pStyle w:val="TextBody"/>
        <w:bidi w:val="0"/>
        <w:spacing w:lineRule="auto" w:line="276" w:before="0" w:after="180"/>
        <w:jc w:val="left"/>
        <w:rPr>
          <w:rFonts w:ascii="Times New Roman;sans-serif" w:hAnsi="Times New Roman;sans-serif"/>
          <w:b w:val="false"/>
          <w:color w:val="000000"/>
          <w:sz w:val="24"/>
        </w:rPr>
      </w:pPr>
      <w:r>
        <w:rPr>
          <w:rFonts w:ascii="Times New Roman;sans-serif" w:hAnsi="Times New Roman;sans-serif"/>
          <w:b w:val="false"/>
          <w:color w:val="000000"/>
          <w:sz w:val="24"/>
        </w:rPr>
        <w:t>February 21, 2024</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60" w:after="6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adopted pursuant to Section 302 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Ashish Sharma, certify that:</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Inseego Corp.;</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4"/>
        <w:gridCol w:w="2886"/>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21, 2024 </w:t>
      </w:r>
    </w:p>
    <w:tbl>
      <w:tblPr>
        <w:tblW w:w="2444" w:type="dxa"/>
        <w:jc w:val="center"/>
        <w:tblInd w:w="0" w:type="dxa"/>
        <w:tblLayout w:type="fixed"/>
        <w:tblCellMar>
          <w:top w:w="28" w:type="dxa"/>
          <w:left w:w="28" w:type="dxa"/>
          <w:bottom w:w="28" w:type="dxa"/>
          <w:right w:w="28" w:type="dxa"/>
        </w:tblCellMar>
      </w:tblPr>
      <w:tblGrid>
        <w:gridCol w:w="782"/>
        <w:gridCol w:w="687"/>
        <w:gridCol w:w="975"/>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ASHISH SHARMA</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color w:val="000000"/>
                <w:sz w:val="20"/>
              </w:rPr>
            </w:pPr>
            <w:r>
              <w:rPr>
                <w:rFonts w:ascii="Times New Roman;sans-serif" w:hAnsi="Times New Roman;sans-serif"/>
                <w:b/>
                <w:color w:val="000000"/>
                <w:sz w:val="20"/>
              </w:rPr>
              <w:t>Ashish Sharma</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2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p>
            <w:pPr>
              <w:pStyle w:val="TableContents"/>
              <w:bidi w:val="0"/>
              <w:spacing w:lineRule="auto" w:line="288" w:before="2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60" w:after="6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adopted pursuant to Section 302 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Steven Gatoff, certify that:</w:t>
      </w:r>
    </w:p>
    <w:p>
      <w:pPr>
        <w:pStyle w:val="TextBody"/>
        <w:bidi w:val="0"/>
        <w:spacing w:lineRule="auto" w:line="288" w:before="180" w:after="1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Inseego Corp.;</w:t>
      </w:r>
    </w:p>
    <w:p>
      <w:pPr>
        <w:pStyle w:val="TextBody"/>
        <w:bidi w:val="0"/>
        <w:spacing w:lineRule="auto" w:line="288" w:before="180" w:after="1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1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1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4"/>
        <w:gridCol w:w="2886"/>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21, 2024 </w:t>
      </w:r>
    </w:p>
    <w:tbl>
      <w:tblPr>
        <w:tblW w:w="2430" w:type="dxa"/>
        <w:jc w:val="center"/>
        <w:tblInd w:w="0" w:type="dxa"/>
        <w:tblLayout w:type="fixed"/>
        <w:tblCellMar>
          <w:top w:w="28" w:type="dxa"/>
          <w:left w:w="28" w:type="dxa"/>
          <w:bottom w:w="28" w:type="dxa"/>
          <w:right w:w="28" w:type="dxa"/>
        </w:tblCellMar>
      </w:tblPr>
      <w:tblGrid>
        <w:gridCol w:w="777"/>
        <w:gridCol w:w="683"/>
        <w:gridCol w:w="970"/>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STEVEN GATOFF</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60"/>
              <w:jc w:val="left"/>
              <w:rPr>
                <w:rFonts w:ascii="Times New Roman;sans-serif" w:hAnsi="Times New Roman;sans-serif"/>
                <w:b/>
                <w:color w:val="000000"/>
                <w:sz w:val="20"/>
              </w:rPr>
            </w:pPr>
            <w:r>
              <w:rPr>
                <w:rFonts w:ascii="Times New Roman;sans-serif" w:hAnsi="Times New Roman;sans-serif"/>
                <w:b/>
                <w:color w:val="000000"/>
                <w:sz w:val="20"/>
              </w:rPr>
              <w:t>Steven Gatoff</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2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p>
            <w:pPr>
              <w:pStyle w:val="TableContents"/>
              <w:bidi w:val="0"/>
              <w:spacing w:lineRule="auto" w:line="288" w:before="2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6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80" w:after="6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80" w:after="6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80" w:after="6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80" w:after="20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180" w:after="140"/>
        <w:jc w:val="left"/>
        <w:rPr>
          <w:rFonts w:ascii="Times New Roman;sans-serif" w:hAnsi="Times New Roman;sans-serif"/>
          <w:b w:val="false"/>
          <w:color w:val="000000"/>
          <w:sz w:val="20"/>
        </w:rPr>
      </w:pPr>
      <w:r>
        <w:rPr>
          <w:rFonts w:ascii="Times New Roman;sans-serif" w:hAnsi="Times New Roman;sans-serif"/>
          <w:b w:val="false"/>
          <w:color w:val="000000"/>
          <w:sz w:val="20"/>
        </w:rPr>
        <w:t>I, Ashish Sharma, Chief Executive Officer of Inseego Corp. (the “Company”), do hereby certify, pursuant to 18 U.S.C. Section 1350, as adopted pursuant to Section 906 of the Sarbanes-Oxley Act of 2002, that to the best of my knowledge: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Annual Report on Form 10-K of the Company for the year ended December 31, 2023 (the “Report”) fully complies with the requirements of Section 13(a) or 15(d) of the Securities Exchange Act of 1934, as amended;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21, 2024 </w:t>
      </w:r>
    </w:p>
    <w:tbl>
      <w:tblPr>
        <w:tblW w:w="2444" w:type="dxa"/>
        <w:jc w:val="center"/>
        <w:tblInd w:w="0" w:type="dxa"/>
        <w:tblLayout w:type="fixed"/>
        <w:tblCellMar>
          <w:top w:w="28" w:type="dxa"/>
          <w:left w:w="28" w:type="dxa"/>
          <w:bottom w:w="28" w:type="dxa"/>
          <w:right w:w="28" w:type="dxa"/>
        </w:tblCellMar>
      </w:tblPr>
      <w:tblGrid>
        <w:gridCol w:w="782"/>
        <w:gridCol w:w="687"/>
        <w:gridCol w:w="975"/>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ASHISH SHARMA</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Ashish Sharma</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p>
            <w:pPr>
              <w:pStyle w:val="TableContents"/>
              <w:bidi w:val="0"/>
              <w:spacing w:lineRule="auto" w:line="288"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6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260" w:after="140"/>
        <w:jc w:val="left"/>
        <w:rPr>
          <w:rFonts w:ascii="Times New Roman;sans-serif" w:hAnsi="Times New Roman;sans-serif"/>
          <w:b w:val="false"/>
          <w:color w:val="000000"/>
          <w:sz w:val="20"/>
        </w:rPr>
      </w:pPr>
      <w:r>
        <w:rPr>
          <w:rFonts w:ascii="Times New Roman;sans-serif" w:hAnsi="Times New Roman;sans-serif"/>
          <w:b w:val="false"/>
          <w:color w:val="000000"/>
          <w:sz w:val="20"/>
        </w:rPr>
        <w:t>I, Steven Gatoff, Chief Financial Officer of Inseego Corp. (the “Company”), do hereby certify, pursuant to 18 U.S.C. Section 1350, as adopted pursuant to Section 906 of the Sarbanes-Oxley Act of 2002, that to the best of my knowledge: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Annual Report on Form 10-K of the Company for the year ended December 31, 2023 (the “Report”) fully complies with the requirements of Section 13(a) or 15(d) of the Securities Exchange Act of 1934, as amended;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21, 2024 </w:t>
      </w:r>
    </w:p>
    <w:tbl>
      <w:tblPr>
        <w:tblW w:w="2430" w:type="dxa"/>
        <w:jc w:val="center"/>
        <w:tblInd w:w="0" w:type="dxa"/>
        <w:tblLayout w:type="fixed"/>
        <w:tblCellMar>
          <w:top w:w="28" w:type="dxa"/>
          <w:left w:w="28" w:type="dxa"/>
          <w:bottom w:w="28" w:type="dxa"/>
          <w:right w:w="28" w:type="dxa"/>
        </w:tblCellMar>
      </w:tblPr>
      <w:tblGrid>
        <w:gridCol w:w="777"/>
        <w:gridCol w:w="683"/>
        <w:gridCol w:w="970"/>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STEVEN GATOFF</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0"/>
              <w:jc w:val="left"/>
              <w:rPr>
                <w:rFonts w:ascii="Times New Roman;sans-serif" w:hAnsi="Times New Roman;sans-serif"/>
                <w:b/>
                <w:color w:val="000000"/>
                <w:sz w:val="20"/>
              </w:rPr>
            </w:pPr>
            <w:r>
              <w:rPr>
                <w:rFonts w:ascii="Times New Roman;sans-serif" w:hAnsi="Times New Roman;sans-serif"/>
                <w:b/>
                <w:color w:val="000000"/>
                <w:sz w:val="20"/>
              </w:rPr>
              <w:t>Steven Gatoff</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Chief Financial Officer </w:t>
            </w:r>
          </w:p>
          <w:p>
            <w:pPr>
              <w:pStyle w:val="TableContents"/>
              <w:bidi w:val="0"/>
              <w:spacing w:lineRule="auto" w:line="288"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22652/000119312516763609/d261554dex31.htm" TargetMode="External"/><Relationship Id="rId3" Type="http://schemas.openxmlformats.org/officeDocument/2006/relationships/hyperlink" Target="http://www.sec.gov/Archives/edgar/data/1022652/000119312516763609/d261554dex32.htm" TargetMode="External"/><Relationship Id="rId4" Type="http://schemas.openxmlformats.org/officeDocument/2006/relationships/hyperlink" Target="http://www.sec.gov/Archives/edgar/data/1022652/000119312519219943/d792529dex31.htm" TargetMode="External"/><Relationship Id="rId5" Type="http://schemas.openxmlformats.org/officeDocument/2006/relationships/hyperlink" Target="http://www.sec.gov/Archives/edgar/data/1022652/000119312520067668/d824727dex31.htm" TargetMode="External"/><Relationship Id="rId6" Type="http://schemas.openxmlformats.org/officeDocument/2006/relationships/hyperlink" Target="https://www.sec.gov/Archives/edgar/data/1022652/000168316824000396/inseego_ex0301.htm" TargetMode="External"/><Relationship Id="rId7" Type="http://schemas.openxmlformats.org/officeDocument/2006/relationships/hyperlink" Target="http://www.sec.gov/Archives/edgar/data/1022652/000119312516763609/d261554dex41.htm" TargetMode="External"/><Relationship Id="rId8" Type="http://schemas.openxmlformats.org/officeDocument/2006/relationships/hyperlink" Target="https://www.sec.gov/Archives/edgar/data/1022652/000102265221000017/insg20201231ex42-descrofeq.htm" TargetMode="External"/><Relationship Id="rId9" Type="http://schemas.openxmlformats.org/officeDocument/2006/relationships/hyperlink" Target="https://www.sec.gov/Archives/edgar/data/1022652/000119312520140582/d915288dex41.htm" TargetMode="External"/><Relationship Id="rId10" Type="http://schemas.openxmlformats.org/officeDocument/2006/relationships/hyperlink" Target="https://www.sec.gov/Archives/edgar/data/1022652/000119312520140582/d915288dex42.htm" TargetMode="External"/><Relationship Id="rId11" Type="http://schemas.openxmlformats.org/officeDocument/2006/relationships/hyperlink" Target="https://www.sec.gov/Archives/edgar/data/1022652/000119312520140582/d915288dex42.htm" TargetMode="External"/><Relationship Id="rId12" Type="http://schemas.openxmlformats.org/officeDocument/2006/relationships/hyperlink" Target="http://www.sec.gov/Archives/edgar/data/1022652/000119312518240301/d590620dex43.htm" TargetMode="External"/><Relationship Id="rId13" Type="http://schemas.openxmlformats.org/officeDocument/2006/relationships/hyperlink" Target="https://www.sec.gov/Archives/edgar/data/1022652/000168316822005449/inseego_ex1002.htm" TargetMode="External"/><Relationship Id="rId14" Type="http://schemas.openxmlformats.org/officeDocument/2006/relationships/hyperlink" Target="https://www.sec.gov/Archives/edgar/data/1022652/000168316822005449/inseego_ex1002.htm" TargetMode="External"/><Relationship Id="rId15" Type="http://schemas.openxmlformats.org/officeDocument/2006/relationships/hyperlink" Target="https://www.sec.gov/Archives/edgar/data/1022652/000168316822005449/inseego_ex1002.htm" TargetMode="External"/><Relationship Id="rId16" Type="http://schemas.openxmlformats.org/officeDocument/2006/relationships/hyperlink" Target="https://www.sec.gov/Archives/edgar/data/1022652/000102265223000006/a20170925asharmacicagree.htm" TargetMode="External"/><Relationship Id="rId17" Type="http://schemas.openxmlformats.org/officeDocument/2006/relationships/hyperlink" Target="http://www.sec.gov/Archives/edgar/data/1022652/000102265217000075/insg20170818ex103formofind.htm" TargetMode="External"/><Relationship Id="rId18" Type="http://schemas.openxmlformats.org/officeDocument/2006/relationships/hyperlink" Target="https://www.sec.gov/Archives/edgar/data/1022652/000168316822005449/inseego_ex1001.htm" TargetMode="External"/><Relationship Id="rId19" Type="http://schemas.openxmlformats.org/officeDocument/2006/relationships/hyperlink" Target="https://www.sec.gov/Archives/edgar/data/1022652/000168316822005449/inseego_ex1001.htm" TargetMode="External"/><Relationship Id="rId20" Type="http://schemas.openxmlformats.org/officeDocument/2006/relationships/hyperlink" Target="https://www.sec.gov/Archives/edgar/data/1022652/000168316822005449/inseego_ex1001.htm" TargetMode="External"/><Relationship Id="rId21" Type="http://schemas.openxmlformats.org/officeDocument/2006/relationships/hyperlink" Target="http://www.sec.gov/Archives/edgar/data/1022652/000119312518240301/d590620dex101.htm" TargetMode="External"/><Relationship Id="rId22" Type="http://schemas.openxmlformats.org/officeDocument/2006/relationships/hyperlink" Target="https://www.sec.gov/Archives/edgar/data/1022652/000168316823007498/inseego_ex1001.htm" TargetMode="External"/><Relationship Id="rId23" Type="http://schemas.openxmlformats.org/officeDocument/2006/relationships/hyperlink" Target="https://www.sec.gov/Archives/edgar/data/0001022652/000119312521016610/d899647dex101.htm" TargetMode="External"/><Relationship Id="rId24" Type="http://schemas.openxmlformats.org/officeDocument/2006/relationships/hyperlink" Target="https://www.sec.gov/Archives/edgar/data/1022652/000102265223000035/offerlettersgatoff-9x12x20.htm" TargetMode="External"/><Relationship Id="rId25" Type="http://schemas.openxmlformats.org/officeDocument/2006/relationships/hyperlink" Target="https://www.sec.gov/Archives/edgar/data/0001022652/000168316821005022/inseego_ex1003.htm" TargetMode="External"/><Relationship Id="rId26" Type="http://schemas.openxmlformats.org/officeDocument/2006/relationships/hyperlink" Target="https://www.sec.gov/Archives/edgar/data/1022652/000102265222000037/loanandsecurityagreement.htm" TargetMode="External"/><Relationship Id="rId27" Type="http://schemas.openxmlformats.org/officeDocument/2006/relationships/hyperlink" Target="https://www.sec.gov/Archives/edgar/data/1022652/000102265222000037/loanandsecurityagreement.htm" TargetMode="External"/><Relationship Id="rId28" Type="http://schemas.openxmlformats.org/officeDocument/2006/relationships/hyperlink" Target="https://www.sec.gov/Archives/edgar/data/1022652/000102265222000037/loanandsecurityagreement.htm" TargetMode="External"/><Relationship Id="rId29" Type="http://schemas.openxmlformats.org/officeDocument/2006/relationships/hyperlink" Target="https://www.sec.gov/Archives/edgar/data/1022652/000102265222000037/loanandsecurityagreement.htm" TargetMode="External"/><Relationship Id="rId30" Type="http://schemas.openxmlformats.org/officeDocument/2006/relationships/hyperlink" Target="https://www.sec.gov/Archives/edgar/data/1022652/000102265222000037/loanandsecurityagreement.htm" TargetMode="External"/><Relationship Id="rId31" Type="http://schemas.openxmlformats.org/officeDocument/2006/relationships/hyperlink" Target="https://www.sec.gov/Archives/edgar/data/1022652/000102265222000037/loanandsecurityagreement.htm" TargetMode="External"/><Relationship Id="rId32" Type="http://schemas.openxmlformats.org/officeDocument/2006/relationships/hyperlink" Target="https://www.sec.gov/Archives/edgar/data/1022652/000102265222000037/loanandsecurityagreement.htm" TargetMode="External"/><Relationship Id="rId33" Type="http://schemas.openxmlformats.org/officeDocument/2006/relationships/hyperlink" Target="https://www.sec.gov/Archives/edgar/data/1022652/000102265222000037/loanandsecurityagreement.htm" TargetMode="External"/><Relationship Id="rId34" Type="http://schemas.openxmlformats.org/officeDocument/2006/relationships/hyperlink" Target="https://www.sec.gov/Archives/edgar/data/1022652/000102265222000037/loanandsecurityagreement.htm" TargetMode="External"/><Relationship Id="rId35" Type="http://schemas.openxmlformats.org/officeDocument/2006/relationships/hyperlink" Target="https://www.sec.gov/Archives/edgar/data/1022652/000102265223000006/amend1-amendmenttoloanag.htm" TargetMode="External"/><Relationship Id="rId36" Type="http://schemas.openxmlformats.org/officeDocument/2006/relationships/hyperlink" Target="https://www.sec.gov/Archives/edgar/data/1022652/000102265223000006/amend1-amendmenttoloanag.htm" TargetMode="External"/><Relationship Id="rId37" Type="http://schemas.openxmlformats.org/officeDocument/2006/relationships/hyperlink" Target="https://www.sec.gov/Archives/edgar/data/1022652/000102265223000006/amend1-amendmenttoloanag.htm" TargetMode="External"/><Relationship Id="rId38" Type="http://schemas.openxmlformats.org/officeDocument/2006/relationships/hyperlink" Target="https://www.sec.gov/Archives/edgar/data/1022652/000102265223000006/amend1-amendmenttoloanag.htm" TargetMode="External"/><Relationship Id="rId39" Type="http://schemas.openxmlformats.org/officeDocument/2006/relationships/hyperlink" Target="https://www.sec.gov/Archives/edgar/data/1022652/000102265223000006/amend1-amendmenttoloanag.htm" TargetMode="External"/><Relationship Id="rId40" Type="http://schemas.openxmlformats.org/officeDocument/2006/relationships/hyperlink" Target="https://www.sec.gov/Archives/edgar/data/1022652/000102265223000006/amend1-amendmenttoloanag.htm" TargetMode="External"/><Relationship Id="rId41" Type="http://schemas.openxmlformats.org/officeDocument/2006/relationships/hyperlink" Target="https://www.sec.gov/Archives/edgar/data/1022652/000102265223000006/amend1-amendmenttoloanag.htm" TargetMode="External"/><Relationship Id="rId42" Type="http://schemas.openxmlformats.org/officeDocument/2006/relationships/hyperlink" Target="https://www.sec.gov/Archives/edgar/data/1022652/000102265223000006/amend1-amendmenttoloanag.htm" TargetMode="External"/><Relationship Id="rId43" Type="http://schemas.openxmlformats.org/officeDocument/2006/relationships/hyperlink" Target="https://www.sec.gov/Archives/edgar/data/1022652/000102265223000016/insg20230331ex102.htm" TargetMode="External"/><Relationship Id="rId44" Type="http://schemas.openxmlformats.org/officeDocument/2006/relationships/hyperlink" Target="https://www.sec.gov/Archives/edgar/data/1022652/000102265223000016/insg20230331ex103.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51239</Words>
  <Characters>288653</Characters>
  <CharactersWithSpaces>337974</CharactersWithSpaces>
  <Paragraphs>3305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