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95885</wp:posOffset>
            </wp:positionV>
            <wp:extent cx="82867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8675" cy="571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41910</wp:posOffset>
            </wp:positionV>
            <wp:extent cx="82867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8675" cy="5715"/>
                    </a:xfrm>
                    <a:prstGeom prst="rect">
                      <a:avLst/>
                    </a:prstGeom>
                    <a:noFill/>
                  </pic:spPr>
                </pic:pic>
              </a:graphicData>
            </a:graphic>
          </wp:anchor>
        </w:drawing>
      </w:r>
    </w:p>
    <w:p>
      <w:pPr>
        <w:spacing w:after="0" w:line="185" w:lineRule="exact"/>
        <w:rPr>
          <w:sz w:val="24"/>
          <w:szCs w:val="24"/>
          <w:color w:val="auto"/>
        </w:rPr>
      </w:pPr>
    </w:p>
    <w:p>
      <w:pPr>
        <w:ind w:left="440" w:hanging="418"/>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b w:val="1"/>
          <w:bCs w:val="1"/>
          <w:color w:val="auto"/>
        </w:rPr>
        <w:t>QUARTERLY REPORT PURSUANT TO SECTION 13 OR 15(d) OF THE SECURITIES EXCHANGE ACT OF 1934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quarterly period ended September 30, 2022</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96" w:lineRule="exact"/>
        <w:rPr>
          <w:sz w:val="24"/>
          <w:szCs w:val="24"/>
          <w:color w:val="auto"/>
        </w:rPr>
      </w:pPr>
    </w:p>
    <w:p>
      <w:pPr>
        <w:ind w:left="380" w:hanging="376"/>
        <w:spacing w:after="0"/>
        <w:tabs>
          <w:tab w:leader="none" w:pos="3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82" w:lineRule="exact"/>
        <w:rPr>
          <w:sz w:val="24"/>
          <w:szCs w:val="24"/>
          <w:color w:val="auto"/>
        </w:rPr>
      </w:pPr>
    </w:p>
    <w:tbl>
      <w:tblPr>
        <w:tblLayout w:type="fixed"/>
        <w:tblInd w:w="4060" w:type="dxa"/>
        <w:tblCellMar>
          <w:top w:w="0" w:type="dxa"/>
          <w:left w:w="0" w:type="dxa"/>
          <w:bottom w:w="0" w:type="dxa"/>
          <w:right w:w="0" w:type="dxa"/>
        </w:tblCellMar>
      </w:tblPr>
      <w:tr>
        <w:trPr>
          <w:trHeight w:val="138"/>
        </w:trPr>
        <w:tc>
          <w:tcPr>
            <w:tcW w:w="1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tc>
        <w:tc>
          <w:tcPr>
            <w:tcW w:w="620" w:type="dxa"/>
            <w:vAlign w:val="bottom"/>
            <w:tcBorders>
              <w:bottom w:val="single" w:sz="8" w:color="auto"/>
            </w:tcBorders>
          </w:tcPr>
          <w:p>
            <w:pPr>
              <w:spacing w:after="0"/>
              <w:rPr>
                <w:sz w:val="12"/>
                <w:szCs w:val="12"/>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w w:val="99"/>
              </w:rPr>
              <w:t>to</w:t>
            </w:r>
          </w:p>
        </w:tc>
        <w:tc>
          <w:tcPr>
            <w:tcW w:w="580" w:type="dxa"/>
            <w:vAlign w:val="bottom"/>
            <w:tcBorders>
              <w:bottom w:val="single" w:sz="8" w:color="auto"/>
            </w:tcBorders>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5"/>
        </w:trPr>
        <w:tc>
          <w:tcPr>
            <w:tcW w:w="3040" w:type="dxa"/>
            <w:vAlign w:val="bottom"/>
            <w:gridSpan w:val="4"/>
          </w:tcPr>
          <w:p>
            <w:pPr>
              <w:ind w:left="640"/>
              <w:spacing w:after="0"/>
              <w:rPr>
                <w:sz w:val="20"/>
                <w:szCs w:val="20"/>
                <w:color w:val="auto"/>
              </w:rPr>
            </w:pPr>
            <w:r>
              <w:rPr>
                <w:rFonts w:ascii="Times New Roman" w:cs="Times New Roman" w:eastAsia="Times New Roman" w:hAnsi="Times New Roman"/>
                <w:sz w:val="12"/>
                <w:szCs w:val="12"/>
                <w:b w:val="1"/>
                <w:bCs w:val="1"/>
                <w:color w:val="auto"/>
              </w:rPr>
              <w:t>Commission File Number: 001-38358</w:t>
            </w:r>
          </w:p>
        </w:tc>
        <w:tc>
          <w:tcPr>
            <w:tcW w:w="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2720975</wp:posOffset>
            </wp:positionH>
            <wp:positionV relativeFrom="paragraph">
              <wp:posOffset>74295</wp:posOffset>
            </wp:positionV>
            <wp:extent cx="17773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7365" cy="5715"/>
                    </a:xfrm>
                    <a:prstGeom prst="rect">
                      <a:avLst/>
                    </a:prstGeom>
                    <a:noFill/>
                  </pic:spPr>
                </pic:pic>
              </a:graphicData>
            </a:graphic>
          </wp:anchor>
        </w:drawing>
      </w:r>
    </w:p>
    <w:p>
      <w:pPr>
        <w:spacing w:after="0" w:line="147" w:lineRule="exact"/>
        <w:rPr>
          <w:sz w:val="24"/>
          <w:szCs w:val="24"/>
          <w:color w:val="auto"/>
        </w:rPr>
      </w:pPr>
    </w:p>
    <w:tbl>
      <w:tblPr>
        <w:tblLayout w:type="fixed"/>
        <w:tblInd w:w="10" w:type="dxa"/>
        <w:tblCellMar>
          <w:top w:w="0" w:type="dxa"/>
          <w:left w:w="0" w:type="dxa"/>
          <w:bottom w:w="0" w:type="dxa"/>
          <w:right w:w="0" w:type="dxa"/>
        </w:tblCellMar>
      </w:tblPr>
      <w:tr>
        <w:trPr>
          <w:trHeight w:val="267"/>
        </w:trPr>
        <w:tc>
          <w:tcPr>
            <w:tcW w:w="3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80" w:type="dxa"/>
            <w:vAlign w:val="bottom"/>
            <w:gridSpan w:val="3"/>
          </w:tcPr>
          <w:p>
            <w:pPr>
              <w:jc w:val="center"/>
              <w:ind w:right="820"/>
              <w:spacing w:after="0"/>
              <w:rPr>
                <w:sz w:val="20"/>
                <w:szCs w:val="20"/>
                <w:color w:val="auto"/>
              </w:rPr>
            </w:pPr>
            <w:r>
              <w:rPr>
                <w:rFonts w:ascii="Times New Roman" w:cs="Times New Roman" w:eastAsia="Times New Roman" w:hAnsi="Times New Roman"/>
                <w:sz w:val="22"/>
                <w:szCs w:val="22"/>
                <w:b w:val="1"/>
                <w:bCs w:val="1"/>
                <w:color w:val="auto"/>
                <w:w w:val="96"/>
              </w:rPr>
              <w:t>INSEEGO CORP.</w:t>
            </w:r>
          </w:p>
        </w:tc>
        <w:tc>
          <w:tcPr>
            <w:tcW w:w="3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3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80" w:type="dxa"/>
            <w:vAlign w:val="bottom"/>
            <w:gridSpan w:val="3"/>
          </w:tcPr>
          <w:p>
            <w:pPr>
              <w:jc w:val="center"/>
              <w:ind w:right="820"/>
              <w:spacing w:after="0"/>
              <w:rPr>
                <w:sz w:val="20"/>
                <w:szCs w:val="20"/>
                <w:color w:val="auto"/>
              </w:rPr>
            </w:pPr>
            <w:r>
              <w:rPr>
                <w:rFonts w:ascii="Times New Roman" w:cs="Times New Roman" w:eastAsia="Times New Roman" w:hAnsi="Times New Roman"/>
                <w:sz w:val="10"/>
                <w:szCs w:val="10"/>
                <w:b w:val="1"/>
                <w:bCs w:val="1"/>
                <w:color w:val="auto"/>
                <w:w w:val="95"/>
              </w:rPr>
              <w:t>(Exact name of registrant as specified in its charter)</w:t>
            </w:r>
          </w:p>
        </w:tc>
        <w:tc>
          <w:tcPr>
            <w:tcW w:w="3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3760" w:type="dxa"/>
            <w:vAlign w:val="bottom"/>
            <w:vMerge w:val="restart"/>
          </w:tcPr>
          <w:p>
            <w:pPr>
              <w:jc w:val="center"/>
              <w:ind w:left="1704"/>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520" w:type="dxa"/>
            <w:vAlign w:val="bottom"/>
            <w:vMerge w:val="restart"/>
          </w:tcPr>
          <w:p>
            <w:pPr>
              <w:jc w:val="right"/>
              <w:ind w:right="2325"/>
              <w:spacing w:after="0"/>
              <w:rPr>
                <w:sz w:val="20"/>
                <w:szCs w:val="20"/>
                <w:color w:val="auto"/>
              </w:rPr>
            </w:pPr>
            <w:r>
              <w:rPr>
                <w:rFonts w:ascii="Times New Roman" w:cs="Times New Roman" w:eastAsia="Times New Roman" w:hAnsi="Times New Roman"/>
                <w:sz w:val="12"/>
                <w:szCs w:val="12"/>
                <w:b w:val="1"/>
                <w:bCs w:val="1"/>
                <w:color w:val="auto"/>
              </w:rPr>
              <w:t>81-3377646</w:t>
            </w:r>
          </w:p>
        </w:tc>
        <w:tc>
          <w:tcPr>
            <w:tcW w:w="0" w:type="dxa"/>
            <w:vAlign w:val="bottom"/>
          </w:tcPr>
          <w:p>
            <w:pPr>
              <w:spacing w:after="0"/>
              <w:rPr>
                <w:sz w:val="1"/>
                <w:szCs w:val="1"/>
                <w:color w:val="auto"/>
              </w:rPr>
            </w:pPr>
          </w:p>
        </w:tc>
      </w:tr>
      <w:tr>
        <w:trPr>
          <w:trHeight w:val="216"/>
        </w:trPr>
        <w:tc>
          <w:tcPr>
            <w:tcW w:w="37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3760" w:type="dxa"/>
            <w:vAlign w:val="bottom"/>
          </w:tcPr>
          <w:p>
            <w:pPr>
              <w:jc w:val="center"/>
              <w:ind w:left="1724"/>
              <w:spacing w:after="0" w:line="98" w:lineRule="exact"/>
              <w:rPr>
                <w:sz w:val="20"/>
                <w:szCs w:val="20"/>
                <w:color w:val="auto"/>
              </w:rPr>
            </w:pPr>
            <w:r>
              <w:rPr>
                <w:rFonts w:ascii="Times New Roman" w:cs="Times New Roman" w:eastAsia="Times New Roman" w:hAnsi="Times New Roman"/>
                <w:sz w:val="10"/>
                <w:szCs w:val="10"/>
                <w:b w:val="1"/>
                <w:bCs w:val="1"/>
                <w:color w:val="auto"/>
                <w:w w:val="96"/>
              </w:rPr>
              <w:t>(State or Other Jurisdiction</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520" w:type="dxa"/>
            <w:vAlign w:val="bottom"/>
          </w:tcPr>
          <w:p>
            <w:pPr>
              <w:jc w:val="center"/>
              <w:ind w:right="1745"/>
              <w:spacing w:after="0" w:line="98" w:lineRule="exact"/>
              <w:rPr>
                <w:sz w:val="20"/>
                <w:szCs w:val="20"/>
                <w:color w:val="auto"/>
              </w:rPr>
            </w:pPr>
            <w:r>
              <w:rPr>
                <w:rFonts w:ascii="Times New Roman" w:cs="Times New Roman" w:eastAsia="Times New Roman" w:hAnsi="Times New Roman"/>
                <w:sz w:val="10"/>
                <w:szCs w:val="10"/>
                <w:b w:val="1"/>
                <w:bCs w:val="1"/>
                <w:color w:val="auto"/>
                <w:w w:val="94"/>
              </w:rPr>
              <w:t>(I.R.S. Employer</w:t>
            </w:r>
          </w:p>
        </w:tc>
        <w:tc>
          <w:tcPr>
            <w:tcW w:w="0" w:type="dxa"/>
            <w:vAlign w:val="bottom"/>
          </w:tcPr>
          <w:p>
            <w:pPr>
              <w:spacing w:after="0"/>
              <w:rPr>
                <w:sz w:val="1"/>
                <w:szCs w:val="1"/>
                <w:color w:val="auto"/>
              </w:rPr>
            </w:pPr>
          </w:p>
        </w:tc>
      </w:tr>
      <w:tr>
        <w:trPr>
          <w:trHeight w:val="125"/>
        </w:trPr>
        <w:tc>
          <w:tcPr>
            <w:tcW w:w="3760" w:type="dxa"/>
            <w:vAlign w:val="bottom"/>
          </w:tcPr>
          <w:p>
            <w:pPr>
              <w:jc w:val="center"/>
              <w:ind w:left="1704"/>
              <w:spacing w:after="0"/>
              <w:rPr>
                <w:sz w:val="20"/>
                <w:szCs w:val="20"/>
                <w:color w:val="auto"/>
              </w:rPr>
            </w:pPr>
            <w:r>
              <w:rPr>
                <w:rFonts w:ascii="Times New Roman" w:cs="Times New Roman" w:eastAsia="Times New Roman" w:hAnsi="Times New Roman"/>
                <w:sz w:val="10"/>
                <w:szCs w:val="10"/>
                <w:b w:val="1"/>
                <w:bCs w:val="1"/>
                <w:color w:val="auto"/>
                <w:w w:val="96"/>
              </w:rPr>
              <w:t>of Incorporation or Organization)</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520" w:type="dxa"/>
            <w:vAlign w:val="bottom"/>
          </w:tcPr>
          <w:p>
            <w:pPr>
              <w:jc w:val="center"/>
              <w:ind w:right="1745"/>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c>
          <w:tcPr>
            <w:tcW w:w="0" w:type="dxa"/>
            <w:vAlign w:val="bottom"/>
          </w:tcPr>
          <w:p>
            <w:pPr>
              <w:spacing w:after="0"/>
              <w:rPr>
                <w:sz w:val="1"/>
                <w:szCs w:val="1"/>
                <w:color w:val="auto"/>
              </w:rPr>
            </w:pPr>
          </w:p>
        </w:tc>
      </w:tr>
      <w:tr>
        <w:trPr>
          <w:trHeight w:val="193"/>
        </w:trPr>
        <w:tc>
          <w:tcPr>
            <w:tcW w:w="3760" w:type="dxa"/>
            <w:vAlign w:val="bottom"/>
          </w:tcPr>
          <w:p>
            <w:pPr>
              <w:jc w:val="center"/>
              <w:ind w:left="1704"/>
              <w:spacing w:after="0"/>
              <w:rPr>
                <w:sz w:val="20"/>
                <w:szCs w:val="20"/>
                <w:color w:val="auto"/>
              </w:rPr>
            </w:pPr>
            <w:r>
              <w:rPr>
                <w:rFonts w:ascii="Times New Roman" w:cs="Times New Roman" w:eastAsia="Times New Roman" w:hAnsi="Times New Roman"/>
                <w:sz w:val="12"/>
                <w:szCs w:val="12"/>
                <w:b w:val="1"/>
                <w:bCs w:val="1"/>
                <w:color w:val="auto"/>
                <w:w w:val="99"/>
              </w:rPr>
              <w:t>9710 Scranton Road, Suite 200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760" w:type="dxa"/>
            <w:vAlign w:val="bottom"/>
          </w:tcPr>
          <w:p>
            <w:pPr>
              <w:jc w:val="center"/>
              <w:ind w:left="1684"/>
              <w:spacing w:after="0"/>
              <w:rPr>
                <w:sz w:val="20"/>
                <w:szCs w:val="20"/>
                <w:color w:val="auto"/>
              </w:rPr>
            </w:pPr>
            <w:r>
              <w:rPr>
                <w:rFonts w:ascii="Times New Roman" w:cs="Times New Roman" w:eastAsia="Times New Roman" w:hAnsi="Times New Roman"/>
                <w:sz w:val="12"/>
                <w:szCs w:val="12"/>
                <w:b w:val="1"/>
                <w:bCs w:val="1"/>
                <w:color w:val="auto"/>
                <w:w w:val="99"/>
              </w:rPr>
              <w:t>San Diego, California</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520" w:type="dxa"/>
            <w:vAlign w:val="bottom"/>
          </w:tcPr>
          <w:p>
            <w:pPr>
              <w:jc w:val="right"/>
              <w:ind w:right="2465"/>
              <w:spacing w:after="0"/>
              <w:rPr>
                <w:sz w:val="20"/>
                <w:szCs w:val="20"/>
                <w:color w:val="auto"/>
              </w:rPr>
            </w:pPr>
            <w:r>
              <w:rPr>
                <w:rFonts w:ascii="Times New Roman" w:cs="Times New Roman" w:eastAsia="Times New Roman" w:hAnsi="Times New Roman"/>
                <w:sz w:val="12"/>
                <w:szCs w:val="12"/>
                <w:b w:val="1"/>
                <w:bCs w:val="1"/>
                <w:color w:val="auto"/>
              </w:rPr>
              <w:t>92121</w:t>
            </w:r>
          </w:p>
        </w:tc>
        <w:tc>
          <w:tcPr>
            <w:tcW w:w="0" w:type="dxa"/>
            <w:vAlign w:val="bottom"/>
          </w:tcPr>
          <w:p>
            <w:pPr>
              <w:spacing w:after="0"/>
              <w:rPr>
                <w:sz w:val="1"/>
                <w:szCs w:val="1"/>
                <w:color w:val="auto"/>
              </w:rPr>
            </w:pPr>
          </w:p>
        </w:tc>
      </w:tr>
      <w:tr>
        <w:trPr>
          <w:trHeight w:val="125"/>
        </w:trPr>
        <w:tc>
          <w:tcPr>
            <w:tcW w:w="3760" w:type="dxa"/>
            <w:vAlign w:val="bottom"/>
          </w:tcPr>
          <w:p>
            <w:pPr>
              <w:jc w:val="center"/>
              <w:ind w:left="1704"/>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520" w:type="dxa"/>
            <w:vAlign w:val="bottom"/>
          </w:tcPr>
          <w:p>
            <w:pPr>
              <w:jc w:val="center"/>
              <w:ind w:right="1745"/>
              <w:spacing w:after="0"/>
              <w:rPr>
                <w:sz w:val="20"/>
                <w:szCs w:val="20"/>
                <w:color w:val="auto"/>
              </w:rPr>
            </w:pPr>
            <w:r>
              <w:rPr>
                <w:rFonts w:ascii="Times New Roman" w:cs="Times New Roman" w:eastAsia="Times New Roman" w:hAnsi="Times New Roman"/>
                <w:sz w:val="10"/>
                <w:szCs w:val="10"/>
                <w:b w:val="1"/>
                <w:bCs w:val="1"/>
                <w:color w:val="auto"/>
                <w:w w:val="94"/>
              </w:rPr>
              <w:t>(Zip Code)</w:t>
            </w:r>
          </w:p>
        </w:tc>
        <w:tc>
          <w:tcPr>
            <w:tcW w:w="0" w:type="dxa"/>
            <w:vAlign w:val="bottom"/>
          </w:tcPr>
          <w:p>
            <w:pPr>
              <w:spacing w:after="0"/>
              <w:rPr>
                <w:sz w:val="1"/>
                <w:szCs w:val="1"/>
                <w:color w:val="auto"/>
              </w:rPr>
            </w:pPr>
          </w:p>
        </w:tc>
      </w:tr>
      <w:tr>
        <w:trPr>
          <w:trHeight w:val="215"/>
        </w:trPr>
        <w:tc>
          <w:tcPr>
            <w:tcW w:w="3760" w:type="dxa"/>
            <w:vAlign w:val="bottom"/>
          </w:tcPr>
          <w:p>
            <w:pPr>
              <w:spacing w:after="0"/>
              <w:rPr>
                <w:sz w:val="18"/>
                <w:szCs w:val="18"/>
                <w:color w:val="auto"/>
              </w:rPr>
            </w:pPr>
          </w:p>
        </w:tc>
        <w:tc>
          <w:tcPr>
            <w:tcW w:w="4020" w:type="dxa"/>
            <w:vAlign w:val="bottom"/>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(858) 812-3400</w:t>
            </w: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7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gridSpan w:val="2"/>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760" w:type="dxa"/>
            <w:vAlign w:val="bottom"/>
            <w:tcBorders>
              <w:left w:val="single" w:sz="8" w:color="auto"/>
              <w:bottom w:val="single" w:sz="8" w:color="auto"/>
            </w:tcBorders>
          </w:tcPr>
          <w:p>
            <w:pPr>
              <w:jc w:val="center"/>
              <w:ind w:left="584"/>
              <w:spacing w:after="0"/>
              <w:rPr>
                <w:sz w:val="20"/>
                <w:szCs w:val="20"/>
                <w:color w:val="auto"/>
              </w:rPr>
            </w:pPr>
            <w:r>
              <w:rPr>
                <w:rFonts w:ascii="Times New Roman" w:cs="Times New Roman" w:eastAsia="Times New Roman" w:hAnsi="Times New Roman"/>
                <w:sz w:val="12"/>
                <w:szCs w:val="12"/>
                <w:color w:val="auto"/>
              </w:rPr>
              <w:t>Title of each class</w:t>
            </w: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28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540" w:type="dxa"/>
            <w:vAlign w:val="bottom"/>
            <w:tcBorders>
              <w:bottom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jc w:val="center"/>
              <w:ind w:right="505"/>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c>
          <w:tcPr>
            <w:tcW w:w="0" w:type="dxa"/>
            <w:vAlign w:val="bottom"/>
          </w:tcPr>
          <w:p>
            <w:pPr>
              <w:spacing w:after="0"/>
              <w:rPr>
                <w:sz w:val="1"/>
                <w:szCs w:val="1"/>
                <w:color w:val="auto"/>
              </w:rPr>
            </w:pPr>
          </w:p>
        </w:tc>
      </w:tr>
      <w:tr>
        <w:trPr>
          <w:trHeight w:val="142"/>
        </w:trPr>
        <w:tc>
          <w:tcPr>
            <w:tcW w:w="3760" w:type="dxa"/>
            <w:vAlign w:val="bottom"/>
            <w:tcBorders>
              <w:left w:val="single" w:sz="8" w:color="auto"/>
              <w:bottom w:val="single" w:sz="8" w:color="auto"/>
            </w:tcBorders>
          </w:tcPr>
          <w:p>
            <w:pPr>
              <w:jc w:val="center"/>
              <w:ind w:left="584"/>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284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9"/>
              </w:rPr>
              <w:t>INSG</w:t>
            </w:r>
          </w:p>
        </w:tc>
        <w:tc>
          <w:tcPr>
            <w:tcW w:w="540" w:type="dxa"/>
            <w:vAlign w:val="bottom"/>
            <w:tcBorders>
              <w:bottom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jc w:val="center"/>
              <w:ind w:right="525"/>
              <w:spacing w:after="0"/>
              <w:rPr>
                <w:sz w:val="20"/>
                <w:szCs w:val="20"/>
                <w:color w:val="auto"/>
              </w:rPr>
            </w:pPr>
            <w:r>
              <w:rPr>
                <w:rFonts w:ascii="Times New Roman" w:cs="Times New Roman" w:eastAsia="Times New Roman" w:hAnsi="Times New Roman"/>
                <w:sz w:val="12"/>
                <w:szCs w:val="12"/>
                <w:color w:val="auto"/>
              </w:rPr>
              <w:t>Nasdaq Global Select Market</w:t>
            </w:r>
          </w:p>
        </w:tc>
        <w:tc>
          <w:tcPr>
            <w:tcW w:w="0" w:type="dxa"/>
            <w:vAlign w:val="bottom"/>
          </w:tcPr>
          <w:p>
            <w:pPr>
              <w:spacing w:after="0"/>
              <w:rPr>
                <w:sz w:val="1"/>
                <w:szCs w:val="1"/>
                <w:color w:val="auto"/>
              </w:rPr>
            </w:pPr>
          </w:p>
        </w:tc>
      </w:tr>
    </w:tbl>
    <w:p>
      <w:pPr>
        <w:spacing w:after="0" w:line="52" w:lineRule="exact"/>
        <w:rPr>
          <w:sz w:val="24"/>
          <w:szCs w:val="24"/>
          <w:color w:val="auto"/>
        </w:rPr>
      </w:pPr>
    </w:p>
    <w:p>
      <w:pPr>
        <w:jc w:val="both"/>
        <w:ind w:firstLine="297"/>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2" w:lineRule="exact"/>
        <w:rPr>
          <w:sz w:val="24"/>
          <w:szCs w:val="24"/>
          <w:color w:val="auto"/>
        </w:rPr>
      </w:pPr>
    </w:p>
    <w:p>
      <w:pPr>
        <w:ind w:right="160" w:firstLine="297"/>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41" w:lineRule="exact"/>
        <w:rPr>
          <w:sz w:val="24"/>
          <w:szCs w:val="24"/>
          <w:color w:val="auto"/>
        </w:rPr>
      </w:pPr>
    </w:p>
    <w:p>
      <w:pPr>
        <w:ind w:right="140" w:firstLine="297"/>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20" w:type="dxa"/>
        <w:tblCellMar>
          <w:top w:w="0" w:type="dxa"/>
          <w:left w:w="0" w:type="dxa"/>
          <w:bottom w:w="0" w:type="dxa"/>
          <w:right w:w="0" w:type="dxa"/>
        </w:tblCellMar>
      </w:tblPr>
      <w:tr>
        <w:trPr>
          <w:trHeight w:val="153"/>
        </w:trPr>
        <w:tc>
          <w:tcPr>
            <w:tcW w:w="162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680" w:type="dxa"/>
            <w:vAlign w:val="bottom"/>
          </w:tcPr>
          <w:p>
            <w:pPr>
              <w:ind w:left="520"/>
              <w:spacing w:after="0" w:line="121" w:lineRule="exact"/>
              <w:rPr>
                <w:sz w:val="20"/>
                <w:szCs w:val="20"/>
                <w:color w:val="auto"/>
              </w:rPr>
            </w:pPr>
            <w:r>
              <w:rPr>
                <w:rFonts w:ascii="MS PGothic" w:cs="MS PGothic" w:eastAsia="MS PGothic" w:hAnsi="MS PGothic"/>
                <w:sz w:val="12"/>
                <w:szCs w:val="12"/>
                <w:color w:val="auto"/>
              </w:rPr>
              <w:t>☒</w:t>
            </w:r>
          </w:p>
        </w:tc>
        <w:tc>
          <w:tcPr>
            <w:tcW w:w="5000" w:type="dxa"/>
            <w:vAlign w:val="bottom"/>
          </w:tcPr>
          <w:p>
            <w:pPr>
              <w:ind w:left="3060"/>
              <w:spacing w:after="0"/>
              <w:rPr>
                <w:sz w:val="20"/>
                <w:szCs w:val="20"/>
                <w:color w:val="auto"/>
              </w:rPr>
            </w:pPr>
            <w:r>
              <w:rPr>
                <w:rFonts w:ascii="Times New Roman" w:cs="Times New Roman" w:eastAsia="Times New Roman" w:hAnsi="Times New Roman"/>
                <w:sz w:val="12"/>
                <w:szCs w:val="12"/>
                <w:color w:val="auto"/>
              </w:rPr>
              <w:t>Accelerated filer</w:t>
            </w:r>
          </w:p>
        </w:tc>
        <w:tc>
          <w:tcPr>
            <w:tcW w:w="740" w:type="dxa"/>
            <w:vAlign w:val="bottom"/>
          </w:tcPr>
          <w:p>
            <w:pPr>
              <w:ind w:left="6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53"/>
        </w:trPr>
        <w:tc>
          <w:tcPr>
            <w:tcW w:w="162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680" w:type="dxa"/>
            <w:vAlign w:val="bottom"/>
          </w:tcPr>
          <w:p>
            <w:pPr>
              <w:ind w:left="520"/>
              <w:spacing w:after="0" w:line="121" w:lineRule="exact"/>
              <w:rPr>
                <w:sz w:val="20"/>
                <w:szCs w:val="20"/>
                <w:color w:val="auto"/>
              </w:rPr>
            </w:pPr>
            <w:r>
              <w:rPr>
                <w:rFonts w:ascii="MS PGothic" w:cs="MS PGothic" w:eastAsia="MS PGothic" w:hAnsi="MS PGothic"/>
                <w:sz w:val="12"/>
                <w:szCs w:val="12"/>
                <w:color w:val="auto"/>
              </w:rPr>
              <w:t>☐</w:t>
            </w:r>
          </w:p>
        </w:tc>
        <w:tc>
          <w:tcPr>
            <w:tcW w:w="5000" w:type="dxa"/>
            <w:vAlign w:val="bottom"/>
          </w:tcPr>
          <w:p>
            <w:pPr>
              <w:ind w:left="306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740" w:type="dxa"/>
            <w:vAlign w:val="bottom"/>
          </w:tcPr>
          <w:p>
            <w:pPr>
              <w:ind w:left="6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87"/>
        </w:trPr>
        <w:tc>
          <w:tcPr>
            <w:tcW w:w="16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5000" w:type="dxa"/>
            <w:vAlign w:val="bottom"/>
          </w:tcPr>
          <w:p>
            <w:pPr>
              <w:ind w:left="3060"/>
              <w:spacing w:after="0"/>
              <w:rPr>
                <w:sz w:val="20"/>
                <w:szCs w:val="20"/>
                <w:color w:val="auto"/>
              </w:rPr>
            </w:pPr>
            <w:r>
              <w:rPr>
                <w:rFonts w:ascii="Times New Roman" w:cs="Times New Roman" w:eastAsia="Times New Roman" w:hAnsi="Times New Roman"/>
                <w:sz w:val="12"/>
                <w:szCs w:val="12"/>
                <w:color w:val="auto"/>
              </w:rPr>
              <w:t>Emerging growth company</w:t>
            </w:r>
          </w:p>
        </w:tc>
        <w:tc>
          <w:tcPr>
            <w:tcW w:w="740" w:type="dxa"/>
            <w:vAlign w:val="bottom"/>
          </w:tcPr>
          <w:p>
            <w:pPr>
              <w:ind w:left="62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31" w:lineRule="exact"/>
        <w:rPr>
          <w:sz w:val="24"/>
          <w:szCs w:val="24"/>
          <w:color w:val="auto"/>
        </w:rPr>
      </w:pPr>
    </w:p>
    <w:p>
      <w:pPr>
        <w:ind w:right="10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9" w:lineRule="exact"/>
        <w:rPr>
          <w:sz w:val="24"/>
          <w:szCs w:val="24"/>
          <w:color w:val="auto"/>
        </w:rPr>
      </w:pPr>
    </w:p>
    <w:p>
      <w:pPr>
        <w:ind w:right="5420"/>
        <w:spacing w:after="0" w:line="19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w:t>
      </w:r>
      <w:r>
        <w:rPr>
          <w:rFonts w:ascii="Times New Roman" w:cs="Times New Roman" w:eastAsia="Times New Roman" w:hAnsi="Times New Roman"/>
          <w:sz w:val="10"/>
          <w:szCs w:val="10"/>
          <w:color w:val="auto"/>
        </w:rPr>
        <w:t>(as defined in Rule 12b-2 of the Exchange Act)</w:t>
      </w:r>
      <w:r>
        <w:rPr>
          <w:rFonts w:ascii="Times New Roman" w:cs="Times New Roman" w:eastAsia="Times New Roman" w:hAnsi="Times New Roman"/>
          <w:sz w:val="12"/>
          <w:szCs w:val="12"/>
          <w:color w:val="auto"/>
        </w:rPr>
        <w:t xml:space="preserve">.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The number of shares of the registrant’s common stock outstanding as of October 31, 2022 was 107,849,965.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358775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9"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840" w:type="dxa"/>
            <w:vAlign w:val="bottom"/>
          </w:tcPr>
          <w:p>
            <w:pPr>
              <w:spacing w:after="0"/>
              <w:rPr>
                <w:sz w:val="13"/>
                <w:szCs w:val="13"/>
                <w:color w:val="auto"/>
              </w:rPr>
            </w:pPr>
          </w:p>
        </w:tc>
        <w:tc>
          <w:tcPr>
            <w:tcW w:w="9880" w:type="dxa"/>
            <w:vAlign w:val="bottom"/>
          </w:tcPr>
          <w:p>
            <w:pPr>
              <w:ind w:left="416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84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0"/>
                <w:szCs w:val="10"/>
                <w:b w:val="1"/>
                <w:bCs w:val="1"/>
                <w:color w:val="auto"/>
                <w:w w:val="97"/>
              </w:rPr>
              <w:t>Page</w:t>
            </w:r>
          </w:p>
        </w:tc>
      </w:tr>
      <w:tr>
        <w:trPr>
          <w:trHeight w:val="207"/>
        </w:trPr>
        <w:tc>
          <w:tcPr>
            <w:tcW w:w="10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00FF"/>
              </w:rPr>
              <w:t>PART I—FINANCIAL INFORMATION</w:t>
            </w: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88"/>
        </w:trPr>
        <w:tc>
          <w:tcPr>
            <w:tcW w:w="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Item 1.</w:t>
            </w:r>
          </w:p>
        </w:tc>
        <w:tc>
          <w:tcPr>
            <w:tcW w:w="98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0000FF"/>
              </w:rPr>
              <w:t>3</w:t>
            </w:r>
          </w:p>
        </w:tc>
        <w:tc>
          <w:tcPr>
            <w:tcW w:w="20" w:type="dxa"/>
            <w:vAlign w:val="bottom"/>
          </w:tcPr>
          <w:p>
            <w:pPr>
              <w:spacing w:after="0"/>
              <w:rPr>
                <w:sz w:val="24"/>
                <w:szCs w:val="24"/>
                <w:color w:val="auto"/>
              </w:rPr>
            </w:pPr>
          </w:p>
        </w:tc>
      </w:tr>
      <w:tr>
        <w:trPr>
          <w:trHeight w:val="225"/>
        </w:trPr>
        <w:tc>
          <w:tcPr>
            <w:tcW w:w="840" w:type="dxa"/>
            <w:vAlign w:val="bottom"/>
          </w:tcPr>
          <w:p>
            <w:pPr>
              <w:spacing w:after="0"/>
              <w:rPr>
                <w:sz w:val="19"/>
                <w:szCs w:val="19"/>
                <w:color w:val="auto"/>
              </w:rPr>
            </w:pPr>
          </w:p>
        </w:tc>
        <w:tc>
          <w:tcPr>
            <w:tcW w:w="98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Condensed Consolidated Balance Sheets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0000FF"/>
              </w:rPr>
              <w:t>3</w:t>
            </w:r>
          </w:p>
        </w:tc>
        <w:tc>
          <w:tcPr>
            <w:tcW w:w="20" w:type="dxa"/>
            <w:vAlign w:val="bottom"/>
          </w:tcPr>
          <w:p>
            <w:pPr>
              <w:spacing w:after="0"/>
              <w:rPr>
                <w:sz w:val="19"/>
                <w:szCs w:val="19"/>
                <w:color w:val="auto"/>
              </w:rPr>
            </w:pPr>
          </w:p>
        </w:tc>
      </w:tr>
      <w:tr>
        <w:trPr>
          <w:trHeight w:val="225"/>
        </w:trPr>
        <w:tc>
          <w:tcPr>
            <w:tcW w:w="840" w:type="dxa"/>
            <w:vAlign w:val="bottom"/>
          </w:tcPr>
          <w:p>
            <w:pPr>
              <w:spacing w:after="0"/>
              <w:rPr>
                <w:sz w:val="19"/>
                <w:szCs w:val="19"/>
                <w:color w:val="auto"/>
              </w:rPr>
            </w:pPr>
          </w:p>
        </w:tc>
        <w:tc>
          <w:tcPr>
            <w:tcW w:w="98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Condensed Consolidated Statements of Operations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0000FF"/>
              </w:rPr>
              <w:t>4</w:t>
            </w:r>
          </w:p>
        </w:tc>
        <w:tc>
          <w:tcPr>
            <w:tcW w:w="20" w:type="dxa"/>
            <w:vAlign w:val="bottom"/>
          </w:tcPr>
          <w:p>
            <w:pPr>
              <w:spacing w:after="0"/>
              <w:rPr>
                <w:sz w:val="19"/>
                <w:szCs w:val="19"/>
                <w:color w:val="auto"/>
              </w:rPr>
            </w:pPr>
          </w:p>
        </w:tc>
      </w:tr>
      <w:tr>
        <w:trPr>
          <w:trHeight w:val="225"/>
        </w:trPr>
        <w:tc>
          <w:tcPr>
            <w:tcW w:w="840" w:type="dxa"/>
            <w:vAlign w:val="bottom"/>
          </w:tcPr>
          <w:p>
            <w:pPr>
              <w:spacing w:after="0"/>
              <w:rPr>
                <w:sz w:val="19"/>
                <w:szCs w:val="19"/>
                <w:color w:val="auto"/>
              </w:rPr>
            </w:pPr>
          </w:p>
        </w:tc>
        <w:tc>
          <w:tcPr>
            <w:tcW w:w="98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Condensed Consolidated Statements of Comprehensive Loss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0000FF"/>
              </w:rPr>
              <w:t>5</w:t>
            </w:r>
          </w:p>
        </w:tc>
        <w:tc>
          <w:tcPr>
            <w:tcW w:w="20" w:type="dxa"/>
            <w:vAlign w:val="bottom"/>
          </w:tcPr>
          <w:p>
            <w:pPr>
              <w:spacing w:after="0"/>
              <w:rPr>
                <w:sz w:val="19"/>
                <w:szCs w:val="19"/>
                <w:color w:val="auto"/>
              </w:rPr>
            </w:pPr>
          </w:p>
        </w:tc>
      </w:tr>
      <w:tr>
        <w:trPr>
          <w:trHeight w:val="225"/>
        </w:trPr>
        <w:tc>
          <w:tcPr>
            <w:tcW w:w="840" w:type="dxa"/>
            <w:vAlign w:val="bottom"/>
          </w:tcPr>
          <w:p>
            <w:pPr>
              <w:spacing w:after="0"/>
              <w:rPr>
                <w:sz w:val="19"/>
                <w:szCs w:val="19"/>
                <w:color w:val="auto"/>
              </w:rPr>
            </w:pPr>
          </w:p>
        </w:tc>
        <w:tc>
          <w:tcPr>
            <w:tcW w:w="98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Condensed Consolidated Statements of Stockholders’ Deficit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0000FF"/>
              </w:rPr>
              <w:t>6</w:t>
            </w:r>
          </w:p>
        </w:tc>
        <w:tc>
          <w:tcPr>
            <w:tcW w:w="20" w:type="dxa"/>
            <w:vAlign w:val="bottom"/>
          </w:tcPr>
          <w:p>
            <w:pPr>
              <w:spacing w:after="0"/>
              <w:rPr>
                <w:sz w:val="19"/>
                <w:szCs w:val="19"/>
                <w:color w:val="auto"/>
              </w:rPr>
            </w:pPr>
          </w:p>
        </w:tc>
      </w:tr>
      <w:tr>
        <w:trPr>
          <w:trHeight w:val="225"/>
        </w:trPr>
        <w:tc>
          <w:tcPr>
            <w:tcW w:w="840" w:type="dxa"/>
            <w:vAlign w:val="bottom"/>
          </w:tcPr>
          <w:p>
            <w:pPr>
              <w:spacing w:after="0"/>
              <w:rPr>
                <w:sz w:val="19"/>
                <w:szCs w:val="19"/>
                <w:color w:val="auto"/>
              </w:rPr>
            </w:pPr>
          </w:p>
        </w:tc>
        <w:tc>
          <w:tcPr>
            <w:tcW w:w="98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Condensed Consolidated Statements of Cash Flows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0000FF"/>
              </w:rPr>
              <w:t>8</w:t>
            </w:r>
          </w:p>
        </w:tc>
        <w:tc>
          <w:tcPr>
            <w:tcW w:w="20" w:type="dxa"/>
            <w:vAlign w:val="bottom"/>
          </w:tcPr>
          <w:p>
            <w:pPr>
              <w:spacing w:after="0"/>
              <w:rPr>
                <w:sz w:val="19"/>
                <w:szCs w:val="19"/>
                <w:color w:val="auto"/>
              </w:rPr>
            </w:pPr>
          </w:p>
        </w:tc>
      </w:tr>
      <w:tr>
        <w:trPr>
          <w:trHeight w:val="225"/>
        </w:trPr>
        <w:tc>
          <w:tcPr>
            <w:tcW w:w="840" w:type="dxa"/>
            <w:vAlign w:val="bottom"/>
          </w:tcPr>
          <w:p>
            <w:pPr>
              <w:spacing w:after="0"/>
              <w:rPr>
                <w:sz w:val="19"/>
                <w:szCs w:val="19"/>
                <w:color w:val="auto"/>
              </w:rPr>
            </w:pPr>
          </w:p>
        </w:tc>
        <w:tc>
          <w:tcPr>
            <w:tcW w:w="98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Notes to Condensed Consolidated Financial Statements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0000FF"/>
              </w:rPr>
              <w:t>9</w:t>
            </w:r>
          </w:p>
        </w:tc>
        <w:tc>
          <w:tcPr>
            <w:tcW w:w="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Item 2.</w:t>
            </w:r>
          </w:p>
        </w:tc>
        <w:tc>
          <w:tcPr>
            <w:tcW w:w="98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0000FF"/>
              </w:rPr>
              <w:t>19</w:t>
            </w:r>
          </w:p>
        </w:tc>
        <w:tc>
          <w:tcPr>
            <w:tcW w:w="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Item 3.</w:t>
            </w:r>
          </w:p>
        </w:tc>
        <w:tc>
          <w:tcPr>
            <w:tcW w:w="98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0000FF"/>
              </w:rPr>
              <w:t>29</w:t>
            </w:r>
          </w:p>
        </w:tc>
        <w:tc>
          <w:tcPr>
            <w:tcW w:w="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Item 4.</w:t>
            </w:r>
          </w:p>
        </w:tc>
        <w:tc>
          <w:tcPr>
            <w:tcW w:w="98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0000FF"/>
              </w:rPr>
              <w:t>30</w:t>
            </w:r>
          </w:p>
        </w:tc>
        <w:tc>
          <w:tcPr>
            <w:tcW w:w="20" w:type="dxa"/>
            <w:vAlign w:val="bottom"/>
          </w:tcPr>
          <w:p>
            <w:pPr>
              <w:spacing w:after="0"/>
              <w:rPr>
                <w:sz w:val="19"/>
                <w:szCs w:val="19"/>
                <w:color w:val="auto"/>
              </w:rPr>
            </w:pPr>
          </w:p>
        </w:tc>
      </w:tr>
      <w:tr>
        <w:trPr>
          <w:trHeight w:val="225"/>
        </w:trPr>
        <w:tc>
          <w:tcPr>
            <w:tcW w:w="10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00FF"/>
              </w:rPr>
              <w:t>PART II—OTHER INFORMATION</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Item 1.</w:t>
            </w:r>
          </w:p>
        </w:tc>
        <w:tc>
          <w:tcPr>
            <w:tcW w:w="98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Legal Proceedings</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0000FF"/>
              </w:rPr>
              <w:t>32</w:t>
            </w:r>
          </w:p>
        </w:tc>
        <w:tc>
          <w:tcPr>
            <w:tcW w:w="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Item 1A.</w:t>
            </w:r>
          </w:p>
        </w:tc>
        <w:tc>
          <w:tcPr>
            <w:tcW w:w="98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0000FF"/>
              </w:rPr>
              <w:t>32</w:t>
            </w:r>
          </w:p>
        </w:tc>
        <w:tc>
          <w:tcPr>
            <w:tcW w:w="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Item 2.</w:t>
            </w:r>
          </w:p>
        </w:tc>
        <w:tc>
          <w:tcPr>
            <w:tcW w:w="98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Unregistered Sales of Equity Securities and Use of Proceeds</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0000FF"/>
              </w:rPr>
              <w:t>32</w:t>
            </w:r>
          </w:p>
        </w:tc>
        <w:tc>
          <w:tcPr>
            <w:tcW w:w="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Item 3.</w:t>
            </w:r>
          </w:p>
        </w:tc>
        <w:tc>
          <w:tcPr>
            <w:tcW w:w="98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Defaults Upon Senior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0000FF"/>
              </w:rPr>
              <w:t>32</w:t>
            </w:r>
          </w:p>
        </w:tc>
        <w:tc>
          <w:tcPr>
            <w:tcW w:w="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Item 4.</w:t>
            </w:r>
          </w:p>
        </w:tc>
        <w:tc>
          <w:tcPr>
            <w:tcW w:w="98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0000FF"/>
              </w:rPr>
              <w:t>32</w:t>
            </w:r>
          </w:p>
        </w:tc>
        <w:tc>
          <w:tcPr>
            <w:tcW w:w="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Item 5.</w:t>
            </w:r>
          </w:p>
        </w:tc>
        <w:tc>
          <w:tcPr>
            <w:tcW w:w="98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0000FF"/>
              </w:rPr>
              <w:t>32</w:t>
            </w:r>
          </w:p>
        </w:tc>
        <w:tc>
          <w:tcPr>
            <w:tcW w:w="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Item 6.</w:t>
            </w:r>
          </w:p>
        </w:tc>
        <w:tc>
          <w:tcPr>
            <w:tcW w:w="98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Exhibits</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0000FF"/>
              </w:rPr>
              <w:t>33</w:t>
            </w:r>
          </w:p>
        </w:tc>
        <w:tc>
          <w:tcPr>
            <w:tcW w:w="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SIGNATURES</w:t>
            </w:r>
          </w:p>
        </w:tc>
        <w:tc>
          <w:tcPr>
            <w:tcW w:w="9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0000FF"/>
              </w:rPr>
              <w:t>34</w:t>
            </w:r>
          </w:p>
        </w:tc>
        <w:tc>
          <w:tcPr>
            <w:tcW w:w="20" w:type="dxa"/>
            <w:vAlign w:val="bottom"/>
          </w:tcPr>
          <w:p>
            <w:pPr>
              <w:spacing w:after="0"/>
              <w:rPr>
                <w:sz w:val="19"/>
                <w:szCs w:val="19"/>
                <w:color w:val="auto"/>
              </w:rPr>
            </w:pPr>
          </w:p>
        </w:tc>
      </w:tr>
      <w:tr>
        <w:trPr>
          <w:trHeight w:val="648"/>
        </w:trPr>
        <w:tc>
          <w:tcPr>
            <w:tcW w:w="840" w:type="dxa"/>
            <w:vAlign w:val="bottom"/>
            <w:tcBorders>
              <w:bottom w:val="single" w:sz="8" w:color="9A9A9A"/>
            </w:tcBorders>
          </w:tcPr>
          <w:p>
            <w:pPr>
              <w:spacing w:after="0"/>
              <w:rPr>
                <w:sz w:val="24"/>
                <w:szCs w:val="24"/>
                <w:color w:val="auto"/>
              </w:rPr>
            </w:pPr>
          </w:p>
        </w:tc>
        <w:tc>
          <w:tcPr>
            <w:tcW w:w="98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PART I—FINANCIAL INFORMATION</w:t>
      </w:r>
    </w:p>
    <w:p>
      <w:pPr>
        <w:spacing w:after="0" w:line="6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i w:val="1"/>
          <w:iCs w:val="1"/>
          <w:color w:val="auto"/>
        </w:rPr>
        <w:t>Financial Statements.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(In thousands, except par value and share data)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200" w:type="dxa"/>
            <w:vAlign w:val="bottom"/>
          </w:tcPr>
          <w:p>
            <w:pPr>
              <w:spacing w:after="0"/>
              <w:rPr>
                <w:sz w:val="10"/>
                <w:szCs w:val="10"/>
                <w:color w:val="auto"/>
              </w:rPr>
            </w:pPr>
          </w:p>
        </w:tc>
        <w:tc>
          <w:tcPr>
            <w:tcW w:w="1060" w:type="dxa"/>
            <w:vAlign w:val="bottom"/>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9"/>
        </w:trPr>
        <w:tc>
          <w:tcPr>
            <w:tcW w:w="87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147"/>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18"/>
        </w:trPr>
        <w:tc>
          <w:tcPr>
            <w:tcW w:w="8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center"/>
              <w:ind w:right="147"/>
              <w:spacing w:after="0"/>
              <w:rPr>
                <w:sz w:val="20"/>
                <w:szCs w:val="20"/>
                <w:color w:val="auto"/>
              </w:rPr>
            </w:pPr>
            <w:r>
              <w:rPr>
                <w:rFonts w:ascii="Times New Roman" w:cs="Times New Roman" w:eastAsia="Times New Roman" w:hAnsi="Times New Roman"/>
                <w:sz w:val="10"/>
                <w:szCs w:val="10"/>
                <w:b w:val="1"/>
                <w:bCs w:val="1"/>
                <w:color w:val="auto"/>
                <w:w w:val="92"/>
              </w:rPr>
              <w:t>(Unaudited)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50"/>
        </w:trPr>
        <w:tc>
          <w:tcPr>
            <w:tcW w:w="87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46"/>
        </w:trPr>
        <w:tc>
          <w:tcPr>
            <w:tcW w:w="8700" w:type="dxa"/>
            <w:vAlign w:val="bottom"/>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18,063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46,474</w:t>
            </w:r>
          </w:p>
        </w:tc>
      </w:tr>
      <w:tr>
        <w:trPr>
          <w:trHeight w:val="142"/>
        </w:trPr>
        <w:tc>
          <w:tcPr>
            <w:tcW w:w="8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Restricted cash</w:t>
            </w:r>
          </w:p>
        </w:tc>
        <w:tc>
          <w:tcPr>
            <w:tcW w:w="2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3,338</w:t>
            </w:r>
          </w:p>
        </w:tc>
      </w:tr>
      <w:tr>
        <w:trPr>
          <w:trHeight w:val="14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Accounts receivable, net of allowance for doubtful accounts of $371 and $408, respectively</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28,668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26,781</w:t>
            </w:r>
          </w:p>
        </w:tc>
      </w:tr>
      <w:tr>
        <w:trPr>
          <w:trHeight w:val="142"/>
        </w:trPr>
        <w:tc>
          <w:tcPr>
            <w:tcW w:w="8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Inventories</w:t>
            </w: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42,406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37,402</w:t>
            </w:r>
          </w:p>
        </w:tc>
      </w:tr>
      <w:tr>
        <w:trPr>
          <w:trHeight w:val="14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Prepaid expenses and other</w:t>
            </w: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10,902</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13,624</w:t>
            </w:r>
          </w:p>
        </w:tc>
      </w:tr>
      <w:tr>
        <w:trPr>
          <w:trHeight w:val="131"/>
        </w:trPr>
        <w:tc>
          <w:tcPr>
            <w:tcW w:w="87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1"/>
                <w:szCs w:val="11"/>
                <w:color w:val="auto"/>
              </w:rPr>
              <w:t>Total current assets</w:t>
            </w: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100,039</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127,619</w:t>
            </w:r>
          </w:p>
        </w:tc>
      </w:tr>
      <w:tr>
        <w:trPr>
          <w:trHeight w:val="135"/>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Property, plant and equipment, net of accumulated depreciation of $25,240 and $26,692, respectively</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6,157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8,102</w:t>
            </w:r>
          </w:p>
        </w:tc>
      </w:tr>
      <w:tr>
        <w:trPr>
          <w:trHeight w:val="142"/>
        </w:trPr>
        <w:tc>
          <w:tcPr>
            <w:tcW w:w="8700" w:type="dxa"/>
            <w:vAlign w:val="bottom"/>
          </w:tcPr>
          <w:p>
            <w:pPr>
              <w:spacing w:after="0"/>
              <w:rPr>
                <w:sz w:val="20"/>
                <w:szCs w:val="20"/>
                <w:color w:val="auto"/>
              </w:rPr>
            </w:pPr>
            <w:r>
              <w:rPr>
                <w:rFonts w:ascii="Times New Roman" w:cs="Times New Roman" w:eastAsia="Times New Roman" w:hAnsi="Times New Roman"/>
                <w:sz w:val="11"/>
                <w:szCs w:val="11"/>
                <w:color w:val="auto"/>
              </w:rPr>
              <w:t>Rental assets, net of accumulated depreciation of $5,919 and $5,392, respectively</w:t>
            </w: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4,411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4,575</w:t>
            </w:r>
          </w:p>
        </w:tc>
      </w:tr>
      <w:tr>
        <w:trPr>
          <w:trHeight w:val="14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Intangible assets, net of accumulated amortization of $63,425 and $48,404, respectively</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44,406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46,995</w:t>
            </w:r>
          </w:p>
        </w:tc>
      </w:tr>
      <w:tr>
        <w:trPr>
          <w:trHeight w:val="142"/>
        </w:trPr>
        <w:tc>
          <w:tcPr>
            <w:tcW w:w="8700" w:type="dxa"/>
            <w:vAlign w:val="bottom"/>
          </w:tcPr>
          <w:p>
            <w:pPr>
              <w:spacing w:after="0"/>
              <w:rPr>
                <w:sz w:val="20"/>
                <w:szCs w:val="20"/>
                <w:color w:val="auto"/>
              </w:rPr>
            </w:pPr>
            <w:r>
              <w:rPr>
                <w:rFonts w:ascii="Times New Roman" w:cs="Times New Roman" w:eastAsia="Times New Roman" w:hAnsi="Times New Roman"/>
                <w:sz w:val="11"/>
                <w:szCs w:val="11"/>
                <w:color w:val="auto"/>
              </w:rPr>
              <w:t>Goodwill</w:t>
            </w: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20,336</w:t>
            </w:r>
          </w:p>
        </w:tc>
      </w:tr>
      <w:tr>
        <w:trPr>
          <w:trHeight w:val="14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Right-of-use assets, net</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6,902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7,839</w:t>
            </w:r>
          </w:p>
        </w:tc>
      </w:tr>
      <w:tr>
        <w:trPr>
          <w:trHeight w:val="142"/>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563</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377</w:t>
            </w:r>
          </w:p>
        </w:tc>
      </w:tr>
      <w:tr>
        <w:trPr>
          <w:trHeight w:val="155"/>
        </w:trPr>
        <w:tc>
          <w:tcPr>
            <w:tcW w:w="8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Total assets</w:t>
            </w: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184,400</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215,843</w:t>
            </w:r>
          </w:p>
        </w:tc>
      </w:tr>
      <w:tr>
        <w:trPr>
          <w:trHeight w:val="121"/>
        </w:trPr>
        <w:tc>
          <w:tcPr>
            <w:tcW w:w="870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LIABILITIES AND STOCKHOLDERS’ DEFICIT</w:t>
            </w: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45"/>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Accounts payable</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39,537</w:t>
            </w:r>
          </w:p>
        </w:tc>
        <w:tc>
          <w:tcPr>
            <w:tcW w:w="10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48,577</w:t>
            </w:r>
          </w:p>
        </w:tc>
      </w:tr>
      <w:tr>
        <w:trPr>
          <w:trHeight w:val="14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31,476</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26,253</w:t>
            </w:r>
          </w:p>
        </w:tc>
      </w:tr>
      <w:tr>
        <w:trPr>
          <w:trHeight w:val="131"/>
        </w:trPr>
        <w:tc>
          <w:tcPr>
            <w:tcW w:w="87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71,013</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74,830</w:t>
            </w:r>
          </w:p>
        </w:tc>
      </w:tr>
      <w:tr>
        <w:trPr>
          <w:trHeight w:val="126"/>
        </w:trPr>
        <w:tc>
          <w:tcPr>
            <w:tcW w:w="8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Long-term liabilities:</w:t>
            </w: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42"/>
        </w:trPr>
        <w:tc>
          <w:tcPr>
            <w:tcW w:w="8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2025 Notes, net</w:t>
            </w: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158,079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157,866</w:t>
            </w:r>
          </w:p>
        </w:tc>
      </w:tr>
      <w:tr>
        <w:trPr>
          <w:trHeight w:val="14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Revolving credit facility, net</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8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Deferred tax liabilities, net</w:t>
            </w: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852</w:t>
            </w:r>
          </w:p>
        </w:tc>
      </w:tr>
      <w:tr>
        <w:trPr>
          <w:trHeight w:val="14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long-term liabilities</w:t>
            </w: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6,841</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7,149</w:t>
            </w:r>
          </w:p>
        </w:tc>
      </w:tr>
      <w:tr>
        <w:trPr>
          <w:trHeight w:val="131"/>
        </w:trPr>
        <w:tc>
          <w:tcPr>
            <w:tcW w:w="87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1"/>
                <w:szCs w:val="11"/>
                <w:color w:val="auto"/>
              </w:rPr>
              <w:t>Total liabilities</w:t>
            </w: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240,200</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240,697</w:t>
            </w:r>
          </w:p>
        </w:tc>
      </w:tr>
      <w:tr>
        <w:trPr>
          <w:trHeight w:val="126"/>
        </w:trPr>
        <w:tc>
          <w:tcPr>
            <w:tcW w:w="8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Commitments and contingencies</w:t>
            </w: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42"/>
        </w:trPr>
        <w:tc>
          <w:tcPr>
            <w:tcW w:w="8700" w:type="dxa"/>
            <w:vAlign w:val="bottom"/>
          </w:tcPr>
          <w:p>
            <w:pPr>
              <w:spacing w:after="0"/>
              <w:rPr>
                <w:sz w:val="20"/>
                <w:szCs w:val="20"/>
                <w:color w:val="auto"/>
              </w:rPr>
            </w:pPr>
            <w:r>
              <w:rPr>
                <w:rFonts w:ascii="Times New Roman" w:cs="Times New Roman" w:eastAsia="Times New Roman" w:hAnsi="Times New Roman"/>
                <w:sz w:val="11"/>
                <w:szCs w:val="11"/>
                <w:color w:val="auto"/>
              </w:rPr>
              <w:t>Stockholders’ deficit:</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Preferred stock, par value $0.001; 2,000,000 shares authorized:</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70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99"/>
              </w:rPr>
              <w:t>Series E Preferred stock, par value $0.001; 39,500 shares designated, 25,000 shares issued and outstanding, liquidation preference of $1,000 per share (plus any accrued but unpaid dividends)</w:t>
            </w:r>
          </w:p>
        </w:tc>
        <w:tc>
          <w:tcPr>
            <w:tcW w:w="2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Common stock, par value $0.001; 150,000,000 shares authorized, 107,846,082 and 105,380,533 shares issued and outstanding, respectively</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105</w:t>
            </w:r>
          </w:p>
        </w:tc>
      </w:tr>
      <w:tr>
        <w:trPr>
          <w:trHeight w:val="142"/>
        </w:trPr>
        <w:tc>
          <w:tcPr>
            <w:tcW w:w="8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790,460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770,619</w:t>
            </w:r>
          </w:p>
        </w:tc>
      </w:tr>
      <w:tr>
        <w:trPr>
          <w:trHeight w:val="14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(8,531)</w:t>
            </w:r>
          </w:p>
        </w:tc>
      </w:tr>
      <w:tr>
        <w:trPr>
          <w:trHeight w:val="142"/>
        </w:trPr>
        <w:tc>
          <w:tcPr>
            <w:tcW w:w="8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Accumulated deficit</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(842,418)</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(787,047)</w:t>
            </w:r>
          </w:p>
        </w:tc>
      </w:tr>
      <w:tr>
        <w:trPr>
          <w:trHeight w:val="151"/>
        </w:trPr>
        <w:tc>
          <w:tcPr>
            <w:tcW w:w="87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stockholders’ deficit</w:t>
            </w:r>
          </w:p>
        </w:tc>
        <w:tc>
          <w:tcPr>
            <w:tcW w:w="2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(55,800)</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(24,854)</w:t>
            </w:r>
          </w:p>
        </w:tc>
      </w:tr>
      <w:tr>
        <w:trPr>
          <w:trHeight w:val="144"/>
        </w:trPr>
        <w:tc>
          <w:tcPr>
            <w:tcW w:w="870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Total liabilities and stockholders’ deficit</w:t>
            </w: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184,400</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215,843</w:t>
            </w:r>
          </w:p>
        </w:tc>
      </w:tr>
      <w:tr>
        <w:trPr>
          <w:trHeight w:val="20"/>
        </w:trPr>
        <w:tc>
          <w:tcPr>
            <w:tcW w:w="8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369570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3" w:right="2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INSEEGO CORP.</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740" w:type="dxa"/>
            <w:vAlign w:val="bottom"/>
          </w:tcPr>
          <w:p>
            <w:pPr>
              <w:spacing w:after="0"/>
              <w:rPr>
                <w:sz w:val="10"/>
                <w:szCs w:val="10"/>
                <w:color w:val="auto"/>
              </w:rPr>
            </w:pPr>
          </w:p>
        </w:tc>
      </w:tr>
      <w:tr>
        <w:trPr>
          <w:trHeight w:val="129"/>
        </w:trPr>
        <w:tc>
          <w:tcPr>
            <w:tcW w:w="64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40" w:type="dxa"/>
            <w:vAlign w:val="bottom"/>
            <w:tcBorders>
              <w:bottom w:val="single" w:sz="8" w:color="auto"/>
            </w:tcBorders>
          </w:tcPr>
          <w:p>
            <w:pPr>
              <w:spacing w:after="0"/>
              <w:rPr>
                <w:sz w:val="11"/>
                <w:szCs w:val="11"/>
                <w:color w:val="auto"/>
              </w:rPr>
            </w:pPr>
          </w:p>
        </w:tc>
      </w:tr>
      <w:tr>
        <w:trPr>
          <w:trHeight w:val="118"/>
        </w:trPr>
        <w:tc>
          <w:tcPr>
            <w:tcW w:w="64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0"/>
                <w:szCs w:val="10"/>
                <w:b w:val="1"/>
                <w:bCs w:val="1"/>
                <w:color w:val="auto"/>
              </w:rPr>
              <w:t>2021</w:t>
            </w:r>
          </w:p>
        </w:tc>
        <w:tc>
          <w:tcPr>
            <w:tcW w:w="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2"/>
        </w:trPr>
        <w:tc>
          <w:tcPr>
            <w:tcW w:w="6460" w:type="dxa"/>
            <w:vAlign w:val="bottom"/>
          </w:tcPr>
          <w:p>
            <w:pPr>
              <w:spacing w:after="0"/>
              <w:rPr>
                <w:sz w:val="20"/>
                <w:szCs w:val="20"/>
                <w:color w:val="auto"/>
              </w:rPr>
            </w:pPr>
            <w:r>
              <w:rPr>
                <w:rFonts w:ascii="Times New Roman" w:cs="Times New Roman" w:eastAsia="Times New Roman" w:hAnsi="Times New Roman"/>
                <w:sz w:val="11"/>
                <w:szCs w:val="11"/>
                <w:color w:val="auto"/>
              </w:rPr>
              <w:t>Net revenues:</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6"/>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IoT &amp; Mobile Solutions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62,633</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56,975</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172,129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151,770</w:t>
            </w:r>
          </w:p>
        </w:tc>
      </w:tr>
      <w:tr>
        <w:trPr>
          <w:trHeight w:val="142"/>
        </w:trPr>
        <w:tc>
          <w:tcPr>
            <w:tcW w:w="6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Enterprise SaaS Solutions</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6,534</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9,242</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20,279</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37,737</w:t>
            </w:r>
          </w:p>
        </w:tc>
      </w:tr>
      <w:tr>
        <w:trPr>
          <w:trHeight w:val="135"/>
        </w:trPr>
        <w:tc>
          <w:tcPr>
            <w:tcW w:w="6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net revenues</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69,167</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66,217</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192,408</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189,507</w:t>
            </w:r>
          </w:p>
        </w:tc>
      </w:tr>
      <w:tr>
        <w:trPr>
          <w:trHeight w:val="142"/>
        </w:trPr>
        <w:tc>
          <w:tcPr>
            <w:tcW w:w="6460" w:type="dxa"/>
            <w:vAlign w:val="bottom"/>
          </w:tcPr>
          <w:p>
            <w:pPr>
              <w:spacing w:after="0"/>
              <w:rPr>
                <w:sz w:val="20"/>
                <w:szCs w:val="20"/>
                <w:color w:val="auto"/>
              </w:rPr>
            </w:pPr>
            <w:r>
              <w:rPr>
                <w:rFonts w:ascii="Times New Roman" w:cs="Times New Roman" w:eastAsia="Times New Roman" w:hAnsi="Times New Roman"/>
                <w:sz w:val="11"/>
                <w:szCs w:val="11"/>
                <w:color w:val="auto"/>
              </w:rPr>
              <w:t>Cost of net revenues: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6"/>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IoT &amp; Mobile Solutions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48,209</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43,595</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131,805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116,777</w:t>
            </w:r>
          </w:p>
        </w:tc>
      </w:tr>
      <w:tr>
        <w:trPr>
          <w:trHeight w:val="142"/>
        </w:trPr>
        <w:tc>
          <w:tcPr>
            <w:tcW w:w="6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Enterprise SaaS Solutions</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3,002</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3,679</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9,505</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14,965</w:t>
            </w:r>
          </w:p>
        </w:tc>
      </w:tr>
      <w:tr>
        <w:trPr>
          <w:trHeight w:val="135"/>
        </w:trPr>
        <w:tc>
          <w:tcPr>
            <w:tcW w:w="6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cost of net revenues</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51,211</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47,274</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141,310</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131,742</w:t>
            </w:r>
          </w:p>
        </w:tc>
      </w:tr>
      <w:tr>
        <w:trPr>
          <w:trHeight w:val="142"/>
        </w:trPr>
        <w:tc>
          <w:tcPr>
            <w:tcW w:w="64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Gross profit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17,956</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18,943</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51,098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57,765</w:t>
            </w:r>
          </w:p>
        </w:tc>
      </w:tr>
      <w:tr>
        <w:trPr>
          <w:trHeight w:val="14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costs and expenses: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2"/>
        </w:trPr>
        <w:tc>
          <w:tcPr>
            <w:tcW w:w="64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Research and development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15,417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12,626</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47,597</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38,954</w:t>
            </w:r>
          </w:p>
        </w:tc>
      </w:tr>
      <w:tr>
        <w:trPr>
          <w:trHeight w:val="146"/>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Sales and marketing</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8,295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9,172</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25,789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29,997</w:t>
            </w:r>
          </w:p>
        </w:tc>
      </w:tr>
      <w:tr>
        <w:trPr>
          <w:trHeight w:val="142"/>
        </w:trPr>
        <w:tc>
          <w:tcPr>
            <w:tcW w:w="64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5,720</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6,599</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20,101</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22,657</w:t>
            </w:r>
          </w:p>
        </w:tc>
      </w:tr>
      <w:tr>
        <w:trPr>
          <w:trHeight w:val="146"/>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Amortization of purchased intangible assets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519</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1,649</w:t>
            </w:r>
          </w:p>
        </w:tc>
      </w:tr>
      <w:tr>
        <w:trPr>
          <w:trHeight w:val="142"/>
        </w:trPr>
        <w:tc>
          <w:tcPr>
            <w:tcW w:w="64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Impairment of capitalized software</w:t>
            </w:r>
          </w:p>
        </w:tc>
        <w:tc>
          <w:tcPr>
            <w:tcW w:w="26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1,197</w:t>
            </w:r>
          </w:p>
        </w:tc>
      </w:tr>
      <w:tr>
        <w:trPr>
          <w:trHeight w:val="135"/>
        </w:trPr>
        <w:tc>
          <w:tcPr>
            <w:tcW w:w="646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operating costs and expenses</w:t>
            </w: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29,865</w:t>
            </w: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28,916</w:t>
            </w: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94,806</w:t>
            </w: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94,454</w:t>
            </w:r>
          </w:p>
        </w:tc>
      </w:tr>
      <w:tr>
        <w:trPr>
          <w:trHeight w:val="142"/>
        </w:trPr>
        <w:tc>
          <w:tcPr>
            <w:tcW w:w="6460" w:type="dxa"/>
            <w:vAlign w:val="bottom"/>
          </w:tcPr>
          <w:p>
            <w:pPr>
              <w:spacing w:after="0"/>
              <w:rPr>
                <w:sz w:val="20"/>
                <w:szCs w:val="20"/>
                <w:color w:val="auto"/>
              </w:rPr>
            </w:pPr>
            <w:r>
              <w:rPr>
                <w:rFonts w:ascii="Times New Roman" w:cs="Times New Roman" w:eastAsia="Times New Roman" w:hAnsi="Times New Roman"/>
                <w:sz w:val="11"/>
                <w:szCs w:val="11"/>
                <w:color w:val="auto"/>
              </w:rPr>
              <w:t>Operating loss</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(11,909)</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(9,973)</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(43,708)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(36,689)</w:t>
            </w:r>
          </w:p>
        </w:tc>
      </w:tr>
      <w:tr>
        <w:trPr>
          <w:trHeight w:val="14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(expense) income:</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2"/>
        </w:trPr>
        <w:tc>
          <w:tcPr>
            <w:tcW w:w="64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Gain on sale of Ctrack South Africa</w:t>
            </w:r>
          </w:p>
        </w:tc>
        <w:tc>
          <w:tcPr>
            <w:tcW w:w="26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5,262</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5,262</w:t>
            </w:r>
          </w:p>
        </w:tc>
      </w:tr>
      <w:tr>
        <w:trPr>
          <w:trHeight w:val="146"/>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Loss on debt conversion and extinguishment, net</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w:t>
            </w:r>
          </w:p>
        </w:tc>
      </w:tr>
      <w:tr>
        <w:trPr>
          <w:trHeight w:val="142"/>
        </w:trPr>
        <w:tc>
          <w:tcPr>
            <w:tcW w:w="64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Interest expense, net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(2,034)</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(1,655)</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(6,621)</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(5,178)</w:t>
            </w:r>
          </w:p>
        </w:tc>
      </w:tr>
      <w:tr>
        <w:trPr>
          <w:trHeight w:val="146"/>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(expense) income, net</w:t>
            </w: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(1,758)</w:t>
            </w: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(828)</w:t>
            </w:r>
          </w:p>
        </w:tc>
        <w:tc>
          <w:tcPr>
            <w:tcW w:w="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(3,145)</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w:t>
            </w:r>
          </w:p>
        </w:tc>
      </w:tr>
      <w:tr>
        <w:trPr>
          <w:trHeight w:val="131"/>
        </w:trPr>
        <w:tc>
          <w:tcPr>
            <w:tcW w:w="64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1"/>
                <w:szCs w:val="11"/>
                <w:color w:val="auto"/>
              </w:rPr>
              <w:t>Total other (expense) income</w:t>
            </w: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(3,792)</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2,779</w:t>
            </w:r>
          </w:p>
        </w:tc>
        <w:tc>
          <w:tcPr>
            <w:tcW w:w="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(10,216)</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w:t>
            </w:r>
          </w:p>
        </w:tc>
      </w:tr>
      <w:tr>
        <w:trPr>
          <w:trHeight w:val="135"/>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Loss before income taxes</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(15,701)</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(7,194)</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(53,924)</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(36,746)</w:t>
            </w:r>
          </w:p>
        </w:tc>
      </w:tr>
      <w:tr>
        <w:trPr>
          <w:trHeight w:val="142"/>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Income tax provision (benefit)</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(582)</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445</w:t>
            </w:r>
          </w:p>
        </w:tc>
      </w:tr>
      <w:tr>
        <w:trPr>
          <w:trHeight w:val="135"/>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(15,743)</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(7,190)</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(53,342)</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(37,191)</w:t>
            </w:r>
          </w:p>
        </w:tc>
      </w:tr>
      <w:tr>
        <w:trPr>
          <w:trHeight w:val="142"/>
        </w:trPr>
        <w:tc>
          <w:tcPr>
            <w:tcW w:w="6460" w:type="dxa"/>
            <w:vAlign w:val="bottom"/>
          </w:tcPr>
          <w:p>
            <w:pPr>
              <w:spacing w:after="0"/>
              <w:rPr>
                <w:sz w:val="20"/>
                <w:szCs w:val="20"/>
                <w:color w:val="auto"/>
              </w:rPr>
            </w:pPr>
            <w:r>
              <w:rPr>
                <w:rFonts w:ascii="Times New Roman" w:cs="Times New Roman" w:eastAsia="Times New Roman" w:hAnsi="Times New Roman"/>
                <w:sz w:val="11"/>
                <w:szCs w:val="11"/>
                <w:color w:val="auto"/>
              </w:rPr>
              <w:t>Less: Net income attributable to noncontrolling interests</w:t>
            </w:r>
          </w:p>
        </w:tc>
        <w:tc>
          <w:tcPr>
            <w:tcW w:w="26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w:t>
            </w:r>
          </w:p>
        </w:tc>
      </w:tr>
      <w:tr>
        <w:trPr>
          <w:trHeight w:val="135"/>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 attributable to Inseego Corp.</w:t>
            </w: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(15,743)</w:t>
            </w: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(7,190)</w:t>
            </w: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(53,342)</w:t>
            </w: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(37,405)</w:t>
            </w:r>
          </w:p>
        </w:tc>
      </w:tr>
      <w:tr>
        <w:trPr>
          <w:trHeight w:val="142"/>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Series E preferred stock dividends</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(691)</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(1,843)</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(3,596)</w:t>
            </w:r>
          </w:p>
        </w:tc>
      </w:tr>
      <w:tr>
        <w:trPr>
          <w:trHeight w:val="155"/>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 attributable to common stockholders</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(16,434)</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(9,033)</w:t>
            </w:r>
          </w:p>
        </w:tc>
        <w:tc>
          <w:tcPr>
            <w:tcW w:w="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(55,371)</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(41,001)</w:t>
            </w:r>
          </w:p>
        </w:tc>
      </w:tr>
      <w:tr>
        <w:trPr>
          <w:trHeight w:val="120"/>
        </w:trPr>
        <w:tc>
          <w:tcPr>
            <w:tcW w:w="646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Per share data:</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4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 per common share:</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0"/>
        </w:trPr>
        <w:tc>
          <w:tcPr>
            <w:tcW w:w="6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Basic and diluted</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(0.09)</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(0.52)</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(0.40)</w:t>
            </w:r>
          </w:p>
        </w:tc>
      </w:tr>
      <w:tr>
        <w:trPr>
          <w:trHeight w:val="124"/>
        </w:trPr>
        <w:tc>
          <w:tcPr>
            <w:tcW w:w="6460" w:type="dxa"/>
            <w:vAlign w:val="bottom"/>
            <w:tcBorders>
              <w:bottom w:val="single" w:sz="8" w:color="CCEEFF"/>
            </w:tcBorders>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Weighted-average shares used in computation of net loss per common share:</w:t>
            </w:r>
          </w:p>
        </w:tc>
        <w:tc>
          <w:tcPr>
            <w:tcW w:w="2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r>
      <w:tr>
        <w:trPr>
          <w:trHeight w:val="144"/>
        </w:trPr>
        <w:tc>
          <w:tcPr>
            <w:tcW w:w="64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 and diluted</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107,747,468</w:t>
            </w: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103,430,083</w:t>
            </w:r>
          </w:p>
        </w:tc>
        <w:tc>
          <w:tcPr>
            <w:tcW w:w="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106,977,201</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102,586,121</w:t>
            </w:r>
          </w:p>
        </w:tc>
      </w:tr>
      <w:tr>
        <w:trPr>
          <w:trHeight w:val="20"/>
        </w:trPr>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accompanying notes to condensed consolidated financial statements.</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0" w:right="29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INSEEGO CORP.</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COMPREHENSIVE LOSS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720" w:type="dxa"/>
            <w:vAlign w:val="bottom"/>
          </w:tcPr>
          <w:p>
            <w:pPr>
              <w:spacing w:after="0"/>
              <w:rPr>
                <w:sz w:val="10"/>
                <w:szCs w:val="10"/>
                <w:color w:val="auto"/>
              </w:rPr>
            </w:pPr>
          </w:p>
        </w:tc>
      </w:tr>
      <w:tr>
        <w:trPr>
          <w:trHeight w:val="130"/>
        </w:trPr>
        <w:tc>
          <w:tcPr>
            <w:tcW w:w="64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20" w:type="dxa"/>
            <w:vAlign w:val="bottom"/>
            <w:tcBorders>
              <w:bottom w:val="single" w:sz="8" w:color="auto"/>
            </w:tcBorders>
          </w:tcPr>
          <w:p>
            <w:pPr>
              <w:spacing w:after="0"/>
              <w:rPr>
                <w:sz w:val="11"/>
                <w:szCs w:val="11"/>
                <w:color w:val="auto"/>
              </w:rPr>
            </w:pPr>
          </w:p>
        </w:tc>
      </w:tr>
      <w:tr>
        <w:trPr>
          <w:trHeight w:val="124"/>
        </w:trPr>
        <w:tc>
          <w:tcPr>
            <w:tcW w:w="64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8"/>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w:t>
            </w:r>
          </w:p>
        </w:tc>
        <w:tc>
          <w:tcPr>
            <w:tcW w:w="70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(15,743)</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(7,190)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(53,342)</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(37,191)</w:t>
            </w:r>
          </w:p>
        </w:tc>
      </w:tr>
      <w:tr>
        <w:trPr>
          <w:trHeight w:val="142"/>
        </w:trPr>
        <w:tc>
          <w:tcPr>
            <w:tcW w:w="6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(2,571)</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(1,878)</w:t>
            </w:r>
          </w:p>
        </w:tc>
      </w:tr>
      <w:tr>
        <w:trPr>
          <w:trHeight w:val="146"/>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Release of cumulative foreign currency translation adjustments as a result of the sale of Ctrack South Africa</w:t>
            </w:r>
          </w:p>
        </w:tc>
        <w:tc>
          <w:tcPr>
            <w:tcW w:w="7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1,608</w:t>
            </w:r>
          </w:p>
        </w:tc>
      </w:tr>
      <w:tr>
        <w:trPr>
          <w:trHeight w:val="131"/>
        </w:trPr>
        <w:tc>
          <w:tcPr>
            <w:tcW w:w="6480" w:type="dxa"/>
            <w:vAlign w:val="bottom"/>
          </w:tcPr>
          <w:p>
            <w:pPr>
              <w:spacing w:after="0"/>
              <w:rPr>
                <w:sz w:val="20"/>
                <w:szCs w:val="20"/>
                <w:color w:val="auto"/>
              </w:rPr>
            </w:pPr>
            <w:r>
              <w:rPr>
                <w:rFonts w:ascii="Times New Roman" w:cs="Times New Roman" w:eastAsia="Times New Roman" w:hAnsi="Times New Roman"/>
                <w:sz w:val="11"/>
                <w:szCs w:val="11"/>
                <w:color w:val="auto"/>
              </w:rPr>
              <w:t>Total comprehensive loss</w:t>
            </w:r>
          </w:p>
        </w:tc>
        <w:tc>
          <w:tcPr>
            <w:tcW w:w="700" w:type="dxa"/>
            <w:vAlign w:val="bottom"/>
            <w:tcBorders>
              <w:top w:val="single" w:sz="8" w:color="auto"/>
            </w:tcBorders>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(14,596)</w:t>
            </w:r>
          </w:p>
        </w:tc>
        <w:tc>
          <w:tcPr>
            <w:tcW w:w="80" w:type="dxa"/>
            <w:vAlign w:val="bottom"/>
          </w:tcPr>
          <w:p>
            <w:pPr>
              <w:spacing w:after="0"/>
              <w:rPr>
                <w:sz w:val="11"/>
                <w:szCs w:val="11"/>
                <w:color w:val="auto"/>
              </w:rPr>
            </w:pPr>
          </w:p>
        </w:tc>
        <w:tc>
          <w:tcPr>
            <w:tcW w:w="74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(8,153)</w:t>
            </w:r>
          </w:p>
        </w:tc>
        <w:tc>
          <w:tcPr>
            <w:tcW w:w="80" w:type="dxa"/>
            <w:vAlign w:val="bottom"/>
          </w:tcPr>
          <w:p>
            <w:pPr>
              <w:spacing w:after="0"/>
              <w:rPr>
                <w:sz w:val="11"/>
                <w:szCs w:val="11"/>
                <w:color w:val="auto"/>
              </w:rPr>
            </w:pPr>
          </w:p>
        </w:tc>
        <w:tc>
          <w:tcPr>
            <w:tcW w:w="720" w:type="dxa"/>
            <w:vAlign w:val="bottom"/>
            <w:tcBorders>
              <w:top w:val="single" w:sz="8" w:color="auto"/>
            </w:tcBorders>
          </w:tcPr>
          <w:p>
            <w:pPr>
              <w:jc w:val="right"/>
              <w:ind w:right="588"/>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(48,761)</w:t>
            </w:r>
          </w:p>
        </w:tc>
        <w:tc>
          <w:tcPr>
            <w:tcW w:w="100" w:type="dxa"/>
            <w:vAlign w:val="bottom"/>
          </w:tcPr>
          <w:p>
            <w:pPr>
              <w:spacing w:after="0"/>
              <w:rPr>
                <w:sz w:val="11"/>
                <w:szCs w:val="11"/>
                <w:color w:val="auto"/>
              </w:rPr>
            </w:pPr>
          </w:p>
        </w:tc>
        <w:tc>
          <w:tcPr>
            <w:tcW w:w="420" w:type="dxa"/>
            <w:vAlign w:val="bottom"/>
            <w:tcBorders>
              <w:top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(37,461)</w:t>
            </w:r>
          </w:p>
        </w:tc>
      </w:tr>
      <w:tr>
        <w:trPr>
          <w:trHeight w:val="144"/>
        </w:trPr>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Comprehensive income attributable to noncontrolling interests</w:t>
            </w:r>
          </w:p>
        </w:tc>
        <w:tc>
          <w:tcPr>
            <w:tcW w:w="7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w:t>
            </w:r>
          </w:p>
        </w:tc>
      </w:tr>
      <w:tr>
        <w:trPr>
          <w:trHeight w:val="135"/>
        </w:trPr>
        <w:tc>
          <w:tcPr>
            <w:tcW w:w="6480" w:type="dxa"/>
            <w:vAlign w:val="bottom"/>
          </w:tcPr>
          <w:p>
            <w:pPr>
              <w:spacing w:after="0"/>
              <w:rPr>
                <w:sz w:val="20"/>
                <w:szCs w:val="20"/>
                <w:color w:val="auto"/>
              </w:rPr>
            </w:pPr>
            <w:r>
              <w:rPr>
                <w:rFonts w:ascii="Times New Roman" w:cs="Times New Roman" w:eastAsia="Times New Roman" w:hAnsi="Times New Roman"/>
                <w:sz w:val="11"/>
                <w:szCs w:val="11"/>
                <w:color w:val="auto"/>
              </w:rPr>
              <w:t>Comprehensive loss attributable to Inseego Corp.</w:t>
            </w:r>
          </w:p>
        </w:tc>
        <w:tc>
          <w:tcPr>
            <w:tcW w:w="70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(14,596)</w:t>
            </w:r>
          </w:p>
        </w:tc>
        <w:tc>
          <w:tcPr>
            <w:tcW w:w="8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(8,153)</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(48,761)</w:t>
            </w:r>
          </w:p>
        </w:tc>
        <w:tc>
          <w:tcPr>
            <w:tcW w:w="10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(37,675)</w:t>
            </w:r>
          </w:p>
        </w:tc>
      </w:tr>
      <w:tr>
        <w:trPr>
          <w:trHeight w:val="20"/>
        </w:trPr>
        <w:tc>
          <w:tcPr>
            <w:tcW w:w="6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INSEEGO CORP.</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STOCKHOLDERS’ DEFICIT</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760" w:type="dxa"/>
            <w:vAlign w:val="bottom"/>
          </w:tcPr>
          <w:p>
            <w:pPr>
              <w:spacing w:after="0"/>
              <w:rPr>
                <w:sz w:val="7"/>
                <w:szCs w:val="7"/>
                <w:color w:val="auto"/>
              </w:rPr>
            </w:pPr>
          </w:p>
        </w:tc>
        <w:tc>
          <w:tcPr>
            <w:tcW w:w="1240" w:type="dxa"/>
            <w:vAlign w:val="bottom"/>
            <w:gridSpan w:val="4"/>
            <w:vMerge w:val="restart"/>
          </w:tcPr>
          <w:p>
            <w:pPr>
              <w:jc w:val="right"/>
              <w:ind w:right="213"/>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gridSpan w:val="4"/>
            <w:vMerge w:val="restart"/>
          </w:tcPr>
          <w:p>
            <w:pPr>
              <w:jc w:val="right"/>
              <w:ind w:right="392"/>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0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jc w:val="center"/>
              <w:ind w:right="53"/>
              <w:spacing w:after="0"/>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66"/>
        </w:trPr>
        <w:tc>
          <w:tcPr>
            <w:tcW w:w="2760" w:type="dxa"/>
            <w:vAlign w:val="bottom"/>
          </w:tcPr>
          <w:p>
            <w:pPr>
              <w:spacing w:after="0"/>
              <w:rPr>
                <w:sz w:val="5"/>
                <w:szCs w:val="5"/>
                <w:color w:val="auto"/>
              </w:rPr>
            </w:pPr>
          </w:p>
        </w:tc>
        <w:tc>
          <w:tcPr>
            <w:tcW w:w="1240" w:type="dxa"/>
            <w:vAlign w:val="bottom"/>
            <w:tcBorders>
              <w:bottom w:val="single" w:sz="8" w:color="auto"/>
            </w:tcBorders>
            <w:gridSpan w:val="4"/>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Borders>
              <w:bottom w:val="single" w:sz="8" w:color="auto"/>
            </w:tcBorders>
            <w:gridSpan w:val="4"/>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Additional</w:t>
            </w: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gridSpan w:val="2"/>
          </w:tcPr>
          <w:p>
            <w:pPr>
              <w:jc w:val="center"/>
              <w:ind w:right="280"/>
              <w:spacing w:after="0" w:line="61" w:lineRule="exact"/>
              <w:rPr>
                <w:sz w:val="20"/>
                <w:szCs w:val="20"/>
                <w:color w:val="auto"/>
              </w:rPr>
            </w:pPr>
            <w:r>
              <w:rPr>
                <w:rFonts w:ascii="Times New Roman" w:cs="Times New Roman" w:eastAsia="Times New Roman" w:hAnsi="Times New Roman"/>
                <w:sz w:val="7"/>
                <w:szCs w:val="7"/>
                <w:b w:val="1"/>
                <w:bCs w:val="1"/>
                <w:color w:val="auto"/>
              </w:rPr>
              <w:t>Other</w:t>
            </w: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jc w:val="center"/>
              <w:ind w:right="53"/>
              <w:spacing w:after="0" w:line="61" w:lineRule="exact"/>
              <w:rPr>
                <w:sz w:val="20"/>
                <w:szCs w:val="20"/>
                <w:color w:val="auto"/>
              </w:rPr>
            </w:pPr>
            <w:r>
              <w:rPr>
                <w:rFonts w:ascii="Times New Roman" w:cs="Times New Roman" w:eastAsia="Times New Roman" w:hAnsi="Times New Roman"/>
                <w:sz w:val="7"/>
                <w:szCs w:val="7"/>
                <w:b w:val="1"/>
                <w:bCs w:val="1"/>
                <w:color w:val="auto"/>
              </w:rPr>
              <w:t>Stockholders’ Equity</w:t>
            </w:r>
          </w:p>
        </w:tc>
        <w:tc>
          <w:tcPr>
            <w:tcW w:w="0" w:type="dxa"/>
            <w:vAlign w:val="bottom"/>
          </w:tcPr>
          <w:p>
            <w:pPr>
              <w:spacing w:after="0"/>
              <w:rPr>
                <w:sz w:val="1"/>
                <w:szCs w:val="1"/>
                <w:color w:val="auto"/>
              </w:rPr>
            </w:pPr>
          </w:p>
        </w:tc>
      </w:tr>
      <w:tr>
        <w:trPr>
          <w:trHeight w:val="115"/>
        </w:trPr>
        <w:tc>
          <w:tcPr>
            <w:tcW w:w="2760" w:type="dxa"/>
            <w:vAlign w:val="bottom"/>
          </w:tcPr>
          <w:p>
            <w:pPr>
              <w:spacing w:after="0"/>
              <w:rPr>
                <w:sz w:val="10"/>
                <w:szCs w:val="10"/>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8"/>
                <w:szCs w:val="8"/>
                <w:b w:val="1"/>
                <w:bCs w:val="1"/>
                <w:color w:val="auto"/>
              </w:rPr>
              <w:t>Shares</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Amount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8"/>
                <w:szCs w:val="8"/>
                <w:b w:val="1"/>
                <w:bCs w:val="1"/>
                <w:color w:val="auto"/>
              </w:rPr>
              <w:t>Shares</w:t>
            </w:r>
          </w:p>
        </w:tc>
        <w:tc>
          <w:tcPr>
            <w:tcW w:w="12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0" w:type="dxa"/>
            <w:vAlign w:val="bottom"/>
          </w:tcPr>
          <w:p>
            <w:pPr>
              <w:spacing w:after="0"/>
              <w:rPr>
                <w:sz w:val="10"/>
                <w:szCs w:val="10"/>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Paid-in Capital</w:t>
            </w:r>
          </w:p>
        </w:tc>
        <w:tc>
          <w:tcPr>
            <w:tcW w:w="100" w:type="dxa"/>
            <w:vAlign w:val="bottom"/>
          </w:tcPr>
          <w:p>
            <w:pPr>
              <w:spacing w:after="0"/>
              <w:rPr>
                <w:sz w:val="10"/>
                <w:szCs w:val="1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Accumulated Deficit</w:t>
            </w: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Comprehensive Income (Loss)</w:t>
            </w:r>
          </w:p>
        </w:tc>
        <w:tc>
          <w:tcPr>
            <w:tcW w:w="100" w:type="dxa"/>
            <w:vAlign w:val="bottom"/>
          </w:tcPr>
          <w:p>
            <w:pPr>
              <w:spacing w:after="0"/>
              <w:rPr>
                <w:sz w:val="10"/>
                <w:szCs w:val="1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Noncontrolling Interests</w:t>
            </w:r>
          </w:p>
        </w:tc>
        <w:tc>
          <w:tcPr>
            <w:tcW w:w="100" w:type="dxa"/>
            <w:vAlign w:val="bottom"/>
          </w:tcPr>
          <w:p>
            <w:pPr>
              <w:spacing w:after="0"/>
              <w:rPr>
                <w:sz w:val="10"/>
                <w:szCs w:val="10"/>
                <w:color w:val="auto"/>
              </w:rPr>
            </w:pPr>
          </w:p>
        </w:tc>
        <w:tc>
          <w:tcPr>
            <w:tcW w:w="940" w:type="dxa"/>
            <w:vAlign w:val="bottom"/>
          </w:tcPr>
          <w:p>
            <w:pPr>
              <w:jc w:val="center"/>
              <w:ind w:right="53"/>
              <w:spacing w:after="0"/>
              <w:rPr>
                <w:sz w:val="20"/>
                <w:szCs w:val="20"/>
                <w:color w:val="auto"/>
              </w:rPr>
            </w:pPr>
            <w:r>
              <w:rPr>
                <w:rFonts w:ascii="Times New Roman" w:cs="Times New Roman" w:eastAsia="Times New Roman" w:hAnsi="Times New Roman"/>
                <w:sz w:val="8"/>
                <w:szCs w:val="8"/>
                <w:b w:val="1"/>
                <w:bCs w:val="1"/>
                <w:color w:val="auto"/>
                <w:w w:val="99"/>
              </w:rPr>
              <w:t>(Deficit)</w:t>
            </w:r>
          </w:p>
        </w:tc>
        <w:tc>
          <w:tcPr>
            <w:tcW w:w="0" w:type="dxa"/>
            <w:vAlign w:val="bottom"/>
          </w:tcPr>
          <w:p>
            <w:pPr>
              <w:spacing w:after="0"/>
              <w:rPr>
                <w:sz w:val="1"/>
                <w:szCs w:val="1"/>
                <w:color w:val="auto"/>
              </w:rPr>
            </w:pPr>
          </w:p>
        </w:tc>
      </w:tr>
      <w:tr>
        <w:trPr>
          <w:trHeight w:val="130"/>
        </w:trPr>
        <w:tc>
          <w:tcPr>
            <w:tcW w:w="276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Balance, June 30, 2021</w:t>
            </w: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103,109</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761,412</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(764,150)</w:t>
            </w: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(6,279)</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(8,906)</w:t>
            </w:r>
          </w:p>
        </w:tc>
        <w:tc>
          <w:tcPr>
            <w:tcW w:w="0" w:type="dxa"/>
            <w:vAlign w:val="bottom"/>
          </w:tcPr>
          <w:p>
            <w:pPr>
              <w:spacing w:after="0"/>
              <w:rPr>
                <w:sz w:val="1"/>
                <w:szCs w:val="1"/>
                <w:color w:val="auto"/>
              </w:rPr>
            </w:pPr>
          </w:p>
        </w:tc>
      </w:tr>
      <w:tr>
        <w:trPr>
          <w:trHeight w:val="129"/>
        </w:trPr>
        <w:tc>
          <w:tcPr>
            <w:tcW w:w="3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loss</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spacing w:after="0"/>
              <w:rPr>
                <w:sz w:val="11"/>
                <w:szCs w:val="1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(7,190)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(7,190)</w:t>
            </w:r>
          </w:p>
        </w:tc>
        <w:tc>
          <w:tcPr>
            <w:tcW w:w="0" w:type="dxa"/>
            <w:vAlign w:val="bottom"/>
          </w:tcPr>
          <w:p>
            <w:pPr>
              <w:spacing w:after="0"/>
              <w:rPr>
                <w:sz w:val="1"/>
                <w:szCs w:val="1"/>
                <w:color w:val="auto"/>
              </w:rPr>
            </w:pPr>
          </w:p>
        </w:tc>
      </w:tr>
      <w:tr>
        <w:trPr>
          <w:trHeight w:val="141"/>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Foreign currency translation adjustment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(2,571)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(2,571)</w:t>
            </w:r>
          </w:p>
        </w:tc>
        <w:tc>
          <w:tcPr>
            <w:tcW w:w="0" w:type="dxa"/>
            <w:vAlign w:val="bottom"/>
          </w:tcPr>
          <w:p>
            <w:pPr>
              <w:spacing w:after="0"/>
              <w:rPr>
                <w:sz w:val="1"/>
                <w:szCs w:val="1"/>
                <w:color w:val="auto"/>
              </w:rPr>
            </w:pPr>
          </w:p>
        </w:tc>
      </w:tr>
      <w:tr>
        <w:trPr>
          <w:trHeight w:val="90"/>
        </w:trPr>
        <w:tc>
          <w:tcPr>
            <w:tcW w:w="3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Exercise of stock options, vesting of restricted stock units and stock</w:t>
            </w: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spacing w:after="0"/>
              <w:rPr>
                <w:sz w:val="7"/>
                <w:szCs w:val="7"/>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316</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693</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7"/>
                <w:szCs w:val="7"/>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693</w:t>
            </w:r>
          </w:p>
        </w:tc>
        <w:tc>
          <w:tcPr>
            <w:tcW w:w="0" w:type="dxa"/>
            <w:vAlign w:val="bottom"/>
          </w:tcPr>
          <w:p>
            <w:pPr>
              <w:spacing w:after="0"/>
              <w:rPr>
                <w:sz w:val="1"/>
                <w:szCs w:val="1"/>
                <w:color w:val="auto"/>
              </w:rPr>
            </w:pPr>
          </w:p>
        </w:tc>
      </w:tr>
      <w:tr>
        <w:trPr>
          <w:trHeight w:val="129"/>
        </w:trPr>
        <w:tc>
          <w:tcPr>
            <w:tcW w:w="3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issued under employee stock purchase plan</w:t>
            </w:r>
          </w:p>
        </w:tc>
        <w:tc>
          <w:tcPr>
            <w:tcW w:w="26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Taxes withheld on net settled vesting of restricted stock units</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(280)</w:t>
            </w:r>
          </w:p>
        </w:tc>
        <w:tc>
          <w:tcPr>
            <w:tcW w:w="0" w:type="dxa"/>
            <w:vAlign w:val="bottom"/>
          </w:tcPr>
          <w:p>
            <w:pPr>
              <w:spacing w:after="0"/>
              <w:rPr>
                <w:sz w:val="1"/>
                <w:szCs w:val="1"/>
                <w:color w:val="auto"/>
              </w:rPr>
            </w:pPr>
          </w:p>
        </w:tc>
      </w:tr>
      <w:tr>
        <w:trPr>
          <w:trHeight w:val="90"/>
        </w:trPr>
        <w:tc>
          <w:tcPr>
            <w:tcW w:w="3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Release of cumulative foreign currency translation adjustments as a</w:t>
            </w: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spacing w:after="0"/>
              <w:rPr>
                <w:sz w:val="7"/>
                <w:szCs w:val="7"/>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7"/>
                <w:szCs w:val="7"/>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(1,748)</w:t>
            </w: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1,608</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(140)</w:t>
            </w:r>
          </w:p>
        </w:tc>
        <w:tc>
          <w:tcPr>
            <w:tcW w:w="0" w:type="dxa"/>
            <w:vAlign w:val="bottom"/>
          </w:tcPr>
          <w:p>
            <w:pPr>
              <w:spacing w:after="0"/>
              <w:rPr>
                <w:sz w:val="1"/>
                <w:szCs w:val="1"/>
                <w:color w:val="auto"/>
              </w:rPr>
            </w:pPr>
          </w:p>
        </w:tc>
      </w:tr>
      <w:tr>
        <w:trPr>
          <w:trHeight w:val="129"/>
        </w:trPr>
        <w:tc>
          <w:tcPr>
            <w:tcW w:w="3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result of sale of Ctrack South Africa</w:t>
            </w:r>
          </w:p>
        </w:tc>
        <w:tc>
          <w:tcPr>
            <w:tcW w:w="26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Share-based compensation</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3,062</w:t>
            </w:r>
          </w:p>
        </w:tc>
        <w:tc>
          <w:tcPr>
            <w:tcW w:w="0" w:type="dxa"/>
            <w:vAlign w:val="bottom"/>
          </w:tcPr>
          <w:p>
            <w:pPr>
              <w:spacing w:after="0"/>
              <w:rPr>
                <w:sz w:val="1"/>
                <w:szCs w:val="1"/>
                <w:color w:val="auto"/>
              </w:rPr>
            </w:pPr>
          </w:p>
        </w:tc>
      </w:tr>
      <w:tr>
        <w:trPr>
          <w:trHeight w:val="129"/>
        </w:trPr>
        <w:tc>
          <w:tcPr>
            <w:tcW w:w="3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Series E preferred stock dividends</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spacing w:after="0"/>
              <w:rPr>
                <w:sz w:val="11"/>
                <w:szCs w:val="1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(739)</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Series E preferred stock exchange</w:t>
            </w:r>
          </w:p>
        </w:tc>
        <w:tc>
          <w:tcPr>
            <w:tcW w:w="4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(10)</w:t>
            </w:r>
          </w:p>
        </w:tc>
        <w:tc>
          <w:tcPr>
            <w:tcW w:w="6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1,525</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1,102</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(1,104)</w:t>
            </w: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3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Balance, September 30, 2021</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w:t>
            </w:r>
          </w:p>
        </w:tc>
        <w:tc>
          <w:tcPr>
            <w:tcW w:w="60" w:type="dxa"/>
            <w:vAlign w:val="bottom"/>
          </w:tcPr>
          <w:p>
            <w:pPr>
              <w:spacing w:after="0"/>
              <w:rPr>
                <w:sz w:val="10"/>
                <w:szCs w:val="10"/>
                <w:color w:val="auto"/>
              </w:rPr>
            </w:pPr>
          </w:p>
        </w:tc>
        <w:tc>
          <w:tcPr>
            <w:tcW w:w="520" w:type="dxa"/>
            <w:vAlign w:val="bottom"/>
          </w:tcPr>
          <w:p>
            <w:pPr>
              <w:jc w:val="right"/>
              <w:ind w:right="413"/>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104,950</w:t>
            </w:r>
          </w:p>
        </w:tc>
        <w:tc>
          <w:tcPr>
            <w:tcW w:w="100" w:type="dxa"/>
            <w:vAlign w:val="bottom"/>
          </w:tcPr>
          <w:p>
            <w:pPr>
              <w:spacing w:after="0"/>
              <w:rPr>
                <w:sz w:val="10"/>
                <w:szCs w:val="10"/>
                <w:color w:val="auto"/>
              </w:rPr>
            </w:pP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w:t>
            </w:r>
          </w:p>
        </w:tc>
        <w:tc>
          <w:tcPr>
            <w:tcW w:w="1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766,736</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(774,931)</w:t>
            </w:r>
          </w:p>
        </w:tc>
        <w:tc>
          <w:tcPr>
            <w:tcW w:w="60" w:type="dxa"/>
            <w:vAlign w:val="bottom"/>
          </w:tcPr>
          <w:p>
            <w:pPr>
              <w:spacing w:after="0"/>
              <w:rPr>
                <w:sz w:val="10"/>
                <w:szCs w:val="10"/>
                <w:color w:val="auto"/>
              </w:rPr>
            </w:pPr>
          </w:p>
        </w:tc>
        <w:tc>
          <w:tcPr>
            <w:tcW w:w="200" w:type="dxa"/>
            <w:vAlign w:val="bottom"/>
          </w:tcPr>
          <w:p>
            <w:pPr>
              <w:jc w:val="right"/>
              <w:ind w:right="94"/>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(7,242)</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(15,332)</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June 30, 2022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0"/>
                <w:szCs w:val="10"/>
                <w:color w:val="auto"/>
                <w:w w:val="79"/>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107,645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787,283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(825,984)</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(5,097)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(43,690)</w:t>
            </w:r>
          </w:p>
        </w:tc>
        <w:tc>
          <w:tcPr>
            <w:tcW w:w="0" w:type="dxa"/>
            <w:vAlign w:val="bottom"/>
          </w:tcPr>
          <w:p>
            <w:pPr>
              <w:spacing w:after="0"/>
              <w:rPr>
                <w:sz w:val="1"/>
                <w:szCs w:val="1"/>
                <w:color w:val="auto"/>
              </w:rPr>
            </w:pPr>
          </w:p>
        </w:tc>
      </w:tr>
      <w:tr>
        <w:trPr>
          <w:trHeight w:val="129"/>
        </w:trPr>
        <w:tc>
          <w:tcPr>
            <w:tcW w:w="3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loss</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spacing w:after="0"/>
              <w:rPr>
                <w:sz w:val="11"/>
                <w:szCs w:val="1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(15,743)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(15,743)</w:t>
            </w:r>
          </w:p>
        </w:tc>
        <w:tc>
          <w:tcPr>
            <w:tcW w:w="0" w:type="dxa"/>
            <w:vAlign w:val="bottom"/>
          </w:tcPr>
          <w:p>
            <w:pPr>
              <w:spacing w:after="0"/>
              <w:rPr>
                <w:sz w:val="1"/>
                <w:szCs w:val="1"/>
                <w:color w:val="auto"/>
              </w:rPr>
            </w:pPr>
          </w:p>
        </w:tc>
      </w:tr>
      <w:tr>
        <w:trPr>
          <w:trHeight w:val="141"/>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Foreign currency translation adjustment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1,147</w:t>
            </w:r>
          </w:p>
        </w:tc>
        <w:tc>
          <w:tcPr>
            <w:tcW w:w="0" w:type="dxa"/>
            <w:vAlign w:val="bottom"/>
          </w:tcPr>
          <w:p>
            <w:pPr>
              <w:spacing w:after="0"/>
              <w:rPr>
                <w:sz w:val="1"/>
                <w:szCs w:val="1"/>
                <w:color w:val="auto"/>
              </w:rPr>
            </w:pPr>
          </w:p>
        </w:tc>
      </w:tr>
      <w:tr>
        <w:trPr>
          <w:trHeight w:val="90"/>
        </w:trPr>
        <w:tc>
          <w:tcPr>
            <w:tcW w:w="3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Exercise of stock options, vesting of restricted stock units and stock</w:t>
            </w: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spacing w:after="0"/>
              <w:rPr>
                <w:sz w:val="7"/>
                <w:szCs w:val="7"/>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201</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101</w:t>
            </w:r>
          </w:p>
        </w:tc>
        <w:tc>
          <w:tcPr>
            <w:tcW w:w="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7"/>
                <w:szCs w:val="7"/>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101</w:t>
            </w:r>
          </w:p>
        </w:tc>
        <w:tc>
          <w:tcPr>
            <w:tcW w:w="0" w:type="dxa"/>
            <w:vAlign w:val="bottom"/>
          </w:tcPr>
          <w:p>
            <w:pPr>
              <w:spacing w:after="0"/>
              <w:rPr>
                <w:sz w:val="1"/>
                <w:szCs w:val="1"/>
                <w:color w:val="auto"/>
              </w:rPr>
            </w:pPr>
          </w:p>
        </w:tc>
      </w:tr>
      <w:tr>
        <w:trPr>
          <w:trHeight w:val="129"/>
        </w:trPr>
        <w:tc>
          <w:tcPr>
            <w:tcW w:w="3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issued under employee stock purchase plan</w:t>
            </w:r>
          </w:p>
        </w:tc>
        <w:tc>
          <w:tcPr>
            <w:tcW w:w="26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Taxes withheld on net settled vesting of restricted stock units</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0" w:type="dxa"/>
            <w:vAlign w:val="bottom"/>
          </w:tcPr>
          <w:p>
            <w:pPr>
              <w:spacing w:after="0"/>
              <w:rPr>
                <w:sz w:val="1"/>
                <w:szCs w:val="1"/>
                <w:color w:val="auto"/>
              </w:rPr>
            </w:pPr>
          </w:p>
        </w:tc>
      </w:tr>
      <w:tr>
        <w:trPr>
          <w:trHeight w:val="129"/>
        </w:trPr>
        <w:tc>
          <w:tcPr>
            <w:tcW w:w="3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Share-based compensation</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spacing w:after="0"/>
              <w:rPr>
                <w:sz w:val="11"/>
                <w:szCs w:val="1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2,406</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gridSpan w:val="2"/>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2,406</w:t>
            </w:r>
          </w:p>
        </w:tc>
        <w:tc>
          <w:tcPr>
            <w:tcW w:w="0" w:type="dxa"/>
            <w:vAlign w:val="bottom"/>
          </w:tcPr>
          <w:p>
            <w:pPr>
              <w:spacing w:after="0"/>
              <w:rPr>
                <w:sz w:val="1"/>
                <w:szCs w:val="1"/>
                <w:color w:val="auto"/>
              </w:rPr>
            </w:pPr>
          </w:p>
        </w:tc>
      </w:tr>
      <w:tr>
        <w:trPr>
          <w:trHeight w:val="14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Series E preferred stock dividends</w:t>
            </w:r>
          </w:p>
        </w:tc>
        <w:tc>
          <w:tcPr>
            <w:tcW w:w="4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691</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(691)</w:t>
            </w: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3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Balance, September 30, 2022</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w:t>
            </w:r>
          </w:p>
        </w:tc>
        <w:tc>
          <w:tcPr>
            <w:tcW w:w="60" w:type="dxa"/>
            <w:vAlign w:val="bottom"/>
          </w:tcPr>
          <w:p>
            <w:pPr>
              <w:spacing w:after="0"/>
              <w:rPr>
                <w:sz w:val="10"/>
                <w:szCs w:val="10"/>
                <w:color w:val="auto"/>
              </w:rPr>
            </w:pPr>
          </w:p>
        </w:tc>
        <w:tc>
          <w:tcPr>
            <w:tcW w:w="520" w:type="dxa"/>
            <w:vAlign w:val="bottom"/>
          </w:tcPr>
          <w:p>
            <w:pPr>
              <w:jc w:val="right"/>
              <w:ind w:right="413"/>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107,846</w:t>
            </w:r>
          </w:p>
        </w:tc>
        <w:tc>
          <w:tcPr>
            <w:tcW w:w="100" w:type="dxa"/>
            <w:vAlign w:val="bottom"/>
          </w:tcPr>
          <w:p>
            <w:pPr>
              <w:spacing w:after="0"/>
              <w:rPr>
                <w:sz w:val="10"/>
                <w:szCs w:val="10"/>
                <w:color w:val="auto"/>
              </w:rPr>
            </w:pP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w:t>
            </w:r>
          </w:p>
        </w:tc>
        <w:tc>
          <w:tcPr>
            <w:tcW w:w="1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790,460</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(842,418)</w:t>
            </w:r>
          </w:p>
        </w:tc>
        <w:tc>
          <w:tcPr>
            <w:tcW w:w="60" w:type="dxa"/>
            <w:vAlign w:val="bottom"/>
          </w:tcPr>
          <w:p>
            <w:pPr>
              <w:spacing w:after="0"/>
              <w:rPr>
                <w:sz w:val="10"/>
                <w:szCs w:val="10"/>
                <w:color w:val="auto"/>
              </w:rPr>
            </w:pPr>
          </w:p>
        </w:tc>
        <w:tc>
          <w:tcPr>
            <w:tcW w:w="200" w:type="dxa"/>
            <w:vAlign w:val="bottom"/>
          </w:tcPr>
          <w:p>
            <w:pPr>
              <w:jc w:val="right"/>
              <w:ind w:right="94"/>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(3,950)</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(55,800)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6" w:right="29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INSEEGO CORP.</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STOCKHOLDERS’ DEFICIT</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740" w:type="dxa"/>
            <w:vAlign w:val="bottom"/>
          </w:tcPr>
          <w:p>
            <w:pPr>
              <w:spacing w:after="0"/>
              <w:rPr>
                <w:sz w:val="7"/>
                <w:szCs w:val="7"/>
                <w:color w:val="auto"/>
              </w:rPr>
            </w:pPr>
          </w:p>
        </w:tc>
        <w:tc>
          <w:tcPr>
            <w:tcW w:w="1240" w:type="dxa"/>
            <w:vAlign w:val="bottom"/>
            <w:gridSpan w:val="4"/>
          </w:tcPr>
          <w:p>
            <w:pPr>
              <w:jc w:val="right"/>
              <w:ind w:right="194"/>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gridSpan w:val="5"/>
          </w:tcPr>
          <w:p>
            <w:pPr>
              <w:ind w:left="440"/>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00" w:type="dxa"/>
            <w:vAlign w:val="bottom"/>
          </w:tcPr>
          <w:p>
            <w:pPr>
              <w:spacing w:after="0"/>
              <w:rPr>
                <w:sz w:val="7"/>
                <w:szCs w:val="7"/>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vMerge w:val="restart"/>
          </w:tcPr>
          <w:p>
            <w:pPr>
              <w:jc w:val="right"/>
              <w:ind w:right="393"/>
              <w:spacing w:after="0"/>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31"/>
        </w:trPr>
        <w:tc>
          <w:tcPr>
            <w:tcW w:w="27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vMerge w:val="restart"/>
          </w:tcPr>
          <w:p>
            <w:pPr>
              <w:jc w:val="center"/>
              <w:ind w:right="300"/>
              <w:spacing w:after="0" w:line="85" w:lineRule="exact"/>
              <w:rPr>
                <w:sz w:val="20"/>
                <w:szCs w:val="20"/>
                <w:color w:val="auto"/>
              </w:rPr>
            </w:pPr>
            <w:r>
              <w:rPr>
                <w:rFonts w:ascii="Times New Roman" w:cs="Times New Roman" w:eastAsia="Times New Roman" w:hAnsi="Times New Roman"/>
                <w:sz w:val="8"/>
                <w:szCs w:val="8"/>
                <w:b w:val="1"/>
                <w:bCs w:val="1"/>
                <w:color w:val="auto"/>
                <w:w w:val="97"/>
              </w:rPr>
              <w:t>Other</w:t>
            </w: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740" w:type="dxa"/>
            <w:vAlign w:val="bottom"/>
          </w:tcPr>
          <w:p>
            <w:pPr>
              <w:spacing w:after="0"/>
              <w:rPr>
                <w:sz w:val="2"/>
                <w:szCs w:val="2"/>
                <w:color w:val="auto"/>
              </w:rPr>
            </w:pP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8"/>
                <w:szCs w:val="8"/>
                <w:b w:val="1"/>
                <w:bCs w:val="1"/>
                <w:color w:val="auto"/>
              </w:rPr>
              <w:t>Shares</w:t>
            </w: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Amount</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restart"/>
          </w:tcPr>
          <w:p>
            <w:pPr>
              <w:ind w:left="200"/>
              <w:spacing w:after="0"/>
              <w:rPr>
                <w:sz w:val="20"/>
                <w:szCs w:val="20"/>
                <w:color w:val="auto"/>
              </w:rPr>
            </w:pPr>
            <w:r>
              <w:rPr>
                <w:rFonts w:ascii="Times New Roman" w:cs="Times New Roman" w:eastAsia="Times New Roman" w:hAnsi="Times New Roman"/>
                <w:sz w:val="8"/>
                <w:szCs w:val="8"/>
                <w:b w:val="1"/>
                <w:bCs w:val="1"/>
                <w:color w:val="auto"/>
              </w:rPr>
              <w:t>Shares</w:t>
            </w:r>
          </w:p>
        </w:tc>
        <w:tc>
          <w:tcPr>
            <w:tcW w:w="140" w:type="dxa"/>
            <w:vAlign w:val="bottom"/>
          </w:tcPr>
          <w:p>
            <w:pPr>
              <w:spacing w:after="0"/>
              <w:rPr>
                <w:sz w:val="2"/>
                <w:szCs w:val="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8"/>
                <w:szCs w:val="8"/>
                <w:b w:val="1"/>
                <w:bCs w:val="1"/>
                <w:color w:val="auto"/>
              </w:rPr>
              <w:t>Accumulated Deficit</w:t>
            </w:r>
          </w:p>
        </w:tc>
        <w:tc>
          <w:tcPr>
            <w:tcW w:w="2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Noncontrolling Interests</w:t>
            </w:r>
          </w:p>
        </w:tc>
        <w:tc>
          <w:tcPr>
            <w:tcW w:w="10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27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Paid-in Capital</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Comprehensive Income (Loss)</w:t>
            </w: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8"/>
                <w:szCs w:val="8"/>
                <w:b w:val="1"/>
                <w:bCs w:val="1"/>
                <w:color w:val="auto"/>
              </w:rPr>
              <w:t>Stockholders’ Deficit</w:t>
            </w:r>
          </w:p>
        </w:tc>
        <w:tc>
          <w:tcPr>
            <w:tcW w:w="0" w:type="dxa"/>
            <w:vAlign w:val="bottom"/>
          </w:tcPr>
          <w:p>
            <w:pPr>
              <w:spacing w:after="0"/>
              <w:rPr>
                <w:sz w:val="1"/>
                <w:szCs w:val="1"/>
                <w:color w:val="auto"/>
              </w:rPr>
            </w:pPr>
          </w:p>
        </w:tc>
      </w:tr>
      <w:tr>
        <w:trPr>
          <w:trHeight w:val="128"/>
        </w:trPr>
        <w:tc>
          <w:tcPr>
            <w:tcW w:w="274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Balance, December 31, 2020</w:t>
            </w: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35</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99,399</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711,487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(732,422)</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(6,972)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(27,899)</w:t>
            </w:r>
          </w:p>
        </w:tc>
        <w:tc>
          <w:tcPr>
            <w:tcW w:w="0" w:type="dxa"/>
            <w:vAlign w:val="bottom"/>
          </w:tcPr>
          <w:p>
            <w:pPr>
              <w:spacing w:after="0"/>
              <w:rPr>
                <w:sz w:val="1"/>
                <w:szCs w:val="1"/>
                <w:color w:val="auto"/>
              </w:rPr>
            </w:pPr>
          </w:p>
        </w:tc>
      </w:tr>
      <w:tr>
        <w:trPr>
          <w:trHeight w:val="129"/>
        </w:trPr>
        <w:tc>
          <w:tcPr>
            <w:tcW w:w="3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loss</w:t>
            </w:r>
          </w:p>
        </w:tc>
        <w:tc>
          <w:tcPr>
            <w:tcW w:w="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500" w:type="dxa"/>
            <w:vAlign w:val="bottom"/>
          </w:tcPr>
          <w:p>
            <w:pPr>
              <w:spacing w:after="0"/>
              <w:rPr>
                <w:sz w:val="11"/>
                <w:szCs w:val="11"/>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(37,405)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(37,191)</w:t>
            </w:r>
          </w:p>
        </w:tc>
        <w:tc>
          <w:tcPr>
            <w:tcW w:w="0" w:type="dxa"/>
            <w:vAlign w:val="bottom"/>
          </w:tcPr>
          <w:p>
            <w:pPr>
              <w:spacing w:after="0"/>
              <w:rPr>
                <w:sz w:val="1"/>
                <w:szCs w:val="1"/>
                <w:color w:val="auto"/>
              </w:rPr>
            </w:pPr>
          </w:p>
        </w:tc>
      </w:tr>
      <w:tr>
        <w:trPr>
          <w:trHeight w:val="141"/>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Foreign currency translation adjustment</w:t>
            </w:r>
          </w:p>
        </w:tc>
        <w:tc>
          <w:tcPr>
            <w:tcW w:w="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5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(1,878)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(1,878)</w:t>
            </w:r>
          </w:p>
        </w:tc>
        <w:tc>
          <w:tcPr>
            <w:tcW w:w="0" w:type="dxa"/>
            <w:vAlign w:val="bottom"/>
          </w:tcPr>
          <w:p>
            <w:pPr>
              <w:spacing w:after="0"/>
              <w:rPr>
                <w:sz w:val="1"/>
                <w:szCs w:val="1"/>
                <w:color w:val="auto"/>
              </w:rPr>
            </w:pPr>
          </w:p>
        </w:tc>
      </w:tr>
      <w:tr>
        <w:trPr>
          <w:trHeight w:val="94"/>
        </w:trPr>
        <w:tc>
          <w:tcPr>
            <w:tcW w:w="322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color w:val="auto"/>
              </w:rPr>
              <w:t>Exercise of stock options, vesting of restricted stock units and stock</w:t>
            </w:r>
          </w:p>
        </w:tc>
        <w:tc>
          <w:tcPr>
            <w:tcW w:w="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500" w:type="dxa"/>
            <w:vAlign w:val="bottom"/>
          </w:tcPr>
          <w:p>
            <w:pPr>
              <w:spacing w:after="0"/>
              <w:rPr>
                <w:sz w:val="8"/>
                <w:szCs w:val="8"/>
                <w:color w:val="auto"/>
              </w:rPr>
            </w:pP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2,081</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3,535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8"/>
                <w:szCs w:val="8"/>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3,537</w:t>
            </w:r>
          </w:p>
        </w:tc>
        <w:tc>
          <w:tcPr>
            <w:tcW w:w="0" w:type="dxa"/>
            <w:vAlign w:val="bottom"/>
          </w:tcPr>
          <w:p>
            <w:pPr>
              <w:spacing w:after="0"/>
              <w:rPr>
                <w:sz w:val="1"/>
                <w:szCs w:val="1"/>
                <w:color w:val="auto"/>
              </w:rPr>
            </w:pPr>
          </w:p>
        </w:tc>
      </w:tr>
      <w:tr>
        <w:trPr>
          <w:trHeight w:val="127"/>
        </w:trPr>
        <w:tc>
          <w:tcPr>
            <w:tcW w:w="3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issued under employee stock purchase plan</w:t>
            </w:r>
          </w:p>
        </w:tc>
        <w:tc>
          <w:tcPr>
            <w:tcW w:w="26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Taxes withheld on net settled vesting of restricted stock units</w:t>
            </w:r>
          </w:p>
        </w:tc>
        <w:tc>
          <w:tcPr>
            <w:tcW w:w="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5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(1,105)</w:t>
            </w:r>
          </w:p>
        </w:tc>
        <w:tc>
          <w:tcPr>
            <w:tcW w:w="0" w:type="dxa"/>
            <w:vAlign w:val="bottom"/>
          </w:tcPr>
          <w:p>
            <w:pPr>
              <w:spacing w:after="0"/>
              <w:rPr>
                <w:sz w:val="1"/>
                <w:szCs w:val="1"/>
                <w:color w:val="auto"/>
              </w:rPr>
            </w:pPr>
          </w:p>
        </w:tc>
      </w:tr>
      <w:tr>
        <w:trPr>
          <w:trHeight w:val="94"/>
        </w:trPr>
        <w:tc>
          <w:tcPr>
            <w:tcW w:w="322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color w:val="auto"/>
              </w:rPr>
              <w:t>Issuance of common shares in connection with the conversion of 2025</w:t>
            </w:r>
          </w:p>
        </w:tc>
        <w:tc>
          <w:tcPr>
            <w:tcW w:w="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500" w:type="dxa"/>
            <w:vAlign w:val="bottom"/>
          </w:tcPr>
          <w:p>
            <w:pPr>
              <w:spacing w:after="0"/>
              <w:rPr>
                <w:sz w:val="8"/>
                <w:szCs w:val="8"/>
                <w:color w:val="auto"/>
              </w:rPr>
            </w:pP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429</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5,382</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8"/>
                <w:szCs w:val="8"/>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5,382</w:t>
            </w:r>
          </w:p>
        </w:tc>
        <w:tc>
          <w:tcPr>
            <w:tcW w:w="0" w:type="dxa"/>
            <w:vAlign w:val="bottom"/>
          </w:tcPr>
          <w:p>
            <w:pPr>
              <w:spacing w:after="0"/>
              <w:rPr>
                <w:sz w:val="1"/>
                <w:szCs w:val="1"/>
                <w:color w:val="auto"/>
              </w:rPr>
            </w:pPr>
          </w:p>
        </w:tc>
      </w:tr>
      <w:tr>
        <w:trPr>
          <w:trHeight w:val="127"/>
        </w:trPr>
        <w:tc>
          <w:tcPr>
            <w:tcW w:w="3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Notes</w:t>
            </w:r>
          </w:p>
        </w:tc>
        <w:tc>
          <w:tcPr>
            <w:tcW w:w="26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22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0"/>
                <w:szCs w:val="10"/>
                <w:color w:val="auto"/>
              </w:rPr>
              <w:t>Issuance of common shares in connection with a public offering, net of</w:t>
            </w:r>
          </w:p>
        </w:tc>
        <w:tc>
          <w:tcPr>
            <w:tcW w:w="2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500" w:type="dxa"/>
            <w:vAlign w:val="bottom"/>
            <w:shd w:val="clear" w:color="auto" w:fill="CCEEFF"/>
          </w:tcPr>
          <w:p>
            <w:pPr>
              <w:spacing w:after="0"/>
              <w:rPr>
                <w:sz w:val="8"/>
                <w:szCs w:val="8"/>
                <w:color w:val="auto"/>
              </w:rPr>
            </w:pPr>
          </w:p>
        </w:tc>
        <w:tc>
          <w:tcPr>
            <w:tcW w:w="2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1,516</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29,368</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8"/>
                <w:szCs w:val="8"/>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29,370</w:t>
            </w:r>
          </w:p>
        </w:tc>
        <w:tc>
          <w:tcPr>
            <w:tcW w:w="0" w:type="dxa"/>
            <w:vAlign w:val="bottom"/>
          </w:tcPr>
          <w:p>
            <w:pPr>
              <w:spacing w:after="0"/>
              <w:rPr>
                <w:sz w:val="1"/>
                <w:szCs w:val="1"/>
                <w:color w:val="auto"/>
              </w:rPr>
            </w:pPr>
          </w:p>
        </w:tc>
      </w:tr>
      <w:tr>
        <w:trPr>
          <w:trHeight w:val="131"/>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issuance costs</w:t>
            </w:r>
          </w:p>
        </w:tc>
        <w:tc>
          <w:tcPr>
            <w:tcW w:w="260" w:type="dxa"/>
            <w:vAlign w:val="bottom"/>
            <w:gridSpan w:val="2"/>
            <w:vMerge w:val="continue"/>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Share-based compensation</w:t>
            </w:r>
          </w:p>
        </w:tc>
        <w:tc>
          <w:tcPr>
            <w:tcW w:w="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500" w:type="dxa"/>
            <w:vAlign w:val="bottom"/>
          </w:tcPr>
          <w:p>
            <w:pPr>
              <w:spacing w:after="0"/>
              <w:rPr>
                <w:sz w:val="11"/>
                <w:szCs w:val="11"/>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14,467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14,467</w:t>
            </w:r>
          </w:p>
        </w:tc>
        <w:tc>
          <w:tcPr>
            <w:tcW w:w="0" w:type="dxa"/>
            <w:vAlign w:val="bottom"/>
          </w:tcPr>
          <w:p>
            <w:pPr>
              <w:spacing w:after="0"/>
              <w:rPr>
                <w:sz w:val="1"/>
                <w:szCs w:val="1"/>
                <w:color w:val="auto"/>
              </w:rPr>
            </w:pPr>
          </w:p>
        </w:tc>
      </w:tr>
      <w:tr>
        <w:trPr>
          <w:trHeight w:val="141"/>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Series E preferred stock dividends</w:t>
            </w:r>
          </w:p>
        </w:tc>
        <w:tc>
          <w:tcPr>
            <w:tcW w:w="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5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(2,492)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9"/>
        </w:trPr>
        <w:tc>
          <w:tcPr>
            <w:tcW w:w="3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Series E preferred stock exchange</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(10)</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9"/>
        </w:trPr>
        <w:tc>
          <w:tcPr>
            <w:tcW w:w="3220" w:type="dxa"/>
            <w:vAlign w:val="bottom"/>
            <w:gridSpan w:val="2"/>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rPr>
              <w:t>Release of cumulative foreign currency translation adjustments as a</w:t>
            </w:r>
          </w:p>
        </w:tc>
        <w:tc>
          <w:tcPr>
            <w:tcW w:w="2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500" w:type="dxa"/>
            <w:vAlign w:val="bottom"/>
            <w:shd w:val="clear" w:color="auto" w:fill="CCEEFF"/>
          </w:tcPr>
          <w:p>
            <w:pPr>
              <w:spacing w:after="0"/>
              <w:rPr>
                <w:sz w:val="8"/>
                <w:szCs w:val="8"/>
                <w:color w:val="auto"/>
              </w:rPr>
            </w:pPr>
          </w:p>
        </w:tc>
        <w:tc>
          <w:tcPr>
            <w:tcW w:w="2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(1,748)</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1,608</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w:t>
            </w:r>
          </w:p>
        </w:tc>
        <w:tc>
          <w:tcPr>
            <w:tcW w:w="0" w:type="dxa"/>
            <w:vAlign w:val="bottom"/>
          </w:tcPr>
          <w:p>
            <w:pPr>
              <w:spacing w:after="0"/>
              <w:rPr>
                <w:sz w:val="1"/>
                <w:szCs w:val="1"/>
                <w:color w:val="auto"/>
              </w:rPr>
            </w:pPr>
          </w:p>
        </w:tc>
      </w:tr>
      <w:tr>
        <w:trPr>
          <w:trHeight w:val="131"/>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result of sale of Ctrack South Africa</w:t>
            </w:r>
          </w:p>
        </w:tc>
        <w:tc>
          <w:tcPr>
            <w:tcW w:w="260" w:type="dxa"/>
            <w:vAlign w:val="bottom"/>
            <w:gridSpan w:val="2"/>
            <w:vMerge w:val="continue"/>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noncontrolling interest acquired</w:t>
            </w:r>
          </w:p>
        </w:tc>
        <w:tc>
          <w:tcPr>
            <w:tcW w:w="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500" w:type="dxa"/>
            <w:vAlign w:val="bottom"/>
          </w:tcPr>
          <w:p>
            <w:pPr>
              <w:spacing w:after="0"/>
              <w:rPr>
                <w:sz w:val="11"/>
                <w:szCs w:val="11"/>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w:t>
            </w:r>
          </w:p>
        </w:tc>
        <w:tc>
          <w:tcPr>
            <w:tcW w:w="0" w:type="dxa"/>
            <w:vAlign w:val="bottom"/>
          </w:tcPr>
          <w:p>
            <w:pPr>
              <w:spacing w:after="0"/>
              <w:rPr>
                <w:sz w:val="1"/>
                <w:szCs w:val="1"/>
                <w:color w:val="auto"/>
              </w:rPr>
            </w:pPr>
          </w:p>
        </w:tc>
      </w:tr>
      <w:tr>
        <w:trPr>
          <w:trHeight w:val="128"/>
        </w:trPr>
        <w:tc>
          <w:tcPr>
            <w:tcW w:w="2740" w:type="dxa"/>
            <w:vAlign w:val="bottom"/>
            <w:tcBorders>
              <w:top w:val="single" w:sz="8" w:color="CCEEFF"/>
              <w:bottom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Balance, September 30, 2021</w:t>
            </w:r>
          </w:p>
        </w:tc>
        <w:tc>
          <w:tcPr>
            <w:tcW w:w="48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w w:val="99"/>
              </w:rPr>
              <w:t>25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ind w:left="40"/>
              <w:spacing w:after="0" w:line="112" w:lineRule="exact"/>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104,950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2"/>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766,736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(774,931)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93"/>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(7,242)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(15,332)</w:t>
            </w: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December 31, 2021</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25</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105,381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770,619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(787,047)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(8,531)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(24,854)</w:t>
            </w:r>
          </w:p>
        </w:tc>
        <w:tc>
          <w:tcPr>
            <w:tcW w:w="0" w:type="dxa"/>
            <w:vAlign w:val="bottom"/>
          </w:tcPr>
          <w:p>
            <w:pPr>
              <w:spacing w:after="0"/>
              <w:rPr>
                <w:sz w:val="1"/>
                <w:szCs w:val="1"/>
                <w:color w:val="auto"/>
              </w:rPr>
            </w:pPr>
          </w:p>
        </w:tc>
      </w:tr>
      <w:tr>
        <w:trPr>
          <w:trHeight w:val="129"/>
        </w:trPr>
        <w:tc>
          <w:tcPr>
            <w:tcW w:w="3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loss</w:t>
            </w:r>
          </w:p>
        </w:tc>
        <w:tc>
          <w:tcPr>
            <w:tcW w:w="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500" w:type="dxa"/>
            <w:vAlign w:val="bottom"/>
          </w:tcPr>
          <w:p>
            <w:pPr>
              <w:spacing w:after="0"/>
              <w:rPr>
                <w:sz w:val="11"/>
                <w:szCs w:val="11"/>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(53,342)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(53,342)</w:t>
            </w:r>
          </w:p>
        </w:tc>
        <w:tc>
          <w:tcPr>
            <w:tcW w:w="0" w:type="dxa"/>
            <w:vAlign w:val="bottom"/>
          </w:tcPr>
          <w:p>
            <w:pPr>
              <w:spacing w:after="0"/>
              <w:rPr>
                <w:sz w:val="1"/>
                <w:szCs w:val="1"/>
                <w:color w:val="auto"/>
              </w:rPr>
            </w:pPr>
          </w:p>
        </w:tc>
      </w:tr>
      <w:tr>
        <w:trPr>
          <w:trHeight w:val="141"/>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Foreign currency translation adjustment</w:t>
            </w:r>
          </w:p>
        </w:tc>
        <w:tc>
          <w:tcPr>
            <w:tcW w:w="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5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4,581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4,581</w:t>
            </w:r>
          </w:p>
        </w:tc>
        <w:tc>
          <w:tcPr>
            <w:tcW w:w="0" w:type="dxa"/>
            <w:vAlign w:val="bottom"/>
          </w:tcPr>
          <w:p>
            <w:pPr>
              <w:spacing w:after="0"/>
              <w:rPr>
                <w:sz w:val="1"/>
                <w:szCs w:val="1"/>
                <w:color w:val="auto"/>
              </w:rPr>
            </w:pPr>
          </w:p>
        </w:tc>
      </w:tr>
      <w:tr>
        <w:trPr>
          <w:trHeight w:val="129"/>
        </w:trPr>
        <w:tc>
          <w:tcPr>
            <w:tcW w:w="3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Adjustment relating to extinguishment of 2022 Notes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1,727</w:t>
            </w:r>
          </w:p>
        </w:tc>
        <w:tc>
          <w:tcPr>
            <w:tcW w:w="0" w:type="dxa"/>
            <w:vAlign w:val="bottom"/>
          </w:tcPr>
          <w:p>
            <w:pPr>
              <w:spacing w:after="0"/>
              <w:rPr>
                <w:sz w:val="1"/>
                <w:szCs w:val="1"/>
                <w:color w:val="auto"/>
              </w:rPr>
            </w:pPr>
          </w:p>
        </w:tc>
      </w:tr>
      <w:tr>
        <w:trPr>
          <w:trHeight w:val="99"/>
        </w:trPr>
        <w:tc>
          <w:tcPr>
            <w:tcW w:w="3220" w:type="dxa"/>
            <w:vAlign w:val="bottom"/>
            <w:gridSpan w:val="2"/>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rPr>
              <w:t>Exercise of stock options, vesting of restricted stock units and stock</w:t>
            </w:r>
          </w:p>
        </w:tc>
        <w:tc>
          <w:tcPr>
            <w:tcW w:w="2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500" w:type="dxa"/>
            <w:vAlign w:val="bottom"/>
            <w:shd w:val="clear" w:color="auto" w:fill="CCEEFF"/>
          </w:tcPr>
          <w:p>
            <w:pPr>
              <w:spacing w:after="0"/>
              <w:rPr>
                <w:sz w:val="8"/>
                <w:szCs w:val="8"/>
                <w:color w:val="auto"/>
              </w:rPr>
            </w:pPr>
          </w:p>
        </w:tc>
        <w:tc>
          <w:tcPr>
            <w:tcW w:w="2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2,470</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250</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8"/>
                <w:szCs w:val="8"/>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w:t>
            </w:r>
          </w:p>
        </w:tc>
        <w:tc>
          <w:tcPr>
            <w:tcW w:w="0" w:type="dxa"/>
            <w:vAlign w:val="bottom"/>
          </w:tcPr>
          <w:p>
            <w:pPr>
              <w:spacing w:after="0"/>
              <w:rPr>
                <w:sz w:val="1"/>
                <w:szCs w:val="1"/>
                <w:color w:val="auto"/>
              </w:rPr>
            </w:pPr>
          </w:p>
        </w:tc>
      </w:tr>
      <w:tr>
        <w:trPr>
          <w:trHeight w:val="131"/>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issued under employee stock purchase plan</w:t>
            </w:r>
          </w:p>
        </w:tc>
        <w:tc>
          <w:tcPr>
            <w:tcW w:w="260" w:type="dxa"/>
            <w:vAlign w:val="bottom"/>
            <w:gridSpan w:val="2"/>
            <w:vMerge w:val="continue"/>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Taxes withheld on net settled vesting of restricted stock units</w:t>
            </w:r>
          </w:p>
        </w:tc>
        <w:tc>
          <w:tcPr>
            <w:tcW w:w="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500" w:type="dxa"/>
            <w:vAlign w:val="bottom"/>
          </w:tcPr>
          <w:p>
            <w:pPr>
              <w:spacing w:after="0"/>
              <w:rPr>
                <w:sz w:val="11"/>
                <w:szCs w:val="11"/>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w:t>
            </w:r>
          </w:p>
        </w:tc>
        <w:tc>
          <w:tcPr>
            <w:tcW w:w="0" w:type="dxa"/>
            <w:vAlign w:val="bottom"/>
          </w:tcPr>
          <w:p>
            <w:pPr>
              <w:spacing w:after="0"/>
              <w:rPr>
                <w:sz w:val="1"/>
                <w:szCs w:val="1"/>
                <w:color w:val="auto"/>
              </w:rPr>
            </w:pPr>
          </w:p>
        </w:tc>
      </w:tr>
      <w:tr>
        <w:trPr>
          <w:trHeight w:val="141"/>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Share-based compensation</w:t>
            </w:r>
          </w:p>
        </w:tc>
        <w:tc>
          <w:tcPr>
            <w:tcW w:w="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5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15,892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15,892</w:t>
            </w:r>
          </w:p>
        </w:tc>
        <w:tc>
          <w:tcPr>
            <w:tcW w:w="0" w:type="dxa"/>
            <w:vAlign w:val="bottom"/>
          </w:tcPr>
          <w:p>
            <w:pPr>
              <w:spacing w:after="0"/>
              <w:rPr>
                <w:sz w:val="1"/>
                <w:szCs w:val="1"/>
                <w:color w:val="auto"/>
              </w:rPr>
            </w:pPr>
          </w:p>
        </w:tc>
      </w:tr>
      <w:tr>
        <w:trPr>
          <w:trHeight w:val="129"/>
        </w:trPr>
        <w:tc>
          <w:tcPr>
            <w:tcW w:w="2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Series E preferred stock dividends</w:t>
            </w: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2,029</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(2,029)</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6"/>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September 30, 2022</w:t>
            </w:r>
          </w:p>
        </w:tc>
        <w:tc>
          <w:tcPr>
            <w:tcW w:w="4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25</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107,846</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790,460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(842,418)</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(3,950)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INSEEGO CORP.</w:t>
      </w:r>
    </w:p>
    <w:p>
      <w:pPr>
        <w:spacing w:after="0" w:line="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3"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0"/>
          <w:szCs w:val="10"/>
          <w:b w:val="1"/>
          <w:bCs w:val="1"/>
          <w:color w:val="auto"/>
        </w:rPr>
        <w:t>Nine Months Ended</w:t>
      </w:r>
    </w:p>
    <w:p>
      <w:pPr>
        <w:jc w:val="center"/>
        <w:ind w:left="8740"/>
        <w:spacing w:after="0" w:line="236" w:lineRule="auto"/>
        <w:rPr>
          <w:sz w:val="20"/>
          <w:szCs w:val="20"/>
          <w:color w:val="auto"/>
        </w:rPr>
      </w:pPr>
      <w:r>
        <w:rPr>
          <w:rFonts w:ascii="Times New Roman" w:cs="Times New Roman" w:eastAsia="Times New Roman" w:hAnsi="Times New Roman"/>
          <w:sz w:val="10"/>
          <w:szCs w:val="10"/>
          <w:b w:val="1"/>
          <w:bCs w:val="1"/>
          <w:color w:val="auto"/>
        </w:rPr>
        <w:t>September 30,</w:t>
      </w:r>
    </w:p>
    <w:tbl>
      <w:tblPr>
        <w:tblLayout w:type="fixed"/>
        <w:tblInd w:w="0" w:type="dxa"/>
        <w:tblCellMar>
          <w:top w:w="0" w:type="dxa"/>
          <w:left w:w="0" w:type="dxa"/>
          <w:bottom w:w="0" w:type="dxa"/>
          <w:right w:w="0" w:type="dxa"/>
        </w:tblCellMar>
      </w:tblPr>
      <w:tr>
        <w:trPr>
          <w:trHeight w:val="125"/>
        </w:trPr>
        <w:tc>
          <w:tcPr>
            <w:tcW w:w="874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2022</w:t>
            </w:r>
          </w:p>
        </w:tc>
        <w:tc>
          <w:tcPr>
            <w:tcW w:w="4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19"/>
        </w:trPr>
        <w:tc>
          <w:tcPr>
            <w:tcW w:w="8740" w:type="dxa"/>
            <w:vAlign w:val="bottom"/>
          </w:tcPr>
          <w:p>
            <w:pPr>
              <w:spacing w:after="0"/>
              <w:rPr>
                <w:sz w:val="20"/>
                <w:szCs w:val="20"/>
                <w:color w:val="auto"/>
              </w:rPr>
            </w:pPr>
            <w:r>
              <w:rPr>
                <w:rFonts w:ascii="Times New Roman" w:cs="Times New Roman" w:eastAsia="Times New Roman" w:hAnsi="Times New Roman"/>
                <w:sz w:val="10"/>
                <w:szCs w:val="10"/>
                <w:color w:val="auto"/>
              </w:rPr>
              <w:t>Cash flows from operating activities:</w:t>
            </w: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38"/>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loss</w:t>
            </w:r>
          </w:p>
        </w:tc>
        <w:tc>
          <w:tcPr>
            <w:tcW w:w="80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(53,342)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(37,191)</w:t>
            </w:r>
          </w:p>
        </w:tc>
      </w:tr>
      <w:tr>
        <w:trPr>
          <w:trHeight w:val="133"/>
        </w:trPr>
        <w:tc>
          <w:tcPr>
            <w:tcW w:w="8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Adjustments to reconcile net loss to net cash used in operating activities:</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7"/>
        </w:trPr>
        <w:tc>
          <w:tcPr>
            <w:tcW w:w="8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20,936</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19,131</w:t>
            </w:r>
          </w:p>
        </w:tc>
      </w:tr>
      <w:tr>
        <w:trPr>
          <w:trHeight w:val="133"/>
        </w:trPr>
        <w:tc>
          <w:tcPr>
            <w:tcW w:w="87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Provision for bad debts</w:t>
            </w:r>
          </w:p>
        </w:tc>
        <w:tc>
          <w:tcPr>
            <w:tcW w:w="800" w:type="dxa"/>
            <w:vAlign w:val="bottom"/>
          </w:tcPr>
          <w:p>
            <w:pPr>
              <w:spacing w:after="0"/>
              <w:rPr>
                <w:sz w:val="11"/>
                <w:szCs w:val="11"/>
                <w:color w:val="auto"/>
              </w:rPr>
            </w:pPr>
          </w:p>
        </w:tc>
        <w:tc>
          <w:tcPr>
            <w:tcW w:w="4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29</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346</w:t>
            </w:r>
          </w:p>
        </w:tc>
      </w:tr>
      <w:tr>
        <w:trPr>
          <w:trHeight w:val="137"/>
        </w:trPr>
        <w:tc>
          <w:tcPr>
            <w:tcW w:w="8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Impairment of capitalized software</w:t>
            </w:r>
          </w:p>
        </w:tc>
        <w:tc>
          <w:tcPr>
            <w:tcW w:w="8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1,197</w:t>
            </w:r>
          </w:p>
        </w:tc>
      </w:tr>
      <w:tr>
        <w:trPr>
          <w:trHeight w:val="133"/>
        </w:trPr>
        <w:tc>
          <w:tcPr>
            <w:tcW w:w="87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Provision for excess and obsolete inventory</w:t>
            </w:r>
          </w:p>
        </w:tc>
        <w:tc>
          <w:tcPr>
            <w:tcW w:w="800" w:type="dxa"/>
            <w:vAlign w:val="bottom"/>
          </w:tcPr>
          <w:p>
            <w:pPr>
              <w:spacing w:after="0"/>
              <w:rPr>
                <w:sz w:val="11"/>
                <w:szCs w:val="11"/>
                <w:color w:val="auto"/>
              </w:rPr>
            </w:pPr>
          </w:p>
        </w:tc>
        <w:tc>
          <w:tcPr>
            <w:tcW w:w="4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1,330</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587</w:t>
            </w:r>
          </w:p>
        </w:tc>
      </w:tr>
      <w:tr>
        <w:trPr>
          <w:trHeight w:val="137"/>
        </w:trPr>
        <w:tc>
          <w:tcPr>
            <w:tcW w:w="8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Share-based compensation expense</w:t>
            </w: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15,892</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14,467</w:t>
            </w:r>
          </w:p>
        </w:tc>
      </w:tr>
      <w:tr>
        <w:trPr>
          <w:trHeight w:val="133"/>
        </w:trPr>
        <w:tc>
          <w:tcPr>
            <w:tcW w:w="87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Amortization of debt discount and debt issuance costs</w:t>
            </w:r>
          </w:p>
        </w:tc>
        <w:tc>
          <w:tcPr>
            <w:tcW w:w="800" w:type="dxa"/>
            <w:vAlign w:val="bottom"/>
          </w:tcPr>
          <w:p>
            <w:pPr>
              <w:spacing w:after="0"/>
              <w:rPr>
                <w:sz w:val="11"/>
                <w:szCs w:val="11"/>
                <w:color w:val="auto"/>
              </w:rPr>
            </w:pPr>
          </w:p>
        </w:tc>
        <w:tc>
          <w:tcPr>
            <w:tcW w:w="4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2,472</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1,117</w:t>
            </w:r>
          </w:p>
        </w:tc>
      </w:tr>
      <w:tr>
        <w:trPr>
          <w:trHeight w:val="137"/>
        </w:trPr>
        <w:tc>
          <w:tcPr>
            <w:tcW w:w="8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Fair value adjustment on derivative instrument</w:t>
            </w: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(902)</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(3,435)</w:t>
            </w:r>
          </w:p>
        </w:tc>
      </w:tr>
      <w:tr>
        <w:trPr>
          <w:trHeight w:val="133"/>
        </w:trPr>
        <w:tc>
          <w:tcPr>
            <w:tcW w:w="87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Loss on debt conversion and extinguishment, net</w:t>
            </w:r>
          </w:p>
        </w:tc>
        <w:tc>
          <w:tcPr>
            <w:tcW w:w="800" w:type="dxa"/>
            <w:vAlign w:val="bottom"/>
          </w:tcPr>
          <w:p>
            <w:pPr>
              <w:spacing w:after="0"/>
              <w:rPr>
                <w:sz w:val="11"/>
                <w:szCs w:val="11"/>
                <w:color w:val="auto"/>
              </w:rPr>
            </w:pPr>
          </w:p>
        </w:tc>
        <w:tc>
          <w:tcPr>
            <w:tcW w:w="4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450</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432</w:t>
            </w:r>
          </w:p>
        </w:tc>
      </w:tr>
      <w:tr>
        <w:trPr>
          <w:trHeight w:val="137"/>
        </w:trPr>
        <w:tc>
          <w:tcPr>
            <w:tcW w:w="8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Gain on sale of Ctrack South Africa</w:t>
            </w:r>
          </w:p>
        </w:tc>
        <w:tc>
          <w:tcPr>
            <w:tcW w:w="8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(5,262)</w:t>
            </w:r>
          </w:p>
        </w:tc>
      </w:tr>
      <w:tr>
        <w:trPr>
          <w:trHeight w:val="133"/>
        </w:trPr>
        <w:tc>
          <w:tcPr>
            <w:tcW w:w="87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Deferred income taxes</w:t>
            </w:r>
          </w:p>
        </w:tc>
        <w:tc>
          <w:tcPr>
            <w:tcW w:w="8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(223)</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175</w:t>
            </w:r>
          </w:p>
        </w:tc>
      </w:tr>
      <w:tr>
        <w:trPr>
          <w:trHeight w:val="137"/>
        </w:trPr>
        <w:tc>
          <w:tcPr>
            <w:tcW w:w="8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Right-of-use assets</w:t>
            </w: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1,057</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1,364</w:t>
            </w:r>
          </w:p>
        </w:tc>
      </w:tr>
      <w:tr>
        <w:trPr>
          <w:trHeight w:val="133"/>
        </w:trPr>
        <w:tc>
          <w:tcPr>
            <w:tcW w:w="87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Other</w:t>
            </w:r>
          </w:p>
        </w:tc>
        <w:tc>
          <w:tcPr>
            <w:tcW w:w="8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1"/>
                <w:szCs w:val="11"/>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572</w:t>
            </w:r>
          </w:p>
        </w:tc>
      </w:tr>
      <w:tr>
        <w:trPr>
          <w:trHeight w:val="137"/>
        </w:trPr>
        <w:tc>
          <w:tcPr>
            <w:tcW w:w="8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Changes in assets and liabilities, net of effects of divestiture:</w:t>
            </w: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33"/>
        </w:trPr>
        <w:tc>
          <w:tcPr>
            <w:tcW w:w="874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Accounts receivable</w:t>
            </w:r>
          </w:p>
        </w:tc>
        <w:tc>
          <w:tcPr>
            <w:tcW w:w="8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2,834</w:t>
            </w:r>
          </w:p>
        </w:tc>
      </w:tr>
      <w:tr>
        <w:trPr>
          <w:trHeight w:val="137"/>
        </w:trPr>
        <w:tc>
          <w:tcPr>
            <w:tcW w:w="8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Inventories</w:t>
            </w: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(5,926)</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(7,889)</w:t>
            </w:r>
          </w:p>
        </w:tc>
      </w:tr>
      <w:tr>
        <w:trPr>
          <w:trHeight w:val="133"/>
        </w:trPr>
        <w:tc>
          <w:tcPr>
            <w:tcW w:w="874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Prepaid expenses and other assets</w:t>
            </w:r>
          </w:p>
        </w:tc>
        <w:tc>
          <w:tcPr>
            <w:tcW w:w="800" w:type="dxa"/>
            <w:vAlign w:val="bottom"/>
          </w:tcPr>
          <w:p>
            <w:pPr>
              <w:spacing w:after="0"/>
              <w:rPr>
                <w:sz w:val="11"/>
                <w:szCs w:val="11"/>
                <w:color w:val="auto"/>
              </w:rPr>
            </w:pPr>
          </w:p>
        </w:tc>
        <w:tc>
          <w:tcPr>
            <w:tcW w:w="4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2,723</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1,429</w:t>
            </w:r>
          </w:p>
        </w:tc>
      </w:tr>
      <w:tr>
        <w:trPr>
          <w:trHeight w:val="137"/>
        </w:trPr>
        <w:tc>
          <w:tcPr>
            <w:tcW w:w="8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Accounts payable</w:t>
            </w: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(13,548)</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(7,206)</w:t>
            </w:r>
          </w:p>
        </w:tc>
      </w:tr>
      <w:tr>
        <w:trPr>
          <w:trHeight w:val="133"/>
        </w:trPr>
        <w:tc>
          <w:tcPr>
            <w:tcW w:w="874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Accrued expenses, income taxes, and other</w:t>
            </w:r>
          </w:p>
        </w:tc>
        <w:tc>
          <w:tcPr>
            <w:tcW w:w="800" w:type="dxa"/>
            <w:vAlign w:val="bottom"/>
          </w:tcPr>
          <w:p>
            <w:pPr>
              <w:spacing w:after="0"/>
              <w:rPr>
                <w:sz w:val="11"/>
                <w:szCs w:val="11"/>
                <w:color w:val="auto"/>
              </w:rPr>
            </w:pPr>
          </w:p>
        </w:tc>
        <w:tc>
          <w:tcPr>
            <w:tcW w:w="4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6,276</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4,797</w:t>
            </w:r>
          </w:p>
        </w:tc>
      </w:tr>
      <w:tr>
        <w:trPr>
          <w:trHeight w:val="137"/>
        </w:trPr>
        <w:tc>
          <w:tcPr>
            <w:tcW w:w="8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Operating lease liabilities</w:t>
            </w:r>
          </w:p>
        </w:tc>
        <w:tc>
          <w:tcPr>
            <w:tcW w:w="8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(1,366)</w:t>
            </w:r>
          </w:p>
        </w:tc>
        <w:tc>
          <w:tcPr>
            <w:tcW w:w="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(2,222)</w:t>
            </w:r>
          </w:p>
        </w:tc>
      </w:tr>
      <w:tr>
        <w:trPr>
          <w:trHeight w:val="122"/>
        </w:trPr>
        <w:tc>
          <w:tcPr>
            <w:tcW w:w="874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Net cash used in operating activities</w:t>
            </w:r>
          </w:p>
        </w:tc>
        <w:tc>
          <w:tcPr>
            <w:tcW w:w="8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(24,703)</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(14,757)</w:t>
            </w:r>
          </w:p>
        </w:tc>
      </w:tr>
      <w:tr>
        <w:trPr>
          <w:trHeight w:val="137"/>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Cash flows from investing activities:</w:t>
            </w: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33"/>
        </w:trPr>
        <w:tc>
          <w:tcPr>
            <w:tcW w:w="8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Acquisition of noncontrolling interest</w:t>
            </w:r>
          </w:p>
        </w:tc>
        <w:tc>
          <w:tcPr>
            <w:tcW w:w="8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w:t>
            </w:r>
          </w:p>
        </w:tc>
      </w:tr>
      <w:tr>
        <w:trPr>
          <w:trHeight w:val="137"/>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Purchases of property, plant and equipment</w:t>
            </w: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(1,203)</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(4,299)</w:t>
            </w:r>
          </w:p>
        </w:tc>
      </w:tr>
      <w:tr>
        <w:trPr>
          <w:trHeight w:val="133"/>
        </w:trPr>
        <w:tc>
          <w:tcPr>
            <w:tcW w:w="8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Proceeds from the sale of property, plant and equipment</w:t>
            </w:r>
          </w:p>
        </w:tc>
        <w:tc>
          <w:tcPr>
            <w:tcW w:w="8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1"/>
                <w:szCs w:val="11"/>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1,143</w:t>
            </w:r>
          </w:p>
        </w:tc>
      </w:tr>
      <w:tr>
        <w:trPr>
          <w:trHeight w:val="137"/>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Proceeds from sale of Ctrack South Africa, net of cash divested</w:t>
            </w:r>
          </w:p>
        </w:tc>
        <w:tc>
          <w:tcPr>
            <w:tcW w:w="8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31,526</w:t>
            </w:r>
          </w:p>
        </w:tc>
      </w:tr>
      <w:tr>
        <w:trPr>
          <w:trHeight w:val="133"/>
        </w:trPr>
        <w:tc>
          <w:tcPr>
            <w:tcW w:w="8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0"/>
                <w:szCs w:val="10"/>
                <w:color w:val="auto"/>
              </w:rPr>
              <w:t>Additions to capitalized software development costs</w:t>
            </w:r>
          </w:p>
        </w:tc>
        <w:tc>
          <w:tcPr>
            <w:tcW w:w="8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(9,242)</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(20,589)</w:t>
            </w:r>
          </w:p>
        </w:tc>
      </w:tr>
      <w:tr>
        <w:trPr>
          <w:trHeight w:val="126"/>
        </w:trPr>
        <w:tc>
          <w:tcPr>
            <w:tcW w:w="8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0"/>
                <w:szCs w:val="10"/>
                <w:color w:val="auto"/>
              </w:rPr>
              <w:t>Net cash (used in) provided by investing activities</w:t>
            </w:r>
          </w:p>
        </w:tc>
        <w:tc>
          <w:tcPr>
            <w:tcW w:w="8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(10,445)</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7,665</w:t>
            </w:r>
          </w:p>
        </w:tc>
      </w:tr>
      <w:tr>
        <w:trPr>
          <w:trHeight w:val="133"/>
        </w:trPr>
        <w:tc>
          <w:tcPr>
            <w:tcW w:w="8740" w:type="dxa"/>
            <w:vAlign w:val="bottom"/>
          </w:tcPr>
          <w:p>
            <w:pPr>
              <w:spacing w:after="0"/>
              <w:rPr>
                <w:sz w:val="20"/>
                <w:szCs w:val="20"/>
                <w:color w:val="auto"/>
              </w:rPr>
            </w:pPr>
            <w:r>
              <w:rPr>
                <w:rFonts w:ascii="Times New Roman" w:cs="Times New Roman" w:eastAsia="Times New Roman" w:hAnsi="Times New Roman"/>
                <w:sz w:val="10"/>
                <w:szCs w:val="10"/>
                <w:color w:val="auto"/>
              </w:rPr>
              <w:t>Cash flows from financing activities:</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7"/>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(repayment) borrowing of bank and overdraft facilities</w:t>
            </w: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(458)</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315</w:t>
            </w:r>
          </w:p>
        </w:tc>
      </w:tr>
      <w:tr>
        <w:trPr>
          <w:trHeight w:val="133"/>
        </w:trPr>
        <w:tc>
          <w:tcPr>
            <w:tcW w:w="8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Principal payments under finance lease obligations</w:t>
            </w:r>
          </w:p>
        </w:tc>
        <w:tc>
          <w:tcPr>
            <w:tcW w:w="8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(3,138)</w:t>
            </w:r>
          </w:p>
        </w:tc>
      </w:tr>
      <w:tr>
        <w:trPr>
          <w:trHeight w:val="137"/>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Proceeds from a public offering, net of issuance costs</w:t>
            </w:r>
          </w:p>
        </w:tc>
        <w:tc>
          <w:tcPr>
            <w:tcW w:w="8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29,370</w:t>
            </w:r>
          </w:p>
        </w:tc>
      </w:tr>
      <w:tr>
        <w:trPr>
          <w:trHeight w:val="133"/>
        </w:trPr>
        <w:tc>
          <w:tcPr>
            <w:tcW w:w="8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Principal payments on financed assets</w:t>
            </w:r>
          </w:p>
        </w:tc>
        <w:tc>
          <w:tcPr>
            <w:tcW w:w="8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(1,567)</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w:t>
            </w:r>
          </w:p>
        </w:tc>
      </w:tr>
      <w:tr>
        <w:trPr>
          <w:trHeight w:val="137"/>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Borrowings on revolving credit facility</w:t>
            </w: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9,000</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8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Repayments on revolving credit facility</w:t>
            </w:r>
          </w:p>
        </w:tc>
        <w:tc>
          <w:tcPr>
            <w:tcW w:w="8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(4,500)</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w:t>
            </w:r>
          </w:p>
        </w:tc>
      </w:tr>
      <w:tr>
        <w:trPr>
          <w:trHeight w:val="137"/>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Payment of debt issuance costs on revolving credit facility</w:t>
            </w: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(1,126)</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8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0"/>
                <w:szCs w:val="10"/>
                <w:color w:val="auto"/>
              </w:rPr>
              <w:t>Proceeds from stock option exercises and employee stock purchase plan, net of taxes paid on vested restricted stock units</w:t>
            </w:r>
          </w:p>
        </w:tc>
        <w:tc>
          <w:tcPr>
            <w:tcW w:w="8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0"/>
                <w:szCs w:val="10"/>
                <w:color w:val="auto"/>
              </w:rPr>
              <w:t>196</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0"/>
                <w:szCs w:val="10"/>
                <w:color w:val="auto"/>
              </w:rPr>
              <w:t>2,432</w:t>
            </w:r>
          </w:p>
        </w:tc>
      </w:tr>
      <w:tr>
        <w:trPr>
          <w:trHeight w:val="126"/>
        </w:trPr>
        <w:tc>
          <w:tcPr>
            <w:tcW w:w="8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0"/>
                <w:szCs w:val="10"/>
                <w:color w:val="auto"/>
              </w:rPr>
              <w:t>Net cash provided by financing activities</w:t>
            </w:r>
          </w:p>
        </w:tc>
        <w:tc>
          <w:tcPr>
            <w:tcW w:w="80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1,483</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28,979</w:t>
            </w:r>
          </w:p>
        </w:tc>
      </w:tr>
      <w:tr>
        <w:trPr>
          <w:trHeight w:val="133"/>
        </w:trPr>
        <w:tc>
          <w:tcPr>
            <w:tcW w:w="8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Effect of exchange rates on cash</w:t>
            </w:r>
          </w:p>
        </w:tc>
        <w:tc>
          <w:tcPr>
            <w:tcW w:w="8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0"/>
                <w:szCs w:val="10"/>
                <w:color w:val="auto"/>
              </w:rPr>
              <w:t>1,916</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(293)</w:t>
            </w:r>
          </w:p>
        </w:tc>
      </w:tr>
      <w:tr>
        <w:trPr>
          <w:trHeight w:val="126"/>
        </w:trPr>
        <w:tc>
          <w:tcPr>
            <w:tcW w:w="87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0"/>
                <w:szCs w:val="10"/>
                <w:color w:val="auto"/>
              </w:rPr>
              <w:t>Net (decrease) increase in cash, cash equivalents and restricted cash</w:t>
            </w:r>
          </w:p>
        </w:tc>
        <w:tc>
          <w:tcPr>
            <w:tcW w:w="8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(31,749)</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21,594</w:t>
            </w:r>
          </w:p>
        </w:tc>
      </w:tr>
      <w:tr>
        <w:trPr>
          <w:trHeight w:val="133"/>
        </w:trPr>
        <w:tc>
          <w:tcPr>
            <w:tcW w:w="8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Cash, cash equivalents and restricted cash, beginning of period</w:t>
            </w:r>
          </w:p>
        </w:tc>
        <w:tc>
          <w:tcPr>
            <w:tcW w:w="8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0"/>
                <w:szCs w:val="10"/>
                <w:color w:val="auto"/>
              </w:rPr>
              <w:t>49,812</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0"/>
                <w:szCs w:val="10"/>
                <w:color w:val="auto"/>
              </w:rPr>
              <w:t>40,015</w:t>
            </w:r>
          </w:p>
        </w:tc>
      </w:tr>
      <w:tr>
        <w:trPr>
          <w:trHeight w:val="146"/>
        </w:trPr>
        <w:tc>
          <w:tcPr>
            <w:tcW w:w="8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Cash, cash equivalents and restricted cash, end of period</w:t>
            </w:r>
          </w:p>
        </w:tc>
        <w:tc>
          <w:tcPr>
            <w:tcW w:w="80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18,063</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61,609</w:t>
            </w:r>
          </w:p>
        </w:tc>
      </w:tr>
      <w:tr>
        <w:trPr>
          <w:trHeight w:val="111"/>
        </w:trPr>
        <w:tc>
          <w:tcPr>
            <w:tcW w:w="8740" w:type="dxa"/>
            <w:vAlign w:val="bottom"/>
          </w:tcPr>
          <w:p>
            <w:pPr>
              <w:spacing w:after="0" w:line="111" w:lineRule="exact"/>
              <w:rPr>
                <w:sz w:val="20"/>
                <w:szCs w:val="20"/>
                <w:color w:val="auto"/>
              </w:rPr>
            </w:pPr>
            <w:r>
              <w:rPr>
                <w:rFonts w:ascii="Times New Roman" w:cs="Times New Roman" w:eastAsia="Times New Roman" w:hAnsi="Times New Roman"/>
                <w:sz w:val="10"/>
                <w:szCs w:val="10"/>
                <w:color w:val="auto"/>
              </w:rPr>
              <w:t>Supplemental disclosures of cash flow information:</w:t>
            </w: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37"/>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Cash paid during the year for:</w:t>
            </w: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33"/>
        </w:trPr>
        <w:tc>
          <w:tcPr>
            <w:tcW w:w="87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Interest</w:t>
            </w:r>
          </w:p>
        </w:tc>
        <w:tc>
          <w:tcPr>
            <w:tcW w:w="800" w:type="dxa"/>
            <w:vAlign w:val="bottom"/>
          </w:tcPr>
          <w:p>
            <w:pPr>
              <w:jc w:val="right"/>
              <w:ind w:right="6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2,675</w:t>
            </w:r>
          </w:p>
        </w:tc>
        <w:tc>
          <w:tcPr>
            <w:tcW w:w="80" w:type="dxa"/>
            <w:vAlign w:val="bottom"/>
          </w:tcPr>
          <w:p>
            <w:pPr>
              <w:spacing w:after="0"/>
              <w:rPr>
                <w:sz w:val="11"/>
                <w:szCs w:val="11"/>
                <w:color w:val="auto"/>
              </w:rPr>
            </w:pPr>
          </w:p>
        </w:tc>
        <w:tc>
          <w:tcPr>
            <w:tcW w:w="300" w:type="dxa"/>
            <w:vAlign w:val="bottom"/>
          </w:tcPr>
          <w:p>
            <w:pPr>
              <w:jc w:val="right"/>
              <w:ind w:right="189"/>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2,782</w:t>
            </w:r>
          </w:p>
        </w:tc>
      </w:tr>
      <w:tr>
        <w:trPr>
          <w:trHeight w:val="137"/>
        </w:trPr>
        <w:tc>
          <w:tcPr>
            <w:tcW w:w="8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Income taxes</w:t>
            </w:r>
          </w:p>
        </w:tc>
        <w:tc>
          <w:tcPr>
            <w:tcW w:w="80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96</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378</w:t>
            </w:r>
          </w:p>
        </w:tc>
      </w:tr>
      <w:tr>
        <w:trPr>
          <w:trHeight w:val="135"/>
        </w:trPr>
        <w:tc>
          <w:tcPr>
            <w:tcW w:w="8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Supplemental disclosures of non-cash activities:</w:t>
            </w: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33"/>
        </w:trPr>
        <w:tc>
          <w:tcPr>
            <w:tcW w:w="87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Transfer of inventories to rental assets</w:t>
            </w:r>
          </w:p>
        </w:tc>
        <w:tc>
          <w:tcPr>
            <w:tcW w:w="800" w:type="dxa"/>
            <w:vAlign w:val="bottom"/>
          </w:tcPr>
          <w:p>
            <w:pPr>
              <w:jc w:val="right"/>
              <w:ind w:right="6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297</w:t>
            </w:r>
          </w:p>
        </w:tc>
        <w:tc>
          <w:tcPr>
            <w:tcW w:w="80" w:type="dxa"/>
            <w:vAlign w:val="bottom"/>
          </w:tcPr>
          <w:p>
            <w:pPr>
              <w:spacing w:after="0"/>
              <w:rPr>
                <w:sz w:val="11"/>
                <w:szCs w:val="11"/>
                <w:color w:val="auto"/>
              </w:rPr>
            </w:pPr>
          </w:p>
        </w:tc>
        <w:tc>
          <w:tcPr>
            <w:tcW w:w="300" w:type="dxa"/>
            <w:vAlign w:val="bottom"/>
          </w:tcPr>
          <w:p>
            <w:pPr>
              <w:jc w:val="right"/>
              <w:ind w:right="189"/>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4,394</w:t>
            </w:r>
          </w:p>
        </w:tc>
      </w:tr>
      <w:tr>
        <w:trPr>
          <w:trHeight w:val="137"/>
        </w:trPr>
        <w:tc>
          <w:tcPr>
            <w:tcW w:w="8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Capital expenditures financed through accounts payable or accrued liabilities</w:t>
            </w:r>
          </w:p>
        </w:tc>
        <w:tc>
          <w:tcPr>
            <w:tcW w:w="80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4,402</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2,643</w:t>
            </w:r>
          </w:p>
        </w:tc>
      </w:tr>
      <w:tr>
        <w:trPr>
          <w:trHeight w:val="133"/>
        </w:trPr>
        <w:tc>
          <w:tcPr>
            <w:tcW w:w="87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Right-of-use assets obtained in exchange for operating leases liabilities</w:t>
            </w:r>
          </w:p>
        </w:tc>
        <w:tc>
          <w:tcPr>
            <w:tcW w:w="800" w:type="dxa"/>
            <w:vAlign w:val="bottom"/>
          </w:tcPr>
          <w:p>
            <w:pPr>
              <w:jc w:val="right"/>
              <w:ind w:right="669"/>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342</w:t>
            </w:r>
          </w:p>
        </w:tc>
        <w:tc>
          <w:tcPr>
            <w:tcW w:w="80" w:type="dxa"/>
            <w:vAlign w:val="bottom"/>
          </w:tcPr>
          <w:p>
            <w:pPr>
              <w:spacing w:after="0"/>
              <w:rPr>
                <w:sz w:val="11"/>
                <w:szCs w:val="11"/>
                <w:color w:val="auto"/>
              </w:rPr>
            </w:pPr>
          </w:p>
        </w:tc>
        <w:tc>
          <w:tcPr>
            <w:tcW w:w="300" w:type="dxa"/>
            <w:vAlign w:val="bottom"/>
          </w:tcPr>
          <w:p>
            <w:pPr>
              <w:jc w:val="right"/>
              <w:ind w:right="189"/>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544</w:t>
            </w:r>
          </w:p>
        </w:tc>
      </w:tr>
      <w:tr>
        <w:trPr>
          <w:trHeight w:val="137"/>
        </w:trPr>
        <w:tc>
          <w:tcPr>
            <w:tcW w:w="8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Exchange of Series E Preferred Stock for common stock</w:t>
            </w:r>
          </w:p>
        </w:tc>
        <w:tc>
          <w:tcPr>
            <w:tcW w:w="80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11,982</w:t>
            </w:r>
          </w:p>
        </w:tc>
      </w:tr>
      <w:tr>
        <w:trPr>
          <w:trHeight w:val="133"/>
        </w:trPr>
        <w:tc>
          <w:tcPr>
            <w:tcW w:w="87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Issuance of common stock in exchange for Series E Preferred Stock</w:t>
            </w:r>
          </w:p>
        </w:tc>
        <w:tc>
          <w:tcPr>
            <w:tcW w:w="800" w:type="dxa"/>
            <w:vAlign w:val="bottom"/>
          </w:tcPr>
          <w:p>
            <w:pPr>
              <w:jc w:val="right"/>
              <w:ind w:right="669"/>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189"/>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13,086</w:t>
            </w:r>
          </w:p>
        </w:tc>
      </w:tr>
      <w:tr>
        <w:trPr>
          <w:trHeight w:val="137"/>
        </w:trPr>
        <w:tc>
          <w:tcPr>
            <w:tcW w:w="8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Deemed dividend on exchange of Series E Preferred Stock for common stock</w:t>
            </w:r>
          </w:p>
        </w:tc>
        <w:tc>
          <w:tcPr>
            <w:tcW w:w="80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1,104</w:t>
            </w:r>
          </w:p>
        </w:tc>
      </w:tr>
      <w:tr>
        <w:trPr>
          <w:trHeight w:val="131"/>
        </w:trPr>
        <w:tc>
          <w:tcPr>
            <w:tcW w:w="874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2025 Notes conversion, including shares issued in satisfaction of interest make-whole payment</w:t>
            </w:r>
          </w:p>
        </w:tc>
        <w:tc>
          <w:tcPr>
            <w:tcW w:w="800" w:type="dxa"/>
            <w:vAlign w:val="bottom"/>
          </w:tcPr>
          <w:p>
            <w:pPr>
              <w:jc w:val="right"/>
              <w:ind w:right="669"/>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189"/>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5,383</w:t>
            </w:r>
          </w:p>
        </w:tc>
      </w:tr>
    </w:tbl>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accompanying notes to condensed consolidated financial statements.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50" w:right="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2"/>
          <w:szCs w:val="12"/>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Basis of Presentation</w:t>
      </w:r>
    </w:p>
    <w:p>
      <w:pPr>
        <w:spacing w:after="0" w:line="11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2"/>
          <w:szCs w:val="12"/>
          <w:color w:val="auto"/>
        </w:rPr>
        <w:t>The condensed consolidated financial statements contained herein have been prepared by Inseego Corp. (the “Company”) in accordance with the Securities and Exchange Commission (the “SEC”) rules for interim financial information. Accordingly, the condensed consolidated financial statements reflect all normal recurring adjustments, which are, in the opinion of management, necessary for fair presentation of the results of interim periods and may not include all disclosures required by accounting principles generally accepted in the United States (“GAAP”). The information as of September 30, 2022 and for the three and nine months ended September 30, 2022 and September 30, 2021, is unaudited, whereas the condensed consolidated balance sheet as of December 31, 2021 is derived from the Company’s audited consolidated financial statements as of that date. These condensed consolidated financial statements and notes hereto should be read in conjunction with the audited financial statements and notes thereto included in the Company’s Annual Report on Form 10-K for the year ended December 31, 2021 (the “Form 10-K”).</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Certain prior period amounts were reclassified to conform to the current period presentation. These reclassifications did not affect total revenues, costs and expenses, net loss, assets, liabilities or stockholders’ deficit.</w:t>
      </w:r>
    </w:p>
    <w:p>
      <w:pPr>
        <w:spacing w:after="0" w:line="105" w:lineRule="exact"/>
        <w:rPr>
          <w:sz w:val="20"/>
          <w:szCs w:val="20"/>
          <w:color w:val="auto"/>
        </w:rPr>
      </w:pPr>
    </w:p>
    <w:p>
      <w:pPr>
        <w:ind w:right="420" w:firstLine="270"/>
        <w:spacing w:after="0" w:line="264" w:lineRule="auto"/>
        <w:rPr>
          <w:sz w:val="20"/>
          <w:szCs w:val="20"/>
          <w:color w:val="auto"/>
        </w:rPr>
      </w:pPr>
      <w:r>
        <w:rPr>
          <w:rFonts w:ascii="Times New Roman" w:cs="Times New Roman" w:eastAsia="Times New Roman" w:hAnsi="Times New Roman"/>
          <w:sz w:val="12"/>
          <w:szCs w:val="12"/>
          <w:color w:val="auto"/>
        </w:rPr>
        <w:t>The accounting policies used in preparing these condensed consolidated financial statements are the same as those described in the Form 10-K. The results of operations for the interim periods presented are not necessarily indicative of results to be expected for any other interim period or for the year as a whole.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Principles of Consolidation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condensed consolidated financial statements include the accounts of the Company and its wholly-owned subsidiaries. All intercompany transactions and balances have been eliminated in consolidation.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Segment Information</w:t>
      </w:r>
    </w:p>
    <w:p>
      <w:pPr>
        <w:spacing w:after="0" w:line="116"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2"/>
          <w:szCs w:val="12"/>
          <w:color w:val="auto"/>
        </w:rPr>
        <w:t>Management has determined that the Company has one reportable segment. The Chief Executive Officer, who is also the Chief Operating Decision Maker, does not manage any part of the Company separately, and allocations of resources and assessments of performance are based solely on the Company’s consolidated operations and financial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Use of Estimates</w:t>
      </w:r>
    </w:p>
    <w:p>
      <w:pPr>
        <w:spacing w:after="0" w:line="11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GAAP requires management to make estimates and assumptions. These estimates and assumptions affect the reported amounts of assets, liabilities, revenues and expenses, and the disclosure of contingent liabilities. Actual results could differ materially from these estimates. Estimates are assessed each period and updated to reflect current information. Significant estimates include revenue recognition, capitalized software costs, allowance for credit losses, provision for excess and obsolete inventory, valuation of intangible and long-lived assets, valuation of goodwill, valuation of derivatives, accruals relating to litigation, income taxes and share-based compensation expense.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and Uncertainties</w:t>
      </w:r>
    </w:p>
    <w:p>
      <w:pPr>
        <w:spacing w:after="0" w:line="107"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2"/>
          <w:szCs w:val="12"/>
          <w:color w:val="auto"/>
        </w:rPr>
        <w:t>In March 2020, the World Health Organization declared a global pandemic caused by the novel coronavirus (“COVID-19”), resulting in shutdowns of manufacturing and commerce globally in the months that followed. The extent of the impact of the COVID-19 pandemic on the Company’s operational and financial performance will depend on future developments, including the duration, severity and spread of the outbreak, emergence of new variants of concern, and actions taken by the federal, state, local and foreign governments to contain the pandemic, all of which are uncertain and cannot be predicted.</w:t>
      </w:r>
    </w:p>
    <w:p>
      <w:pPr>
        <w:spacing w:after="0" w:line="7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In addition, a global semiconductor supply shortage is causing wide-ranging impacts across the technology industry. While the shortage has not materially impacted the Company’s operations and financial results, it may negatively impact our customers and the supply of materials needed for our testing and production timeline. Our suppliers, contract manufacturers, and customers are all taking actions to reduce the impact of the semiconductor shortage; however, if the shortage persists, the impact on our operations and financial results could be material.</w:t>
      </w:r>
    </w:p>
    <w:p>
      <w:pPr>
        <w:spacing w:after="0" w:line="79"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inflationary pressures impacting the global supply chain could potentially increase the cost of net revenues in the current and future years. The ongoing inflation challenges could adversely impact our future revenues, gross margins and financial results.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INSEEGO CORP.</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Sale of Ctrack South Africa</w:t>
      </w:r>
    </w:p>
    <w:p>
      <w:pPr>
        <w:spacing w:after="0" w:line="107" w:lineRule="exact"/>
        <w:rPr>
          <w:sz w:val="20"/>
          <w:szCs w:val="20"/>
          <w:color w:val="auto"/>
        </w:rPr>
      </w:pPr>
    </w:p>
    <w:p>
      <w:pPr>
        <w:ind w:right="260" w:firstLine="270"/>
        <w:spacing w:after="0" w:line="279" w:lineRule="auto"/>
        <w:rPr>
          <w:sz w:val="20"/>
          <w:szCs w:val="20"/>
          <w:color w:val="auto"/>
        </w:rPr>
      </w:pPr>
      <w:r>
        <w:rPr>
          <w:rFonts w:ascii="Times New Roman" w:cs="Times New Roman" w:eastAsia="Times New Roman" w:hAnsi="Times New Roman"/>
          <w:sz w:val="12"/>
          <w:szCs w:val="12"/>
          <w:color w:val="auto"/>
        </w:rPr>
        <w:t>On July 30, 2021, the Company completed the sale of its Ctrack business operations in Africa, Pakistan and the Middle East (together “Ctrack South Africa”) and recognized a pre-tax gain of $5.3 million. Total cash proceeds received from the sale were $31.5 million, net of cash divested of $5.0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Liquidity</w:t>
      </w:r>
    </w:p>
    <w:p>
      <w:pPr>
        <w:spacing w:after="0" w:line="105"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2"/>
          <w:szCs w:val="12"/>
          <w:color w:val="auto"/>
        </w:rPr>
        <w:t xml:space="preserve">As of September 30, 2022, the Company had available unrestricted cash and cash equivalents totaling $18.1 million and $14.6 million of excess availability under its secured asset-backed revolving credit facility. See Note 4,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for more information on this new credit facility.</w:t>
      </w:r>
    </w:p>
    <w:p>
      <w:pPr>
        <w:spacing w:after="0" w:line="6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2"/>
          <w:szCs w:val="12"/>
          <w:color w:val="auto"/>
        </w:rPr>
        <w:t>The Company has a history of operating and net losses and overall usage of cash from operating and investing activities. The Company’s management believes that its cash and cash equivalents on-hand, together with anticipated cash flows from operations, availability under its secured asset-backed revolving credit facility, and anticipated savings from ongoing cost reduction efforts, will be sufficient to meet its cash flow needs for the next twelve months from the filing date of this report. The Company’s ability to attain more profitable operations and continue to generate positive cash flow is dependent upon achieving a level and mix of revenues adequate to support its evolving cost structure. If events or circumstances occur such that the Company does not meet its operating plans as expected, or if the Company becomes obligated to pay unforeseen expenditures as a result of ongoing litigation, the Company may be required to raise capital, reduce planned research and development activities, incur additional restructuring charges or reduce other operating expenses and capital expenditures, which could have an adverse impact on its ability to achieve its intended business objectives.</w:t>
      </w:r>
    </w:p>
    <w:p>
      <w:pPr>
        <w:spacing w:after="0" w:line="85"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1"/>
          <w:szCs w:val="11"/>
          <w:color w:val="auto"/>
        </w:rPr>
        <w:t xml:space="preserve">The Company’s liquidity could also be impaired by significant interruptions in its business operations, such as those described above under the heading </w:t>
      </w:r>
      <w:r>
        <w:rPr>
          <w:rFonts w:ascii="Times New Roman" w:cs="Times New Roman" w:eastAsia="Times New Roman" w:hAnsi="Times New Roman"/>
          <w:sz w:val="11"/>
          <w:szCs w:val="11"/>
          <w:i w:val="1"/>
          <w:iCs w:val="1"/>
          <w:color w:val="auto"/>
        </w:rPr>
        <w:t>Risks and Uncertainties</w:t>
      </w:r>
      <w:r>
        <w:rPr>
          <w:rFonts w:ascii="Times New Roman" w:cs="Times New Roman" w:eastAsia="Times New Roman" w:hAnsi="Times New Roman"/>
          <w:sz w:val="11"/>
          <w:szCs w:val="11"/>
          <w:color w:val="auto"/>
        </w:rPr>
        <w:t>, or, a material failure to satisfy its contractual commitments or a failure to generate revenues from new or existing products. In addition, there can be no assurance that any required or desired restructuring or financing will be available on terms favorable to the Company, or at all.</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Cash Equivalents and Restricted Cash</w:t>
      </w:r>
    </w:p>
    <w:p>
      <w:pPr>
        <w:spacing w:after="0" w:line="107" w:lineRule="exact"/>
        <w:rPr>
          <w:sz w:val="20"/>
          <w:szCs w:val="20"/>
          <w:color w:val="auto"/>
        </w:rPr>
      </w:pPr>
    </w:p>
    <w:p>
      <w:pPr>
        <w:ind w:right="120" w:firstLine="270"/>
        <w:spacing w:after="0" w:line="249" w:lineRule="auto"/>
        <w:rPr>
          <w:sz w:val="20"/>
          <w:szCs w:val="20"/>
          <w:color w:val="auto"/>
        </w:rPr>
      </w:pPr>
      <w:r>
        <w:rPr>
          <w:rFonts w:ascii="Times New Roman" w:cs="Times New Roman" w:eastAsia="Times New Roman" w:hAnsi="Times New Roman"/>
          <w:sz w:val="12"/>
          <w:szCs w:val="12"/>
          <w:color w:val="auto"/>
        </w:rPr>
        <w:t>Cash and cash equivalents include highly liquid investments with original maturities of three months or less. The Company’s cash and cash equivalents are generally held with large financial institutions worldwide to reduce the amount of exposure to credit risk. Cash, cash equivalents and restricted cash are recorded at market value, which approximates cost. Gains and losses associated with the Company’s foreign currency denominated demand deposits are recorded as a component of other income, net, in the consolidated statements of operations. Restricted cash held in escrow as of December 31, 2021 was released during the third quarter of 2022 and we no longer have any restricted cash on our balance sheet as of September 30, 2022.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Recently Adopted Accounting Pronouncements</w:t>
      </w:r>
    </w:p>
    <w:p>
      <w:pPr>
        <w:spacing w:after="0" w:line="11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2"/>
          <w:szCs w:val="12"/>
          <w:color w:val="auto"/>
        </w:rPr>
        <w:t xml:space="preserve">In August 2020, the Financial Accounting Standards Board (“FASB”) issued Accounting Standards Update (“ASU”) 2020-06, </w:t>
      </w:r>
      <w:r>
        <w:rPr>
          <w:rFonts w:ascii="Times New Roman" w:cs="Times New Roman" w:eastAsia="Times New Roman" w:hAnsi="Times New Roman"/>
          <w:sz w:val="12"/>
          <w:szCs w:val="12"/>
          <w:i w:val="1"/>
          <w:iCs w:val="1"/>
          <w:color w:val="auto"/>
        </w:rPr>
        <w:t>Debt with Conversion and Other Options (Subtopic 470-20) and Derivatives and Hedging-Contracts 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Entity's Own Equity (Subtopic 815-40)-Accounting For Convertible Instruments and Contracts in an Entity's Own Equity</w:t>
      </w:r>
      <w:r>
        <w:rPr>
          <w:rFonts w:ascii="Times New Roman" w:cs="Times New Roman" w:eastAsia="Times New Roman" w:hAnsi="Times New Roman"/>
          <w:sz w:val="12"/>
          <w:szCs w:val="12"/>
          <w:color w:val="auto"/>
        </w:rPr>
        <w:t>. The ASU simplifies accounting for convertible instruments by removing major separation models required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under current 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net income per share calculation in certain areas. The guidance is effective for annual and interim periods beginning after December 15, 2021. The Company adopted the ASU in the first quarter of fiscal 2022 and there was no impact to the condensed consolidated financial statements.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In May 2021, the FASB issued ASU 2021-04, </w:t>
      </w:r>
      <w:r>
        <w:rPr>
          <w:rFonts w:ascii="Times New Roman" w:cs="Times New Roman" w:eastAsia="Times New Roman" w:hAnsi="Times New Roman"/>
          <w:sz w:val="12"/>
          <w:szCs w:val="12"/>
          <w:i w:val="1"/>
          <w:iCs w:val="1"/>
          <w:color w:val="auto"/>
        </w:rPr>
        <w:t>Earnings Per Share (Topic 260), Debt-Modifications and Extinguishments (Subtopic 470-50), Compensation-Stock Compensation (Topic 718), and Derivatives and Hedging-Contracts in</w:t>
      </w:r>
    </w:p>
    <w:p>
      <w:pPr>
        <w:spacing w:after="0" w:line="1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2"/>
          <w:szCs w:val="12"/>
          <w:i w:val="1"/>
          <w:iCs w:val="1"/>
          <w:color w:val="auto"/>
        </w:rPr>
        <w:t>Entity’s Own Equity (Subtopic 815-40)</w:t>
      </w:r>
      <w:r>
        <w:rPr>
          <w:rFonts w:ascii="Times New Roman" w:cs="Times New Roman" w:eastAsia="Times New Roman" w:hAnsi="Times New Roman"/>
          <w:sz w:val="12"/>
          <w:szCs w:val="12"/>
          <w:color w:val="auto"/>
        </w:rPr>
        <w:t>. The ASU addresses issuer’s accounting for certain modifications or exchanges of freestanding equity-classified written call options. The ASU is effective for annual and interim periods beginning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after December 15, 2021. The Company adopted the ASU in the first quarter of fiscal 2022 and there was no impact to the condensed consolidated financial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Recent Accounting Pronouncements Not Yet Adopted</w:t>
      </w:r>
    </w:p>
    <w:p>
      <w:pPr>
        <w:spacing w:after="0" w:line="114"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2"/>
          <w:szCs w:val="12"/>
          <w:color w:val="auto"/>
        </w:rPr>
        <w:t xml:space="preserve">In September 2022, the FASB issued ASU No. 2022-04, </w:t>
      </w:r>
      <w:r>
        <w:rPr>
          <w:rFonts w:ascii="Times New Roman" w:cs="Times New Roman" w:eastAsia="Times New Roman" w:hAnsi="Times New Roman"/>
          <w:sz w:val="12"/>
          <w:szCs w:val="12"/>
          <w:i w:val="1"/>
          <w:iCs w:val="1"/>
          <w:color w:val="auto"/>
        </w:rPr>
        <w:t>Liabilities—Supplier Finance Programs (Subtopic 405-50)</w:t>
      </w:r>
      <w:r>
        <w:rPr>
          <w:rFonts w:ascii="Times New Roman" w:cs="Times New Roman" w:eastAsia="Times New Roman" w:hAnsi="Times New Roman"/>
          <w:sz w:val="12"/>
          <w:szCs w:val="12"/>
          <w:color w:val="auto"/>
        </w:rPr>
        <w:t>. The ASU requires disclosure of the key terms of outstanding supplier finance programs and a rollforward of the related obligations.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2"/>
          <w:szCs w:val="12"/>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2"/>
          <w:szCs w:val="12"/>
          <w:color w:val="auto"/>
        </w:rPr>
        <w:t>The ASU does not affect the recognition, measurement or financial statement presentation of supplier finance program obligations. The ASU is effective for annual and interim periods beginning after December 15, 2022, except for the rollforward requirement, which is effective for annual periods beginning after December 15, 2023. The Company is currently evaluating the impact of this ASU on its consolidated financial statements.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Financial Statement Details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Inventories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Inventories consist of the following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200" w:type="dxa"/>
            <w:vAlign w:val="bottom"/>
          </w:tcPr>
          <w:p>
            <w:pPr>
              <w:spacing w:after="0"/>
              <w:rPr>
                <w:sz w:val="10"/>
                <w:szCs w:val="10"/>
                <w:color w:val="auto"/>
              </w:rPr>
            </w:pPr>
          </w:p>
        </w:tc>
        <w:tc>
          <w:tcPr>
            <w:tcW w:w="1040" w:type="dxa"/>
            <w:vAlign w:val="bottom"/>
          </w:tcPr>
          <w:p>
            <w:pPr>
              <w:jc w:val="right"/>
              <w:ind w:right="288"/>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9"/>
        </w:trPr>
        <w:tc>
          <w:tcPr>
            <w:tcW w:w="87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7"/>
        </w:trPr>
        <w:tc>
          <w:tcPr>
            <w:tcW w:w="87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Finished goods</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35,644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33,112</w:t>
            </w:r>
          </w:p>
        </w:tc>
      </w:tr>
      <w:tr>
        <w:trPr>
          <w:trHeight w:val="142"/>
        </w:trPr>
        <w:tc>
          <w:tcPr>
            <w:tcW w:w="8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Raw materials and components</w:t>
            </w: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6,762</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4,290</w:t>
            </w:r>
          </w:p>
        </w:tc>
      </w:tr>
      <w:tr>
        <w:trPr>
          <w:trHeight w:val="151"/>
        </w:trPr>
        <w:tc>
          <w:tcPr>
            <w:tcW w:w="8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inventories</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42,406</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37,402</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Prepaid expenses and other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Prepaid expenses and other consists of the following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200" w:type="dxa"/>
            <w:vAlign w:val="bottom"/>
          </w:tcPr>
          <w:p>
            <w:pPr>
              <w:spacing w:after="0"/>
              <w:rPr>
                <w:sz w:val="10"/>
                <w:szCs w:val="10"/>
                <w:color w:val="auto"/>
              </w:rPr>
            </w:pPr>
          </w:p>
        </w:tc>
        <w:tc>
          <w:tcPr>
            <w:tcW w:w="1020" w:type="dxa"/>
            <w:vAlign w:val="bottom"/>
          </w:tcPr>
          <w:p>
            <w:pPr>
              <w:jc w:val="right"/>
              <w:ind w:right="267"/>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30"/>
        </w:trPr>
        <w:tc>
          <w:tcPr>
            <w:tcW w:w="88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8"/>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Rebate receivables</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4,015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6,398</w:t>
            </w:r>
          </w:p>
        </w:tc>
      </w:tr>
      <w:tr>
        <w:trPr>
          <w:trHeight w:val="142"/>
        </w:trPr>
        <w:tc>
          <w:tcPr>
            <w:tcW w:w="8800" w:type="dxa"/>
            <w:vAlign w:val="bottom"/>
          </w:tcPr>
          <w:p>
            <w:pPr>
              <w:spacing w:after="0"/>
              <w:rPr>
                <w:sz w:val="20"/>
                <w:szCs w:val="20"/>
                <w:color w:val="auto"/>
              </w:rPr>
            </w:pPr>
            <w:r>
              <w:rPr>
                <w:rFonts w:ascii="Times New Roman" w:cs="Times New Roman" w:eastAsia="Times New Roman" w:hAnsi="Times New Roman"/>
                <w:sz w:val="11"/>
                <w:szCs w:val="11"/>
                <w:color w:val="auto"/>
              </w:rPr>
              <w:t>Receivables from contract manufacturers</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2,626</w:t>
            </w:r>
          </w:p>
        </w:tc>
      </w:tr>
      <w:tr>
        <w:trPr>
          <w:trHeight w:val="14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Software licenses</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1,261</w:t>
            </w:r>
          </w:p>
        </w:tc>
      </w:tr>
      <w:tr>
        <w:trPr>
          <w:trHeight w:val="142"/>
        </w:trPr>
        <w:tc>
          <w:tcPr>
            <w:tcW w:w="8800" w:type="dxa"/>
            <w:vAlign w:val="bottom"/>
          </w:tcPr>
          <w:p>
            <w:pPr>
              <w:spacing w:after="0"/>
              <w:rPr>
                <w:sz w:val="20"/>
                <w:szCs w:val="20"/>
                <w:color w:val="auto"/>
              </w:rPr>
            </w:pPr>
            <w:r>
              <w:rPr>
                <w:rFonts w:ascii="Times New Roman" w:cs="Times New Roman" w:eastAsia="Times New Roman" w:hAnsi="Times New Roman"/>
                <w:sz w:val="11"/>
                <w:szCs w:val="11"/>
                <w:color w:val="auto"/>
              </w:rPr>
              <w:t>Insurance</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1,269</w:t>
            </w:r>
          </w:p>
        </w:tc>
      </w:tr>
      <w:tr>
        <w:trPr>
          <w:trHeight w:val="14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Deposits</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1,023</w:t>
            </w:r>
          </w:p>
        </w:tc>
      </w:tr>
      <w:tr>
        <w:trPr>
          <w:trHeight w:val="142"/>
        </w:trPr>
        <w:tc>
          <w:tcPr>
            <w:tcW w:w="8800" w:type="dxa"/>
            <w:vAlign w:val="bottom"/>
          </w:tcPr>
          <w:p>
            <w:pPr>
              <w:spacing w:after="0"/>
              <w:rPr>
                <w:sz w:val="20"/>
                <w:szCs w:val="20"/>
                <w:color w:val="auto"/>
              </w:rPr>
            </w:pPr>
            <w:r>
              <w:rPr>
                <w:rFonts w:ascii="Times New Roman" w:cs="Times New Roman" w:eastAsia="Times New Roman" w:hAnsi="Times New Roman"/>
                <w:sz w:val="11"/>
                <w:szCs w:val="11"/>
                <w:color w:val="auto"/>
              </w:rPr>
              <w:t>Financed assets</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w:t>
            </w:r>
          </w:p>
        </w:tc>
      </w:tr>
      <w:tr>
        <w:trPr>
          <w:trHeight w:val="144"/>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w:t>
            </w:r>
          </w:p>
        </w:tc>
        <w:tc>
          <w:tcPr>
            <w:tcW w:w="1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1,203</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724</w:t>
            </w:r>
          </w:p>
        </w:tc>
      </w:tr>
      <w:tr>
        <w:trPr>
          <w:trHeight w:val="133"/>
        </w:trPr>
        <w:tc>
          <w:tcPr>
            <w:tcW w:w="8800" w:type="dxa"/>
            <w:vAlign w:val="bottom"/>
          </w:tcPr>
          <w:p>
            <w:pPr>
              <w:spacing w:after="0"/>
              <w:rPr>
                <w:sz w:val="11"/>
                <w:szCs w:val="11"/>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10,902</w:t>
            </w: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13,624</w:t>
            </w: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Accrued expenses and other current liabilities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Accrued expenses and other current liabilities consist of the following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right"/>
              <w:ind w:right="267"/>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ind w:right="287"/>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9"/>
        </w:trPr>
        <w:tc>
          <w:tcPr>
            <w:tcW w:w="87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7"/>
        </w:trPr>
        <w:tc>
          <w:tcPr>
            <w:tcW w:w="87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Royalties</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2,243</w:t>
            </w:r>
          </w:p>
        </w:tc>
      </w:tr>
      <w:tr>
        <w:trPr>
          <w:trHeight w:val="142"/>
        </w:trPr>
        <w:tc>
          <w:tcPr>
            <w:tcW w:w="8740" w:type="dxa"/>
            <w:vAlign w:val="bottom"/>
          </w:tcPr>
          <w:p>
            <w:pPr>
              <w:spacing w:after="0"/>
              <w:rPr>
                <w:sz w:val="20"/>
                <w:szCs w:val="20"/>
                <w:color w:val="auto"/>
              </w:rPr>
            </w:pPr>
            <w:r>
              <w:rPr>
                <w:rFonts w:ascii="Times New Roman" w:cs="Times New Roman" w:eastAsia="Times New Roman" w:hAnsi="Times New Roman"/>
                <w:sz w:val="11"/>
                <w:szCs w:val="11"/>
                <w:color w:val="auto"/>
              </w:rPr>
              <w:t>Payroll and related expenses</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10,106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9,326</w:t>
            </w:r>
          </w:p>
        </w:tc>
      </w:tr>
      <w:tr>
        <w:trPr>
          <w:trHeight w:val="14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Warranty obligations</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473</w:t>
            </w:r>
          </w:p>
        </w:tc>
      </w:tr>
      <w:tr>
        <w:trPr>
          <w:trHeight w:val="142"/>
        </w:trPr>
        <w:tc>
          <w:tcPr>
            <w:tcW w:w="8740" w:type="dxa"/>
            <w:vAlign w:val="bottom"/>
          </w:tcPr>
          <w:p>
            <w:pPr>
              <w:spacing w:after="0"/>
              <w:rPr>
                <w:sz w:val="20"/>
                <w:szCs w:val="20"/>
                <w:color w:val="auto"/>
              </w:rPr>
            </w:pPr>
            <w:r>
              <w:rPr>
                <w:rFonts w:ascii="Times New Roman" w:cs="Times New Roman" w:eastAsia="Times New Roman" w:hAnsi="Times New Roman"/>
                <w:sz w:val="11"/>
                <w:szCs w:val="11"/>
                <w:color w:val="auto"/>
              </w:rPr>
              <w:t>Professional fees</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502</w:t>
            </w:r>
          </w:p>
        </w:tc>
      </w:tr>
      <w:tr>
        <w:trPr>
          <w:trHeight w:val="14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Accrued interest</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877</w:t>
            </w:r>
          </w:p>
        </w:tc>
      </w:tr>
      <w:tr>
        <w:trPr>
          <w:trHeight w:val="144"/>
        </w:trPr>
        <w:tc>
          <w:tcPr>
            <w:tcW w:w="8740" w:type="dxa"/>
            <w:vAlign w:val="bottom"/>
          </w:tcPr>
          <w:p>
            <w:pPr>
              <w:spacing w:after="0"/>
              <w:rPr>
                <w:sz w:val="20"/>
                <w:szCs w:val="20"/>
                <w:color w:val="auto"/>
              </w:rPr>
            </w:pPr>
            <w:r>
              <w:rPr>
                <w:rFonts w:ascii="Times New Roman" w:cs="Times New Roman" w:eastAsia="Times New Roman" w:hAnsi="Times New Roman"/>
                <w:sz w:val="11"/>
                <w:szCs w:val="11"/>
                <w:color w:val="auto"/>
              </w:rPr>
              <w:t>Customer contract liabilities</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8,554</w:t>
            </w:r>
          </w:p>
        </w:tc>
        <w:tc>
          <w:tcPr>
            <w:tcW w:w="10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3,832</w:t>
            </w:r>
          </w:p>
        </w:tc>
      </w:tr>
      <w:tr>
        <w:trPr>
          <w:trHeight w:val="144"/>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1,662</w:t>
            </w:r>
          </w:p>
        </w:tc>
        <w:tc>
          <w:tcPr>
            <w:tcW w:w="10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1,769</w:t>
            </w:r>
          </w:p>
        </w:tc>
      </w:tr>
      <w:tr>
        <w:trPr>
          <w:trHeight w:val="142"/>
        </w:trPr>
        <w:tc>
          <w:tcPr>
            <w:tcW w:w="8740" w:type="dxa"/>
            <w:vAlign w:val="bottom"/>
          </w:tcPr>
          <w:p>
            <w:pPr>
              <w:spacing w:after="0"/>
              <w:rPr>
                <w:sz w:val="20"/>
                <w:szCs w:val="20"/>
                <w:color w:val="auto"/>
              </w:rPr>
            </w:pPr>
            <w:r>
              <w:rPr>
                <w:rFonts w:ascii="Times New Roman" w:cs="Times New Roman" w:eastAsia="Times New Roman" w:hAnsi="Times New Roman"/>
                <w:sz w:val="11"/>
                <w:szCs w:val="11"/>
                <w:color w:val="auto"/>
              </w:rPr>
              <w:t>Accrued contract manufacturing liabilities</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1,599</w:t>
            </w:r>
          </w:p>
        </w:tc>
        <w:tc>
          <w:tcPr>
            <w:tcW w:w="10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927</w:t>
            </w:r>
          </w:p>
        </w:tc>
      </w:tr>
      <w:tr>
        <w:trPr>
          <w:trHeight w:val="14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Value added tax payables</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642</w:t>
            </w:r>
          </w:p>
        </w:tc>
      </w:tr>
      <w:tr>
        <w:trPr>
          <w:trHeight w:val="142"/>
        </w:trPr>
        <w:tc>
          <w:tcPr>
            <w:tcW w:w="8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w:t>
            </w: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3,707</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5,662</w:t>
            </w:r>
          </w:p>
        </w:tc>
      </w:tr>
      <w:tr>
        <w:trPr>
          <w:trHeight w:val="151"/>
        </w:trPr>
        <w:tc>
          <w:tcPr>
            <w:tcW w:w="8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accrued expenses and other current liabilities</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31,476</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26,253</w:t>
            </w: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2"/>
          <w:szCs w:val="12"/>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Fair Value Measurement of Assets and Liabilities</w:t>
      </w:r>
    </w:p>
    <w:p>
      <w:pPr>
        <w:spacing w:after="0" w:line="118" w:lineRule="exact"/>
        <w:rPr>
          <w:sz w:val="20"/>
          <w:szCs w:val="20"/>
          <w:color w:val="auto"/>
        </w:rPr>
      </w:pPr>
    </w:p>
    <w:p>
      <w:pPr>
        <w:ind w:right="200" w:firstLine="270"/>
        <w:spacing w:after="0" w:line="310" w:lineRule="auto"/>
        <w:rPr>
          <w:sz w:val="20"/>
          <w:szCs w:val="20"/>
          <w:color w:val="auto"/>
        </w:rPr>
      </w:pPr>
      <w:r>
        <w:rPr>
          <w:rFonts w:ascii="Times New Roman" w:cs="Times New Roman" w:eastAsia="Times New Roman" w:hAnsi="Times New Roman"/>
          <w:sz w:val="11"/>
          <w:szCs w:val="11"/>
          <w:color w:val="auto"/>
        </w:rPr>
        <w:t>Fair value is defined as an exit price, representing the amount that would be received to sell an asset or paid to transfer a liability in an orderly transaction between market participants. Fair value is a market-based measurement that is determined based on assumptions that market participants would use in pricing an asset or liability. Each fair value measurement is classified into one of the following levels based on the information used in the valuation:</w:t>
      </w:r>
    </w:p>
    <w:p>
      <w:pPr>
        <w:spacing w:after="0" w:line="58" w:lineRule="exact"/>
        <w:rPr>
          <w:sz w:val="20"/>
          <w:szCs w:val="20"/>
          <w:color w:val="auto"/>
        </w:rPr>
      </w:pPr>
    </w:p>
    <w:p>
      <w:pPr>
        <w:ind w:left="260"/>
        <w:spacing w:after="0"/>
        <w:tabs>
          <w:tab w:leader="none" w:pos="760" w:val="left"/>
        </w:tabs>
        <w:rPr>
          <w:sz w:val="20"/>
          <w:szCs w:val="20"/>
          <w:color w:val="auto"/>
        </w:rPr>
      </w:pPr>
      <w:r>
        <w:rPr>
          <w:rFonts w:ascii="Times New Roman" w:cs="Times New Roman" w:eastAsia="Times New Roman" w:hAnsi="Times New Roman"/>
          <w:sz w:val="12"/>
          <w:szCs w:val="12"/>
          <w:i w:val="1"/>
          <w:iCs w:val="1"/>
          <w:color w:val="auto"/>
        </w:rPr>
        <w:t>Level 1:</w:t>
      </w:r>
      <w:r>
        <w:rPr>
          <w:sz w:val="20"/>
          <w:szCs w:val="20"/>
          <w:color w:val="auto"/>
        </w:rPr>
        <w:tab/>
      </w:r>
      <w:r>
        <w:rPr>
          <w:rFonts w:ascii="Times New Roman" w:cs="Times New Roman" w:eastAsia="Times New Roman" w:hAnsi="Times New Roman"/>
          <w:sz w:val="11"/>
          <w:szCs w:val="11"/>
          <w:color w:val="auto"/>
        </w:rPr>
        <w:t>Observable inputs such as quoted prices in active markets.</w:t>
      </w:r>
    </w:p>
    <w:p>
      <w:pPr>
        <w:spacing w:after="0" w:line="105" w:lineRule="exact"/>
        <w:rPr>
          <w:sz w:val="20"/>
          <w:szCs w:val="20"/>
          <w:color w:val="auto"/>
        </w:rPr>
      </w:pPr>
    </w:p>
    <w:p>
      <w:pPr>
        <w:ind w:left="260"/>
        <w:spacing w:after="0"/>
        <w:tabs>
          <w:tab w:leader="none" w:pos="760" w:val="left"/>
        </w:tabs>
        <w:rPr>
          <w:sz w:val="20"/>
          <w:szCs w:val="20"/>
          <w:color w:val="auto"/>
        </w:rPr>
      </w:pPr>
      <w:r>
        <w:rPr>
          <w:rFonts w:ascii="Times New Roman" w:cs="Times New Roman" w:eastAsia="Times New Roman" w:hAnsi="Times New Roman"/>
          <w:sz w:val="12"/>
          <w:szCs w:val="12"/>
          <w:i w:val="1"/>
          <w:iCs w:val="1"/>
          <w:color w:val="auto"/>
        </w:rPr>
        <w:t>Level 2:</w:t>
      </w:r>
      <w:r>
        <w:rPr>
          <w:sz w:val="20"/>
          <w:szCs w:val="20"/>
          <w:color w:val="auto"/>
        </w:rPr>
        <w:tab/>
      </w:r>
      <w:r>
        <w:rPr>
          <w:rFonts w:ascii="Times New Roman" w:cs="Times New Roman" w:eastAsia="Times New Roman" w:hAnsi="Times New Roman"/>
          <w:sz w:val="11"/>
          <w:szCs w:val="11"/>
          <w:color w:val="auto"/>
        </w:rPr>
        <w:t>Inputs, other than quoted prices in active markets, that are observable either directly or indirectly.</w:t>
      </w:r>
    </w:p>
    <w:p>
      <w:pPr>
        <w:spacing w:after="0" w:line="105" w:lineRule="exact"/>
        <w:rPr>
          <w:sz w:val="20"/>
          <w:szCs w:val="20"/>
          <w:color w:val="auto"/>
        </w:rPr>
      </w:pPr>
    </w:p>
    <w:p>
      <w:pPr>
        <w:ind w:left="700" w:right="20" w:hanging="431"/>
        <w:spacing w:after="0" w:line="279" w:lineRule="auto"/>
        <w:tabs>
          <w:tab w:leader="none" w:pos="680" w:val="left"/>
        </w:tabs>
        <w:rPr>
          <w:sz w:val="20"/>
          <w:szCs w:val="20"/>
          <w:color w:val="auto"/>
        </w:rPr>
      </w:pPr>
      <w:r>
        <w:rPr>
          <w:rFonts w:ascii="Times New Roman" w:cs="Times New Roman" w:eastAsia="Times New Roman" w:hAnsi="Times New Roman"/>
          <w:sz w:val="12"/>
          <w:szCs w:val="12"/>
          <w:i w:val="1"/>
          <w:iCs w:val="1"/>
          <w:color w:val="auto"/>
        </w:rPr>
        <w:t>Level 3:</w:t>
      </w:r>
      <w:r>
        <w:rPr>
          <w:sz w:val="20"/>
          <w:szCs w:val="20"/>
          <w:color w:val="auto"/>
        </w:rPr>
        <w:tab/>
      </w:r>
      <w:r>
        <w:rPr>
          <w:rFonts w:ascii="Times New Roman" w:cs="Times New Roman" w:eastAsia="Times New Roman" w:hAnsi="Times New Roman"/>
          <w:sz w:val="12"/>
          <w:szCs w:val="12"/>
          <w:color w:val="auto"/>
        </w:rPr>
        <w:t>The fair market value for level 3 securities may be highly sensitive to the use of unobservable inputs and subjective assumptions. Generally, changes in significant unobservable inputs may result in significantly lower or higher fair value measurements.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following table summarizes the Company’s financial instruments measured at fair value on a recurring basis as of September 30, 2022 and December 31, 2021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December 31, 2021</w:t>
            </w: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23"/>
        </w:trPr>
        <w:tc>
          <w:tcPr>
            <w:tcW w:w="3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Total Fair Value</w:t>
            </w:r>
          </w:p>
        </w:tc>
        <w:tc>
          <w:tcPr>
            <w:tcW w:w="120" w:type="dxa"/>
            <w:vAlign w:val="bottom"/>
          </w:tcPr>
          <w:p>
            <w:pPr>
              <w:spacing w:after="0"/>
              <w:rPr>
                <w:sz w:val="10"/>
                <w:szCs w:val="10"/>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260" w:type="dxa"/>
            <w:vAlign w:val="bottom"/>
          </w:tcPr>
          <w:p>
            <w:pPr>
              <w:spacing w:after="0"/>
              <w:rPr>
                <w:sz w:val="10"/>
                <w:szCs w:val="1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Total Fair Value</w:t>
            </w:r>
          </w:p>
        </w:tc>
        <w:tc>
          <w:tcPr>
            <w:tcW w:w="160" w:type="dxa"/>
            <w:vAlign w:val="bottom"/>
          </w:tcPr>
          <w:p>
            <w:pPr>
              <w:spacing w:after="0"/>
              <w:rPr>
                <w:sz w:val="10"/>
                <w:szCs w:val="1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7"/>
              </w:rPr>
              <w:t>Level 3</w:t>
            </w:r>
          </w:p>
        </w:tc>
        <w:tc>
          <w:tcPr>
            <w:tcW w:w="260" w:type="dxa"/>
            <w:vAlign w:val="bottom"/>
          </w:tcPr>
          <w:p>
            <w:pPr>
              <w:spacing w:after="0"/>
              <w:rPr>
                <w:sz w:val="10"/>
                <w:szCs w:val="10"/>
                <w:color w:val="auto"/>
              </w:rPr>
            </w:pPr>
          </w:p>
        </w:tc>
        <w:tc>
          <w:tcPr>
            <w:tcW w:w="940" w:type="dxa"/>
            <w:vAlign w:val="bottom"/>
          </w:tcPr>
          <w:p>
            <w:pPr>
              <w:jc w:val="right"/>
              <w:ind w:right="407"/>
              <w:spacing w:after="0"/>
              <w:rPr>
                <w:sz w:val="20"/>
                <w:szCs w:val="20"/>
                <w:color w:val="auto"/>
              </w:rPr>
            </w:pPr>
            <w:r>
              <w:rPr>
                <w:rFonts w:ascii="Times New Roman" w:cs="Times New Roman" w:eastAsia="Times New Roman" w:hAnsi="Times New Roman"/>
                <w:sz w:val="10"/>
                <w:szCs w:val="10"/>
                <w:b w:val="1"/>
                <w:bCs w:val="1"/>
                <w:color w:val="auto"/>
              </w:rPr>
              <w:t>Level 1</w:t>
            </w:r>
          </w:p>
        </w:tc>
      </w:tr>
      <w:tr>
        <w:trPr>
          <w:trHeight w:val="130"/>
        </w:trPr>
        <w:tc>
          <w:tcPr>
            <w:tcW w:w="3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r>
      <w:tr>
        <w:trPr>
          <w:trHeight w:val="146"/>
        </w:trPr>
        <w:tc>
          <w:tcPr>
            <w:tcW w:w="3720" w:type="dxa"/>
            <w:vAlign w:val="bottom"/>
          </w:tcPr>
          <w:p>
            <w:pPr>
              <w:spacing w:after="0"/>
              <w:rPr>
                <w:sz w:val="20"/>
                <w:szCs w:val="20"/>
                <w:color w:val="auto"/>
              </w:rPr>
            </w:pPr>
            <w:r>
              <w:rPr>
                <w:rFonts w:ascii="Times New Roman" w:cs="Times New Roman" w:eastAsia="Times New Roman" w:hAnsi="Times New Roman"/>
                <w:sz w:val="11"/>
                <w:szCs w:val="11"/>
                <w:color w:val="auto"/>
              </w:rPr>
              <w:t>Cash equivalents</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6"/>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Money market funds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w:t>
            </w:r>
          </w:p>
        </w:tc>
      </w:tr>
      <w:tr>
        <w:trPr>
          <w:trHeight w:val="149"/>
        </w:trPr>
        <w:tc>
          <w:tcPr>
            <w:tcW w:w="3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 assets</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w:t>
            </w:r>
          </w:p>
        </w:tc>
      </w:tr>
      <w:tr>
        <w:trPr>
          <w:trHeight w:val="126"/>
        </w:trPr>
        <w:tc>
          <w:tcPr>
            <w:tcW w:w="37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Liabilities</w:t>
            </w: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2"/>
        </w:trPr>
        <w:tc>
          <w:tcPr>
            <w:tcW w:w="3720" w:type="dxa"/>
            <w:vAlign w:val="bottom"/>
          </w:tcPr>
          <w:p>
            <w:pPr>
              <w:spacing w:after="0"/>
              <w:rPr>
                <w:sz w:val="20"/>
                <w:szCs w:val="20"/>
                <w:color w:val="auto"/>
              </w:rPr>
            </w:pPr>
            <w:r>
              <w:rPr>
                <w:rFonts w:ascii="Times New Roman" w:cs="Times New Roman" w:eastAsia="Times New Roman" w:hAnsi="Times New Roman"/>
                <w:sz w:val="11"/>
                <w:szCs w:val="11"/>
                <w:color w:val="auto"/>
              </w:rPr>
              <w:t>2025 Notes</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6"/>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Interest make-whole payment</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1"/>
                <w:szCs w:val="11"/>
                <w:color w:val="auto"/>
              </w:rPr>
              <w:t>24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1"/>
        </w:trPr>
        <w:tc>
          <w:tcPr>
            <w:tcW w:w="37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Total liabilities</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1"/>
                <w:szCs w:val="11"/>
                <w:color w:val="auto"/>
              </w:rPr>
              <w:t>24</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926</w:t>
            </w: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926</w:t>
            </w:r>
          </w:p>
        </w:tc>
        <w:tc>
          <w:tcPr>
            <w:tcW w:w="8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fair value of the interest make-whole payment derivative liability was determined using a Monte Carlo model using the following key assumptions: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780" w:type="dxa"/>
            <w:vAlign w:val="bottom"/>
          </w:tcPr>
          <w:p>
            <w:pPr>
              <w:spacing w:after="0"/>
              <w:rPr>
                <w:sz w:val="11"/>
                <w:szCs w:val="11"/>
                <w:color w:val="auto"/>
              </w:rPr>
            </w:pPr>
          </w:p>
        </w:tc>
        <w:tc>
          <w:tcPr>
            <w:tcW w:w="1800" w:type="dxa"/>
            <w:vAlign w:val="bottom"/>
            <w:gridSpan w:val="2"/>
          </w:tcPr>
          <w:p>
            <w:pPr>
              <w:ind w:left="46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1720" w:type="dxa"/>
            <w:vAlign w:val="bottom"/>
          </w:tcPr>
          <w:p>
            <w:pPr>
              <w:jc w:val="right"/>
              <w:ind w:right="427"/>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142"/>
        </w:trPr>
        <w:tc>
          <w:tcPr>
            <w:tcW w:w="7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Volatility</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r>
      <w:tr>
        <w:trPr>
          <w:trHeight w:val="142"/>
        </w:trPr>
        <w:tc>
          <w:tcPr>
            <w:tcW w:w="7780" w:type="dxa"/>
            <w:vAlign w:val="bottom"/>
          </w:tcPr>
          <w:p>
            <w:pPr>
              <w:spacing w:after="0"/>
              <w:rPr>
                <w:sz w:val="20"/>
                <w:szCs w:val="20"/>
                <w:color w:val="auto"/>
              </w:rPr>
            </w:pPr>
            <w:r>
              <w:rPr>
                <w:rFonts w:ascii="Times New Roman" w:cs="Times New Roman" w:eastAsia="Times New Roman" w:hAnsi="Times New Roman"/>
                <w:sz w:val="11"/>
                <w:szCs w:val="11"/>
                <w:color w:val="auto"/>
              </w:rPr>
              <w:t>Stock price</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$2.07 per share</w:t>
            </w: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$5.83 per share</w:t>
            </w:r>
          </w:p>
        </w:tc>
      </w:tr>
      <w:tr>
        <w:trPr>
          <w:trHeight w:val="14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Credit spread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30.78 %</w:t>
            </w:r>
          </w:p>
        </w:tc>
        <w:tc>
          <w:tcPr>
            <w:tcW w:w="8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15.93 %</w:t>
            </w:r>
          </w:p>
        </w:tc>
      </w:tr>
      <w:tr>
        <w:trPr>
          <w:trHeight w:val="142"/>
        </w:trPr>
        <w:tc>
          <w:tcPr>
            <w:tcW w:w="7780" w:type="dxa"/>
            <w:vAlign w:val="bottom"/>
          </w:tcPr>
          <w:p>
            <w:pPr>
              <w:spacing w:after="0"/>
              <w:rPr>
                <w:sz w:val="20"/>
                <w:szCs w:val="20"/>
                <w:color w:val="auto"/>
              </w:rPr>
            </w:pPr>
            <w:r>
              <w:rPr>
                <w:rFonts w:ascii="Times New Roman" w:cs="Times New Roman" w:eastAsia="Times New Roman" w:hAnsi="Times New Roman"/>
                <w:sz w:val="11"/>
                <w:szCs w:val="11"/>
                <w:color w:val="auto"/>
              </w:rPr>
              <w:t>Term</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2.59 years</w:t>
            </w: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 years</w:t>
            </w:r>
          </w:p>
        </w:tc>
      </w:tr>
      <w:tr>
        <w:trPr>
          <w:trHeight w:val="14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 yield</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40"/>
        </w:trPr>
        <w:tc>
          <w:tcPr>
            <w:tcW w:w="7780" w:type="dxa"/>
            <w:vAlign w:val="bottom"/>
          </w:tcPr>
          <w:p>
            <w:pPr>
              <w:spacing w:after="0"/>
              <w:rPr>
                <w:sz w:val="20"/>
                <w:szCs w:val="20"/>
                <w:color w:val="auto"/>
              </w:rPr>
            </w:pPr>
            <w:r>
              <w:rPr>
                <w:rFonts w:ascii="Times New Roman" w:cs="Times New Roman" w:eastAsia="Times New Roman" w:hAnsi="Times New Roman"/>
                <w:sz w:val="11"/>
                <w:szCs w:val="11"/>
                <w:color w:val="auto"/>
              </w:rPr>
              <w:t>Risk-free rate</w:t>
            </w: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4.24 %</w:t>
            </w:r>
          </w:p>
        </w:tc>
        <w:tc>
          <w:tcPr>
            <w:tcW w:w="8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1.02 %</w:t>
            </w:r>
          </w:p>
        </w:tc>
      </w:tr>
    </w:tbl>
    <w:p>
      <w:pPr>
        <w:spacing w:after="0" w:line="218" w:lineRule="exact"/>
        <w:rPr>
          <w:sz w:val="20"/>
          <w:szCs w:val="20"/>
          <w:color w:val="auto"/>
        </w:rPr>
      </w:pPr>
    </w:p>
    <w:p>
      <w:pPr>
        <w:ind w:right="40" w:firstLine="270"/>
        <w:spacing w:after="0" w:line="265" w:lineRule="auto"/>
        <w:rPr>
          <w:sz w:val="20"/>
          <w:szCs w:val="20"/>
          <w:color w:val="auto"/>
        </w:rPr>
      </w:pPr>
      <w:r>
        <w:rPr>
          <w:rFonts w:ascii="Times New Roman" w:cs="Times New Roman" w:eastAsia="Times New Roman" w:hAnsi="Times New Roman"/>
          <w:sz w:val="12"/>
          <w:szCs w:val="12"/>
          <w:color w:val="auto"/>
        </w:rPr>
        <w:t>No unrealized gain related to the interest make-whole payment derivative liability was recognized for the three months ended September 30, 2022, compared to a $1.6 million,unrealized gain for the three months ended September 30, 2021. The Company also recognized $0.9 million and $3.4 million of unrealized gains for the nine months ended September 30, 2022 and 2021, respectively. Unrealized gains and losses on the interest make-whole payment derivative are included within other income (expense), net, on the condensed consolidated statements of operations.</w:t>
      </w:r>
    </w:p>
    <w:p>
      <w:pPr>
        <w:spacing w:after="0" w:line="137" w:lineRule="exact"/>
        <w:rPr>
          <w:sz w:val="20"/>
          <w:szCs w:val="20"/>
          <w:color w:val="auto"/>
        </w:rPr>
      </w:pPr>
    </w:p>
    <w:p>
      <w:pPr>
        <w:ind w:right="300" w:firstLine="270"/>
        <w:spacing w:after="0" w:line="279" w:lineRule="auto"/>
        <w:rPr>
          <w:sz w:val="20"/>
          <w:szCs w:val="20"/>
          <w:color w:val="auto"/>
        </w:rPr>
      </w:pPr>
      <w:r>
        <w:rPr>
          <w:rFonts w:ascii="Times New Roman" w:cs="Times New Roman" w:eastAsia="Times New Roman" w:hAnsi="Times New Roman"/>
          <w:sz w:val="12"/>
          <w:szCs w:val="12"/>
          <w:color w:val="auto"/>
        </w:rPr>
        <w:t>The Company reviews the fair value hierarchy classification of its financial instruments measured at fair value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nine months ended September 30, 2022 or 2021.</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INSEEGO CORP.</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Financial Instruments</w:t>
      </w:r>
    </w:p>
    <w:p>
      <w:pPr>
        <w:spacing w:after="0" w:line="109" w:lineRule="exact"/>
        <w:rPr>
          <w:sz w:val="20"/>
          <w:szCs w:val="20"/>
          <w:color w:val="auto"/>
        </w:rPr>
      </w:pPr>
    </w:p>
    <w:p>
      <w:pPr>
        <w:ind w:right="80" w:firstLine="270"/>
        <w:spacing w:after="0" w:line="257" w:lineRule="auto"/>
        <w:rPr>
          <w:sz w:val="20"/>
          <w:szCs w:val="20"/>
          <w:color w:val="auto"/>
        </w:rPr>
      </w:pPr>
      <w:r>
        <w:rPr>
          <w:rFonts w:ascii="Times New Roman" w:cs="Times New Roman" w:eastAsia="Times New Roman" w:hAnsi="Times New Roman"/>
          <w:sz w:val="12"/>
          <w:szCs w:val="12"/>
          <w:color w:val="auto"/>
        </w:rPr>
        <w:t xml:space="preserve">The carrying values of the Company’s other financial assets and liabilities approximate their fair values because of their short-term nature, with the exception of the 3.25% convertible senior notes due 2025 (the “2025 Notes”). The 2025 Notes are carried at amortized cost, adjusted for changes in fair value of the embedded derivative. It is not practicable to determine the fair value of the 2025 Notes due to the lack of information available to calculate the fair value of such notes. As of September 30, 2022 and December 31, 2021, the carrying amount of the 2025 Notes was $158.1 million and $157.9 million, respectively. See Note 4.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xml:space="preserve"> for additional information on the 2025 Notes.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Debt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Asset-backed Revolving Credit Facility</w:t>
      </w:r>
    </w:p>
    <w:p>
      <w:pPr>
        <w:spacing w:after="0" w:line="118" w:lineRule="exact"/>
        <w:rPr>
          <w:sz w:val="20"/>
          <w:szCs w:val="20"/>
          <w:color w:val="auto"/>
        </w:rPr>
      </w:pPr>
    </w:p>
    <w:p>
      <w:pPr>
        <w:ind w:firstLine="270"/>
        <w:spacing w:after="0" w:line="243" w:lineRule="auto"/>
        <w:rPr>
          <w:sz w:val="20"/>
          <w:szCs w:val="20"/>
          <w:color w:val="auto"/>
        </w:rPr>
      </w:pPr>
      <w:r>
        <w:rPr>
          <w:rFonts w:ascii="Times New Roman" w:cs="Times New Roman" w:eastAsia="Times New Roman" w:hAnsi="Times New Roman"/>
          <w:sz w:val="12"/>
          <w:szCs w:val="12"/>
          <w:color w:val="auto"/>
        </w:rPr>
        <w:t>On August 5, 2022, the Company entered into a Loan and Security Agreement (the “Credit Agreement”), by and among Siena Lending Group LLC, as lender (“Lender”), Inseego Wireless, Inc., a Delaware corporation (“Inseego Wireless”), and Inseego North America LLC, an Oregon limited liability company, as borrowers (together with Inseego Wireless, the “Borrowers”), and the Company, as guarantor (together with the Borrowers, the “Loan Parties”). The Credit Agreement establishes a secured asset-backed revolving credit facility which is comprised of a maximum $50 million revolving credit facility (“Credit Facility”), with a minimum draw of $4.5 million upon execution of the Credit Agreement. The Credit Facility matures on December 31, 2024. Availability under the Credit Facility is determined monthly by a borrowing base comprised of a percentage of eligible accounts receivable and eligible inventory of the Borrowers. Outstanding amounts exceeding the borrowing base must be repaid immediately. The Borrowers’ obligations under the Credit Agreement are guaranteed by the Company. The Loan Parties’ obligations under the Credit Agreement are secured by a continuing security interest in all property of each Loan Party, subject to certain Excluded Collateral (as defined in the Credit Agreement).</w:t>
      </w:r>
    </w:p>
    <w:p>
      <w:pPr>
        <w:spacing w:after="0" w:line="98" w:lineRule="exact"/>
        <w:rPr>
          <w:sz w:val="20"/>
          <w:szCs w:val="20"/>
          <w:color w:val="auto"/>
        </w:rPr>
      </w:pPr>
    </w:p>
    <w:p>
      <w:pPr>
        <w:ind w:firstLine="270"/>
        <w:spacing w:after="0" w:line="249" w:lineRule="auto"/>
        <w:rPr>
          <w:sz w:val="20"/>
          <w:szCs w:val="20"/>
          <w:color w:val="auto"/>
        </w:rPr>
      </w:pPr>
      <w:r>
        <w:rPr>
          <w:rFonts w:ascii="Times New Roman" w:cs="Times New Roman" w:eastAsia="Times New Roman" w:hAnsi="Times New Roman"/>
          <w:sz w:val="12"/>
          <w:szCs w:val="12"/>
          <w:color w:val="auto"/>
        </w:rPr>
        <w:t>Borrowings under the Credit Facility may take the form of base rate (“Base Rate”) loans or Secured Overnight Financing Rate (“SOFR”) loans. SOFR loans will bear interest at a rate per annum equal to Term SOFR (as defined in the Credit Agreement as the Term SOFR Reference Rate for a tenor of one month on the day) plus the Applicable Margin (as defined in the Credit Agreement), with a Term SOFR floor of 1%. Base Rate loans will bear interest at a rate per annum equal to the Applicable Margin plus the greatest of (a) the per annum rate of interest which is identified as the “Prime Rate” and normally published in the Money Rates section of The Wall Street Journal, (b) the sum of the Federal Funds Rate (as defined in the Credit Agreement) plus 0.5% and (c) 3.50% per annum.</w:t>
      </w:r>
    </w:p>
    <w:p>
      <w:pPr>
        <w:spacing w:after="0" w:line="84" w:lineRule="exact"/>
        <w:rPr>
          <w:sz w:val="20"/>
          <w:szCs w:val="20"/>
          <w:color w:val="auto"/>
        </w:rPr>
      </w:pPr>
    </w:p>
    <w:p>
      <w:pPr>
        <w:ind w:right="20" w:firstLine="270"/>
        <w:spacing w:after="0" w:line="257" w:lineRule="auto"/>
        <w:rPr>
          <w:sz w:val="20"/>
          <w:szCs w:val="20"/>
          <w:color w:val="auto"/>
        </w:rPr>
      </w:pPr>
      <w:r>
        <w:rPr>
          <w:rFonts w:ascii="Times New Roman" w:cs="Times New Roman" w:eastAsia="Times New Roman" w:hAnsi="Times New Roman"/>
          <w:sz w:val="12"/>
          <w:szCs w:val="12"/>
          <w:color w:val="auto"/>
        </w:rPr>
        <w:t>The Applicable Margin varies depending on the average outstanding amount for a preceding month. If the average outstanding amount for a preceding month is less than $15 million, the Applicable Margin will be 2.50% for Base Rate loans and 3.50% for SOFR loans. If the average outstanding amount for a preceding month is between $15 million and $25 million, the Applicable Margin will be 3.00% for Base Rate loans and 4.00% for SOFR loans. If the average outstanding amount for a preceding month is greater than $25 million, the Applicable Margin will be 4.5% for Base Rate loans and 5.50% for SOFR loans.</w:t>
      </w:r>
    </w:p>
    <w:p>
      <w:pPr>
        <w:spacing w:after="0" w:line="79" w:lineRule="exact"/>
        <w:rPr>
          <w:sz w:val="20"/>
          <w:szCs w:val="20"/>
          <w:color w:val="auto"/>
        </w:rPr>
      </w:pPr>
    </w:p>
    <w:p>
      <w:pPr>
        <w:jc w:val="both"/>
        <w:ind w:right="120" w:firstLine="270"/>
        <w:spacing w:after="0" w:line="257" w:lineRule="auto"/>
        <w:rPr>
          <w:sz w:val="20"/>
          <w:szCs w:val="20"/>
          <w:color w:val="auto"/>
        </w:rPr>
      </w:pPr>
      <w:r>
        <w:rPr>
          <w:rFonts w:ascii="Times New Roman" w:cs="Times New Roman" w:eastAsia="Times New Roman" w:hAnsi="Times New Roman"/>
          <w:sz w:val="12"/>
          <w:szCs w:val="12"/>
          <w:color w:val="auto"/>
        </w:rPr>
        <w:t>The Credit Agreement contains a financial covenant whereby the Loan Parties shall not permit the consolidated Liquidity (as defined in the Credit Agreement) to be less than $10 million at any time. The Credit Agreement also contains certain customary covenants, which include, but are not limited to, restrictions on indebtedness, liens, fundamental changes, restricted payments, asset sales, and investments, and places limits on various other payments. The Company was in compliance with all Credit Agreement covenants as of September 30, 2022.</w:t>
      </w:r>
    </w:p>
    <w:p>
      <w:pPr>
        <w:spacing w:after="0" w:line="79" w:lineRule="exact"/>
        <w:rPr>
          <w:sz w:val="20"/>
          <w:szCs w:val="20"/>
          <w:color w:val="auto"/>
        </w:rPr>
      </w:pPr>
    </w:p>
    <w:p>
      <w:pPr>
        <w:ind w:right="80" w:firstLine="270"/>
        <w:spacing w:after="0" w:line="249" w:lineRule="auto"/>
        <w:rPr>
          <w:sz w:val="20"/>
          <w:szCs w:val="20"/>
          <w:color w:val="auto"/>
        </w:rPr>
      </w:pPr>
      <w:r>
        <w:rPr>
          <w:rFonts w:ascii="Times New Roman" w:cs="Times New Roman" w:eastAsia="Times New Roman" w:hAnsi="Times New Roman"/>
          <w:sz w:val="12"/>
          <w:szCs w:val="12"/>
          <w:color w:val="auto"/>
        </w:rPr>
        <w:t>Upon execution of the Credit Agreement, the Company paid $1.1 million of debt issuance costs, which will be amortized to interest expense throughout the term of the agreement.. Through September 30, 2022, the Company borrowed an aggregate $9.0 million and repaid an aggregate $4.5 million under the Credit Facility. As of September 30, 2022, the Credit Facility had outstanding borrowings of $4.5 million and a borrowing base of $19.1 million. The Company’s policy is to classify outstanding borrowings as long-term so long as such borrowings are not expected to exceed the borrowing base over the 12 months subsequent to the balance sheet date, in which case, any excess borrowings would be classified as short-term.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2025 Notes</w:t>
      </w:r>
    </w:p>
    <w:p>
      <w:pPr>
        <w:spacing w:after="0" w:line="172" w:lineRule="exact"/>
        <w:rPr>
          <w:sz w:val="20"/>
          <w:szCs w:val="20"/>
          <w:color w:val="auto"/>
        </w:rPr>
      </w:pPr>
    </w:p>
    <w:p>
      <w:pPr>
        <w:ind w:right="80" w:firstLine="270"/>
        <w:spacing w:after="0" w:line="264" w:lineRule="auto"/>
        <w:rPr>
          <w:sz w:val="20"/>
          <w:szCs w:val="20"/>
          <w:color w:val="auto"/>
        </w:rPr>
      </w:pPr>
      <w:r>
        <w:rPr>
          <w:rFonts w:ascii="Times New Roman" w:cs="Times New Roman" w:eastAsia="Times New Roman" w:hAnsi="Times New Roman"/>
          <w:sz w:val="12"/>
          <w:szCs w:val="12"/>
          <w:color w:val="auto"/>
        </w:rPr>
        <w:t>On May 12, 2020, the Company completed its registered public offering of $100.0 million aggregate principal amount of 2025 Notes and issued $80.4 million principal amount of 2025 Notes in the privately negotiated exchange agreements that closed concurrently with the registered offering in May 2020.</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nine months ended September 30, 2021, certain holders of the 2025 Notes converted an aggregate of approximately $5.0 million in principal amount of the 2025 Notes into 428,669 shares of the Company’s common stock,</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2"/>
          <w:szCs w:val="12"/>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including 32,221 shares of common stock issued in satisfaction of the interest make-whole payment. In connection therewith, the Company recorded a loss of $0.4 million on debt conversion, net in the condensed consolidated statement of operations.</w:t>
      </w:r>
    </w:p>
    <w:p>
      <w:pPr>
        <w:spacing w:after="0" w:line="83" w:lineRule="exact"/>
        <w:rPr>
          <w:sz w:val="20"/>
          <w:szCs w:val="20"/>
          <w:color w:val="auto"/>
        </w:rPr>
      </w:pPr>
    </w:p>
    <w:p>
      <w:pPr>
        <w:jc w:val="both"/>
        <w:ind w:firstLine="270"/>
        <w:spacing w:after="0" w:line="249" w:lineRule="auto"/>
        <w:rPr>
          <w:sz w:val="20"/>
          <w:szCs w:val="20"/>
          <w:color w:val="auto"/>
        </w:rPr>
      </w:pPr>
      <w:r>
        <w:rPr>
          <w:rFonts w:ascii="Times New Roman" w:cs="Times New Roman" w:eastAsia="Times New Roman" w:hAnsi="Times New Roman"/>
          <w:sz w:val="12"/>
          <w:szCs w:val="12"/>
          <w:color w:val="auto"/>
        </w:rPr>
        <w:t>As of September 30, 2022 and December 31, 2021, $161.9 million in principal amount of the 2025 Notes were outstanding, $80.4 million of which were held by related parties, and $0.4 million of accrued interest due to related parties was included within accrued expenses and other current liabilities on the condensed consolidated balance sheets. Assuming no repurchases or conversions of the 2025 Notes prior to May 1, 2025, the entire principal balance of $161.9 million is due on May 1, 2025. The 2025 Notes are senior unsecured obligations of the Company and bear interest at an annual rate of 3.25%, payable semi-annually in arrears on May 1 and November 1 of each year.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2025 Notes consist of the following (in thousands):</w:t>
      </w:r>
    </w:p>
    <w:tbl>
      <w:tblPr>
        <w:tblLayout w:type="fixed"/>
        <w:tblInd w:w="0" w:type="dxa"/>
        <w:tblCellMar>
          <w:top w:w="0" w:type="dxa"/>
          <w:left w:w="0" w:type="dxa"/>
          <w:bottom w:w="0" w:type="dxa"/>
          <w:right w:w="0" w:type="dxa"/>
        </w:tblCellMar>
      </w:tblPr>
      <w:tr>
        <w:trPr>
          <w:trHeight w:val="107"/>
        </w:trPr>
        <w:tc>
          <w:tcPr>
            <w:tcW w:w="8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2"/>
          </w:tcPr>
          <w:p>
            <w:pPr>
              <w:ind w:left="140"/>
              <w:spacing w:after="0" w:line="107"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200" w:type="dxa"/>
            <w:vAlign w:val="bottom"/>
          </w:tcPr>
          <w:p>
            <w:pPr>
              <w:spacing w:after="0"/>
              <w:rPr>
                <w:sz w:val="9"/>
                <w:szCs w:val="9"/>
                <w:color w:val="auto"/>
              </w:rPr>
            </w:pPr>
          </w:p>
        </w:tc>
        <w:tc>
          <w:tcPr>
            <w:tcW w:w="980" w:type="dxa"/>
            <w:vAlign w:val="bottom"/>
          </w:tcPr>
          <w:p>
            <w:pPr>
              <w:jc w:val="right"/>
              <w:ind w:right="248"/>
              <w:spacing w:after="0" w:line="107" w:lineRule="exact"/>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30"/>
        </w:trPr>
        <w:tc>
          <w:tcPr>
            <w:tcW w:w="87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8"/>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Principal</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161,898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161,898</w:t>
            </w:r>
          </w:p>
        </w:tc>
      </w:tr>
      <w:tr>
        <w:trPr>
          <w:trHeight w:val="142"/>
        </w:trPr>
        <w:tc>
          <w:tcPr>
            <w:tcW w:w="8780" w:type="dxa"/>
            <w:vAlign w:val="bottom"/>
          </w:tcPr>
          <w:p>
            <w:pPr>
              <w:spacing w:after="0"/>
              <w:rPr>
                <w:sz w:val="20"/>
                <w:szCs w:val="20"/>
                <w:color w:val="auto"/>
              </w:rPr>
            </w:pPr>
            <w:r>
              <w:rPr>
                <w:rFonts w:ascii="Times New Roman" w:cs="Times New Roman" w:eastAsia="Times New Roman" w:hAnsi="Times New Roman"/>
                <w:sz w:val="11"/>
                <w:szCs w:val="11"/>
                <w:color w:val="auto"/>
              </w:rPr>
              <w:t>Add: fair value of embedded derivative</w:t>
            </w: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926</w:t>
            </w:r>
          </w:p>
        </w:tc>
      </w:tr>
      <w:tr>
        <w:trPr>
          <w:trHeight w:val="14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Less: unamortized debt discount</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(2,761)</w:t>
            </w:r>
          </w:p>
        </w:tc>
      </w:tr>
      <w:tr>
        <w:trPr>
          <w:trHeight w:val="142"/>
        </w:trPr>
        <w:tc>
          <w:tcPr>
            <w:tcW w:w="8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Less: unamortized issuance costs</w:t>
            </w: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(1,703)</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(2,197)</w:t>
            </w:r>
          </w:p>
        </w:tc>
      </w:tr>
      <w:tr>
        <w:trPr>
          <w:trHeight w:val="151"/>
        </w:trPr>
        <w:tc>
          <w:tcPr>
            <w:tcW w:w="8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carrying amount</w:t>
            </w: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158,079</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157,866</w:t>
            </w:r>
          </w:p>
        </w:tc>
      </w:tr>
    </w:tbl>
    <w:p>
      <w:pPr>
        <w:spacing w:after="0" w:line="151"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The effective interest rate on the liability component of the 2025 Notes was 4.13% and 4.12% for the three months ended September 30, 2022 and 2021, respectively, and 4.18% and 4.15% for the nine months ended September 30, 2022 and 2021, respectively. The following table sets forth total interest expense recognized related to the 2025 Notes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680" w:type="dxa"/>
            <w:vAlign w:val="bottom"/>
          </w:tcPr>
          <w:p>
            <w:pPr>
              <w:spacing w:after="0"/>
              <w:rPr>
                <w:sz w:val="11"/>
                <w:szCs w:val="11"/>
                <w:color w:val="auto"/>
              </w:rPr>
            </w:pPr>
          </w:p>
        </w:tc>
        <w:tc>
          <w:tcPr>
            <w:tcW w:w="1860" w:type="dxa"/>
            <w:vAlign w:val="bottom"/>
            <w:gridSpan w:val="6"/>
          </w:tcPr>
          <w:p>
            <w:pPr>
              <w:ind w:left="14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100" w:type="dxa"/>
            <w:vAlign w:val="bottom"/>
          </w:tcPr>
          <w:p>
            <w:pPr>
              <w:spacing w:after="0"/>
              <w:rPr>
                <w:sz w:val="11"/>
                <w:szCs w:val="11"/>
                <w:color w:val="auto"/>
              </w:rPr>
            </w:pPr>
          </w:p>
        </w:tc>
        <w:tc>
          <w:tcPr>
            <w:tcW w:w="1660" w:type="dxa"/>
            <w:vAlign w:val="bottom"/>
            <w:gridSpan w:val="4"/>
          </w:tcPr>
          <w:p>
            <w:pPr>
              <w:jc w:val="right"/>
              <w:ind w:right="127"/>
              <w:spacing w:after="0"/>
              <w:rPr>
                <w:sz w:val="20"/>
                <w:szCs w:val="20"/>
                <w:color w:val="auto"/>
              </w:rPr>
            </w:pPr>
            <w:r>
              <w:rPr>
                <w:rFonts w:ascii="Times New Roman" w:cs="Times New Roman" w:eastAsia="Times New Roman" w:hAnsi="Times New Roman"/>
                <w:sz w:val="10"/>
                <w:szCs w:val="10"/>
                <w:b w:val="1"/>
                <w:bCs w:val="1"/>
                <w:color w:val="auto"/>
                <w:w w:val="97"/>
              </w:rPr>
              <w:t>Nine Months Ended September 30,</w:t>
            </w:r>
          </w:p>
        </w:tc>
      </w:tr>
      <w:tr>
        <w:trPr>
          <w:trHeight w:val="128"/>
        </w:trPr>
        <w:tc>
          <w:tcPr>
            <w:tcW w:w="768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3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67"/>
              <w:spacing w:after="0"/>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67"/>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8"/>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Contractual interest expense</w:t>
            </w:r>
          </w:p>
        </w:tc>
        <w:tc>
          <w:tcPr>
            <w:tcW w:w="52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3,946</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3,899</w:t>
            </w:r>
          </w:p>
        </w:tc>
      </w:tr>
      <w:tr>
        <w:trPr>
          <w:trHeight w:val="142"/>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Amortization of debt discount</w:t>
            </w:r>
          </w:p>
        </w:tc>
        <w:tc>
          <w:tcPr>
            <w:tcW w:w="5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622</w:t>
            </w:r>
          </w:p>
        </w:tc>
      </w:tr>
      <w:tr>
        <w:trPr>
          <w:trHeight w:val="144"/>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Amortization of debt issuance costs</w:t>
            </w:r>
          </w:p>
        </w:tc>
        <w:tc>
          <w:tcPr>
            <w:tcW w:w="52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494</w:t>
            </w:r>
          </w:p>
        </w:tc>
        <w:tc>
          <w:tcPr>
            <w:tcW w:w="1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495</w:t>
            </w:r>
          </w:p>
        </w:tc>
      </w:tr>
      <w:tr>
        <w:trPr>
          <w:trHeight w:val="135"/>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Total interest expense</w:t>
            </w:r>
          </w:p>
        </w:tc>
        <w:tc>
          <w:tcPr>
            <w:tcW w:w="5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1,687</w:t>
            </w: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1,687</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5,061</w:t>
            </w: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5,016</w:t>
            </w:r>
          </w:p>
        </w:tc>
      </w:tr>
      <w:tr>
        <w:trPr>
          <w:trHeight w:val="20"/>
        </w:trPr>
        <w:tc>
          <w:tcPr>
            <w:tcW w:w="7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Share-based Compensation</w:t>
      </w:r>
    </w:p>
    <w:p>
      <w:pPr>
        <w:spacing w:after="0" w:line="118" w:lineRule="exact"/>
        <w:rPr>
          <w:sz w:val="20"/>
          <w:szCs w:val="20"/>
          <w:color w:val="auto"/>
        </w:rPr>
      </w:pPr>
    </w:p>
    <w:p>
      <w:pPr>
        <w:jc w:val="both"/>
        <w:ind w:right="100"/>
        <w:spacing w:after="0" w:line="283" w:lineRule="auto"/>
        <w:rPr>
          <w:sz w:val="20"/>
          <w:szCs w:val="20"/>
          <w:color w:val="auto"/>
        </w:rPr>
      </w:pPr>
      <w:r>
        <w:rPr>
          <w:rFonts w:ascii="Times New Roman" w:cs="Times New Roman" w:eastAsia="Times New Roman" w:hAnsi="Times New Roman"/>
          <w:sz w:val="11"/>
          <w:szCs w:val="11"/>
          <w:color w:val="auto"/>
        </w:rPr>
        <w:t>During the nine months ended September 30, 2022, the Company granted awards under the 2018 Omnibus Incentive Compensation Plan, previously named the Amended and Restated 2009 Omnibus Incentive Compensation Plan (the “2018 Plan”), and the 2015 Incentive Compensation Plan (the “2015 Plan”). The Compensation Committee of the Board of Directors administers the plans. Under the 2018 Plan, a maximum of 8,897,084 shares of common stock may be issued upon the exercise of stock options, in the form of restricted stock, or in settlement of restricted stock units (“RSUs”) or other awards, including awards with alternative vesting schedules such as performance-based criteria.</w:t>
      </w:r>
    </w:p>
    <w:p>
      <w:pPr>
        <w:spacing w:after="0" w:line="75"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2"/>
          <w:szCs w:val="12"/>
          <w:color w:val="auto"/>
        </w:rPr>
        <w:t>For the three and nine months ended September 30, 2022 and 2021 the following table presents total share-based compensation expense within each functional line item on the condensed consolidated statements of operations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720" w:type="dxa"/>
            <w:vAlign w:val="bottom"/>
          </w:tcPr>
          <w:p>
            <w:pPr>
              <w:spacing w:after="0"/>
              <w:rPr>
                <w:sz w:val="10"/>
                <w:szCs w:val="10"/>
                <w:color w:val="auto"/>
              </w:rPr>
            </w:pPr>
          </w:p>
        </w:tc>
      </w:tr>
      <w:tr>
        <w:trPr>
          <w:trHeight w:val="129"/>
        </w:trPr>
        <w:tc>
          <w:tcPr>
            <w:tcW w:w="64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20" w:type="dxa"/>
            <w:vAlign w:val="bottom"/>
            <w:tcBorders>
              <w:bottom w:val="single" w:sz="8" w:color="auto"/>
            </w:tcBorders>
          </w:tcPr>
          <w:p>
            <w:pPr>
              <w:spacing w:after="0"/>
              <w:rPr>
                <w:sz w:val="11"/>
                <w:szCs w:val="11"/>
                <w:color w:val="auto"/>
              </w:rPr>
            </w:pPr>
          </w:p>
        </w:tc>
      </w:tr>
      <w:tr>
        <w:trPr>
          <w:trHeight w:val="129"/>
        </w:trPr>
        <w:tc>
          <w:tcPr>
            <w:tcW w:w="64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41"/>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Cost of revenues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1,873</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2,228</w:t>
            </w:r>
          </w:p>
        </w:tc>
      </w:tr>
      <w:tr>
        <w:trPr>
          <w:trHeight w:val="142"/>
        </w:trPr>
        <w:tc>
          <w:tcPr>
            <w:tcW w:w="6480" w:type="dxa"/>
            <w:vAlign w:val="bottom"/>
          </w:tcPr>
          <w:p>
            <w:pPr>
              <w:spacing w:after="0"/>
              <w:rPr>
                <w:sz w:val="20"/>
                <w:szCs w:val="20"/>
                <w:color w:val="auto"/>
              </w:rPr>
            </w:pPr>
            <w:r>
              <w:rPr>
                <w:rFonts w:ascii="Times New Roman" w:cs="Times New Roman" w:eastAsia="Times New Roman" w:hAnsi="Times New Roman"/>
                <w:sz w:val="11"/>
                <w:szCs w:val="11"/>
                <w:color w:val="auto"/>
              </w:rPr>
              <w:t>Research and development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4,366</w:t>
            </w:r>
          </w:p>
        </w:tc>
      </w:tr>
      <w:tr>
        <w:trPr>
          <w:trHeight w:val="14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Sales and marketing</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3,161</w:t>
            </w:r>
          </w:p>
        </w:tc>
      </w:tr>
      <w:tr>
        <w:trPr>
          <w:trHeight w:val="142"/>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1,205</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1,428</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5,922</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4,712</w:t>
            </w:r>
          </w:p>
        </w:tc>
      </w:tr>
      <w:tr>
        <w:trPr>
          <w:trHeight w:val="151"/>
        </w:trPr>
        <w:tc>
          <w:tcPr>
            <w:tcW w:w="6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2,406</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3,062</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15,892</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14,467</w:t>
            </w:r>
          </w:p>
        </w:tc>
      </w:tr>
    </w:tbl>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2"/>
          <w:szCs w:val="12"/>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Stock Options</w:t>
      </w:r>
    </w:p>
    <w:p>
      <w:pPr>
        <w:spacing w:after="0" w:line="11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2"/>
          <w:szCs w:val="12"/>
          <w:color w:val="auto"/>
        </w:rPr>
        <w:t>The Compensation Committee of the Board of Directors determines eligibility, vesting schedules and exercise prices for stock options granted. The Company generally uses the Black-Scholes option pricing model to estimate the fair value of its stock options. For performance stock awards subject to market-based vesting conditions, fair values are determined using the Monte-Carlo simulation model. Stock options generally have a term of ten years and vest over a three- to four-year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the Company’s stock option activity for the nine months ended September 30, 2022: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Outstanding — December 31, 2021</w:t>
            </w: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8,085,793</w:t>
            </w:r>
          </w:p>
        </w:tc>
      </w:tr>
      <w:tr>
        <w:trPr>
          <w:trHeight w:val="142"/>
        </w:trPr>
        <w:tc>
          <w:tcPr>
            <w:tcW w:w="101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Granted</w:t>
            </w: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1,422,500</w:t>
            </w:r>
          </w:p>
        </w:tc>
      </w:tr>
      <w:tr>
        <w:trPr>
          <w:trHeight w:val="146"/>
        </w:trPr>
        <w:tc>
          <w:tcPr>
            <w:tcW w:w="10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Exercised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(264,343)</w:t>
            </w:r>
          </w:p>
        </w:tc>
      </w:tr>
      <w:tr>
        <w:trPr>
          <w:trHeight w:val="142"/>
        </w:trPr>
        <w:tc>
          <w:tcPr>
            <w:tcW w:w="10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Canceled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(831,400)</w:t>
            </w:r>
          </w:p>
        </w:tc>
      </w:tr>
      <w:tr>
        <w:trPr>
          <w:trHeight w:val="133"/>
        </w:trPr>
        <w:tc>
          <w:tcPr>
            <w:tcW w:w="10160" w:type="dxa"/>
            <w:vAlign w:val="bottom"/>
            <w:tcBorders>
              <w:bottom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Outstanding — September 30, 2022</w:t>
            </w:r>
          </w:p>
        </w:tc>
        <w:tc>
          <w:tcPr>
            <w:tcW w:w="1140" w:type="dxa"/>
            <w:vAlign w:val="bottom"/>
            <w:tcBorders>
              <w:bottom w:val="single" w:sz="8" w:color="auto"/>
            </w:tcBorders>
            <w:shd w:val="clear" w:color="auto" w:fill="CCEEFF"/>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8,412,550</w:t>
            </w:r>
          </w:p>
        </w:tc>
      </w:tr>
      <w:tr>
        <w:trPr>
          <w:trHeight w:val="144"/>
        </w:trPr>
        <w:tc>
          <w:tcPr>
            <w:tcW w:w="10160" w:type="dxa"/>
            <w:vAlign w:val="bottom"/>
          </w:tcPr>
          <w:p>
            <w:pPr>
              <w:spacing w:after="0"/>
              <w:rPr>
                <w:sz w:val="20"/>
                <w:szCs w:val="20"/>
                <w:color w:val="auto"/>
              </w:rPr>
            </w:pPr>
            <w:r>
              <w:rPr>
                <w:rFonts w:ascii="Times New Roman" w:cs="Times New Roman" w:eastAsia="Times New Roman" w:hAnsi="Times New Roman"/>
                <w:sz w:val="11"/>
                <w:szCs w:val="11"/>
                <w:color w:val="auto"/>
              </w:rPr>
              <w:t>Exercisable — September 30, 2022</w:t>
            </w:r>
          </w:p>
        </w:tc>
        <w:tc>
          <w:tcPr>
            <w:tcW w:w="1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5,391,541</w:t>
            </w:r>
          </w:p>
        </w:tc>
      </w:tr>
      <w:tr>
        <w:trPr>
          <w:trHeight w:val="20"/>
        </w:trPr>
        <w:tc>
          <w:tcPr>
            <w:tcW w:w="10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right="2180"/>
        <w:spacing w:after="0" w:line="430" w:lineRule="auto"/>
        <w:rPr>
          <w:sz w:val="20"/>
          <w:szCs w:val="20"/>
          <w:color w:val="auto"/>
        </w:rPr>
      </w:pPr>
      <w:r>
        <w:rPr>
          <w:rFonts w:ascii="Times New Roman" w:cs="Times New Roman" w:eastAsia="Times New Roman" w:hAnsi="Times New Roman"/>
          <w:sz w:val="12"/>
          <w:szCs w:val="12"/>
          <w:color w:val="auto"/>
        </w:rPr>
        <w:t xml:space="preserve">At September 30, 2022, total unrecognized compensation expense related to stock options was $8.9 million, which is expected to be recognized over a weighted-average period of 2.76 years. </w:t>
      </w:r>
      <w:r>
        <w:rPr>
          <w:rFonts w:ascii="Times New Roman" w:cs="Times New Roman" w:eastAsia="Times New Roman" w:hAnsi="Times New Roman"/>
          <w:sz w:val="12"/>
          <w:szCs w:val="12"/>
          <w:i w:val="1"/>
          <w:iCs w:val="1"/>
          <w:color w:val="auto"/>
        </w:rPr>
        <w:t>Restricted Stock Units</w:t>
      </w:r>
    </w:p>
    <w:p>
      <w:pPr>
        <w:spacing w:after="0" w:line="1"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2"/>
          <w:szCs w:val="12"/>
          <w:color w:val="auto"/>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the Company’s RSU activity for the nine months ended September 30, 2022: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Non-vested — December 31, 2021</w:t>
            </w: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1,247,723</w:t>
            </w:r>
          </w:p>
        </w:tc>
      </w:tr>
      <w:tr>
        <w:trPr>
          <w:trHeight w:val="142"/>
        </w:trPr>
        <w:tc>
          <w:tcPr>
            <w:tcW w:w="101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Granted</w:t>
            </w: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2,516,362</w:t>
            </w:r>
          </w:p>
        </w:tc>
      </w:tr>
      <w:tr>
        <w:trPr>
          <w:trHeight w:val="146"/>
        </w:trPr>
        <w:tc>
          <w:tcPr>
            <w:tcW w:w="10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Vested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(2,051,578)</w:t>
            </w:r>
          </w:p>
        </w:tc>
      </w:tr>
      <w:tr>
        <w:trPr>
          <w:trHeight w:val="142"/>
        </w:trPr>
        <w:tc>
          <w:tcPr>
            <w:tcW w:w="10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Forfeited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(220,883)</w:t>
            </w:r>
          </w:p>
        </w:tc>
      </w:tr>
      <w:tr>
        <w:trPr>
          <w:trHeight w:val="151"/>
        </w:trPr>
        <w:tc>
          <w:tcPr>
            <w:tcW w:w="10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Non-vested — September 30, 2022</w:t>
            </w: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1,491,624</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September 30, 2022, total unrecognized compensation expense related to RSUs was $5.0 million, which is expected to be recognized over a weighted-average period of 2.71 years.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Earnings Per Share</w:t>
      </w:r>
    </w:p>
    <w:p>
      <w:pPr>
        <w:spacing w:after="0" w:line="11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2"/>
          <w:szCs w:val="12"/>
          <w:color w:val="auto"/>
        </w:rPr>
        <w:t>Basic earnings per share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2025 Notes calculated using the if-converted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 w:name="page16"/>
    <w:bookmarkEnd w:id="15"/>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INSEEGO CORP.</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calculation of basic and diluted earnings per share was as follows (in thousands, except share and per share data):</w:t>
      </w:r>
    </w:p>
    <w:p>
      <w:pPr>
        <w:spacing w:after="0" w:line="126" w:lineRule="exact"/>
        <w:rPr>
          <w:sz w:val="20"/>
          <w:szCs w:val="20"/>
          <w:color w:val="auto"/>
        </w:rPr>
      </w:pPr>
    </w:p>
    <w:tbl>
      <w:tblPr>
        <w:tblLayout w:type="fixed"/>
        <w:tblInd w:w="268" w:type="dxa"/>
        <w:tblCellMar>
          <w:top w:w="0" w:type="dxa"/>
          <w:left w:w="0" w:type="dxa"/>
          <w:bottom w:w="0" w:type="dxa"/>
          <w:right w:w="0" w:type="dxa"/>
        </w:tblCellMar>
      </w:tblPr>
      <w:tr>
        <w:trPr>
          <w:trHeight w:val="134"/>
        </w:trPr>
        <w:tc>
          <w:tcPr>
            <w:tcW w:w="57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28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128"/>
        </w:trPr>
        <w:tc>
          <w:tcPr>
            <w:tcW w:w="57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8"/>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 attributable to common stockholders</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(16,434)</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(9,033)</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(55,371)</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(41,001)</w:t>
            </w:r>
          </w:p>
        </w:tc>
      </w:tr>
      <w:tr>
        <w:trPr>
          <w:trHeight w:val="142"/>
        </w:trPr>
        <w:tc>
          <w:tcPr>
            <w:tcW w:w="5700" w:type="dxa"/>
            <w:vAlign w:val="bottom"/>
          </w:tcPr>
          <w:p>
            <w:pPr>
              <w:spacing w:after="0"/>
              <w:rPr>
                <w:sz w:val="20"/>
                <w:szCs w:val="20"/>
                <w:color w:val="auto"/>
              </w:rPr>
            </w:pPr>
            <w:r>
              <w:rPr>
                <w:rFonts w:ascii="Times New Roman" w:cs="Times New Roman" w:eastAsia="Times New Roman" w:hAnsi="Times New Roman"/>
                <w:sz w:val="11"/>
                <w:szCs w:val="11"/>
                <w:color w:val="auto"/>
              </w:rPr>
              <w:t>Weighted-average common shares outstanding</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107,747,468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103,430,083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106,977,201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102,586,121</w:t>
            </w:r>
          </w:p>
        </w:tc>
      </w:tr>
      <w:tr>
        <w:trPr>
          <w:trHeight w:val="162"/>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Basic and diluted net loss per share</w:t>
            </w: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(0.09)</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(0.52)</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(0.40)</w:t>
            </w:r>
          </w:p>
        </w:tc>
      </w:tr>
    </w:tbl>
    <w:p>
      <w:pPr>
        <w:spacing w:after="0" w:line="16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is a summary of outstanding anti-dilutive potential common stock that was excluded from diluted net loss per share attributable to stockholders:</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4840" w:type="dxa"/>
            <w:vAlign w:val="bottom"/>
          </w:tcPr>
          <w:p>
            <w:pPr>
              <w:spacing w:after="0"/>
              <w:rPr>
                <w:sz w:val="11"/>
                <w:szCs w:val="11"/>
                <w:color w:val="auto"/>
              </w:rPr>
            </w:pPr>
          </w:p>
        </w:tc>
        <w:tc>
          <w:tcPr>
            <w:tcW w:w="1980" w:type="dxa"/>
            <w:vAlign w:val="bottom"/>
            <w:gridSpan w:val="4"/>
          </w:tcPr>
          <w:p>
            <w:pPr>
              <w:ind w:left="22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1920" w:type="dxa"/>
            <w:vAlign w:val="bottom"/>
            <w:gridSpan w:val="3"/>
          </w:tcPr>
          <w:p>
            <w:pPr>
              <w:jc w:val="right"/>
              <w:ind w:right="187"/>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133"/>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9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0"/>
                <w:szCs w:val="10"/>
                <w:b w:val="1"/>
                <w:bCs w:val="1"/>
                <w:color w:val="auto"/>
              </w:rPr>
              <w:t>2022</w:t>
            </w:r>
          </w:p>
        </w:tc>
        <w:tc>
          <w:tcPr>
            <w:tcW w:w="60" w:type="dxa"/>
            <w:vAlign w:val="bottom"/>
            <w:tcBorders>
              <w:top w:val="single" w:sz="8" w:color="auto"/>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27"/>
              <w:spacing w:after="0"/>
              <w:rPr>
                <w:sz w:val="20"/>
                <w:szCs w:val="20"/>
                <w:color w:val="auto"/>
              </w:rPr>
            </w:pPr>
            <w:r>
              <w:rPr>
                <w:rFonts w:ascii="Times New Roman" w:cs="Times New Roman" w:eastAsia="Times New Roman" w:hAnsi="Times New Roman"/>
                <w:sz w:val="10"/>
                <w:szCs w:val="10"/>
                <w:b w:val="1"/>
                <w:bCs w:val="1"/>
                <w:color w:val="auto"/>
              </w:rPr>
              <w:t>2021</w:t>
            </w:r>
          </w:p>
        </w:tc>
        <w:tc>
          <w:tcPr>
            <w:tcW w:w="60" w:type="dxa"/>
            <w:vAlign w:val="bottom"/>
            <w:tcBorders>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top w:val="single" w:sz="8" w:color="auto"/>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2025 Notes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14,341</w:t>
            </w: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14,341</w:t>
            </w: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14,341</w:t>
            </w: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14,341</w:t>
            </w: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1"/>
                <w:szCs w:val="11"/>
                <w:color w:val="auto"/>
              </w:rPr>
              <w:t>Warrants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2,500</w:t>
            </w:r>
          </w:p>
        </w:tc>
        <w:tc>
          <w:tcPr>
            <w:tcW w:w="6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w:t>
            </w:r>
          </w:p>
        </w:tc>
      </w:tr>
      <w:tr>
        <w:trPr>
          <w:trHeight w:val="14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Non-qualified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8,557</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8,169</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8,787</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8,169</w:t>
            </w: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1"/>
                <w:szCs w:val="11"/>
                <w:color w:val="auto"/>
              </w:rPr>
              <w:t>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1,438</w:t>
            </w:r>
          </w:p>
        </w:tc>
        <w:tc>
          <w:tcPr>
            <w:tcW w:w="60" w:type="dxa"/>
            <w:vAlign w:val="bottom"/>
          </w:tcPr>
          <w:p>
            <w:pPr>
              <w:spacing w:after="0"/>
              <w:rPr>
                <w:sz w:val="12"/>
                <w:szCs w:val="12"/>
                <w:color w:val="auto"/>
              </w:rPr>
            </w:pP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487</w:t>
            </w:r>
          </w:p>
        </w:tc>
        <w:tc>
          <w:tcPr>
            <w:tcW w:w="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1,441</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w:t>
            </w:r>
          </w:p>
        </w:tc>
      </w:tr>
      <w:tr>
        <w:trPr>
          <w:trHeight w:val="14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Employee stock purchase plan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984</w:t>
            </w:r>
          </w:p>
        </w:tc>
        <w:tc>
          <w:tcPr>
            <w:tcW w:w="6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250</w:t>
            </w:r>
          </w:p>
        </w:tc>
        <w:tc>
          <w:tcPr>
            <w:tcW w:w="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984</w:t>
            </w:r>
          </w:p>
        </w:tc>
        <w:tc>
          <w:tcPr>
            <w:tcW w:w="8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r>
      <w:tr>
        <w:trPr>
          <w:trHeight w:val="135"/>
        </w:trPr>
        <w:tc>
          <w:tcPr>
            <w:tcW w:w="4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25,320</w:t>
            </w:r>
          </w:p>
        </w:tc>
        <w:tc>
          <w:tcPr>
            <w:tcW w:w="60" w:type="dxa"/>
            <w:vAlign w:val="bottom"/>
          </w:tcPr>
          <w:p>
            <w:pPr>
              <w:spacing w:after="0"/>
              <w:rPr>
                <w:sz w:val="11"/>
                <w:szCs w:val="11"/>
                <w:color w:val="auto"/>
              </w:rPr>
            </w:pPr>
          </w:p>
        </w:tc>
        <w:tc>
          <w:tcPr>
            <w:tcW w:w="9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25,747</w:t>
            </w:r>
          </w:p>
        </w:tc>
        <w:tc>
          <w:tcPr>
            <w:tcW w:w="6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25,553</w:t>
            </w:r>
          </w:p>
        </w:tc>
        <w:tc>
          <w:tcPr>
            <w:tcW w:w="8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25,747</w:t>
            </w:r>
          </w:p>
        </w:tc>
      </w:tr>
      <w:tr>
        <w:trPr>
          <w:trHeight w:val="20"/>
        </w:trPr>
        <w:tc>
          <w:tcPr>
            <w:tcW w:w="4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7. Private Placements and Public Offering</w:t>
      </w:r>
    </w:p>
    <w:p>
      <w:pPr>
        <w:spacing w:after="0" w:line="118" w:lineRule="exact"/>
        <w:rPr>
          <w:sz w:val="20"/>
          <w:szCs w:val="20"/>
          <w:color w:val="auto"/>
        </w:rPr>
      </w:pPr>
    </w:p>
    <w:p>
      <w:pPr>
        <w:ind w:left="8" w:right="60" w:firstLine="270"/>
        <w:spacing w:after="0" w:line="257" w:lineRule="auto"/>
        <w:rPr>
          <w:sz w:val="20"/>
          <w:szCs w:val="20"/>
          <w:color w:val="auto"/>
        </w:rPr>
      </w:pPr>
      <w:r>
        <w:rPr>
          <w:rFonts w:ascii="Times New Roman" w:cs="Times New Roman" w:eastAsia="Times New Roman" w:hAnsi="Times New Roman"/>
          <w:sz w:val="12"/>
          <w:szCs w:val="12"/>
          <w:color w:val="auto"/>
        </w:rPr>
        <w:t>In March 2019, the Company issued warrants to purchase 2,500,000 shares of common stock (the “2019 Warrants”) to certain accredited investors. Each 2019 Warrant had an initial exercise price of $7.00 per share, subject to adjustment for stock splits, reverse stock splits, stock dividends and similar transactions, and became exercisable on September 28, 2019. The Company determined that the warrants did not require liability accounting and classified the warrants as equity. At June 30, 2022, the warrants expired unexercised.</w:t>
      </w:r>
    </w:p>
    <w:p>
      <w:pPr>
        <w:spacing w:after="0" w:line="79" w:lineRule="exact"/>
        <w:rPr>
          <w:sz w:val="20"/>
          <w:szCs w:val="20"/>
          <w:color w:val="auto"/>
        </w:rPr>
      </w:pPr>
    </w:p>
    <w:p>
      <w:pPr>
        <w:jc w:val="both"/>
        <w:ind w:left="8" w:right="280" w:firstLine="270"/>
        <w:spacing w:after="0" w:line="257" w:lineRule="auto"/>
        <w:rPr>
          <w:sz w:val="20"/>
          <w:szCs w:val="20"/>
          <w:color w:val="auto"/>
        </w:rPr>
      </w:pPr>
      <w:r>
        <w:rPr>
          <w:rFonts w:ascii="Times New Roman" w:cs="Times New Roman" w:eastAsia="Times New Roman" w:hAnsi="Times New Roman"/>
          <w:sz w:val="12"/>
          <w:szCs w:val="12"/>
          <w:color w:val="auto"/>
        </w:rPr>
        <w:t>In January 2021, the Company entered into an Equity Distribution Agreement with Canaccord Genuity LLC (the “Agent”), pursuant to which the Company may offer and sell, from time to time, through or to the Agent, up to $40.0 million of shares of its common stock (the “ATM Offering”). In January 2021, the Company sold 1,516,073 shares of common stock, at an average price of $20.11 per share, for net proceeds of $29.4 million, after deducting underwriter fees and discounts, and other offering fees, pursuant to the ATM Offering.</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8. Geographic Information and Concentrations of Risk</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Geographic Information</w:t>
      </w:r>
    </w:p>
    <w:p>
      <w:pPr>
        <w:spacing w:after="0" w:line="107"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2"/>
          <w:szCs w:val="12"/>
          <w:color w:val="auto"/>
        </w:rPr>
        <w:t>The following table details the Company’s net revenues by geographic region based on shipping destination (in thousands):</w:t>
      </w:r>
    </w:p>
    <w:p>
      <w:pPr>
        <w:spacing w:after="0" w:line="65"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340" w:type="dxa"/>
            <w:vAlign w:val="bottom"/>
          </w:tcPr>
          <w:p>
            <w:pPr>
              <w:spacing w:after="0"/>
              <w:rPr>
                <w:sz w:val="10"/>
                <w:szCs w:val="10"/>
                <w:color w:val="auto"/>
              </w:rPr>
            </w:pPr>
          </w:p>
        </w:tc>
        <w:tc>
          <w:tcPr>
            <w:tcW w:w="1960" w:type="dxa"/>
            <w:vAlign w:val="bottom"/>
            <w:gridSpan w:val="4"/>
            <w:vMerge w:val="restart"/>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6340" w:type="dxa"/>
            <w:vAlign w:val="bottom"/>
          </w:tcPr>
          <w:p>
            <w:pPr>
              <w:spacing w:after="0"/>
              <w:rPr>
                <w:sz w:val="11"/>
                <w:szCs w:val="11"/>
                <w:color w:val="auto"/>
              </w:rPr>
            </w:pPr>
          </w:p>
        </w:tc>
        <w:tc>
          <w:tcPr>
            <w:tcW w:w="1960" w:type="dxa"/>
            <w:vAlign w:val="bottom"/>
            <w:tcBorders>
              <w:bottom w:val="single" w:sz="8" w:color="auto"/>
            </w:tcBorders>
            <w:gridSpan w:val="4"/>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6340" w:type="dxa"/>
            <w:vAlign w:val="bottom"/>
          </w:tcPr>
          <w:p>
            <w:pPr>
              <w:spacing w:after="0"/>
              <w:rPr>
                <w:sz w:val="10"/>
                <w:szCs w:val="10"/>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2022</w:t>
            </w:r>
          </w:p>
        </w:tc>
        <w:tc>
          <w:tcPr>
            <w:tcW w:w="420" w:type="dxa"/>
            <w:vAlign w:val="bottom"/>
          </w:tcPr>
          <w:p>
            <w:pPr>
              <w:spacing w:after="0"/>
              <w:rPr>
                <w:sz w:val="10"/>
                <w:szCs w:val="10"/>
                <w:color w:val="auto"/>
              </w:rPr>
            </w:pPr>
          </w:p>
        </w:tc>
        <w:tc>
          <w:tcPr>
            <w:tcW w:w="820" w:type="dxa"/>
            <w:vAlign w:val="bottom"/>
            <w:gridSpan w:val="2"/>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2021</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right"/>
              <w:ind w:right="408"/>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jc w:val="right"/>
              <w:ind w:right="427"/>
              <w:spacing w:after="0"/>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138"/>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United States and Canada</w:t>
            </w:r>
          </w:p>
        </w:tc>
        <w:tc>
          <w:tcPr>
            <w:tcW w:w="720" w:type="dxa"/>
            <w:vAlign w:val="bottom"/>
            <w:tcBorders>
              <w:top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53,924</w:t>
            </w:r>
          </w:p>
        </w:tc>
        <w:tc>
          <w:tcPr>
            <w:tcW w:w="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56,614</w:t>
            </w:r>
          </w:p>
        </w:tc>
        <w:tc>
          <w:tcPr>
            <w:tcW w:w="2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159,393</w:t>
            </w: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150,822</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20"/>
                <w:szCs w:val="20"/>
                <w:color w:val="auto"/>
              </w:rPr>
            </w:pPr>
            <w:r>
              <w:rPr>
                <w:rFonts w:ascii="Times New Roman" w:cs="Times New Roman" w:eastAsia="Times New Roman" w:hAnsi="Times New Roman"/>
                <w:sz w:val="11"/>
                <w:szCs w:val="11"/>
                <w:color w:val="auto"/>
              </w:rPr>
              <w:t>Europe</w:t>
            </w:r>
          </w:p>
        </w:tc>
        <w:tc>
          <w:tcPr>
            <w:tcW w:w="7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6,954</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5,828</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20,176</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17,425</w:t>
            </w:r>
          </w:p>
        </w:tc>
        <w:tc>
          <w:tcPr>
            <w:tcW w:w="0" w:type="dxa"/>
            <w:vAlign w:val="bottom"/>
          </w:tcPr>
          <w:p>
            <w:pPr>
              <w:spacing w:after="0"/>
              <w:rPr>
                <w:sz w:val="1"/>
                <w:szCs w:val="1"/>
                <w:color w:val="auto"/>
              </w:rPr>
            </w:pPr>
          </w:p>
        </w:tc>
      </w:tr>
      <w:tr>
        <w:trPr>
          <w:trHeight w:val="146"/>
        </w:trPr>
        <w:tc>
          <w:tcPr>
            <w:tcW w:w="63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1"/>
                <w:szCs w:val="11"/>
                <w:color w:val="auto"/>
              </w:rPr>
              <w:t xml:space="preserve">South Africa </w:t>
            </w:r>
            <w:r>
              <w:rPr>
                <w:rFonts w:ascii="Times New Roman" w:cs="Times New Roman" w:eastAsia="Times New Roman" w:hAnsi="Times New Roman"/>
                <w:sz w:val="14"/>
                <w:szCs w:val="14"/>
                <w:color w:val="auto"/>
                <w:vertAlign w:val="superscript"/>
              </w:rPr>
              <w:t>(a)</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2,435</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17,333</w:t>
            </w:r>
          </w:p>
        </w:tc>
        <w:tc>
          <w:tcPr>
            <w:tcW w:w="0" w:type="dxa"/>
            <w:vAlign w:val="bottom"/>
          </w:tcPr>
          <w:p>
            <w:pPr>
              <w:spacing w:after="0"/>
              <w:rPr>
                <w:sz w:val="1"/>
                <w:szCs w:val="1"/>
                <w:color w:val="auto"/>
              </w:rPr>
            </w:pPr>
          </w:p>
        </w:tc>
      </w:tr>
      <w:tr>
        <w:trPr>
          <w:trHeight w:val="153"/>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Australia </w:t>
            </w:r>
            <w:r>
              <w:rPr>
                <w:rFonts w:ascii="Times New Roman" w:cs="Times New Roman" w:eastAsia="Times New Roman" w:hAnsi="Times New Roman"/>
                <w:sz w:val="7"/>
                <w:szCs w:val="7"/>
                <w:color w:val="auto"/>
              </w:rPr>
              <w:t>(b)</w:t>
            </w:r>
          </w:p>
        </w:tc>
        <w:tc>
          <w:tcPr>
            <w:tcW w:w="720" w:type="dxa"/>
            <w:vAlign w:val="bottom"/>
          </w:tcPr>
          <w:p>
            <w:pPr>
              <w:spacing w:after="0"/>
              <w:rPr>
                <w:sz w:val="13"/>
                <w:szCs w:val="13"/>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7,543</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982</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9,966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2,883</w:t>
            </w:r>
          </w:p>
        </w:tc>
        <w:tc>
          <w:tcPr>
            <w:tcW w:w="0" w:type="dxa"/>
            <w:vAlign w:val="bottom"/>
          </w:tcPr>
          <w:p>
            <w:pPr>
              <w:spacing w:after="0"/>
              <w:rPr>
                <w:sz w:val="1"/>
                <w:szCs w:val="1"/>
                <w:color w:val="auto"/>
              </w:rPr>
            </w:pPr>
          </w:p>
        </w:tc>
      </w:tr>
      <w:tr>
        <w:trPr>
          <w:trHeight w:val="142"/>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w:t>
            </w:r>
          </w:p>
        </w:tc>
        <w:tc>
          <w:tcPr>
            <w:tcW w:w="7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746</w:t>
            </w:r>
          </w:p>
        </w:tc>
        <w:tc>
          <w:tcPr>
            <w:tcW w:w="60" w:type="dxa"/>
            <w:vAlign w:val="bottom"/>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2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2,873</w:t>
            </w: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1,044</w:t>
            </w:r>
          </w:p>
        </w:tc>
        <w:tc>
          <w:tcPr>
            <w:tcW w:w="0" w:type="dxa"/>
            <w:vAlign w:val="bottom"/>
          </w:tcPr>
          <w:p>
            <w:pPr>
              <w:spacing w:after="0"/>
              <w:rPr>
                <w:sz w:val="1"/>
                <w:szCs w:val="1"/>
                <w:color w:val="auto"/>
              </w:rPr>
            </w:pPr>
          </w:p>
        </w:tc>
      </w:tr>
      <w:tr>
        <w:trPr>
          <w:trHeight w:val="135"/>
        </w:trPr>
        <w:tc>
          <w:tcPr>
            <w:tcW w:w="6340" w:type="dxa"/>
            <w:vAlign w:val="bottom"/>
          </w:tcPr>
          <w:p>
            <w:pPr>
              <w:spacing w:after="0"/>
              <w:rPr>
                <w:sz w:val="20"/>
                <w:szCs w:val="20"/>
                <w:color w:val="auto"/>
              </w:rPr>
            </w:pPr>
            <w:r>
              <w:rPr>
                <w:rFonts w:ascii="Times New Roman" w:cs="Times New Roman" w:eastAsia="Times New Roman" w:hAnsi="Times New Roman"/>
                <w:sz w:val="11"/>
                <w:szCs w:val="11"/>
                <w:color w:val="auto"/>
              </w:rPr>
              <w:t>Total</w:t>
            </w:r>
          </w:p>
        </w:tc>
        <w:tc>
          <w:tcPr>
            <w:tcW w:w="7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69,167</w:t>
            </w:r>
          </w:p>
        </w:tc>
        <w:tc>
          <w:tcPr>
            <w:tcW w:w="60" w:type="dxa"/>
            <w:vAlign w:val="bottom"/>
          </w:tcPr>
          <w:p>
            <w:pPr>
              <w:spacing w:after="0"/>
              <w:rPr>
                <w:sz w:val="11"/>
                <w:szCs w:val="11"/>
                <w:color w:val="auto"/>
              </w:rPr>
            </w:pPr>
          </w:p>
        </w:tc>
        <w:tc>
          <w:tcPr>
            <w:tcW w:w="76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66,217</w:t>
            </w:r>
          </w:p>
        </w:tc>
        <w:tc>
          <w:tcPr>
            <w:tcW w:w="260" w:type="dxa"/>
            <w:vAlign w:val="bottom"/>
          </w:tcPr>
          <w:p>
            <w:pPr>
              <w:spacing w:after="0"/>
              <w:rPr>
                <w:sz w:val="11"/>
                <w:szCs w:val="11"/>
                <w:color w:val="auto"/>
              </w:rPr>
            </w:pPr>
          </w:p>
        </w:tc>
        <w:tc>
          <w:tcPr>
            <w:tcW w:w="2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192,408</w:t>
            </w:r>
          </w:p>
        </w:tc>
        <w:tc>
          <w:tcPr>
            <w:tcW w:w="80" w:type="dxa"/>
            <w:vAlign w:val="bottom"/>
          </w:tcPr>
          <w:p>
            <w:pPr>
              <w:spacing w:after="0"/>
              <w:rPr>
                <w:sz w:val="11"/>
                <w:szCs w:val="11"/>
                <w:color w:val="auto"/>
              </w:rPr>
            </w:pPr>
          </w:p>
        </w:tc>
        <w:tc>
          <w:tcPr>
            <w:tcW w:w="4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189,507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108" w:hanging="108"/>
        <w:spacing w:after="0"/>
        <w:tabs>
          <w:tab w:leader="none" w:pos="108" w:val="left"/>
        </w:tabs>
        <w:numPr>
          <w:ilvl w:val="0"/>
          <w:numId w:val="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In July 2021, the Company sold its Ctrack South Africa business.</w:t>
      </w:r>
    </w:p>
    <w:p>
      <w:pPr>
        <w:spacing w:after="0" w:line="3" w:lineRule="exact"/>
        <w:rPr>
          <w:rFonts w:ascii="Times New Roman" w:cs="Times New Roman" w:eastAsia="Times New Roman" w:hAnsi="Times New Roman"/>
          <w:sz w:val="14"/>
          <w:szCs w:val="14"/>
          <w:color w:val="auto"/>
          <w:vertAlign w:val="superscript"/>
        </w:rPr>
      </w:pPr>
    </w:p>
    <w:p>
      <w:pPr>
        <w:ind w:left="88" w:hanging="88"/>
        <w:spacing w:after="0" w:line="215" w:lineRule="auto"/>
        <w:tabs>
          <w:tab w:leader="none" w:pos="88" w:val="left"/>
        </w:tabs>
        <w:numPr>
          <w:ilvl w:val="0"/>
          <w:numId w:val="3"/>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Separated Australia and Europe from Other for all prior year periods presented.</w:t>
      </w:r>
    </w:p>
    <w:p>
      <w:pPr>
        <w:spacing w:after="0" w:line="39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2"/>
          <w:szCs w:val="12"/>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Concentrations of Credit Risk</w:t>
      </w:r>
    </w:p>
    <w:p>
      <w:pPr>
        <w:spacing w:after="0" w:line="107" w:lineRule="exact"/>
        <w:rPr>
          <w:sz w:val="20"/>
          <w:szCs w:val="20"/>
          <w:color w:val="auto"/>
        </w:rPr>
      </w:pPr>
    </w:p>
    <w:p>
      <w:pPr>
        <w:ind w:right="300" w:firstLine="270"/>
        <w:spacing w:after="0" w:line="279" w:lineRule="auto"/>
        <w:rPr>
          <w:sz w:val="20"/>
          <w:szCs w:val="20"/>
          <w:color w:val="auto"/>
        </w:rPr>
      </w:pPr>
      <w:r>
        <w:rPr>
          <w:rFonts w:ascii="Times New Roman" w:cs="Times New Roman" w:eastAsia="Times New Roman" w:hAnsi="Times New Roman"/>
          <w:sz w:val="12"/>
          <w:szCs w:val="12"/>
          <w:color w:val="auto"/>
        </w:rPr>
        <w:t>For the three months ended September 30, 2022, two customers accounted for 33.9% and 29.3% of net revenues, respectively. For the three months ended September 30, 2021, two customers accounted for 40.4% and 32.5%, respectively, of net revenues.</w:t>
      </w:r>
    </w:p>
    <w:p>
      <w:pPr>
        <w:spacing w:after="0" w:line="66" w:lineRule="exact"/>
        <w:rPr>
          <w:sz w:val="20"/>
          <w:szCs w:val="20"/>
          <w:color w:val="auto"/>
        </w:rPr>
      </w:pPr>
    </w:p>
    <w:p>
      <w:pPr>
        <w:ind w:right="360" w:firstLine="270"/>
        <w:spacing w:after="0" w:line="264" w:lineRule="auto"/>
        <w:rPr>
          <w:sz w:val="20"/>
          <w:szCs w:val="20"/>
          <w:color w:val="auto"/>
        </w:rPr>
      </w:pPr>
      <w:r>
        <w:rPr>
          <w:rFonts w:ascii="Times New Roman" w:cs="Times New Roman" w:eastAsia="Times New Roman" w:hAnsi="Times New Roman"/>
          <w:sz w:val="12"/>
          <w:szCs w:val="12"/>
          <w:color w:val="auto"/>
        </w:rPr>
        <w:t>For the nine months ended September 30, 2022, two customers accounted for 50.8% and 44.4% of net revenues, respectively. For the nine months ended September 30, 2021, two customers accounted for 44.3% and 23.5%, respectively, of net revenues.</w:t>
      </w:r>
    </w:p>
    <w:p>
      <w:pPr>
        <w:spacing w:after="0" w:line="83" w:lineRule="exact"/>
        <w:rPr>
          <w:sz w:val="20"/>
          <w:szCs w:val="20"/>
          <w:color w:val="auto"/>
        </w:rPr>
      </w:pPr>
    </w:p>
    <w:p>
      <w:pPr>
        <w:ind w:right="120" w:firstLine="270"/>
        <w:spacing w:after="0" w:line="264" w:lineRule="auto"/>
        <w:rPr>
          <w:sz w:val="20"/>
          <w:szCs w:val="20"/>
          <w:color w:val="auto"/>
        </w:rPr>
      </w:pPr>
      <w:r>
        <w:rPr>
          <w:rFonts w:ascii="Times New Roman" w:cs="Times New Roman" w:eastAsia="Times New Roman" w:hAnsi="Times New Roman"/>
          <w:sz w:val="12"/>
          <w:szCs w:val="12"/>
          <w:color w:val="auto"/>
        </w:rPr>
        <w:t>As of September 30, 2022, three customers accounted for 33.5%, 15.3% and 13.3% of accounts receivable, net, respectively. As of December 31, 2021, two customers accounted for 61.7% and 12.6% of accounts receivable, net, respectively.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Commitments and Contingencies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Noncancellable Purchase Obligations</w:t>
      </w:r>
    </w:p>
    <w:p>
      <w:pPr>
        <w:spacing w:after="0" w:line="116"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12"/>
          <w:szCs w:val="12"/>
          <w:color w:val="auto"/>
        </w:rPr>
        <w:t>The Company typically enters into commitments with its contract manufacturers that require future purchase of goods or services in the three to four quarters following the balance sheet date. Such commitments are noncancellable (“noncancellable purchase obligations”). As of September 30, 2022, future payments under these noncancellable purchase obligations were approximately $104.7 million. As of December 31, 2021, future payments under these noncancellable purchase obligations were approximately $165.8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Indemnification</w:t>
      </w:r>
    </w:p>
    <w:p>
      <w:pPr>
        <w:spacing w:after="0" w:line="10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results of operations or financial condition.</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 Leases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components of the right-of-use assets and lease liabilities were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Balance Sheet Classification</w:t>
            </w: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ind w:right="288"/>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29"/>
        </w:trPr>
        <w:tc>
          <w:tcPr>
            <w:tcW w:w="406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vMerge w:val="continue"/>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153"/>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right-of-use assets, net</w:t>
            </w:r>
          </w:p>
        </w:tc>
        <w:tc>
          <w:tcPr>
            <w:tcW w:w="1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Right-of-use assets, net</w:t>
            </w:r>
          </w:p>
        </w:tc>
        <w:tc>
          <w:tcPr>
            <w:tcW w:w="10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6,902</w:t>
            </w: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7,839</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operating lease liabilities</w:t>
            </w:r>
          </w:p>
        </w:tc>
        <w:tc>
          <w:tcPr>
            <w:tcW w:w="3920" w:type="dxa"/>
            <w:vAlign w:val="bottom"/>
            <w:gridSpan w:val="5"/>
            <w:shd w:val="clear" w:color="auto" w:fill="CCEEFF"/>
          </w:tcPr>
          <w:p>
            <w:pPr>
              <w:jc w:val="center"/>
              <w:ind w:left="546"/>
              <w:spacing w:after="0"/>
              <w:rPr>
                <w:sz w:val="20"/>
                <w:szCs w:val="20"/>
                <w:color w:val="auto"/>
              </w:rPr>
            </w:pPr>
            <w:r>
              <w:rPr>
                <w:rFonts w:ascii="Times New Roman" w:cs="Times New Roman" w:eastAsia="Times New Roman" w:hAnsi="Times New Roman"/>
                <w:sz w:val="11"/>
                <w:szCs w:val="11"/>
                <w:color w:val="auto"/>
                <w:w w:val="97"/>
              </w:rPr>
              <w:t>Accrued expenses and other current liabilities</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1,662</w:t>
            </w:r>
          </w:p>
        </w:tc>
        <w:tc>
          <w:tcPr>
            <w:tcW w:w="8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1,769</w:t>
            </w:r>
          </w:p>
        </w:tc>
        <w:tc>
          <w:tcPr>
            <w:tcW w:w="0" w:type="dxa"/>
            <w:vAlign w:val="bottom"/>
          </w:tcPr>
          <w:p>
            <w:pPr>
              <w:spacing w:after="0"/>
              <w:rPr>
                <w:sz w:val="1"/>
                <w:szCs w:val="1"/>
                <w:color w:val="auto"/>
              </w:rPr>
            </w:pPr>
          </w:p>
        </w:tc>
      </w:tr>
      <w:tr>
        <w:trPr>
          <w:trHeight w:val="142"/>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Non-current operating lease liabilities</w:t>
            </w:r>
          </w:p>
        </w:tc>
        <w:tc>
          <w:tcPr>
            <w:tcW w:w="14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97"/>
              </w:rPr>
              <w:t>Other long-term liabilities</w:t>
            </w:r>
          </w:p>
        </w:tc>
        <w:tc>
          <w:tcPr>
            <w:tcW w:w="10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6,056</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1"/>
                <w:szCs w:val="11"/>
                <w:color w:val="auto"/>
              </w:rPr>
              <w:t>7,112</w:t>
            </w:r>
          </w:p>
        </w:tc>
        <w:tc>
          <w:tcPr>
            <w:tcW w:w="0" w:type="dxa"/>
            <w:vAlign w:val="bottom"/>
          </w:tcPr>
          <w:p>
            <w:pPr>
              <w:spacing w:after="0"/>
              <w:rPr>
                <w:sz w:val="1"/>
                <w:szCs w:val="1"/>
                <w:color w:val="auto"/>
              </w:rPr>
            </w:pPr>
          </w:p>
        </w:tc>
      </w:tr>
      <w:tr>
        <w:trPr>
          <w:trHeight w:val="151"/>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lease liabilities</w:t>
            </w:r>
          </w:p>
        </w:tc>
        <w:tc>
          <w:tcPr>
            <w:tcW w:w="1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7,718</w:t>
            </w: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8,881</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Weighted-average remaining lease term (in years)</w:t>
            </w:r>
          </w:p>
        </w:tc>
        <w:tc>
          <w:tcPr>
            <w:tcW w:w="1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0" w:type="dxa"/>
            <w:vAlign w:val="bottom"/>
          </w:tcPr>
          <w:p>
            <w:pPr>
              <w:spacing w:after="0"/>
              <w:rPr>
                <w:sz w:val="1"/>
                <w:szCs w:val="1"/>
                <w:color w:val="auto"/>
              </w:rPr>
            </w:pPr>
          </w:p>
        </w:tc>
      </w:tr>
      <w:tr>
        <w:trPr>
          <w:trHeight w:val="140"/>
        </w:trPr>
        <w:tc>
          <w:tcPr>
            <w:tcW w:w="4060" w:type="dxa"/>
            <w:vAlign w:val="bottom"/>
          </w:tcPr>
          <w:p>
            <w:pPr>
              <w:spacing w:after="0"/>
              <w:rPr>
                <w:sz w:val="20"/>
                <w:szCs w:val="20"/>
                <w:color w:val="auto"/>
              </w:rPr>
            </w:pPr>
            <w:r>
              <w:rPr>
                <w:rFonts w:ascii="Times New Roman" w:cs="Times New Roman" w:eastAsia="Times New Roman" w:hAnsi="Times New Roman"/>
                <w:sz w:val="11"/>
                <w:szCs w:val="11"/>
                <w:color w:val="auto"/>
              </w:rPr>
              <w:t>Weighted-average discount rate</w:t>
            </w: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9.0 %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9.1 %</w:t>
            </w:r>
          </w:p>
        </w:tc>
        <w:tc>
          <w:tcPr>
            <w:tcW w:w="0" w:type="dxa"/>
            <w:vAlign w:val="bottom"/>
          </w:tcPr>
          <w:p>
            <w:pPr>
              <w:spacing w:after="0"/>
              <w:rPr>
                <w:sz w:val="1"/>
                <w:szCs w:val="1"/>
                <w:color w:val="auto"/>
              </w:rPr>
            </w:pPr>
          </w:p>
        </w:tc>
      </w:tr>
      <w:tr>
        <w:trPr>
          <w:trHeight w:val="319"/>
        </w:trPr>
        <w:tc>
          <w:tcPr>
            <w:tcW w:w="406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The components of lease cost were as follows (in thousands):</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3"/>
          </w:tcPr>
          <w:p>
            <w:pPr>
              <w:jc w:val="right"/>
              <w:ind w:right="229"/>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4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6"/>
          </w:tcPr>
          <w:p>
            <w:pPr>
              <w:jc w:val="right"/>
              <w:ind w:right="648"/>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0" w:type="dxa"/>
            <w:vAlign w:val="bottom"/>
          </w:tcPr>
          <w:p>
            <w:pPr>
              <w:spacing w:after="0"/>
              <w:rPr>
                <w:sz w:val="1"/>
                <w:szCs w:val="1"/>
                <w:color w:val="auto"/>
              </w:rPr>
            </w:pPr>
          </w:p>
        </w:tc>
      </w:tr>
      <w:tr>
        <w:trPr>
          <w:trHeight w:val="128"/>
        </w:trPr>
        <w:tc>
          <w:tcPr>
            <w:tcW w:w="40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0"/>
                <w:szCs w:val="10"/>
                <w:b w:val="1"/>
                <w:bCs w:val="1"/>
                <w:color w:val="auto"/>
              </w:rPr>
              <w:t>2022</w:t>
            </w:r>
          </w:p>
        </w:tc>
        <w:tc>
          <w:tcPr>
            <w:tcW w:w="60" w:type="dxa"/>
            <w:vAlign w:val="bottom"/>
          </w:tcPr>
          <w:p>
            <w:pPr>
              <w:spacing w:after="0"/>
              <w:rPr>
                <w:sz w:val="11"/>
                <w:szCs w:val="11"/>
                <w:color w:val="auto"/>
              </w:rPr>
            </w:pPr>
          </w:p>
        </w:tc>
        <w:tc>
          <w:tcPr>
            <w:tcW w:w="10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0"/>
                <w:szCs w:val="10"/>
                <w:b w:val="1"/>
                <w:bCs w:val="1"/>
                <w:color w:val="auto"/>
              </w:rPr>
              <w:t>2021</w:t>
            </w: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165"/>
        </w:trPr>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lease costs included in operating costs and expenses</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1,789</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2"/>
          <w:szCs w:val="12"/>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Supplemental cash flow information related to leases was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460" w:type="dxa"/>
            <w:vAlign w:val="bottom"/>
          </w:tcPr>
          <w:p>
            <w:pPr>
              <w:spacing w:after="0"/>
              <w:rPr>
                <w:sz w:val="11"/>
                <w:szCs w:val="11"/>
                <w:color w:val="auto"/>
              </w:rPr>
            </w:pPr>
          </w:p>
        </w:tc>
        <w:tc>
          <w:tcPr>
            <w:tcW w:w="240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440" w:type="dxa"/>
            <w:vAlign w:val="bottom"/>
            <w:tcBorders>
              <w:bottom w:val="single" w:sz="8" w:color="auto"/>
            </w:tcBorders>
          </w:tcPr>
          <w:p>
            <w:pPr>
              <w:spacing w:after="0"/>
              <w:rPr>
                <w:sz w:val="11"/>
                <w:szCs w:val="11"/>
                <w:color w:val="auto"/>
              </w:rPr>
            </w:pPr>
          </w:p>
        </w:tc>
      </w:tr>
      <w:tr>
        <w:trPr>
          <w:trHeight w:val="128"/>
        </w:trPr>
        <w:tc>
          <w:tcPr>
            <w:tcW w:w="846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0"/>
                <w:szCs w:val="10"/>
                <w:b w:val="1"/>
                <w:bCs w:val="1"/>
                <w:color w:val="auto"/>
              </w:rPr>
              <w:t>2022</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2021</w:t>
            </w:r>
          </w:p>
        </w:tc>
        <w:tc>
          <w:tcPr>
            <w:tcW w:w="440" w:type="dxa"/>
            <w:vAlign w:val="bottom"/>
            <w:tcBorders>
              <w:bottom w:val="single" w:sz="8" w:color="auto"/>
            </w:tcBorders>
          </w:tcPr>
          <w:p>
            <w:pPr>
              <w:spacing w:after="0"/>
              <w:rPr>
                <w:sz w:val="11"/>
                <w:szCs w:val="11"/>
                <w:color w:val="auto"/>
              </w:rPr>
            </w:pPr>
          </w:p>
        </w:tc>
      </w:tr>
      <w:tr>
        <w:trPr>
          <w:trHeight w:val="136"/>
        </w:trPr>
        <w:tc>
          <w:tcPr>
            <w:tcW w:w="8460" w:type="dxa"/>
            <w:vAlign w:val="bottom"/>
          </w:tcPr>
          <w:p>
            <w:pPr>
              <w:spacing w:after="0"/>
              <w:rPr>
                <w:sz w:val="20"/>
                <w:szCs w:val="20"/>
                <w:color w:val="auto"/>
              </w:rPr>
            </w:pPr>
            <w:r>
              <w:rPr>
                <w:rFonts w:ascii="Times New Roman" w:cs="Times New Roman" w:eastAsia="Times New Roman" w:hAnsi="Times New Roman"/>
                <w:sz w:val="11"/>
                <w:szCs w:val="11"/>
                <w:color w:val="auto"/>
              </w:rPr>
              <w:t>Operating cash flows related to operating leases</w:t>
            </w:r>
          </w:p>
        </w:tc>
        <w:tc>
          <w:tcPr>
            <w:tcW w:w="940" w:type="dxa"/>
            <w:vAlign w:val="bottom"/>
          </w:tcPr>
          <w:p>
            <w:pPr>
              <w:jc w:val="right"/>
              <w:ind w:right="809"/>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1,857</w:t>
            </w:r>
          </w:p>
        </w:tc>
        <w:tc>
          <w:tcPr>
            <w:tcW w:w="80" w:type="dxa"/>
            <w:vAlign w:val="bottom"/>
          </w:tcPr>
          <w:p>
            <w:pPr>
              <w:spacing w:after="0"/>
              <w:rPr>
                <w:sz w:val="11"/>
                <w:szCs w:val="11"/>
                <w:color w:val="auto"/>
              </w:rPr>
            </w:pPr>
          </w:p>
        </w:tc>
        <w:tc>
          <w:tcPr>
            <w:tcW w:w="940" w:type="dxa"/>
            <w:vAlign w:val="bottom"/>
          </w:tcPr>
          <w:p>
            <w:pPr>
              <w:jc w:val="right"/>
              <w:ind w:right="808"/>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1,858</w:t>
            </w:r>
          </w:p>
        </w:tc>
      </w:tr>
      <w:tr>
        <w:trPr>
          <w:trHeight w:val="14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right-of-use assets obtained in exchange for lease liabilities</w:t>
            </w:r>
          </w:p>
        </w:tc>
        <w:tc>
          <w:tcPr>
            <w:tcW w:w="94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544</w:t>
            </w:r>
          </w:p>
        </w:tc>
      </w:tr>
    </w:tbl>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Future minimum payments under operating leases were as follows as of September 30, 2022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2022 (remainder)</w:t>
            </w:r>
          </w:p>
        </w:tc>
        <w:tc>
          <w:tcPr>
            <w:tcW w:w="58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783</w:t>
            </w:r>
          </w:p>
        </w:tc>
      </w:tr>
      <w:tr>
        <w:trPr>
          <w:trHeight w:val="142"/>
        </w:trPr>
        <w:tc>
          <w:tcPr>
            <w:tcW w:w="9860" w:type="dxa"/>
            <w:vAlign w:val="bottom"/>
          </w:tcPr>
          <w:p>
            <w:pPr>
              <w:spacing w:after="0"/>
              <w:rPr>
                <w:sz w:val="20"/>
                <w:szCs w:val="20"/>
                <w:color w:val="auto"/>
              </w:rPr>
            </w:pPr>
            <w:r>
              <w:rPr>
                <w:rFonts w:ascii="Times New Roman" w:cs="Times New Roman" w:eastAsia="Times New Roman" w:hAnsi="Times New Roman"/>
                <w:sz w:val="11"/>
                <w:szCs w:val="11"/>
                <w:color w:val="auto"/>
              </w:rPr>
              <w:t>2023</w:t>
            </w:r>
          </w:p>
        </w:tc>
        <w:tc>
          <w:tcPr>
            <w:tcW w:w="5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2,146</w:t>
            </w:r>
          </w:p>
        </w:tc>
      </w:tr>
      <w:tr>
        <w:trPr>
          <w:trHeight w:val="14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2024</w:t>
            </w:r>
          </w:p>
        </w:tc>
        <w:tc>
          <w:tcPr>
            <w:tcW w:w="5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1,959</w:t>
            </w:r>
          </w:p>
        </w:tc>
      </w:tr>
      <w:tr>
        <w:trPr>
          <w:trHeight w:val="142"/>
        </w:trPr>
        <w:tc>
          <w:tcPr>
            <w:tcW w:w="9860" w:type="dxa"/>
            <w:vAlign w:val="bottom"/>
          </w:tcPr>
          <w:p>
            <w:pPr>
              <w:spacing w:after="0"/>
              <w:rPr>
                <w:sz w:val="20"/>
                <w:szCs w:val="20"/>
                <w:color w:val="auto"/>
              </w:rPr>
            </w:pPr>
            <w:r>
              <w:rPr>
                <w:rFonts w:ascii="Times New Roman" w:cs="Times New Roman" w:eastAsia="Times New Roman" w:hAnsi="Times New Roman"/>
                <w:sz w:val="11"/>
                <w:szCs w:val="11"/>
                <w:color w:val="auto"/>
              </w:rPr>
              <w:t>2025</w:t>
            </w:r>
          </w:p>
        </w:tc>
        <w:tc>
          <w:tcPr>
            <w:tcW w:w="5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1,684</w:t>
            </w:r>
          </w:p>
        </w:tc>
      </w:tr>
      <w:tr>
        <w:trPr>
          <w:trHeight w:val="14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2026</w:t>
            </w:r>
          </w:p>
        </w:tc>
        <w:tc>
          <w:tcPr>
            <w:tcW w:w="5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1,687</w:t>
            </w:r>
          </w:p>
        </w:tc>
      </w:tr>
      <w:tr>
        <w:trPr>
          <w:trHeight w:val="142"/>
        </w:trPr>
        <w:tc>
          <w:tcPr>
            <w:tcW w:w="9860" w:type="dxa"/>
            <w:vAlign w:val="bottom"/>
          </w:tcPr>
          <w:p>
            <w:pPr>
              <w:spacing w:after="0"/>
              <w:rPr>
                <w:sz w:val="20"/>
                <w:szCs w:val="20"/>
                <w:color w:val="auto"/>
              </w:rPr>
            </w:pPr>
            <w:r>
              <w:rPr>
                <w:rFonts w:ascii="Times New Roman" w:cs="Times New Roman" w:eastAsia="Times New Roman" w:hAnsi="Times New Roman"/>
                <w:sz w:val="11"/>
                <w:szCs w:val="11"/>
                <w:color w:val="auto"/>
              </w:rPr>
              <w:t>2027</w:t>
            </w:r>
          </w:p>
        </w:tc>
        <w:tc>
          <w:tcPr>
            <w:tcW w:w="5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1,125</w:t>
            </w:r>
          </w:p>
        </w:tc>
      </w:tr>
      <w:tr>
        <w:trPr>
          <w:trHeight w:val="155"/>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Thereafter</w:t>
            </w:r>
          </w:p>
        </w:tc>
        <w:tc>
          <w:tcPr>
            <w:tcW w:w="5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r>
      <w:tr>
        <w:trPr>
          <w:trHeight w:val="131"/>
        </w:trPr>
        <w:tc>
          <w:tcPr>
            <w:tcW w:w="9860" w:type="dxa"/>
            <w:vAlign w:val="bottom"/>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minimum operating lease payments</w:t>
            </w:r>
          </w:p>
        </w:tc>
        <w:tc>
          <w:tcPr>
            <w:tcW w:w="58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9,384</w:t>
            </w:r>
          </w:p>
        </w:tc>
      </w:tr>
      <w:tr>
        <w:trPr>
          <w:trHeight w:val="14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Less: amounts representing interest</w:t>
            </w:r>
          </w:p>
        </w:tc>
        <w:tc>
          <w:tcPr>
            <w:tcW w:w="5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(1,666)</w:t>
            </w:r>
          </w:p>
        </w:tc>
      </w:tr>
      <w:tr>
        <w:trPr>
          <w:trHeight w:val="131"/>
        </w:trPr>
        <w:tc>
          <w:tcPr>
            <w:tcW w:w="9860" w:type="dxa"/>
            <w:vAlign w:val="bottom"/>
          </w:tcPr>
          <w:p>
            <w:pPr>
              <w:ind w:left="140"/>
              <w:spacing w:after="0" w:line="121" w:lineRule="exact"/>
              <w:rPr>
                <w:sz w:val="20"/>
                <w:szCs w:val="20"/>
                <w:color w:val="auto"/>
              </w:rPr>
            </w:pPr>
            <w:r>
              <w:rPr>
                <w:rFonts w:ascii="Times New Roman" w:cs="Times New Roman" w:eastAsia="Times New Roman" w:hAnsi="Times New Roman"/>
                <w:sz w:val="11"/>
                <w:szCs w:val="11"/>
                <w:color w:val="auto"/>
              </w:rPr>
              <w:t>Present value of net minimum operating lease payments</w:t>
            </w:r>
          </w:p>
        </w:tc>
        <w:tc>
          <w:tcPr>
            <w:tcW w:w="5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7,718</w:t>
            </w:r>
          </w:p>
        </w:tc>
      </w:tr>
      <w:tr>
        <w:trPr>
          <w:trHeight w:val="14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Less: current portion</w:t>
            </w:r>
          </w:p>
        </w:tc>
        <w:tc>
          <w:tcPr>
            <w:tcW w:w="5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(1,662)</w:t>
            </w:r>
          </w:p>
        </w:tc>
      </w:tr>
      <w:tr>
        <w:trPr>
          <w:trHeight w:val="131"/>
        </w:trPr>
        <w:tc>
          <w:tcPr>
            <w:tcW w:w="98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Long-term portion of operating lease obligations</w:t>
            </w:r>
          </w:p>
        </w:tc>
        <w:tc>
          <w:tcPr>
            <w:tcW w:w="58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6,056</w:t>
            </w:r>
          </w:p>
        </w:tc>
      </w:tr>
      <w:tr>
        <w:trPr>
          <w:trHeight w:val="20"/>
        </w:trPr>
        <w:tc>
          <w:tcPr>
            <w:tcW w:w="9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Income Taxes</w:t>
      </w:r>
    </w:p>
    <w:p>
      <w:pPr>
        <w:spacing w:after="0" w:line="118" w:lineRule="exact"/>
        <w:rPr>
          <w:sz w:val="20"/>
          <w:szCs w:val="20"/>
          <w:color w:val="auto"/>
        </w:rPr>
      </w:pPr>
    </w:p>
    <w:p>
      <w:pPr>
        <w:ind w:right="60" w:firstLine="270"/>
        <w:spacing w:after="0" w:line="249" w:lineRule="auto"/>
        <w:rPr>
          <w:sz w:val="20"/>
          <w:szCs w:val="20"/>
          <w:color w:val="auto"/>
        </w:rPr>
      </w:pPr>
      <w:r>
        <w:rPr>
          <w:rFonts w:ascii="Times New Roman" w:cs="Times New Roman" w:eastAsia="Times New Roman" w:hAnsi="Times New Roman"/>
          <w:sz w:val="12"/>
          <w:szCs w:val="12"/>
          <w:color w:val="auto"/>
        </w:rPr>
        <w:t>The Company’s income tax provision (benefit) was $42 thousand and $(4) thousand for the three months ended September 30, 2022 and 2021, respectively, and $(0.6) million and $0.4 million for the nine months ended September 30, 2022 and 2021, respectively. Income taxes for all periods consisted primarily of foreign income taxes at certain of the Company’s international entities and minimum state taxes for its U.S.-based entities. The Company’s income tax expense differs from the expected expense based on statutory rates primarily due to full valuation allowances at all of its U.S.-based entities and several of its foreign subsidiaries. The income tax (benefit) provision for the nine months ended September 30, 2022 and 2021, were largely driven by foreign currency losses and gains, respectively, at the Company’s foreign subsidiaries.</w:t>
      </w:r>
    </w:p>
    <w:p>
      <w:pPr>
        <w:spacing w:after="0" w:line="84" w:lineRule="exact"/>
        <w:rPr>
          <w:sz w:val="20"/>
          <w:szCs w:val="20"/>
          <w:color w:val="auto"/>
        </w:rPr>
      </w:pPr>
    </w:p>
    <w:p>
      <w:pPr>
        <w:ind w:right="20" w:firstLine="270"/>
        <w:spacing w:after="0" w:line="264" w:lineRule="auto"/>
        <w:rPr>
          <w:sz w:val="20"/>
          <w:szCs w:val="20"/>
          <w:color w:val="auto"/>
        </w:rPr>
      </w:pPr>
      <w:r>
        <w:rPr>
          <w:rFonts w:ascii="Times New Roman" w:cs="Times New Roman" w:eastAsia="Times New Roman" w:hAnsi="Times New Roman"/>
          <w:sz w:val="12"/>
          <w:szCs w:val="12"/>
          <w:color w:val="auto"/>
        </w:rPr>
        <w:t>On March 11, 2021, Congress passed, and the President signed into law, the American Rescue Plan Act, 2021 (the “ARP”), which includes certain business tax provisions. The Company does not expect the ARP to have a material impact on the Company’s effective tax rate or income tax expense for the year ending December 31, 2022.</w:t>
      </w:r>
    </w:p>
    <w:p>
      <w:pPr>
        <w:spacing w:after="0" w:line="83" w:lineRule="exact"/>
        <w:rPr>
          <w:sz w:val="20"/>
          <w:szCs w:val="20"/>
          <w:color w:val="auto"/>
        </w:rPr>
      </w:pPr>
    </w:p>
    <w:p>
      <w:pPr>
        <w:ind w:right="200" w:firstLine="270"/>
        <w:spacing w:after="0" w:line="264" w:lineRule="auto"/>
        <w:rPr>
          <w:sz w:val="20"/>
          <w:szCs w:val="20"/>
          <w:color w:val="auto"/>
        </w:rPr>
      </w:pPr>
      <w:r>
        <w:rPr>
          <w:rFonts w:ascii="Times New Roman" w:cs="Times New Roman" w:eastAsia="Times New Roman" w:hAnsi="Times New Roman"/>
          <w:sz w:val="12"/>
          <w:szCs w:val="12"/>
          <w:color w:val="auto"/>
        </w:rPr>
        <w:t>On August 16, 2022, Congress passed, and the President signed into law, the Inflation Reduction Act, 2022 (the “IRA”), which includes certain business tax provisions. The Company does not expect the IRA to have a material impact on the Company’s effective tax rate or income tax expense for the year ending December 31, 2022.</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8" w:name="page19"/>
    <w:bookmarkEnd w:id="18"/>
    <w:p>
      <w:pPr>
        <w:spacing w:after="0"/>
        <w:tabs>
          <w:tab w:leader="none" w:pos="48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i w:val="1"/>
          <w:iCs w:val="1"/>
          <w:color w:val="auto"/>
        </w:rPr>
        <w:t>Management’s Discussion and Analysis of Financial Condition and Results of Operations.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09" w:lineRule="exact"/>
        <w:rPr>
          <w:sz w:val="20"/>
          <w:szCs w:val="20"/>
          <w:color w:val="auto"/>
        </w:rPr>
      </w:pPr>
    </w:p>
    <w:p>
      <w:pPr>
        <w:ind w:right="120" w:firstLine="270"/>
        <w:spacing w:after="0" w:line="273" w:lineRule="auto"/>
        <w:rPr>
          <w:sz w:val="20"/>
          <w:szCs w:val="20"/>
          <w:color w:val="auto"/>
        </w:rPr>
      </w:pPr>
      <w:r>
        <w:rPr>
          <w:rFonts w:ascii="Times New Roman" w:cs="Times New Roman" w:eastAsia="Times New Roman" w:hAnsi="Times New Roman"/>
          <w:sz w:val="11"/>
          <w:szCs w:val="11"/>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73"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compete in the market for wireless broadband data access products, wireless modem products, and asset management, monitoring, telematics, vehicle tracking and fleet management products;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develop and introduce new products and services successfully;</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meet the price and performance standards of the evolving 5G New Radio (“5G NR”) products and technologies;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expand our customer reach/reduce customer concentration;</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grow the Internet of Things (“IoT”) and mobile portfolio outside of North America;</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grow our Ctrack/asset tracking solutions within North America;</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dependence on a small number of customers for a substantial portion of our revenues;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make scheduled payments on, or to refinance our indebtedness, including our convertible notes obligations;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introduce and sell new products that comply with current and evolving industry standards and government regulations;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develop and maintain strategic relationships to expand into new markets;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properly manage the growth of our business to avoid significant strains on our management and operations and disruptions to our business;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reliance on third parties to manufacture our products;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contract manufacturer’s ability to secure necessary supply to build our devices;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increases in costs, disruption of supply or the shortage of semiconductors or other key components of our products;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mitigate the impact of tariffs or other government-imposed sanctions;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accurately forecast customer demand and order the manufacture and timely delivery of sufficient product quantities;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reliance on sole source suppliers for some products and devices used in our solutions;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continuing impact of uncertain global economic conditions, such as inflation, on the demand for our products and our future revenues, gross margins and financial results;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geopolitical instability on our business;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emergence of global public health emergencies, such as the outbreak of the 2019 novel coronavirus, known as “COVID-19”, which could extend lead times in our supply chain and lengthen sales cycles with our customers;</w:t>
      </w:r>
    </w:p>
    <w:p>
      <w:pPr>
        <w:spacing w:after="0" w:line="89" w:lineRule="exact"/>
        <w:rPr>
          <w:rFonts w:ascii="Times New Roman" w:cs="Times New Roman" w:eastAsia="Times New Roman" w:hAnsi="Times New Roman"/>
          <w:sz w:val="11"/>
          <w:szCs w:val="11"/>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 and indirect effects of COVID-19, including government efforts to reduce the spread of the disease, on our employees, customers and supply chain and the economy and financial markets;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be cost competitive while meeting time-to-market requirements for our customers;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meet the product performance needs of our customers in wireless broadband data access in industrial IoT (“IIoT”) markets;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800" w:right="359" w:bottom="1440" w:gutter="0" w:footer="0" w:header="0"/>
        </w:sectPr>
      </w:pPr>
    </w:p>
    <w:bookmarkStart w:id="19" w:name="page20"/>
    <w:bookmarkEnd w:id="19"/>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demand for fleet, vehicle and asset management software-as-a-service (“SaaS”) telematics solutions;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dependence on wireless telecommunication operators delivering acceptable wireless services;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outcome of any pending or future litigation, including intellectual property litigation;</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infringement claims with respect to intellectual property contained in our solutions;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continued ability to license necessary third-party technology for the development and sale of our solutions;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introduction of new products that could contain errors or defects;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conducting business abroad, including international conflicts such as the Russia-Ukraine crisis, and foreign currency risks;</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pace of 5G wireless network rollouts globally and their adoption by customers;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make focused investments in research and development; and</w:t>
      </w:r>
    </w:p>
    <w:p>
      <w:pPr>
        <w:spacing w:after="0" w:line="6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hire, retain and manage additional qualified personnel to maintain and expand our business.</w:t>
      </w:r>
    </w:p>
    <w:p>
      <w:pPr>
        <w:spacing w:after="0" w:line="105" w:lineRule="exact"/>
        <w:rPr>
          <w:sz w:val="20"/>
          <w:szCs w:val="20"/>
          <w:color w:val="auto"/>
        </w:rPr>
      </w:pPr>
    </w:p>
    <w:p>
      <w:pPr>
        <w:ind w:firstLine="270"/>
        <w:spacing w:after="0" w:line="249" w:lineRule="auto"/>
        <w:rPr>
          <w:sz w:val="20"/>
          <w:szCs w:val="20"/>
          <w:color w:val="auto"/>
        </w:rPr>
      </w:pPr>
      <w:r>
        <w:rPr>
          <w:rFonts w:ascii="Times New Roman" w:cs="Times New Roman" w:eastAsia="Times New Roman" w:hAnsi="Times New Roman"/>
          <w:sz w:val="12"/>
          <w:szCs w:val="12"/>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2021 (the “Form 10-K”). If one or more events related to these or other risks or uncertainties materialize, or if our underlying assumptions prove to be incorrect, actual results may differ materially from what we anticipate. As used in this report on Form 10-Q, unless the context otherwise requires, the terms “we,” “us,” “our,” the “Company” and “Inseego” refer to Inseego Corp., a Delaware corporation, and its wholly-owned subsidiaries.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Trademarks</w:t>
      </w:r>
    </w:p>
    <w:p>
      <w:pPr>
        <w:spacing w:after="0" w:line="109" w:lineRule="exact"/>
        <w:rPr>
          <w:sz w:val="20"/>
          <w:szCs w:val="20"/>
          <w:color w:val="auto"/>
        </w:rPr>
      </w:pPr>
    </w:p>
    <w:p>
      <w:pPr>
        <w:ind w:right="440" w:firstLine="270"/>
        <w:spacing w:after="0" w:line="264" w:lineRule="auto"/>
        <w:rPr>
          <w:sz w:val="20"/>
          <w:szCs w:val="20"/>
          <w:color w:val="auto"/>
        </w:rPr>
      </w:pPr>
      <w:r>
        <w:rPr>
          <w:rFonts w:ascii="Times New Roman" w:cs="Times New Roman" w:eastAsia="Times New Roman" w:hAnsi="Times New Roman"/>
          <w:sz w:val="12"/>
          <w:szCs w:val="12"/>
          <w:color w:val="auto"/>
        </w:rPr>
        <w:t>“Inseego”, “Inseego Subscribe”, “Inseego Manage”, “Inseego Secure”, “Inseego Vision”, the Inseego logo, “MiFi”, “MiFi Intelligent Mobile Hotspot”, “Wavemaker”, “Clarity”, and “Skyus” are trademarks or registered trademarks of Inseego and its subsidiaries. Other trademarks, trade names or service marks used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714" w:right="399" w:bottom="1440" w:gutter="0" w:footer="0" w:header="0"/>
        </w:sectPr>
      </w:pPr>
    </w:p>
    <w:bookmarkStart w:id="20" w:name="page21"/>
    <w:bookmarkEnd w:id="20"/>
    <w:p>
      <w:pPr>
        <w:ind w:right="300" w:firstLine="270"/>
        <w:spacing w:after="0" w:line="264" w:lineRule="auto"/>
        <w:rPr>
          <w:sz w:val="20"/>
          <w:szCs w:val="20"/>
          <w:color w:val="auto"/>
        </w:rPr>
      </w:pPr>
      <w:r>
        <w:rPr>
          <w:rFonts w:ascii="Times New Roman" w:cs="Times New Roman" w:eastAsia="Times New Roman" w:hAnsi="Times New Roman"/>
          <w:sz w:val="12"/>
          <w:szCs w:val="12"/>
          <w:color w:val="auto"/>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2021, contained in our Form 10-K.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Overview</w:t>
      </w:r>
    </w:p>
    <w:p>
      <w:pPr>
        <w:spacing w:after="0" w:line="109" w:lineRule="exact"/>
        <w:rPr>
          <w:sz w:val="20"/>
          <w:szCs w:val="20"/>
          <w:color w:val="auto"/>
        </w:rPr>
      </w:pPr>
    </w:p>
    <w:p>
      <w:pPr>
        <w:ind w:right="100" w:firstLine="270"/>
        <w:spacing w:after="0" w:line="246" w:lineRule="auto"/>
        <w:rPr>
          <w:sz w:val="20"/>
          <w:szCs w:val="20"/>
          <w:color w:val="auto"/>
        </w:rPr>
      </w:pPr>
      <w:r>
        <w:rPr>
          <w:rFonts w:ascii="Times New Roman" w:cs="Times New Roman" w:eastAsia="Times New Roman" w:hAnsi="Times New Roman"/>
          <w:sz w:val="12"/>
          <w:szCs w:val="12"/>
          <w:color w:val="auto"/>
        </w:rPr>
        <w:t>Inseego Corp. is a leader in the design and development of fixed and mobile wireless solutions (advanced 4G and 5G NR), IIoT and cloud solutions for Fortune 500 enterprises, service providers, small and medium-sized businesses, governments, and consumers around the globe. Our product portfolio consists of fixed and mobile device-to-cloud solutions that provide compelling, intelligent, reliable and secure end-to-end IoT services with deep business intelligence. Inseego’s products and solutions, designed and developed in the U.S., power mission critical applications with a “zero unscheduled downtime” mandate, such as our 5G fixed wireless access (“FWA”) gateway solutions, 4G and 5G mobile broadband, IIoT applications such as software-defined wide area network (“SD-WAN”) failover management, asset tracking and fleet management services. Our solutions are powered by our key wireless innovations in mobile and FWA technologies, including a suite of products employing the 5G NR standards, and purpose-built SaaS cloud platforms.</w:t>
      </w:r>
    </w:p>
    <w:p>
      <w:pPr>
        <w:spacing w:after="0" w:line="94" w:lineRule="exact"/>
        <w:rPr>
          <w:sz w:val="20"/>
          <w:szCs w:val="20"/>
          <w:color w:val="auto"/>
        </w:rPr>
      </w:pPr>
    </w:p>
    <w:p>
      <w:pPr>
        <w:ind w:right="20" w:firstLine="270"/>
        <w:spacing w:after="0" w:line="249" w:lineRule="auto"/>
        <w:rPr>
          <w:sz w:val="20"/>
          <w:szCs w:val="20"/>
          <w:color w:val="auto"/>
        </w:rPr>
      </w:pPr>
      <w:r>
        <w:rPr>
          <w:rFonts w:ascii="Times New Roman" w:cs="Times New Roman" w:eastAsia="Times New Roman" w:hAnsi="Times New Roman"/>
          <w:sz w:val="12"/>
          <w:szCs w:val="12"/>
          <w:color w:val="auto"/>
        </w:rPr>
        <w:t>We have been at the forefront of the ways in which the world stays connected and accesses information, protects, and derives intelligence from that information. With multiple first-to-market innovations across a number of wireless technologies, including 5G, and a strong and growing portfolio of hardware and software innovations for IIoT solutions, Inseego has been advancing technology and driving industry transformations for over 30 years. It is this proven expertise, commitment to quality, obsession with innovation and a relentless focus on execution that makes us a preferred global partner of service providers, distributors, value-added resellers, system integrators, and enterprises worldwide.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Sources of Revenue</w:t>
      </w:r>
    </w:p>
    <w:p>
      <w:pPr>
        <w:spacing w:after="0" w:line="109" w:lineRule="exact"/>
        <w:rPr>
          <w:sz w:val="20"/>
          <w:szCs w:val="20"/>
          <w:color w:val="auto"/>
        </w:rPr>
      </w:pPr>
    </w:p>
    <w:p>
      <w:pPr>
        <w:ind w:right="40" w:firstLine="270"/>
        <w:spacing w:after="0" w:line="244" w:lineRule="auto"/>
        <w:rPr>
          <w:sz w:val="20"/>
          <w:szCs w:val="20"/>
          <w:color w:val="auto"/>
        </w:rPr>
      </w:pPr>
      <w:r>
        <w:rPr>
          <w:rFonts w:ascii="Times New Roman" w:cs="Times New Roman" w:eastAsia="Times New Roman" w:hAnsi="Times New Roman"/>
          <w:sz w:val="12"/>
          <w:szCs w:val="12"/>
          <w:color w:val="auto"/>
        </w:rPr>
        <w:t>We provide intelligent wireless 4G and 5G hardware products for the worldwide mobile communications and IIoT markets. Our hardware products address multiple vertical markets including private LTE/5G networks, the First Responders Network Authority/Firstnet, SD-WAN, telematics, remote monitoring and surveillance, and fixed wireless access and mobile broadband devices. Our broad range of products principally includes intelligent 4G and 5G fixed wireless routers and gateways, mobile hotspots, wireless gateways and routers for IIoT applications, Gigabit-speed 4G LTE hotspots and USB modems, integrated telematics and mobile tracking hardware devices, which are supported by applications software and cloud services designed to enable customers to easily analyze data insights and configure/manage their hardware remotely. Our products currently operate on most major global cellular wireless networks. Our mobile hotspots sold under the MiFi brand have been sold to millions of end users, and provide subscribers with secure and convenient high-speed access to corporate, public and personal information through the Internet and enterprise networks. Our wireless standalone and USB modems and gateways allow us to address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98" w:lineRule="exact"/>
        <w:rPr>
          <w:sz w:val="20"/>
          <w:szCs w:val="20"/>
          <w:color w:val="auto"/>
        </w:rPr>
      </w:pPr>
    </w:p>
    <w:p>
      <w:pPr>
        <w:ind w:right="140" w:firstLine="270"/>
        <w:spacing w:after="0" w:line="264" w:lineRule="auto"/>
        <w:rPr>
          <w:sz w:val="20"/>
          <w:szCs w:val="20"/>
          <w:color w:val="auto"/>
        </w:rPr>
      </w:pPr>
      <w:r>
        <w:rPr>
          <w:rFonts w:ascii="Times New Roman" w:cs="Times New Roman" w:eastAsia="Times New Roman" w:hAnsi="Times New Roman"/>
          <w:sz w:val="12"/>
          <w:szCs w:val="12"/>
          <w:color w:val="auto"/>
        </w:rPr>
        <w:t>Our MiFi customer base is comprised of wireless operators to whom we provide intelligent fixed and mobile wireless devices. These wireless operators include Verizon Wireless, T-Mobile and U.S. Cellular in the United States, Rogers and Telus in Canada, Telstra in Australia, Swisscom in Switzerland, as well as other international wireless operators, distributors and various companies in other vertical markets and geographies.</w:t>
      </w:r>
    </w:p>
    <w:p>
      <w:pPr>
        <w:spacing w:after="0" w:line="74" w:lineRule="exact"/>
        <w:rPr>
          <w:sz w:val="20"/>
          <w:szCs w:val="20"/>
          <w:color w:val="auto"/>
        </w:rPr>
      </w:pPr>
    </w:p>
    <w:p>
      <w:pPr>
        <w:jc w:val="both"/>
        <w:ind w:right="40" w:firstLine="270"/>
        <w:spacing w:after="0" w:line="291" w:lineRule="auto"/>
        <w:rPr>
          <w:sz w:val="20"/>
          <w:szCs w:val="20"/>
          <w:color w:val="auto"/>
        </w:rPr>
      </w:pPr>
      <w:r>
        <w:rPr>
          <w:rFonts w:ascii="Times New Roman" w:cs="Times New Roman" w:eastAsia="Times New Roman" w:hAnsi="Times New Roman"/>
          <w:sz w:val="11"/>
          <w:szCs w:val="11"/>
          <w:color w:val="auto"/>
        </w:rPr>
        <w:t>We sell our wireless routers for IIoT, integrated telematics and mobile tracking hardware devices through our direct sales force, value-added resellers and through distributors. The customer base for our IIoT products is comprised of transportation companies, industrial enterprises, manufacturers, application service providers, system integrators and distributors in various industries, including fleet and vehicle transportation, aviation ground service management, energy and industrial automation, security and safety, medical monitoring and government. Integrated telematics and asset tracking devices are also sold under our Ctrack brand and provided as part of our integrated SaaS solutions.</w:t>
      </w:r>
    </w:p>
    <w:p>
      <w:pPr>
        <w:spacing w:after="0" w:line="62" w:lineRule="exact"/>
        <w:rPr>
          <w:sz w:val="20"/>
          <w:szCs w:val="20"/>
          <w:color w:val="auto"/>
        </w:rPr>
      </w:pPr>
    </w:p>
    <w:p>
      <w:pPr>
        <w:ind w:firstLine="270"/>
        <w:spacing w:after="0" w:line="249" w:lineRule="auto"/>
        <w:rPr>
          <w:sz w:val="20"/>
          <w:szCs w:val="20"/>
          <w:color w:val="auto"/>
        </w:rPr>
      </w:pPr>
      <w:r>
        <w:rPr>
          <w:rFonts w:ascii="Times New Roman" w:cs="Times New Roman" w:eastAsia="Times New Roman" w:hAnsi="Times New Roman"/>
          <w:sz w:val="12"/>
          <w:szCs w:val="12"/>
          <w:color w:val="auto"/>
        </w:rPr>
        <w:t>We sell SaaS, software and services solutions across multiple mobile and IIoT vertical markets, including fleet management, vehicle telematics, stolen vehicle recovery, asset tracking, monitoring, business connectivity and subscription management. Our SaaS delivery platforms include our telematics and asset tracking and management platforms, which provide fleet, vehicle, aviation, asset and other telematics applications. Our SaaS platforms are device-agnostic and provide a standardized, scalable way to order, connect and manage remote assets and to improve business operations. The platforms are flexible and support both on-premise server or cloud-based deployments and are the basis for the delivery of a wide range of IoT services in multiple industries.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21" w:name="page22"/>
    <w:bookmarkEnd w:id="21"/>
    <w:p>
      <w:pPr>
        <w:ind w:right="240" w:firstLine="270"/>
        <w:spacing w:after="0" w:line="264" w:lineRule="auto"/>
        <w:rPr>
          <w:sz w:val="20"/>
          <w:szCs w:val="20"/>
          <w:color w:val="auto"/>
        </w:rPr>
      </w:pPr>
      <w:r>
        <w:rPr>
          <w:rFonts w:ascii="Times New Roman" w:cs="Times New Roman" w:eastAsia="Times New Roman" w:hAnsi="Times New Roman"/>
          <w:sz w:val="12"/>
          <w:szCs w:val="12"/>
          <w:color w:val="auto"/>
        </w:rPr>
        <w:t>We classify our revenues from the sale of our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83" w:lineRule="exact"/>
        <w:rPr>
          <w:sz w:val="20"/>
          <w:szCs w:val="20"/>
          <w:color w:val="auto"/>
        </w:rPr>
      </w:pPr>
    </w:p>
    <w:p>
      <w:pPr>
        <w:ind w:right="340" w:firstLine="270"/>
        <w:spacing w:after="0" w:line="264" w:lineRule="auto"/>
        <w:rPr>
          <w:sz w:val="20"/>
          <w:szCs w:val="20"/>
          <w:color w:val="auto"/>
        </w:rPr>
      </w:pPr>
      <w:r>
        <w:rPr>
          <w:rFonts w:ascii="Times New Roman" w:cs="Times New Roman" w:eastAsia="Times New Roman" w:hAnsi="Times New Roman"/>
          <w:sz w:val="12"/>
          <w:szCs w:val="12"/>
          <w:color w:val="auto"/>
        </w:rPr>
        <w:t>Our SaaS delivery platforms include our Ctrack platforms, which provide fleet, vehicle, aviation, asset and other telematics applications. Since the sale of our Ctrack South Africa operations was completed on July 30, 2021, certain portions of our SaaS revenue are no longer be generated, but Inseego continues to provide telematics solutions in the rest of the world, including in North America, Europe and Australia.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Factors Which May Influence Future Results of Operations</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i w:val="1"/>
          <w:iCs w:val="1"/>
          <w:color w:val="auto"/>
        </w:rPr>
        <w:t xml:space="preserve">Net Revenues. </w:t>
      </w:r>
      <w:r>
        <w:rPr>
          <w:rFonts w:ascii="Times New Roman" w:cs="Times New Roman" w:eastAsia="Times New Roman" w:hAnsi="Times New Roman"/>
          <w:sz w:val="12"/>
          <w:szCs w:val="12"/>
          <w:color w:val="auto"/>
        </w:rPr>
        <w:t>We believe that our future net revenues may be influenced by a number of factors including:</w:t>
      </w:r>
    </w:p>
    <w:p>
      <w:pPr>
        <w:spacing w:after="0" w:line="35" w:lineRule="exact"/>
        <w:rPr>
          <w:sz w:val="20"/>
          <w:szCs w:val="20"/>
          <w:color w:val="auto"/>
        </w:rPr>
      </w:pPr>
    </w:p>
    <w:p>
      <w:pPr>
        <w:ind w:left="640" w:hanging="216"/>
        <w:spacing w:after="0"/>
        <w:tabs>
          <w:tab w:leader="none" w:pos="6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environment and related market conditions such as inflation;</w:t>
      </w:r>
    </w:p>
    <w:p>
      <w:pPr>
        <w:spacing w:after="0" w:line="33"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competition from other fleet and vehicle telematics solutions, as well as suppliers of emerging devices that contain wireless data access or device management features;</w:t>
      </w:r>
    </w:p>
    <w:p>
      <w:pPr>
        <w:spacing w:after="0" w:line="42"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acceptance of our products by new vertical markets;</w:t>
      </w:r>
    </w:p>
    <w:p>
      <w:pPr>
        <w:spacing w:after="0" w:line="33"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growth in the aviation ground vertical;</w:t>
      </w:r>
    </w:p>
    <w:p>
      <w:pPr>
        <w:spacing w:after="0" w:line="33"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rate of change to new products;</w:t>
      </w:r>
    </w:p>
    <w:p>
      <w:pPr>
        <w:spacing w:after="0" w:line="42"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deployment of 5G infrastructure equipment;</w:t>
      </w:r>
    </w:p>
    <w:p>
      <w:pPr>
        <w:spacing w:after="0" w:line="33"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adoption of 5G end point products;</w:t>
      </w:r>
    </w:p>
    <w:p>
      <w:pPr>
        <w:spacing w:after="0" w:line="33"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competition in the area of 5G technology;</w:t>
      </w:r>
    </w:p>
    <w:p>
      <w:pPr>
        <w:spacing w:after="0" w:line="42"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contract manufacturer’s ability to secure necessary supply to of semiconductors and other key components to build our devices;</w:t>
      </w:r>
    </w:p>
    <w:p>
      <w:pPr>
        <w:spacing w:after="0" w:line="33"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 pricing;</w:t>
      </w:r>
    </w:p>
    <w:p>
      <w:pPr>
        <w:spacing w:after="0" w:line="33"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the COVID-19 pandemic on our business; and</w:t>
      </w:r>
    </w:p>
    <w:p>
      <w:pPr>
        <w:spacing w:after="0" w:line="42"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technologies.</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Our revenues are also significantly dependent upon the availability of materials and components used in our hardware products.</w:t>
      </w:r>
    </w:p>
    <w:p>
      <w:pPr>
        <w:spacing w:after="0" w:line="105" w:lineRule="exact"/>
        <w:rPr>
          <w:sz w:val="20"/>
          <w:szCs w:val="20"/>
          <w:color w:val="auto"/>
        </w:rPr>
      </w:pPr>
    </w:p>
    <w:p>
      <w:pPr>
        <w:jc w:val="both"/>
        <w:ind w:right="60" w:firstLine="270"/>
        <w:spacing w:after="0" w:line="257" w:lineRule="auto"/>
        <w:rPr>
          <w:sz w:val="20"/>
          <w:szCs w:val="20"/>
          <w:color w:val="auto"/>
        </w:rPr>
      </w:pPr>
      <w:r>
        <w:rPr>
          <w:rFonts w:ascii="Times New Roman" w:cs="Times New Roman" w:eastAsia="Times New Roman" w:hAnsi="Times New Roman"/>
          <w:sz w:val="12"/>
          <w:szCs w:val="12"/>
          <w:color w:val="auto"/>
        </w:rPr>
        <w:t>We have made significant investments in additional products and services, including SaaS and additional service offerings, industrial IoT hardware and services, and other mobile and fixed wireless devices targeting the emerging 5G market. We continue to develop and maintain strategic relationships with service providers and other wireless industry leaders such as Verizon Wireless, T-Mobile,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79" w:lineRule="exact"/>
        <w:rPr>
          <w:sz w:val="20"/>
          <w:szCs w:val="20"/>
          <w:color w:val="auto"/>
        </w:rPr>
      </w:pPr>
    </w:p>
    <w:p>
      <w:pPr>
        <w:ind w:right="80" w:firstLine="270"/>
        <w:spacing w:after="0" w:line="257" w:lineRule="auto"/>
        <w:rPr>
          <w:sz w:val="20"/>
          <w:szCs w:val="20"/>
          <w:color w:val="auto"/>
        </w:rPr>
      </w:pPr>
      <w:r>
        <w:rPr>
          <w:rFonts w:ascii="Times New Roman" w:cs="Times New Roman" w:eastAsia="Times New Roman" w:hAnsi="Times New Roman"/>
          <w:sz w:val="12"/>
          <w:szCs w:val="12"/>
          <w:color w:val="auto"/>
        </w:rPr>
        <w:t>The demand environment for our 5G products during the three and nine months ended September 30, 2022 was consistent with our expectations. However, we have recently experienced lower sales of LTE gigabit hotspots within IoT &amp; Mobile Solutions as COVID-19 pandemic demand has eased. The macroeconomic environment continues to remain uncertain and the demand for our products in the prior year may not be sustainable for the long term. We will continue to monitor the implications of the COVID-19 pandemic on our business, as well as our customers’ and suppliers’ businesses.</w:t>
      </w:r>
    </w:p>
    <w:p>
      <w:pPr>
        <w:spacing w:after="0" w:line="77" w:lineRule="exact"/>
        <w:rPr>
          <w:sz w:val="20"/>
          <w:szCs w:val="20"/>
          <w:color w:val="auto"/>
        </w:rPr>
      </w:pPr>
    </w:p>
    <w:p>
      <w:pPr>
        <w:ind w:right="40" w:firstLine="270"/>
        <w:spacing w:after="0" w:line="250" w:lineRule="auto"/>
        <w:rPr>
          <w:sz w:val="20"/>
          <w:szCs w:val="20"/>
          <w:color w:val="auto"/>
        </w:rPr>
      </w:pPr>
      <w:r>
        <w:rPr>
          <w:rFonts w:ascii="Times New Roman" w:cs="Times New Roman" w:eastAsia="Times New Roman" w:hAnsi="Times New Roman"/>
          <w:sz w:val="12"/>
          <w:szCs w:val="12"/>
          <w:i w:val="1"/>
          <w:iCs w:val="1"/>
          <w:color w:val="auto"/>
        </w:rPr>
        <w:t xml:space="preserve">Cost of Net Revenues. </w:t>
      </w:r>
      <w:r>
        <w:rPr>
          <w:rFonts w:ascii="Times New Roman" w:cs="Times New Roman" w:eastAsia="Times New Roman" w:hAnsi="Times New Roman"/>
          <w:sz w:val="12"/>
          <w:szCs w:val="12"/>
          <w:color w:val="auto"/>
        </w:rPr>
        <w:t>Cost of net revenues includes all costs associated with our contract manufacturers, distribution, fulfillment and repair services, delivery of SaaS services, warranty costs, amortization of intangible assets,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royalties, operations overhead, costs associated with cancellation of purchase orders and costs related to outside services. Also included in cost of net revenues are costs related to inventory adjustments, as well as any write downs for excess and obsolete inventory and abandoned product lines. Inventory adjustments are impacted primarily by demand for our products, which is influenced by the factors discussed above. The inflationary pressures impacting the global supply chain could potentially increase the cost of net revenues in the current and future years.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i w:val="1"/>
          <w:iCs w:val="1"/>
          <w:color w:val="auto"/>
        </w:rPr>
        <w:t xml:space="preserve">Operating Costs and Expenses. </w:t>
      </w:r>
      <w:r>
        <w:rPr>
          <w:rFonts w:ascii="Times New Roman" w:cs="Times New Roman" w:eastAsia="Times New Roman" w:hAnsi="Times New Roman"/>
          <w:sz w:val="12"/>
          <w:szCs w:val="12"/>
          <w:color w:val="auto"/>
        </w:rPr>
        <w:t>Our operating costs consist of three primary categories: research and development, sales and marketing, and general and administrative costs.</w:t>
      </w:r>
    </w:p>
    <w:p>
      <w:pPr>
        <w:spacing w:after="0" w:line="107" w:lineRule="exact"/>
        <w:rPr>
          <w:sz w:val="20"/>
          <w:szCs w:val="20"/>
          <w:color w:val="auto"/>
        </w:rPr>
      </w:pPr>
    </w:p>
    <w:p>
      <w:pPr>
        <w:ind w:right="440" w:firstLine="270"/>
        <w:spacing w:after="0" w:line="264" w:lineRule="auto"/>
        <w:rPr>
          <w:sz w:val="20"/>
          <w:szCs w:val="20"/>
          <w:color w:val="auto"/>
        </w:rPr>
      </w:pPr>
      <w:r>
        <w:rPr>
          <w:rFonts w:ascii="Times New Roman" w:cs="Times New Roman" w:eastAsia="Times New Roman" w:hAnsi="Times New Roman"/>
          <w:sz w:val="12"/>
          <w:szCs w:val="12"/>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83" w:lineRule="exact"/>
        <w:rPr>
          <w:sz w:val="20"/>
          <w:szCs w:val="20"/>
          <w:color w:val="auto"/>
        </w:rPr>
      </w:pPr>
    </w:p>
    <w:p>
      <w:pPr>
        <w:ind w:firstLine="270"/>
        <w:spacing w:after="0" w:line="264" w:lineRule="auto"/>
        <w:rPr>
          <w:sz w:val="20"/>
          <w:szCs w:val="20"/>
          <w:color w:val="auto"/>
        </w:rPr>
      </w:pPr>
      <w:r>
        <w:rPr>
          <w:rFonts w:ascii="Times New Roman" w:cs="Times New Roman" w:eastAsia="Times New Roman" w:hAnsi="Times New Roman"/>
          <w:sz w:val="12"/>
          <w:szCs w:val="12"/>
          <w:color w:val="auto"/>
        </w:rPr>
        <w:t>Sales and marketing expenses consist primarily of our sales force and product-marketing professionals. In order to maintain strong sales relationships, we provide co-marketing, trade show support and product training. We are also engaged in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color w:val="auto"/>
        </w:rPr>
        <w:t>a wide variety of marketing activities, such as awareness and lead generation programs as well as product marketing. Other marketing initiatives include public relations, seminars and co-branding with partners.</w:t>
      </w:r>
    </w:p>
    <w:p>
      <w:pPr>
        <w:spacing w:after="0" w:line="105" w:lineRule="exact"/>
        <w:rPr>
          <w:sz w:val="20"/>
          <w:szCs w:val="20"/>
          <w:color w:val="auto"/>
        </w:rPr>
      </w:pPr>
    </w:p>
    <w:p>
      <w:pPr>
        <w:jc w:val="both"/>
        <w:ind w:right="20" w:firstLine="270"/>
        <w:spacing w:after="0" w:line="257" w:lineRule="auto"/>
        <w:rPr>
          <w:sz w:val="20"/>
          <w:szCs w:val="20"/>
          <w:color w:val="auto"/>
        </w:rPr>
      </w:pPr>
      <w:r>
        <w:rPr>
          <w:rFonts w:ascii="Times New Roman" w:cs="Times New Roman" w:eastAsia="Times New Roman" w:hAnsi="Times New Roman"/>
          <w:sz w:val="12"/>
          <w:szCs w:val="12"/>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 which may, in turn, impact net revenue levels.</w:t>
      </w:r>
    </w:p>
    <w:p>
      <w:pPr>
        <w:spacing w:after="0" w:line="79" w:lineRule="exact"/>
        <w:rPr>
          <w:sz w:val="20"/>
          <w:szCs w:val="20"/>
          <w:color w:val="auto"/>
        </w:rPr>
      </w:pPr>
    </w:p>
    <w:p>
      <w:pPr>
        <w:jc w:val="both"/>
        <w:ind w:right="120" w:firstLine="270"/>
        <w:spacing w:after="0" w:line="257" w:lineRule="auto"/>
        <w:rPr>
          <w:sz w:val="20"/>
          <w:szCs w:val="20"/>
          <w:color w:val="auto"/>
        </w:rPr>
      </w:pPr>
      <w:r>
        <w:rPr>
          <w:rFonts w:ascii="Times New Roman" w:cs="Times New Roman" w:eastAsia="Times New Roman" w:hAnsi="Times New Roman"/>
          <w:sz w:val="12"/>
          <w:szCs w:val="12"/>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or drawing on our revolving credit facility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18" w:lineRule="exact"/>
        <w:rPr>
          <w:sz w:val="20"/>
          <w:szCs w:val="20"/>
          <w:color w:val="auto"/>
        </w:rPr>
      </w:pPr>
    </w:p>
    <w:p>
      <w:pPr>
        <w:ind w:right="40" w:firstLine="270"/>
        <w:spacing w:after="0" w:line="249" w:lineRule="auto"/>
        <w:rPr>
          <w:sz w:val="20"/>
          <w:szCs w:val="20"/>
          <w:color w:val="auto"/>
        </w:rPr>
      </w:pPr>
      <w:r>
        <w:rPr>
          <w:rFonts w:ascii="Times New Roman" w:cs="Times New Roman" w:eastAsia="Times New Roman" w:hAnsi="Times New Roman"/>
          <w:sz w:val="12"/>
          <w:szCs w:val="12"/>
          <w:color w:val="auto"/>
        </w:rPr>
        <w:t>In the notes to our consolidated financial statements and in “Item 7. Management’s Discussion and Analysis of Financial Condition and Results of Operations” included in our Form 10-K, we have disclosed those accounting policies that we consider to be significant in determining our results of operations and financial condition. There have been no material changes to those policies that we consider to be significant since the filing of our Form 10-K. The accounting principles used in preparing our unaudited condensed consolidated financial statements conform in all material respects to accounting principles generally accepted in the U.S.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Three Months Ended September 30, 2022 Compared to Three Months Ended September 30, 2021</w:t>
      </w:r>
    </w:p>
    <w:p>
      <w:pPr>
        <w:spacing w:after="0" w:line="1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Net revenues</w:t>
      </w:r>
      <w:r>
        <w:rPr>
          <w:rFonts w:ascii="Times New Roman" w:cs="Times New Roman" w:eastAsia="Times New Roman" w:hAnsi="Times New Roman"/>
          <w:sz w:val="12"/>
          <w:szCs w:val="12"/>
          <w:color w:val="auto"/>
        </w:rPr>
        <w:t>. Net revenues for the three months ended September 30, 2022 were $69.2 million, compared to $66.2 million for the same period in 2021.</w:t>
      </w:r>
    </w:p>
    <w:p>
      <w:pPr>
        <w:spacing w:after="0" w:line="1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The following table summarizes net revenues by our two product categories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3"/>
          </w:tcPr>
          <w:p>
            <w:pPr>
              <w:jc w:val="right"/>
              <w:ind w:right="288"/>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3"/>
            <w:vMerge w:val="restart"/>
          </w:tcPr>
          <w:p>
            <w:pPr>
              <w:ind w:left="64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8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vMerge w:val="continue"/>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Product Category</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428"/>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jc w:val="right"/>
              <w:ind w:right="428"/>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5"/>
        </w:trPr>
        <w:tc>
          <w:tcPr>
            <w:tcW w:w="28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IoT &amp; Mobile Solutions</w:t>
            </w:r>
          </w:p>
        </w:tc>
        <w:tc>
          <w:tcPr>
            <w:tcW w:w="37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62,633</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56,975</w:t>
            </w: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center"/>
              <w:ind w:left="308"/>
              <w:spacing w:after="0"/>
              <w:rPr>
                <w:sz w:val="20"/>
                <w:szCs w:val="20"/>
                <w:color w:val="auto"/>
              </w:rPr>
            </w:pPr>
            <w:r>
              <w:rPr>
                <w:rFonts w:ascii="Times New Roman" w:cs="Times New Roman" w:eastAsia="Times New Roman" w:hAnsi="Times New Roman"/>
                <w:sz w:val="11"/>
                <w:szCs w:val="11"/>
                <w:color w:val="auto"/>
                <w:w w:val="96"/>
              </w:rPr>
              <w:t>5,658</w:t>
            </w: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9.9 %</w:t>
            </w:r>
          </w:p>
        </w:tc>
        <w:tc>
          <w:tcPr>
            <w:tcW w:w="0" w:type="dxa"/>
            <w:vAlign w:val="bottom"/>
          </w:tcPr>
          <w:p>
            <w:pPr>
              <w:spacing w:after="0"/>
              <w:rPr>
                <w:sz w:val="1"/>
                <w:szCs w:val="1"/>
                <w:color w:val="auto"/>
              </w:rPr>
            </w:pPr>
          </w:p>
        </w:tc>
      </w:tr>
      <w:tr>
        <w:trPr>
          <w:trHeight w:val="142"/>
        </w:trPr>
        <w:tc>
          <w:tcPr>
            <w:tcW w:w="6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Enterprise SaaS Solutions</w:t>
            </w:r>
          </w:p>
        </w:tc>
        <w:tc>
          <w:tcPr>
            <w:tcW w:w="7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6,534</w:t>
            </w: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9,242</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1"/>
                <w:szCs w:val="11"/>
                <w:color w:val="auto"/>
                <w:w w:val="99"/>
              </w:rPr>
              <w:t>(2,708)</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0" w:type="dxa"/>
            <w:vAlign w:val="bottom"/>
          </w:tcPr>
          <w:p>
            <w:pPr>
              <w:spacing w:after="0"/>
              <w:rPr>
                <w:sz w:val="1"/>
                <w:szCs w:val="1"/>
                <w:color w:val="auto"/>
              </w:rPr>
            </w:pPr>
          </w:p>
        </w:tc>
      </w:tr>
      <w:tr>
        <w:trPr>
          <w:trHeight w:val="151"/>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700" w:type="dxa"/>
            <w:vAlign w:val="bottom"/>
            <w:tcBorders>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69,167</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66,217</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center"/>
              <w:ind w:left="308"/>
              <w:spacing w:after="0"/>
              <w:rPr>
                <w:sz w:val="20"/>
                <w:szCs w:val="20"/>
                <w:color w:val="auto"/>
              </w:rPr>
            </w:pPr>
            <w:r>
              <w:rPr>
                <w:rFonts w:ascii="Times New Roman" w:cs="Times New Roman" w:eastAsia="Times New Roman" w:hAnsi="Times New Roman"/>
                <w:sz w:val="11"/>
                <w:szCs w:val="11"/>
                <w:color w:val="auto"/>
                <w:w w:val="96"/>
              </w:rPr>
              <w:t>2,950</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120" w:right="180" w:firstLine="270"/>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IoT &amp; Mobile Solutions. </w:t>
      </w:r>
      <w:r>
        <w:rPr>
          <w:rFonts w:ascii="Times New Roman" w:cs="Times New Roman" w:eastAsia="Times New Roman" w:hAnsi="Times New Roman"/>
          <w:sz w:val="12"/>
          <w:szCs w:val="12"/>
          <w:color w:val="auto"/>
        </w:rPr>
        <w:t>The $5.7 million increase in IoT &amp; Mobile Solutions net revenues over the same period in 2021 is primarily due to higher sales of our second-generation 5G hotspot related to our MiFi business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increases in our Enterprise FWA and Subscribe business, partially offset by a decrease in revenue from our 4G products.</w:t>
      </w:r>
    </w:p>
    <w:p>
      <w:pPr>
        <w:spacing w:after="0" w:line="80" w:lineRule="exact"/>
        <w:rPr>
          <w:sz w:val="20"/>
          <w:szCs w:val="20"/>
          <w:color w:val="auto"/>
        </w:rPr>
      </w:pPr>
    </w:p>
    <w:p>
      <w:pPr>
        <w:ind w:left="120" w:right="160" w:firstLine="270"/>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Enterprise SaaS Solutions. </w:t>
      </w:r>
      <w:r>
        <w:rPr>
          <w:rFonts w:ascii="Times New Roman" w:cs="Times New Roman" w:eastAsia="Times New Roman" w:hAnsi="Times New Roman"/>
          <w:sz w:val="12"/>
          <w:szCs w:val="12"/>
          <w:color w:val="auto"/>
        </w:rPr>
        <w:t>The $2.7 million decrease in Enterprise SaaS Solutions net revenues over the same period in 2021 is primarily due to lower sales attributable to the Ctrack South Africa divestiture and decrease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Enterprise SaaS solutions revenue from the rest of the world.</w:t>
      </w:r>
    </w:p>
    <w:p>
      <w:pPr>
        <w:spacing w:after="0" w:line="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Cost of net revenues. </w:t>
      </w:r>
      <w:r>
        <w:rPr>
          <w:rFonts w:ascii="Times New Roman" w:cs="Times New Roman" w:eastAsia="Times New Roman" w:hAnsi="Times New Roman"/>
          <w:sz w:val="12"/>
          <w:szCs w:val="12"/>
          <w:color w:val="auto"/>
        </w:rPr>
        <w:t>Cost of net revenues for the three months ended September 30, 2022 was $51.2 million, or 74.0% of net revenues, compared to $47.3 million, or 71.4% of net revenues, for the same period in 2021.</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50"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color w:val="auto"/>
        </w:rPr>
        <w:t>The following table summarizes cost of net revenues by our two product categories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3"/>
          </w:tcPr>
          <w:p>
            <w:pPr>
              <w:jc w:val="right"/>
              <w:ind w:right="288"/>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3"/>
            <w:vMerge w:val="restart"/>
          </w:tcPr>
          <w:p>
            <w:pPr>
              <w:ind w:left="64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8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vMerge w:val="continue"/>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Product Category</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428"/>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jc w:val="right"/>
              <w:ind w:right="428"/>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5"/>
        </w:trPr>
        <w:tc>
          <w:tcPr>
            <w:tcW w:w="28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IoT &amp; Mobile Solutions</w:t>
            </w:r>
          </w:p>
        </w:tc>
        <w:tc>
          <w:tcPr>
            <w:tcW w:w="37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48,209</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43,595</w:t>
            </w: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4,614</w:t>
            </w: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10.6 %</w:t>
            </w:r>
          </w:p>
        </w:tc>
        <w:tc>
          <w:tcPr>
            <w:tcW w:w="0" w:type="dxa"/>
            <w:vAlign w:val="bottom"/>
          </w:tcPr>
          <w:p>
            <w:pPr>
              <w:spacing w:after="0"/>
              <w:rPr>
                <w:sz w:val="1"/>
                <w:szCs w:val="1"/>
                <w:color w:val="auto"/>
              </w:rPr>
            </w:pPr>
          </w:p>
        </w:tc>
      </w:tr>
      <w:tr>
        <w:trPr>
          <w:trHeight w:val="142"/>
        </w:trPr>
        <w:tc>
          <w:tcPr>
            <w:tcW w:w="6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Enterprise SaaS Solutions</w:t>
            </w:r>
          </w:p>
        </w:tc>
        <w:tc>
          <w:tcPr>
            <w:tcW w:w="7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3,002</w:t>
            </w: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3,679</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(677)</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0" w:type="dxa"/>
            <w:vAlign w:val="bottom"/>
          </w:tcPr>
          <w:p>
            <w:pPr>
              <w:spacing w:after="0"/>
              <w:rPr>
                <w:sz w:val="1"/>
                <w:szCs w:val="1"/>
                <w:color w:val="auto"/>
              </w:rPr>
            </w:pPr>
          </w:p>
        </w:tc>
      </w:tr>
      <w:tr>
        <w:trPr>
          <w:trHeight w:val="151"/>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700" w:type="dxa"/>
            <w:vAlign w:val="bottom"/>
            <w:tcBorders>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51,211</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47,274</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3,937</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8.3 %</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i w:val="1"/>
          <w:iCs w:val="1"/>
          <w:color w:val="auto"/>
        </w:rPr>
        <w:t xml:space="preserve">IoT &amp; Mobile Solutions. </w:t>
      </w:r>
      <w:r>
        <w:rPr>
          <w:rFonts w:ascii="Times New Roman" w:cs="Times New Roman" w:eastAsia="Times New Roman" w:hAnsi="Times New Roman"/>
          <w:sz w:val="12"/>
          <w:szCs w:val="12"/>
          <w:color w:val="auto"/>
        </w:rPr>
        <w:t>The $4.6 million increase in IoT &amp; Mobile Solutions cost of net revenues over the same period in 2021 is primarily due to higher sales and costs of production of our second-generation 5G hotspot.</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i w:val="1"/>
          <w:iCs w:val="1"/>
          <w:color w:val="auto"/>
        </w:rPr>
        <w:t xml:space="preserve">Enterprise SaaS Solutions. </w:t>
      </w:r>
      <w:r>
        <w:rPr>
          <w:rFonts w:ascii="Times New Roman" w:cs="Times New Roman" w:eastAsia="Times New Roman" w:hAnsi="Times New Roman"/>
          <w:sz w:val="12"/>
          <w:szCs w:val="12"/>
          <w:color w:val="auto"/>
        </w:rPr>
        <w:t>The $0.7 million decrease in Enterprise SaaS Solutions cost of net revenues over the same period in 2021 is primarily due to a decrease in costs attributable to the Ctrack South Africa divestiture.</w:t>
      </w:r>
    </w:p>
    <w:p>
      <w:pPr>
        <w:spacing w:after="0" w:line="103" w:lineRule="exact"/>
        <w:rPr>
          <w:sz w:val="20"/>
          <w:szCs w:val="20"/>
          <w:color w:val="auto"/>
        </w:rPr>
      </w:pPr>
    </w:p>
    <w:p>
      <w:pPr>
        <w:jc w:val="both"/>
        <w:ind w:right="80" w:firstLine="27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Gross profit. </w:t>
      </w:r>
      <w:r>
        <w:rPr>
          <w:rFonts w:ascii="Times New Roman" w:cs="Times New Roman" w:eastAsia="Times New Roman" w:hAnsi="Times New Roman"/>
          <w:sz w:val="12"/>
          <w:szCs w:val="12"/>
          <w:color w:val="auto"/>
        </w:rPr>
        <w:t>Gross profit for the three months ended September 30, 2022 was $18.0 million, or a gross margin of 26.0%, compared to $18.9 million, or a gross margin of 28.6%, for the same period in 2021. The decrease in gross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profit is primarily due to a higher mix of lower-margin 5G product revenue, higher supply chain costs and a decrease in margin attributable to the Ctrack South Africa divestiture.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operating costs and expenses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760" w:type="dxa"/>
            <w:vAlign w:val="bottom"/>
            <w:tcBorders>
              <w:bottom w:val="single" w:sz="8" w:color="auto"/>
            </w:tcBorders>
          </w:tcPr>
          <w:p>
            <w:pPr>
              <w:spacing w:after="0"/>
              <w:rPr>
                <w:sz w:val="11"/>
                <w:szCs w:val="11"/>
                <w:color w:val="auto"/>
              </w:rPr>
            </w:pPr>
          </w:p>
        </w:tc>
      </w:tr>
      <w:tr>
        <w:trPr>
          <w:trHeight w:val="133"/>
        </w:trPr>
        <w:tc>
          <w:tcPr>
            <w:tcW w:w="6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Operating costs and expenses</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2022</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jc w:val="right"/>
              <w:ind w:right="408"/>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35"/>
        </w:trPr>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Research and development</w:t>
            </w: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15,417</w:t>
            </w: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12,626</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2,791</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22.1 %</w:t>
            </w:r>
          </w:p>
        </w:tc>
      </w:tr>
      <w:tr>
        <w:trPr>
          <w:trHeight w:val="142"/>
        </w:trPr>
        <w:tc>
          <w:tcPr>
            <w:tcW w:w="6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Sales and marketing</w:t>
            </w:r>
          </w:p>
        </w:tc>
        <w:tc>
          <w:tcPr>
            <w:tcW w:w="7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8,295</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9,172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w:t>
            </w:r>
          </w:p>
        </w:tc>
      </w:tr>
      <w:tr>
        <w:trPr>
          <w:trHeight w:val="14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5,720</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6,599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r>
      <w:tr>
        <w:trPr>
          <w:trHeight w:val="140"/>
        </w:trPr>
        <w:tc>
          <w:tcPr>
            <w:tcW w:w="6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Amortization of purchased intangible assets</w:t>
            </w:r>
          </w:p>
        </w:tc>
        <w:tc>
          <w:tcPr>
            <w:tcW w:w="7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519</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w:t>
            </w:r>
          </w:p>
        </w:tc>
      </w:tr>
      <w:tr>
        <w:trPr>
          <w:trHeight w:val="135"/>
        </w:trPr>
        <w:tc>
          <w:tcPr>
            <w:tcW w:w="6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w:t>
            </w:r>
          </w:p>
        </w:tc>
        <w:tc>
          <w:tcPr>
            <w:tcW w:w="7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29,865</w:t>
            </w:r>
          </w:p>
        </w:tc>
        <w:tc>
          <w:tcPr>
            <w:tcW w:w="80" w:type="dxa"/>
            <w:vAlign w:val="bottom"/>
          </w:tcPr>
          <w:p>
            <w:pPr>
              <w:spacing w:after="0"/>
              <w:rPr>
                <w:sz w:val="11"/>
                <w:szCs w:val="11"/>
                <w:color w:val="auto"/>
              </w:rPr>
            </w:pPr>
          </w:p>
        </w:tc>
        <w:tc>
          <w:tcPr>
            <w:tcW w:w="74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28,916</w:t>
            </w:r>
          </w:p>
        </w:tc>
        <w:tc>
          <w:tcPr>
            <w:tcW w:w="100" w:type="dxa"/>
            <w:vAlign w:val="bottom"/>
          </w:tcPr>
          <w:p>
            <w:pPr>
              <w:spacing w:after="0"/>
              <w:rPr>
                <w:sz w:val="11"/>
                <w:szCs w:val="11"/>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3.3 %</w:t>
            </w:r>
          </w:p>
        </w:tc>
      </w:tr>
      <w:tr>
        <w:trPr>
          <w:trHeight w:val="20"/>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56" w:lineRule="exact"/>
        <w:rPr>
          <w:sz w:val="20"/>
          <w:szCs w:val="20"/>
          <w:color w:val="auto"/>
        </w:rPr>
      </w:pPr>
    </w:p>
    <w:p>
      <w:pPr>
        <w:ind w:right="120" w:firstLine="270"/>
        <w:spacing w:after="0" w:line="260" w:lineRule="auto"/>
        <w:rPr>
          <w:sz w:val="20"/>
          <w:szCs w:val="20"/>
          <w:color w:val="auto"/>
        </w:rPr>
      </w:pPr>
      <w:r>
        <w:rPr>
          <w:rFonts w:ascii="Times New Roman" w:cs="Times New Roman" w:eastAsia="Times New Roman" w:hAnsi="Times New Roman"/>
          <w:sz w:val="12"/>
          <w:szCs w:val="12"/>
          <w:b w:val="1"/>
          <w:bCs w:val="1"/>
          <w:i w:val="1"/>
          <w:iCs w:val="1"/>
          <w:color w:val="auto"/>
        </w:rPr>
        <w:t xml:space="preserve">Research and development expenses. </w:t>
      </w:r>
      <w:r>
        <w:rPr>
          <w:rFonts w:ascii="Times New Roman" w:cs="Times New Roman" w:eastAsia="Times New Roman" w:hAnsi="Times New Roman"/>
          <w:sz w:val="12"/>
          <w:szCs w:val="12"/>
          <w:color w:val="auto"/>
        </w:rPr>
        <w:t>Research and development expenses for the three months ended September 30, 2022 were $15.4 million, or 22.3% of net revenues, compared to $12.6 million, or 19.1% of net revenues, for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 same period in 2021. The increase in expense is primarily due to additional certification costs incurred driven by the launch of major 5G products during the current period, an increase in amortization expense from recently launched projects, and a net decrease in capitalizable costs as fewer new projects were undertaken during the current period.</w:t>
      </w:r>
    </w:p>
    <w:p>
      <w:pPr>
        <w:spacing w:after="0" w:line="74" w:lineRule="exact"/>
        <w:rPr>
          <w:sz w:val="20"/>
          <w:szCs w:val="20"/>
          <w:color w:val="auto"/>
        </w:rPr>
      </w:pPr>
    </w:p>
    <w:p>
      <w:pPr>
        <w:ind w:right="80" w:firstLine="27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 xml:space="preserve">Sales and marketing expenses. </w:t>
      </w:r>
      <w:r>
        <w:rPr>
          <w:rFonts w:ascii="Times New Roman" w:cs="Times New Roman" w:eastAsia="Times New Roman" w:hAnsi="Times New Roman"/>
          <w:sz w:val="12"/>
          <w:szCs w:val="12"/>
          <w:color w:val="auto"/>
        </w:rPr>
        <w:t>Sales and marketing expenses for the three months ended September 30, 2022 were $8.3 million, or 12.0% of net revenues, compared to $9.2 million, or 13.9% of net revenues, for the same period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 2021. The decrease in expense is primarily due to lower commission costs and other sales personnel-related costs as a result of the decrease in overall sales headcount compared to the prior year period.</w:t>
      </w:r>
    </w:p>
    <w:p>
      <w:pPr>
        <w:spacing w:after="0" w:line="75" w:lineRule="exact"/>
        <w:rPr>
          <w:sz w:val="20"/>
          <w:szCs w:val="20"/>
          <w:color w:val="auto"/>
        </w:rPr>
      </w:pPr>
    </w:p>
    <w:p>
      <w:pPr>
        <w:ind w:right="100" w:firstLine="27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 xml:space="preserve">General and administrative expenses. </w:t>
      </w:r>
      <w:r>
        <w:rPr>
          <w:rFonts w:ascii="Times New Roman" w:cs="Times New Roman" w:eastAsia="Times New Roman" w:hAnsi="Times New Roman"/>
          <w:sz w:val="12"/>
          <w:szCs w:val="12"/>
          <w:color w:val="auto"/>
        </w:rPr>
        <w:t>General and administrative expenses for the three months ended September 30, 2022 were $5.7 million, or 8.3% of net revenues, compared to $6.6 million, or 10.0% of net revenues, for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same period in 2021. The decrease in expense is primarily due to lower costs attributable to the Ctrack South Africa divestiture, partially offset by increases in other general and administrative expenses.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other (expense) income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760" w:type="dxa"/>
            <w:vAlign w:val="bottom"/>
            <w:tcBorders>
              <w:bottom w:val="single" w:sz="8" w:color="auto"/>
            </w:tcBorders>
          </w:tcPr>
          <w:p>
            <w:pPr>
              <w:spacing w:after="0"/>
              <w:rPr>
                <w:sz w:val="11"/>
                <w:szCs w:val="11"/>
                <w:color w:val="auto"/>
              </w:rPr>
            </w:pPr>
          </w:p>
        </w:tc>
      </w:tr>
      <w:tr>
        <w:trPr>
          <w:trHeight w:val="133"/>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Other (expense) income</w:t>
            </w:r>
          </w:p>
        </w:tc>
        <w:tc>
          <w:tcPr>
            <w:tcW w:w="12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2022</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2021</w:t>
            </w: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31"/>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Gain on sale of Ctrack South Africa</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5,262</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(5,262)</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148"/>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expense, net</w:t>
            </w:r>
          </w:p>
        </w:tc>
        <w:tc>
          <w:tcPr>
            <w:tcW w:w="840" w:type="dxa"/>
            <w:vAlign w:val="bottom"/>
            <w:gridSpan w:val="2"/>
            <w:shd w:val="clear" w:color="auto" w:fill="CCEEFF"/>
          </w:tcPr>
          <w:p>
            <w:pPr>
              <w:jc w:val="right"/>
              <w:ind w:right="589"/>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(2,034)</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22.9 %</w:t>
            </w:r>
          </w:p>
        </w:tc>
      </w:tr>
      <w:tr>
        <w:trPr>
          <w:trHeight w:val="142"/>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(expense) income, net</w:t>
            </w:r>
          </w:p>
        </w:tc>
        <w:tc>
          <w:tcPr>
            <w:tcW w:w="1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(1,758)</w:t>
            </w: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(828)</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(930)</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112.3 %</w:t>
            </w:r>
          </w:p>
        </w:tc>
      </w:tr>
      <w:tr>
        <w:trPr>
          <w:trHeight w:val="151"/>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(3,792)</w:t>
            </w: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2,779</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(6,571)</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(236.5)%</w:t>
            </w:r>
          </w:p>
        </w:tc>
      </w:tr>
    </w:tbl>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Gain on sale of Ctrack South Africa. </w:t>
      </w:r>
      <w:r>
        <w:rPr>
          <w:rFonts w:ascii="Times New Roman" w:cs="Times New Roman" w:eastAsia="Times New Roman" w:hAnsi="Times New Roman"/>
          <w:sz w:val="12"/>
          <w:szCs w:val="12"/>
          <w:color w:val="auto"/>
        </w:rPr>
        <w:t>During the three months ended September 30, 2021, we recorded a gain of $5.3 million related to the sale of Ctrack South Africa. There was no such gain for the same period in 2022.</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4" w:right="299" w:bottom="1440" w:gutter="0" w:footer="0" w:header="0"/>
        </w:sectPr>
      </w:pPr>
    </w:p>
    <w:bookmarkStart w:id="24" w:name="page25"/>
    <w:bookmarkEnd w:id="24"/>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Interest expense, net. </w:t>
      </w:r>
      <w:r>
        <w:rPr>
          <w:rFonts w:ascii="Times New Roman" w:cs="Times New Roman" w:eastAsia="Times New Roman" w:hAnsi="Times New Roman"/>
          <w:sz w:val="12"/>
          <w:szCs w:val="12"/>
          <w:color w:val="auto"/>
        </w:rPr>
        <w:t>The $0.4 million increase in expense over the same period in 2021 is primarily due to incremental interest expense attributable to the Company’s new revolving credit facility.</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Other (expense) income, net. </w:t>
      </w:r>
      <w:r>
        <w:rPr>
          <w:rFonts w:ascii="Times New Roman" w:cs="Times New Roman" w:eastAsia="Times New Roman" w:hAnsi="Times New Roman"/>
          <w:sz w:val="12"/>
          <w:szCs w:val="12"/>
          <w:color w:val="auto"/>
        </w:rPr>
        <w:t>The $0.9 million increase in expense over the same period in 2021 is primarily due to higher foreign currency exchange losses.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income tax provision (benefit) and Series E preferred stock dividends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720" w:type="dxa"/>
            <w:vAlign w:val="bottom"/>
          </w:tcPr>
          <w:p>
            <w:pPr>
              <w:spacing w:after="0"/>
              <w:rPr>
                <w:sz w:val="11"/>
                <w:szCs w:val="11"/>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840" w:type="dxa"/>
            <w:vAlign w:val="bottom"/>
            <w:tcBorders>
              <w:bottom w:val="single" w:sz="8" w:color="auto"/>
            </w:tcBorders>
          </w:tcPr>
          <w:p>
            <w:pPr>
              <w:spacing w:after="0"/>
              <w:rPr>
                <w:sz w:val="11"/>
                <w:szCs w:val="11"/>
                <w:color w:val="auto"/>
              </w:rPr>
            </w:pPr>
          </w:p>
        </w:tc>
      </w:tr>
      <w:tr>
        <w:trPr>
          <w:trHeight w:val="128"/>
        </w:trPr>
        <w:tc>
          <w:tcPr>
            <w:tcW w:w="672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0"/>
                <w:szCs w:val="10"/>
                <w:b w:val="1"/>
                <w:bCs w:val="1"/>
                <w:color w:val="auto"/>
              </w:rPr>
              <w:t>2022</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2021</w:t>
            </w: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38"/>
        </w:trPr>
        <w:tc>
          <w:tcPr>
            <w:tcW w:w="672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Income tax provision (benefit)</w:t>
            </w:r>
          </w:p>
        </w:tc>
        <w:tc>
          <w:tcPr>
            <w:tcW w:w="7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1"/>
                <w:szCs w:val="11"/>
                <w:color w:val="auto"/>
              </w:rPr>
              <w:t>(1150.0)%</w:t>
            </w:r>
          </w:p>
        </w:tc>
      </w:tr>
      <w:tr>
        <w:trPr>
          <w:trHeight w:val="140"/>
        </w:trPr>
        <w:tc>
          <w:tcPr>
            <w:tcW w:w="6720" w:type="dxa"/>
            <w:vAlign w:val="bottom"/>
          </w:tcPr>
          <w:p>
            <w:pPr>
              <w:spacing w:after="0"/>
              <w:rPr>
                <w:sz w:val="20"/>
                <w:szCs w:val="20"/>
                <w:color w:val="auto"/>
              </w:rPr>
            </w:pPr>
            <w:r>
              <w:rPr>
                <w:rFonts w:ascii="Times New Roman" w:cs="Times New Roman" w:eastAsia="Times New Roman" w:hAnsi="Times New Roman"/>
                <w:sz w:val="11"/>
                <w:szCs w:val="11"/>
                <w:color w:val="auto"/>
              </w:rPr>
              <w:t>Series E preferred stock dividends</w:t>
            </w:r>
          </w:p>
        </w:tc>
        <w:tc>
          <w:tcPr>
            <w:tcW w:w="7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(691)</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(1,843)</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(62.5)%</w:t>
            </w:r>
          </w:p>
        </w:tc>
      </w:tr>
    </w:tbl>
    <w:p>
      <w:pPr>
        <w:spacing w:after="0" w:line="151" w:lineRule="exact"/>
        <w:rPr>
          <w:sz w:val="20"/>
          <w:szCs w:val="20"/>
          <w:color w:val="auto"/>
        </w:rPr>
      </w:pPr>
    </w:p>
    <w:p>
      <w:pPr>
        <w:jc w:val="both"/>
        <w:ind w:right="180" w:firstLine="270"/>
        <w:spacing w:after="0" w:line="245" w:lineRule="auto"/>
        <w:rPr>
          <w:sz w:val="20"/>
          <w:szCs w:val="20"/>
          <w:color w:val="auto"/>
        </w:rPr>
      </w:pPr>
      <w:r>
        <w:rPr>
          <w:rFonts w:ascii="Times New Roman" w:cs="Times New Roman" w:eastAsia="Times New Roman" w:hAnsi="Times New Roman"/>
          <w:sz w:val="12"/>
          <w:szCs w:val="12"/>
          <w:b w:val="1"/>
          <w:bCs w:val="1"/>
          <w:i w:val="1"/>
          <w:iCs w:val="1"/>
          <w:color w:val="auto"/>
        </w:rPr>
        <w:t xml:space="preserve">Series E preferred stock dividends. </w:t>
      </w:r>
      <w:r>
        <w:rPr>
          <w:rFonts w:ascii="Times New Roman" w:cs="Times New Roman" w:eastAsia="Times New Roman" w:hAnsi="Times New Roman"/>
          <w:sz w:val="12"/>
          <w:szCs w:val="12"/>
          <w:color w:val="auto"/>
        </w:rPr>
        <w:t>During the three months ended September 30, 2022 and 2021, we recorded dividends of $0.7 million and $1.8 million, respectively, on our Fixed-Rate Cumulative Perpetual Preferred Stock,</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Series E, par value $0.001 per share (the “Series E Preferred Stock”). The decrease was primarily attributable to a decrease in recurring preferred stock dividends as 10,000 shares of the original 35,000 shares of preferred stock were extinguished in September 2021, resulting in lower accrued preferred stock dividends for the period ended September 30,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Nine Months Ended September 30, 2022 Compared to Nine Months Ended September 30, 2021</w:t>
      </w:r>
    </w:p>
    <w:p>
      <w:pPr>
        <w:spacing w:after="0" w:line="1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Net revenues</w:t>
      </w:r>
      <w:r>
        <w:rPr>
          <w:rFonts w:ascii="Times New Roman" w:cs="Times New Roman" w:eastAsia="Times New Roman" w:hAnsi="Times New Roman"/>
          <w:sz w:val="12"/>
          <w:szCs w:val="12"/>
          <w:color w:val="auto"/>
        </w:rPr>
        <w:t>. Net revenues for the nine months ended September 30, 2022 were $192.4 million, compared to $189.5 million for the same period in 2021</w:t>
      </w:r>
    </w:p>
    <w:p>
      <w:pPr>
        <w:spacing w:after="0" w:line="1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The following table summarizes net revenues by our two product categories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8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760" w:type="dxa"/>
            <w:vAlign w:val="bottom"/>
            <w:tcBorders>
              <w:bottom w:val="single" w:sz="8" w:color="auto"/>
            </w:tcBorders>
          </w:tcPr>
          <w:p>
            <w:pPr>
              <w:spacing w:after="0"/>
              <w:rPr>
                <w:sz w:val="11"/>
                <w:szCs w:val="11"/>
                <w:color w:val="auto"/>
              </w:rPr>
            </w:pPr>
          </w:p>
        </w:tc>
      </w:tr>
      <w:tr>
        <w:trPr>
          <w:trHeight w:val="133"/>
        </w:trPr>
        <w:tc>
          <w:tcPr>
            <w:tcW w:w="6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Product Category</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2021</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428"/>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jc w:val="right"/>
              <w:ind w:right="445"/>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44"/>
        </w:trPr>
        <w:tc>
          <w:tcPr>
            <w:tcW w:w="28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IoT &amp; Mobile Solutions</w:t>
            </w:r>
          </w:p>
        </w:tc>
        <w:tc>
          <w:tcPr>
            <w:tcW w:w="38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172,129</w:t>
            </w: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151,770</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20,359</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13.4 %</w:t>
            </w:r>
          </w:p>
        </w:tc>
      </w:tr>
      <w:tr>
        <w:trPr>
          <w:trHeight w:val="153"/>
        </w:trPr>
        <w:tc>
          <w:tcPr>
            <w:tcW w:w="6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Enterprise SaaS Solutions</w:t>
            </w:r>
          </w:p>
        </w:tc>
        <w:tc>
          <w:tcPr>
            <w:tcW w:w="6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20,279</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37,737</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(17,458)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(46.3)%</w:t>
            </w:r>
          </w:p>
        </w:tc>
      </w:tr>
      <w:tr>
        <w:trPr>
          <w:trHeight w:val="149"/>
        </w:trPr>
        <w:tc>
          <w:tcPr>
            <w:tcW w:w="6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68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192,408</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189,507</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2,901</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1.5 %</w:t>
            </w:r>
          </w:p>
        </w:tc>
      </w:tr>
    </w:tbl>
    <w:p>
      <w:pPr>
        <w:spacing w:after="0" w:line="158" w:lineRule="exact"/>
        <w:rPr>
          <w:sz w:val="20"/>
          <w:szCs w:val="20"/>
          <w:color w:val="auto"/>
        </w:rPr>
      </w:pPr>
    </w:p>
    <w:p>
      <w:pPr>
        <w:ind w:right="40" w:firstLine="270"/>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IoT &amp; Mobile Solutions. </w:t>
      </w:r>
      <w:r>
        <w:rPr>
          <w:rFonts w:ascii="Times New Roman" w:cs="Times New Roman" w:eastAsia="Times New Roman" w:hAnsi="Times New Roman"/>
          <w:sz w:val="12"/>
          <w:szCs w:val="12"/>
          <w:color w:val="auto"/>
        </w:rPr>
        <w:t>The $20.4 million increase in IoT &amp; Mobile Solutions net revenues over the same period in 2021 is primarily due to higher sales of our second-generation 5G hotspot, strong performance of our Enterprise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FWA business, and an increase in subscriber growth within our Inseego Subscribe business, partially offset by a decrease in revenues from our 4G products.</w:t>
      </w:r>
    </w:p>
    <w:p>
      <w:pPr>
        <w:spacing w:after="0" w:line="80" w:lineRule="exact"/>
        <w:rPr>
          <w:sz w:val="20"/>
          <w:szCs w:val="20"/>
          <w:color w:val="auto"/>
        </w:rPr>
      </w:pPr>
    </w:p>
    <w:p>
      <w:pPr>
        <w:ind w:right="300" w:firstLine="270"/>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Enterprise SaaS Solutions. </w:t>
      </w:r>
      <w:r>
        <w:rPr>
          <w:rFonts w:ascii="Times New Roman" w:cs="Times New Roman" w:eastAsia="Times New Roman" w:hAnsi="Times New Roman"/>
          <w:sz w:val="12"/>
          <w:szCs w:val="12"/>
          <w:color w:val="auto"/>
        </w:rPr>
        <w:t>The $17.5 million decrease in Enterprise SaaS Solutions net revenues over the same period in 2021 is primarily due to lower sales attributable to the Ctrack South Africa divestiture and decrease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Enterprise SaaS solutions revenue in the rest of the world.</w:t>
      </w:r>
    </w:p>
    <w:p>
      <w:pPr>
        <w:spacing w:after="0" w:line="69" w:lineRule="exact"/>
        <w:rPr>
          <w:sz w:val="20"/>
          <w:szCs w:val="20"/>
          <w:color w:val="auto"/>
        </w:rPr>
      </w:pPr>
    </w:p>
    <w:p>
      <w:pPr>
        <w:ind w:right="600" w:firstLine="27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Cost of net revenues. </w:t>
      </w:r>
      <w:r>
        <w:rPr>
          <w:rFonts w:ascii="Times New Roman" w:cs="Times New Roman" w:eastAsia="Times New Roman" w:hAnsi="Times New Roman"/>
          <w:sz w:val="12"/>
          <w:szCs w:val="12"/>
          <w:color w:val="auto"/>
        </w:rPr>
        <w:t>Cost of net revenues for the nine months ended September 30, 2022 was $141.3 million or 73.4% of net revenues, compared to $131.7 million or 69.5% of net revenues, for the nine months ended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September 30, 2021.</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summarizes cost of net revenues by our two product categories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8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88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0"/>
                <w:szCs w:val="10"/>
                <w:b w:val="1"/>
                <w:bCs w:val="1"/>
                <w:color w:val="auto"/>
                <w:w w:val="95"/>
              </w:rPr>
              <w:t>Nine Months Ended September 30,</w:t>
            </w: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760" w:type="dxa"/>
            <w:vAlign w:val="bottom"/>
            <w:tcBorders>
              <w:bottom w:val="single" w:sz="8" w:color="auto"/>
            </w:tcBorders>
          </w:tcPr>
          <w:p>
            <w:pPr>
              <w:spacing w:after="0"/>
              <w:rPr>
                <w:sz w:val="11"/>
                <w:szCs w:val="11"/>
                <w:color w:val="auto"/>
              </w:rPr>
            </w:pPr>
          </w:p>
        </w:tc>
      </w:tr>
      <w:tr>
        <w:trPr>
          <w:trHeight w:val="133"/>
        </w:trPr>
        <w:tc>
          <w:tcPr>
            <w:tcW w:w="6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Product Category</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2021</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jc w:val="right"/>
              <w:ind w:right="407"/>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jc w:val="right"/>
              <w:ind w:right="445"/>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44"/>
        </w:trPr>
        <w:tc>
          <w:tcPr>
            <w:tcW w:w="28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IoT &amp; Mobile Solutions</w:t>
            </w:r>
          </w:p>
        </w:tc>
        <w:tc>
          <w:tcPr>
            <w:tcW w:w="37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w w:val="97"/>
              </w:rPr>
              <w:t>131,805</w:t>
            </w: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116,777</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15,028</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12.9 %</w:t>
            </w:r>
          </w:p>
        </w:tc>
      </w:tr>
      <w:tr>
        <w:trPr>
          <w:trHeight w:val="153"/>
        </w:trPr>
        <w:tc>
          <w:tcPr>
            <w:tcW w:w="6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Enterprise SaaS Solutions</w:t>
            </w:r>
          </w:p>
        </w:tc>
        <w:tc>
          <w:tcPr>
            <w:tcW w:w="6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9,505</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14,965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(5,460)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(36.5)%</w:t>
            </w:r>
          </w:p>
        </w:tc>
      </w:tr>
      <w:tr>
        <w:trPr>
          <w:trHeight w:val="149"/>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141,310</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131,742</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9,568</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7.3 %</w:t>
            </w:r>
          </w:p>
        </w:tc>
      </w:tr>
    </w:tbl>
    <w:p>
      <w:pPr>
        <w:spacing w:after="0" w:line="176" w:lineRule="exact"/>
        <w:rPr>
          <w:sz w:val="20"/>
          <w:szCs w:val="20"/>
          <w:color w:val="auto"/>
        </w:rPr>
      </w:pPr>
    </w:p>
    <w:p>
      <w:pPr>
        <w:ind w:right="260" w:firstLine="27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IoT &amp; Mobile Solutions. </w:t>
      </w:r>
      <w:r>
        <w:rPr>
          <w:rFonts w:ascii="Times New Roman" w:cs="Times New Roman" w:eastAsia="Times New Roman" w:hAnsi="Times New Roman"/>
          <w:sz w:val="12"/>
          <w:szCs w:val="12"/>
          <w:color w:val="auto"/>
        </w:rPr>
        <w:t>The $15.0 million increase in IoT &amp; Mobile Solutions cost of net revenues over the same period in 2021 is primarily due to higher sales of our second-generation 5G hotspot, and an increase in freight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costs, partially offset by a decrease in costs attributable to lower sales of our 4G products.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xml:space="preserve">Enterprise SaaS Solutions. </w:t>
      </w:r>
      <w:r>
        <w:rPr>
          <w:rFonts w:ascii="Times New Roman" w:cs="Times New Roman" w:eastAsia="Times New Roman" w:hAnsi="Times New Roman"/>
          <w:sz w:val="12"/>
          <w:szCs w:val="12"/>
          <w:color w:val="auto"/>
        </w:rPr>
        <w:t>The $5.5 million decrease in Enterprise SaaS Solutions cost of net revenues over to the same period in 2021 is primarily due to a decrease in costs attributable to the Ctrack South Africa divestiture.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25" w:name="page26"/>
    <w:bookmarkEnd w:id="25"/>
    <w:p>
      <w:pPr>
        <w:ind w:right="100" w:firstLine="27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 xml:space="preserve">Gross profit. </w:t>
      </w:r>
      <w:r>
        <w:rPr>
          <w:rFonts w:ascii="Times New Roman" w:cs="Times New Roman" w:eastAsia="Times New Roman" w:hAnsi="Times New Roman"/>
          <w:sz w:val="12"/>
          <w:szCs w:val="12"/>
          <w:color w:val="auto"/>
        </w:rPr>
        <w:t>Gross profit for the nine months ended September 30, 2022 was $51.1 million, or a gross margin of 26.6%, compared to $57.8 million, or a gross margin of 30.5%, for the same period in 2021. The decrease in gross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margin is primarily due to a higher mix of lower-margin 5G product revenue, higher supply chain costs (i.e. freight cost) and a decrease in margin attributable to the Ctrack South Africa divestiture.</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following table summarizes operating costs and expenses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760" w:type="dxa"/>
            <w:vAlign w:val="bottom"/>
            <w:tcBorders>
              <w:bottom w:val="single" w:sz="8" w:color="auto"/>
            </w:tcBorders>
          </w:tcPr>
          <w:p>
            <w:pPr>
              <w:spacing w:after="0"/>
              <w:rPr>
                <w:sz w:val="11"/>
                <w:szCs w:val="11"/>
                <w:color w:val="auto"/>
              </w:rPr>
            </w:pPr>
          </w:p>
        </w:tc>
      </w:tr>
      <w:tr>
        <w:trPr>
          <w:trHeight w:val="133"/>
        </w:trPr>
        <w:tc>
          <w:tcPr>
            <w:tcW w:w="6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Operating costs and expenses</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2022</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jc w:val="right"/>
              <w:ind w:right="408"/>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35"/>
        </w:trPr>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Research and development</w:t>
            </w: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47,597</w:t>
            </w: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38,954</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8,643</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22.2 %</w:t>
            </w:r>
          </w:p>
        </w:tc>
      </w:tr>
      <w:tr>
        <w:trPr>
          <w:trHeight w:val="142"/>
        </w:trPr>
        <w:tc>
          <w:tcPr>
            <w:tcW w:w="6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Sales and marketing</w:t>
            </w:r>
          </w:p>
        </w:tc>
        <w:tc>
          <w:tcPr>
            <w:tcW w:w="7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25,789</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29,997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w:t>
            </w:r>
          </w:p>
        </w:tc>
      </w:tr>
      <w:tr>
        <w:trPr>
          <w:trHeight w:val="14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20,101</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22,657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w:t>
            </w:r>
          </w:p>
        </w:tc>
      </w:tr>
      <w:tr>
        <w:trPr>
          <w:trHeight w:val="142"/>
        </w:trPr>
        <w:tc>
          <w:tcPr>
            <w:tcW w:w="6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Amortization of purchased intangible assets</w:t>
            </w:r>
          </w:p>
        </w:tc>
        <w:tc>
          <w:tcPr>
            <w:tcW w:w="7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1,319</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r>
      <w:tr>
        <w:trPr>
          <w:trHeight w:val="14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Impairment of capitalized software</w:t>
            </w:r>
          </w:p>
        </w:tc>
        <w:tc>
          <w:tcPr>
            <w:tcW w:w="7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r>
      <w:tr>
        <w:trPr>
          <w:trHeight w:val="131"/>
        </w:trPr>
        <w:tc>
          <w:tcPr>
            <w:tcW w:w="6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w:t>
            </w:r>
          </w:p>
        </w:tc>
        <w:tc>
          <w:tcPr>
            <w:tcW w:w="72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94,806</w:t>
            </w:r>
          </w:p>
        </w:tc>
        <w:tc>
          <w:tcPr>
            <w:tcW w:w="8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94,454</w:t>
            </w:r>
          </w:p>
        </w:tc>
        <w:tc>
          <w:tcPr>
            <w:tcW w:w="10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10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0.4 %</w:t>
            </w:r>
          </w:p>
        </w:tc>
      </w:tr>
      <w:tr>
        <w:trPr>
          <w:trHeight w:val="20"/>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right="80" w:firstLine="270"/>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 xml:space="preserve">Research and development expenses. </w:t>
      </w:r>
      <w:r>
        <w:rPr>
          <w:rFonts w:ascii="Times New Roman" w:cs="Times New Roman" w:eastAsia="Times New Roman" w:hAnsi="Times New Roman"/>
          <w:sz w:val="12"/>
          <w:szCs w:val="12"/>
          <w:color w:val="auto"/>
        </w:rPr>
        <w:t>Research and development expenses for the nine months ended September 30, 2022 were $47.6 million, or 24.7% of net revenues, compared to $39.0 million, or 20.6% of net revenues, for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 same period in 2021. The increase in expense is primarily due to a net decrease in capitalizable costs as fewer new projects undertaken during the current period, an increase in amortization expense from recently launched projects, and increases in other costs, including costs related to certification and launch of 5G product programs and share-based compensation.</w:t>
      </w:r>
    </w:p>
    <w:p>
      <w:pPr>
        <w:spacing w:after="0" w:line="87" w:lineRule="exact"/>
        <w:rPr>
          <w:sz w:val="20"/>
          <w:szCs w:val="20"/>
          <w:color w:val="auto"/>
        </w:rPr>
      </w:pPr>
    </w:p>
    <w:p>
      <w:pPr>
        <w:ind w:right="200" w:firstLine="270"/>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 xml:space="preserve">Sales and marketing expenses. </w:t>
      </w:r>
      <w:r>
        <w:rPr>
          <w:rFonts w:ascii="Times New Roman" w:cs="Times New Roman" w:eastAsia="Times New Roman" w:hAnsi="Times New Roman"/>
          <w:sz w:val="12"/>
          <w:szCs w:val="12"/>
          <w:color w:val="auto"/>
        </w:rPr>
        <w:t>Sales and marketing expenses for the nine months ended September 30, 2022 were $25.8 million, or 13.4% of net revenues, compared to $30.0 million, or 15.8% of net revenues, for the same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period in 2021. The decrease in expense is primarily due to lower payroll costs resulting from the Ctrack South Africa divestiture and a decrease in commission and other sales personnel-related expenses due to headcount reduction, partially offset by an increase in costs related to the marketing of 5G products.</w:t>
      </w:r>
    </w:p>
    <w:p>
      <w:pPr>
        <w:spacing w:after="0" w:line="87" w:lineRule="exact"/>
        <w:rPr>
          <w:sz w:val="20"/>
          <w:szCs w:val="20"/>
          <w:color w:val="auto"/>
        </w:rPr>
      </w:pPr>
    </w:p>
    <w:p>
      <w:pPr>
        <w:ind w:right="120" w:firstLine="270"/>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 xml:space="preserve">General and administrative expenses. </w:t>
      </w:r>
      <w:r>
        <w:rPr>
          <w:rFonts w:ascii="Times New Roman" w:cs="Times New Roman" w:eastAsia="Times New Roman" w:hAnsi="Times New Roman"/>
          <w:sz w:val="12"/>
          <w:szCs w:val="12"/>
          <w:color w:val="auto"/>
        </w:rPr>
        <w:t>General and administrative expenses for the nine months ended September 30, 2022 were $20.1 million, or 10.4% of net revenues, compared to $22.7 million, or 12.0% of net revenues, for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 same period in 2021. The decrease in expense is primarily due to lower payroll costs attributable to the Ctrack South Africa divestiture and decreases in other general and administrative expenses, partially offset by an increase in share-based compensation expense.</w:t>
      </w:r>
    </w:p>
    <w:p>
      <w:pPr>
        <w:spacing w:after="0" w:line="87" w:lineRule="exact"/>
        <w:rPr>
          <w:sz w:val="20"/>
          <w:szCs w:val="20"/>
          <w:color w:val="auto"/>
        </w:rPr>
      </w:pPr>
    </w:p>
    <w:p>
      <w:pPr>
        <w:ind w:right="60" w:firstLine="27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Amortization of purchased intangible assets</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Amortization of purchased intangible assets for each of the nine months ended September 30, 2022 and 2021 was $1.3 million and $1.6 million, respectively. The decrease in expense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is primarily due to certain purchased intangible assets that became fully amortized in the prior year.</w:t>
      </w:r>
    </w:p>
    <w:p>
      <w:pPr>
        <w:spacing w:after="0" w:line="66" w:lineRule="exact"/>
        <w:rPr>
          <w:sz w:val="20"/>
          <w:szCs w:val="20"/>
          <w:color w:val="auto"/>
        </w:rPr>
      </w:pPr>
    </w:p>
    <w:p>
      <w:pPr>
        <w:ind w:right="400" w:firstLine="27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Impairment of capitalized software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During the nine months ended September 30, 2021, we recorded a loss of $1.2 million on capitalized software development costs. There was no such expense for the nine months ended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September 30, 2022.</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following table summarizes other (expense) income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760" w:type="dxa"/>
            <w:vAlign w:val="bottom"/>
            <w:tcBorders>
              <w:bottom w:val="single" w:sz="8" w:color="auto"/>
            </w:tcBorders>
          </w:tcPr>
          <w:p>
            <w:pPr>
              <w:spacing w:after="0"/>
              <w:rPr>
                <w:sz w:val="11"/>
                <w:szCs w:val="11"/>
                <w:color w:val="auto"/>
              </w:rPr>
            </w:pPr>
          </w:p>
        </w:tc>
      </w:tr>
      <w:tr>
        <w:trPr>
          <w:trHeight w:val="133"/>
        </w:trPr>
        <w:tc>
          <w:tcPr>
            <w:tcW w:w="6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Other (expense)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jc w:val="right"/>
              <w:ind w:right="408"/>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35"/>
        </w:trPr>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Gain on sale of Ctrack South Africa</w:t>
            </w: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5,262</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(5,262)</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142"/>
        </w:trPr>
        <w:tc>
          <w:tcPr>
            <w:tcW w:w="6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Loss on debt conversion and extinguishment, net</w:t>
            </w:r>
          </w:p>
        </w:tc>
        <w:tc>
          <w:tcPr>
            <w:tcW w:w="7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4.2 %</w:t>
            </w:r>
          </w:p>
        </w:tc>
      </w:tr>
      <w:tr>
        <w:trPr>
          <w:trHeight w:val="14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expense, net</w:t>
            </w: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(6,621)</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(1,443)</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27.9 %</w:t>
            </w:r>
          </w:p>
        </w:tc>
      </w:tr>
      <w:tr>
        <w:trPr>
          <w:trHeight w:val="142"/>
        </w:trPr>
        <w:tc>
          <w:tcPr>
            <w:tcW w:w="6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Other (expense) income, net</w:t>
            </w:r>
          </w:p>
        </w:tc>
        <w:tc>
          <w:tcPr>
            <w:tcW w:w="7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(3,145)</w:t>
            </w: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(3,436)</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(1180.8)%</w:t>
            </w:r>
          </w:p>
        </w:tc>
      </w:tr>
      <w:tr>
        <w:trPr>
          <w:trHeight w:val="151"/>
        </w:trPr>
        <w:tc>
          <w:tcPr>
            <w:tcW w:w="6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70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(10,216)</w:t>
            </w: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(10,159)</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17822.8 %</w:t>
            </w:r>
          </w:p>
        </w:tc>
      </w:tr>
    </w:tbl>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Gain on sale of Ctrack South Africa. </w:t>
      </w:r>
      <w:r>
        <w:rPr>
          <w:rFonts w:ascii="Times New Roman" w:cs="Times New Roman" w:eastAsia="Times New Roman" w:hAnsi="Times New Roman"/>
          <w:sz w:val="12"/>
          <w:szCs w:val="12"/>
          <w:color w:val="auto"/>
        </w:rPr>
        <w:t>During the nine months ended September 30, 2021, we recorded a gain of $5.3 million related to the sale of Ctrack South Africa. There was no such gain for the same period in 2022.</w:t>
      </w:r>
    </w:p>
    <w:p>
      <w:pPr>
        <w:spacing w:after="0" w:line="105" w:lineRule="exact"/>
        <w:rPr>
          <w:sz w:val="20"/>
          <w:szCs w:val="20"/>
          <w:color w:val="auto"/>
        </w:rPr>
      </w:pPr>
    </w:p>
    <w:p>
      <w:pPr>
        <w:ind w:right="260" w:firstLine="27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Interest expense, net. </w:t>
      </w:r>
      <w:r>
        <w:rPr>
          <w:rFonts w:ascii="Times New Roman" w:cs="Times New Roman" w:eastAsia="Times New Roman" w:hAnsi="Times New Roman"/>
          <w:sz w:val="12"/>
          <w:szCs w:val="12"/>
          <w:color w:val="auto"/>
        </w:rPr>
        <w:t>Interest expense, net for each of the nine months ended September 30, 2022 and 2021 was $6.6 million and $5.2 million, respectively. The increase is primarily due to certain debt extinguishment-related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adjustments in prior years recorded in the current year period and incremental expense attributable to the Company’s new revolving credit facility.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26" w:name="page27"/>
    <w:bookmarkEnd w:id="26"/>
    <w:p>
      <w:pPr>
        <w:ind w:right="400" w:firstLine="27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 xml:space="preserve">Other (expense) income, net. </w:t>
      </w:r>
      <w:r>
        <w:rPr>
          <w:rFonts w:ascii="Times New Roman" w:cs="Times New Roman" w:eastAsia="Times New Roman" w:hAnsi="Times New Roman"/>
          <w:sz w:val="12"/>
          <w:szCs w:val="12"/>
          <w:color w:val="auto"/>
        </w:rPr>
        <w:t>Other income (expense), net, for each of the nine months ended September 30, 2022 and 2021 was $3.1 million of expense and $0.3 million of income, respectively. The increase in expense is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primarily due to an increase in foreign exchange transaction losses, partially offset by unrealized gains attributable to fair value adjustments on our interest make-whole derivative liability.</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following table summarizes income tax (benefit) provision, net income attributable to noncontrolling interests, and Series E preferred stock dividends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720" w:type="dxa"/>
            <w:vAlign w:val="bottom"/>
          </w:tcPr>
          <w:p>
            <w:pPr>
              <w:spacing w:after="0"/>
              <w:rPr>
                <w:sz w:val="11"/>
                <w:szCs w:val="11"/>
                <w:color w:val="auto"/>
              </w:rPr>
            </w:pPr>
          </w:p>
        </w:tc>
        <w:tc>
          <w:tcPr>
            <w:tcW w:w="194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760" w:type="dxa"/>
            <w:vAlign w:val="bottom"/>
            <w:tcBorders>
              <w:bottom w:val="single" w:sz="8" w:color="auto"/>
            </w:tcBorders>
          </w:tcPr>
          <w:p>
            <w:pPr>
              <w:spacing w:after="0"/>
              <w:rPr>
                <w:sz w:val="11"/>
                <w:szCs w:val="11"/>
                <w:color w:val="auto"/>
              </w:rPr>
            </w:pPr>
          </w:p>
        </w:tc>
      </w:tr>
      <w:tr>
        <w:trPr>
          <w:trHeight w:val="128"/>
        </w:trPr>
        <w:tc>
          <w:tcPr>
            <w:tcW w:w="672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rPr>
              <w:t>2022</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2021</w:t>
            </w: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38"/>
        </w:trPr>
        <w:tc>
          <w:tcPr>
            <w:tcW w:w="672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Income tax (benefit) provision</w:t>
            </w:r>
          </w:p>
        </w:tc>
        <w:tc>
          <w:tcPr>
            <w:tcW w:w="7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(230.8)%</w:t>
            </w:r>
          </w:p>
        </w:tc>
      </w:tr>
      <w:tr>
        <w:trPr>
          <w:trHeight w:val="142"/>
        </w:trPr>
        <w:tc>
          <w:tcPr>
            <w:tcW w:w="6720" w:type="dxa"/>
            <w:vAlign w:val="bottom"/>
          </w:tcPr>
          <w:p>
            <w:pPr>
              <w:spacing w:after="0"/>
              <w:rPr>
                <w:sz w:val="20"/>
                <w:szCs w:val="20"/>
                <w:color w:val="auto"/>
              </w:rPr>
            </w:pPr>
            <w:r>
              <w:rPr>
                <w:rFonts w:ascii="Times New Roman" w:cs="Times New Roman" w:eastAsia="Times New Roman" w:hAnsi="Times New Roman"/>
                <w:sz w:val="11"/>
                <w:szCs w:val="11"/>
                <w:color w:val="auto"/>
              </w:rPr>
              <w:t>Net income attributable to noncontrolling interests</w:t>
            </w:r>
          </w:p>
        </w:tc>
        <w:tc>
          <w:tcPr>
            <w:tcW w:w="720" w:type="dxa"/>
            <w:vAlign w:val="bottom"/>
          </w:tcPr>
          <w:p>
            <w:pPr>
              <w:spacing w:after="0"/>
              <w:rPr>
                <w:sz w:val="12"/>
                <w:szCs w:val="12"/>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r>
      <w:tr>
        <w:trPr>
          <w:trHeight w:val="14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Series E preferred stock dividends</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w:t>
            </w:r>
          </w:p>
        </w:tc>
      </w:tr>
    </w:tbl>
    <w:p>
      <w:pPr>
        <w:spacing w:after="0" w:line="147" w:lineRule="exact"/>
        <w:rPr>
          <w:sz w:val="20"/>
          <w:szCs w:val="20"/>
          <w:color w:val="auto"/>
        </w:rPr>
      </w:pPr>
    </w:p>
    <w:p>
      <w:pPr>
        <w:ind w:right="380" w:firstLine="27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 xml:space="preserve">Income tax (benefit) provision. </w:t>
      </w:r>
      <w:r>
        <w:rPr>
          <w:rFonts w:ascii="Times New Roman" w:cs="Times New Roman" w:eastAsia="Times New Roman" w:hAnsi="Times New Roman"/>
          <w:sz w:val="12"/>
          <w:szCs w:val="12"/>
          <w:color w:val="auto"/>
        </w:rPr>
        <w:t>The Company’s income tax (benefit) provision was $(0.6) million and $0.4 million for the nine months ended September 30, 2022 and 2021, respectively. The tax benefit in 2022 and the tax</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expense in 2021 were largely driven by foreign currency losses and gains, respectively, at our foreign subsidiaries.</w:t>
      </w:r>
    </w:p>
    <w:p>
      <w:pPr>
        <w:spacing w:after="0" w:line="66" w:lineRule="exact"/>
        <w:rPr>
          <w:sz w:val="20"/>
          <w:szCs w:val="20"/>
          <w:color w:val="auto"/>
        </w:rPr>
      </w:pPr>
    </w:p>
    <w:p>
      <w:pPr>
        <w:jc w:val="both"/>
        <w:ind w:right="80" w:firstLine="27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Net income attributable to noncontrolling interests. </w:t>
      </w:r>
      <w:r>
        <w:rPr>
          <w:rFonts w:ascii="Times New Roman" w:cs="Times New Roman" w:eastAsia="Times New Roman" w:hAnsi="Times New Roman"/>
          <w:sz w:val="12"/>
          <w:szCs w:val="12"/>
          <w:color w:val="auto"/>
        </w:rPr>
        <w:t>There was no net income attributable to noncontrolling interests for the nine months ended September 30, 2022, due to the sale of noncontrolling interests as part of the Ctrack</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South Africa divestiture.</w:t>
      </w:r>
    </w:p>
    <w:p>
      <w:pPr>
        <w:spacing w:after="0" w:line="58" w:lineRule="exact"/>
        <w:rPr>
          <w:sz w:val="20"/>
          <w:szCs w:val="20"/>
          <w:color w:val="auto"/>
        </w:rPr>
      </w:pPr>
    </w:p>
    <w:p>
      <w:pPr>
        <w:jc w:val="both"/>
        <w:ind w:right="80" w:firstLine="270"/>
        <w:spacing w:after="0" w:line="260" w:lineRule="auto"/>
        <w:rPr>
          <w:sz w:val="20"/>
          <w:szCs w:val="20"/>
          <w:color w:val="auto"/>
        </w:rPr>
      </w:pPr>
      <w:r>
        <w:rPr>
          <w:rFonts w:ascii="Times New Roman" w:cs="Times New Roman" w:eastAsia="Times New Roman" w:hAnsi="Times New Roman"/>
          <w:sz w:val="12"/>
          <w:szCs w:val="12"/>
          <w:b w:val="1"/>
          <w:bCs w:val="1"/>
          <w:i w:val="1"/>
          <w:iCs w:val="1"/>
          <w:color w:val="auto"/>
        </w:rPr>
        <w:t xml:space="preserve">Series E preferred stock dividends. </w:t>
      </w:r>
      <w:r>
        <w:rPr>
          <w:rFonts w:ascii="Times New Roman" w:cs="Times New Roman" w:eastAsia="Times New Roman" w:hAnsi="Times New Roman"/>
          <w:sz w:val="12"/>
          <w:szCs w:val="12"/>
          <w:color w:val="auto"/>
        </w:rPr>
        <w:t>During the nine months ended September 30, 2022, and 2021 we recorded dividends of $2.0 million and $3.6 million, respectively, on our Series E Preferred Stock. The decrease was primarily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attributable to a decrease in recurring preferred stock dividends as 10,000 shares of the original 35,000 shares of preferred stock were extinguished in September 2021, resulting in lower accrued preferred stock dividends for the period ended September 30, 2022.</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09" w:lineRule="exact"/>
        <w:rPr>
          <w:sz w:val="20"/>
          <w:szCs w:val="20"/>
          <w:color w:val="auto"/>
        </w:rPr>
      </w:pPr>
    </w:p>
    <w:p>
      <w:pPr>
        <w:ind w:firstLine="270"/>
        <w:spacing w:after="0" w:line="279" w:lineRule="auto"/>
        <w:rPr>
          <w:sz w:val="20"/>
          <w:szCs w:val="20"/>
          <w:color w:val="auto"/>
        </w:rPr>
      </w:pPr>
      <w:r>
        <w:rPr>
          <w:rFonts w:ascii="Times New Roman" w:cs="Times New Roman" w:eastAsia="Times New Roman" w:hAnsi="Times New Roman"/>
          <w:sz w:val="12"/>
          <w:szCs w:val="12"/>
          <w:color w:val="auto"/>
        </w:rPr>
        <w:t>Our principal sources of liquidity are our existing cash and cash equivalents and availability under our new revolving credit facility. As of September 30, 2022, we had available unrestricted cash and cash equivalents totaling $18.1 million and $14.6 million of excess availability under our revolving credit facility.</w:t>
      </w:r>
    </w:p>
    <w:p>
      <w:pPr>
        <w:spacing w:after="0" w:line="66" w:lineRule="exact"/>
        <w:rPr>
          <w:sz w:val="20"/>
          <w:szCs w:val="20"/>
          <w:color w:val="auto"/>
        </w:rPr>
      </w:pPr>
    </w:p>
    <w:p>
      <w:pPr>
        <w:ind w:right="160" w:firstLine="270"/>
        <w:spacing w:after="0" w:line="249" w:lineRule="auto"/>
        <w:rPr>
          <w:sz w:val="20"/>
          <w:szCs w:val="20"/>
          <w:color w:val="auto"/>
        </w:rPr>
      </w:pPr>
      <w:r>
        <w:rPr>
          <w:rFonts w:ascii="Times New Roman" w:cs="Times New Roman" w:eastAsia="Times New Roman" w:hAnsi="Times New Roman"/>
          <w:sz w:val="12"/>
          <w:szCs w:val="12"/>
          <w:color w:val="auto"/>
        </w:rPr>
        <w:t>We have a history of operating and net losses and overall usage of cash from operating and investing activities. Our management believes that our cash and cash equivalents, together with anticipated cash flows from operations, availability under our secured asset-backed revolving credit facility, and anticipated savings from ongoing cost reduction efforts, will be sufficient to meet our cash flow needs for the next twelve months from the filing date of this report. If events or circumstances occur such that we do not meet our operating plan as expected, or if we become obligated to pay unforeseen expenditures as a result of ongoing litigation, we may be required to raise capital, reduce planned research and development activities, incur additional restructuring charges or reduce other operating expenses which could have an adverse impact on our ability to achieve our intended business objectives.</w:t>
      </w:r>
    </w:p>
    <w:p>
      <w:pPr>
        <w:spacing w:after="0" w:line="84" w:lineRule="exact"/>
        <w:rPr>
          <w:sz w:val="20"/>
          <w:szCs w:val="20"/>
          <w:color w:val="auto"/>
        </w:rPr>
      </w:pPr>
    </w:p>
    <w:p>
      <w:pPr>
        <w:ind w:right="20" w:firstLine="270"/>
        <w:spacing w:after="0" w:line="244" w:lineRule="auto"/>
        <w:rPr>
          <w:sz w:val="20"/>
          <w:szCs w:val="20"/>
          <w:color w:val="auto"/>
        </w:rPr>
      </w:pPr>
      <w:r>
        <w:rPr>
          <w:rFonts w:ascii="Times New Roman" w:cs="Times New Roman" w:eastAsia="Times New Roman" w:hAnsi="Times New Roman"/>
          <w:sz w:val="12"/>
          <w:szCs w:val="12"/>
          <w:color w:val="auto"/>
        </w:rPr>
        <w:t>Our liquidity could be compromised if there is any interruption in our business operations, a material failure to satisfy our contractual commitments or a failure to generate revenue from new or existing products. Ultimately, our ability to attain profitability and to generate positive cash flow is dependent upon achieving a level of revenues adequate to support our evolving cost structure and increasing working capital needs. If events or circumstances occur such that we do not meet our operating plan as expected, we may be required to raise additional capital, reduce planned research and development activities, incur additional restructuring charges or reduce other operating expenses and capital expenditures which could have an adverse impact on our ability to achieve our intended business objectives. There can be no assurance that any required or desired restructuring or financing will be available on terms favorable to us, or at all. If additional funds are raised by the issuance of equity securities, Company stockholders could experience dilution of their ownership interests and securities issued may have rights senior to those of the holders of the Company’s common stock. If additional funds are raised by the issuance of debt securities, we may be subject to additional limitations on our operations. Additionally, we are uncertain of the full extent to which the COVID-19 pandemic will impact our business, operations and financial results.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Revolving Credit Facility</w:t>
      </w:r>
    </w:p>
    <w:p>
      <w:pPr>
        <w:spacing w:after="0" w:line="107" w:lineRule="exact"/>
        <w:rPr>
          <w:sz w:val="20"/>
          <w:szCs w:val="20"/>
          <w:color w:val="auto"/>
        </w:rPr>
      </w:pPr>
    </w:p>
    <w:p>
      <w:pPr>
        <w:ind w:right="40" w:firstLine="270"/>
        <w:spacing w:after="0" w:line="257" w:lineRule="auto"/>
        <w:rPr>
          <w:sz w:val="20"/>
          <w:szCs w:val="20"/>
          <w:color w:val="auto"/>
        </w:rPr>
      </w:pPr>
      <w:r>
        <w:rPr>
          <w:rFonts w:ascii="Times New Roman" w:cs="Times New Roman" w:eastAsia="Times New Roman" w:hAnsi="Times New Roman"/>
          <w:sz w:val="12"/>
          <w:szCs w:val="12"/>
          <w:color w:val="auto"/>
        </w:rPr>
        <w:t>On August 5, 2022, the Company entered into a Loan and Security Agreement (the “Credit Agreement”), by and among Siena Lending Group LLC, as lender (“Lender”), Inseego Wireless, Inc., a Delaware corporation (“Inseego Wireless”), and Inseego North America LLC, an Oregon limited liability company, as borrowers (together with Inseego Wireless, the “Borrowers”), and the Company, as guarantor (together with the Borrowers, the “Loan Parties”). The Credit Agreement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27" w:name="page28"/>
    <w:bookmarkEnd w:id="27"/>
    <w:p>
      <w:pPr>
        <w:ind w:right="80"/>
        <w:spacing w:after="0" w:line="249" w:lineRule="auto"/>
        <w:rPr>
          <w:sz w:val="20"/>
          <w:szCs w:val="20"/>
          <w:color w:val="auto"/>
        </w:rPr>
      </w:pPr>
      <w:r>
        <w:rPr>
          <w:rFonts w:ascii="Times New Roman" w:cs="Times New Roman" w:eastAsia="Times New Roman" w:hAnsi="Times New Roman"/>
          <w:sz w:val="12"/>
          <w:szCs w:val="12"/>
          <w:color w:val="auto"/>
        </w:rPr>
        <w:t>establishes a secured asset-backed revolving credit facility which is comprised of a maximum $50 million revolving credit facility (the “Credit Facility”), with a minimum draw of $4.5 million upon execution of the Credit Agreement. The Credit Facility matures on December 31, 2024. Availability under the Credit Facility is determined monthly by a Borrowing Base (as defined in the Credit Agreement) comprised of a percentage of eligible accounts receivable and eligible inventory of the Borrowers. Outstanding amounts exceeding the borrowing base must be repaid immediately. The Borrowers’ obligations under the Credit Agreement are guaranteed by the Company. The Loan Parties’ obligations under the Credit Agreement are secured by a continuing security interest in all property of each Loan Party, subject to certain Excluded Collateral (as defined in the Credit Agreement).</w:t>
      </w:r>
    </w:p>
    <w:p>
      <w:pPr>
        <w:spacing w:after="0" w:line="84" w:lineRule="exact"/>
        <w:rPr>
          <w:sz w:val="20"/>
          <w:szCs w:val="20"/>
          <w:color w:val="auto"/>
        </w:rPr>
      </w:pPr>
    </w:p>
    <w:p>
      <w:pPr>
        <w:ind w:right="20" w:firstLine="270"/>
        <w:spacing w:after="0" w:line="249" w:lineRule="auto"/>
        <w:rPr>
          <w:sz w:val="20"/>
          <w:szCs w:val="20"/>
          <w:color w:val="auto"/>
        </w:rPr>
      </w:pPr>
      <w:r>
        <w:rPr>
          <w:rFonts w:ascii="Times New Roman" w:cs="Times New Roman" w:eastAsia="Times New Roman" w:hAnsi="Times New Roman"/>
          <w:sz w:val="12"/>
          <w:szCs w:val="12"/>
          <w:color w:val="auto"/>
        </w:rPr>
        <w:t>Borrowings under the Credit Facility may take the form of base rate (“Base Rate”) loans or Secured Overnight Financing Rate (“SOFR”) loans. SOFR loans will bear interest at a rate per annum equal to Term SOFR (as defined in the Credit Agreement as the Term SOFR Reference Rate for a tenor of one month on the day) plus the Applicable Margin (as defined in the Credit Agreement), with a Term SOFR floor of 1%. Base Rate loans will bear interest at a rate per annum equal to the Applicable Margin plus the greatest of (a) the per annum rate of interest which is identified as the “Prime Rate” and normally published in the Money Rates section of The Wall Street Journal, (b) the sum of the Federal Funds Rate (as defined in the Credit Agreement) plus 0.5% and (c) 3.50% per annum.</w:t>
      </w:r>
    </w:p>
    <w:p>
      <w:pPr>
        <w:spacing w:after="0" w:line="93" w:lineRule="exact"/>
        <w:rPr>
          <w:sz w:val="20"/>
          <w:szCs w:val="20"/>
          <w:color w:val="auto"/>
        </w:rPr>
      </w:pPr>
    </w:p>
    <w:p>
      <w:pPr>
        <w:ind w:right="40" w:firstLine="270"/>
        <w:spacing w:after="0" w:line="249" w:lineRule="auto"/>
        <w:rPr>
          <w:sz w:val="20"/>
          <w:szCs w:val="20"/>
          <w:color w:val="auto"/>
        </w:rPr>
      </w:pPr>
      <w:r>
        <w:rPr>
          <w:rFonts w:ascii="Times New Roman" w:cs="Times New Roman" w:eastAsia="Times New Roman" w:hAnsi="Times New Roman"/>
          <w:sz w:val="12"/>
          <w:szCs w:val="12"/>
          <w:color w:val="auto"/>
        </w:rPr>
        <w:t>The Applicable Margin varies depending on the average outstanding amount for a preceding month. If the average outstanding amount for a preceding month is less than $15 million, the Applicable Margin will be 2.50% for Base Rate loans and 3.50% for SOFR loans. If the average outstanding amount for a preceding month is between $15 million and $25 million, the Applicable Margin will be 3.00% for Base Rate loans and 4.00% for SOFR loans. If the average outstanding amount for a preceding month is greater than $25 million, the Applicable Margin will be 4.5% for Base Rate loans and 5.50% for SOFR loans.</w:t>
      </w:r>
    </w:p>
    <w:p>
      <w:pPr>
        <w:spacing w:after="0" w:line="93" w:lineRule="exact"/>
        <w:rPr>
          <w:sz w:val="20"/>
          <w:szCs w:val="20"/>
          <w:color w:val="auto"/>
        </w:rPr>
      </w:pPr>
    </w:p>
    <w:p>
      <w:pPr>
        <w:jc w:val="both"/>
        <w:ind w:right="140" w:firstLine="270"/>
        <w:spacing w:after="0" w:line="249" w:lineRule="auto"/>
        <w:rPr>
          <w:sz w:val="20"/>
          <w:szCs w:val="20"/>
          <w:color w:val="auto"/>
        </w:rPr>
      </w:pPr>
      <w:r>
        <w:rPr>
          <w:rFonts w:ascii="Times New Roman" w:cs="Times New Roman" w:eastAsia="Times New Roman" w:hAnsi="Times New Roman"/>
          <w:sz w:val="12"/>
          <w:szCs w:val="12"/>
          <w:color w:val="auto"/>
        </w:rPr>
        <w:t>The Credit Agreement contains a financial covenant whereby the Loan Parties shall not permit the consolidated Liquidity (as defined in the Credit Agreement) to be less than $10 million at any time. The Credit Agreement also contains certain customary covenants, which include, but are not limited to, restrictions on indebtedness, liens, fundamental changes, restricted payments, asset sales, and investments, and places limits on various other payments. The Company was in compliance with all Credit Agreement covenants as of September 30, 2022.</w:t>
      </w:r>
    </w:p>
    <w:p>
      <w:pPr>
        <w:spacing w:after="0" w:line="93" w:lineRule="exact"/>
        <w:rPr>
          <w:sz w:val="20"/>
          <w:szCs w:val="20"/>
          <w:color w:val="auto"/>
        </w:rPr>
      </w:pPr>
    </w:p>
    <w:p>
      <w:pPr>
        <w:ind w:right="240" w:firstLine="270"/>
        <w:spacing w:after="0" w:line="264" w:lineRule="auto"/>
        <w:rPr>
          <w:sz w:val="20"/>
          <w:szCs w:val="20"/>
          <w:color w:val="auto"/>
        </w:rPr>
      </w:pPr>
      <w:r>
        <w:rPr>
          <w:rFonts w:ascii="Times New Roman" w:cs="Times New Roman" w:eastAsia="Times New Roman" w:hAnsi="Times New Roman"/>
          <w:sz w:val="12"/>
          <w:szCs w:val="12"/>
          <w:color w:val="auto"/>
        </w:rPr>
        <w:t>Upon execution of the Credit Agreement, the Company paid $1.1 million of debt issuance costs. Through September 30, 2022, the Company borrowed an aggregate $9.0 million and repaid an aggregate $4.5 million under the Credit Facility. As of September 30, 2022, the Credit Facility had outstanding borrowings of $4.5 million and a borrowing base of $19.1 million.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2025 Notes</w:t>
      </w:r>
    </w:p>
    <w:p>
      <w:pPr>
        <w:spacing w:after="0" w:line="116" w:lineRule="exact"/>
        <w:rPr>
          <w:sz w:val="20"/>
          <w:szCs w:val="20"/>
          <w:color w:val="auto"/>
        </w:rPr>
      </w:pPr>
    </w:p>
    <w:p>
      <w:pPr>
        <w:ind w:right="100" w:firstLine="270"/>
        <w:spacing w:after="0" w:line="279" w:lineRule="auto"/>
        <w:rPr>
          <w:sz w:val="20"/>
          <w:szCs w:val="20"/>
          <w:color w:val="auto"/>
        </w:rPr>
      </w:pPr>
      <w:r>
        <w:rPr>
          <w:rFonts w:ascii="Times New Roman" w:cs="Times New Roman" w:eastAsia="Times New Roman" w:hAnsi="Times New Roman"/>
          <w:sz w:val="12"/>
          <w:szCs w:val="12"/>
          <w:color w:val="auto"/>
        </w:rPr>
        <w:t>On May 12, 2020, the Company completed its registered public offering of $100.0 million aggregate principal amount of 2025 Notes and issued $80.4 million principal amount of 2025 Notes in the privately negotiated exchange agreements that closed concurrently with the registered offering in May 2020.</w:t>
      </w:r>
    </w:p>
    <w:p>
      <w:pPr>
        <w:spacing w:after="0" w:line="66" w:lineRule="exact"/>
        <w:rPr>
          <w:sz w:val="20"/>
          <w:szCs w:val="20"/>
          <w:color w:val="auto"/>
        </w:rPr>
      </w:pPr>
    </w:p>
    <w:p>
      <w:pPr>
        <w:ind w:firstLine="432"/>
        <w:spacing w:after="0" w:line="264" w:lineRule="auto"/>
        <w:rPr>
          <w:sz w:val="20"/>
          <w:szCs w:val="20"/>
          <w:color w:val="auto"/>
        </w:rPr>
      </w:pPr>
      <w:r>
        <w:rPr>
          <w:rFonts w:ascii="Times New Roman" w:cs="Times New Roman" w:eastAsia="Times New Roman" w:hAnsi="Times New Roman"/>
          <w:sz w:val="12"/>
          <w:szCs w:val="12"/>
          <w:color w:val="auto"/>
        </w:rPr>
        <w:t>As of September 30, 2022 and December 31, 2021, $161.9 million in principal amount of the 2025 Notes were outstanding. Assuming no repurchases or conversions of the 2025 Notes prior to May 1, 2025, the entire principal balance of $161.9 million is due on May 1, 2025. The 2025 Notes are senior unsecured obligations of the Company and bear interest at an annual rate of 3.25%, payable semi-annually in arrears on May 1 and November 1 of each year.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Contractual Obligations and Commitments</w:t>
      </w:r>
    </w:p>
    <w:p>
      <w:pPr>
        <w:spacing w:after="0" w:line="107" w:lineRule="exact"/>
        <w:rPr>
          <w:sz w:val="20"/>
          <w:szCs w:val="20"/>
          <w:color w:val="auto"/>
        </w:rPr>
      </w:pPr>
    </w:p>
    <w:p>
      <w:pPr>
        <w:ind w:right="20" w:firstLine="432"/>
        <w:spacing w:after="0" w:line="310" w:lineRule="auto"/>
        <w:rPr>
          <w:sz w:val="20"/>
          <w:szCs w:val="20"/>
          <w:color w:val="auto"/>
        </w:rPr>
      </w:pPr>
      <w:r>
        <w:rPr>
          <w:rFonts w:ascii="Times New Roman" w:cs="Times New Roman" w:eastAsia="Times New Roman" w:hAnsi="Times New Roman"/>
          <w:sz w:val="11"/>
          <w:szCs w:val="11"/>
          <w:color w:val="auto"/>
        </w:rPr>
        <w:t>The Company typically enters into commitments with its contract manufacturers that require future purchase of goods or services in the three to four quarters following the balance sheet date. Such commitments are considered noncancellable purchase obligations. As of September 30, 2022 and December 31, 2021, future payments under these noncancellable purchase obligations were approximately $104.7 million and $165.8 million, respectively.</w:t>
      </w:r>
    </w:p>
    <w:p>
      <w:pPr>
        <w:spacing w:after="0" w:line="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There were no material changes in our other contractual obligations during the three and nine months ended September 30, 2022.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Historical Cash Flows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28" w:name="page29"/>
    <w:bookmarkEnd w:id="28"/>
    <w:p>
      <w:pPr>
        <w:ind w:left="280"/>
        <w:spacing w:after="0"/>
        <w:rPr>
          <w:sz w:val="20"/>
          <w:szCs w:val="20"/>
          <w:color w:val="auto"/>
        </w:rPr>
      </w:pPr>
      <w:r>
        <w:rPr>
          <w:rFonts w:ascii="Times New Roman" w:cs="Times New Roman" w:eastAsia="Times New Roman" w:hAnsi="Times New Roman"/>
          <w:sz w:val="12"/>
          <w:szCs w:val="12"/>
          <w:color w:val="auto"/>
        </w:rPr>
        <w:t>The following table summarizes our unaudited condensed consolidated statements of cash flows for the periods indicated (in thousands):</w:t>
      </w:r>
    </w:p>
    <w:p>
      <w:pPr>
        <w:spacing w:after="0" w:line="122" w:lineRule="exact"/>
        <w:rPr>
          <w:sz w:val="20"/>
          <w:szCs w:val="20"/>
          <w:color w:val="auto"/>
        </w:rPr>
      </w:pPr>
    </w:p>
    <w:p>
      <w:pPr>
        <w:jc w:val="center"/>
        <w:ind w:left="8640"/>
        <w:spacing w:after="0"/>
        <w:rPr>
          <w:sz w:val="20"/>
          <w:szCs w:val="20"/>
          <w:color w:val="auto"/>
        </w:rPr>
      </w:pPr>
      <w:r>
        <w:rPr>
          <w:rFonts w:ascii="Times New Roman" w:cs="Times New Roman" w:eastAsia="Times New Roman" w:hAnsi="Times New Roman"/>
          <w:sz w:val="10"/>
          <w:szCs w:val="10"/>
          <w:b w:val="1"/>
          <w:bCs w:val="1"/>
          <w:color w:val="auto"/>
        </w:rPr>
        <w:t>Nine Months Ended</w:t>
      </w:r>
    </w:p>
    <w:p>
      <w:pPr>
        <w:jc w:val="center"/>
        <w:ind w:left="8640"/>
        <w:spacing w:after="0" w:line="236" w:lineRule="auto"/>
        <w:rPr>
          <w:sz w:val="20"/>
          <w:szCs w:val="20"/>
          <w:color w:val="auto"/>
        </w:rPr>
      </w:pPr>
      <w:r>
        <w:rPr>
          <w:rFonts w:ascii="Times New Roman" w:cs="Times New Roman" w:eastAsia="Times New Roman" w:hAnsi="Times New Roman"/>
          <w:sz w:val="10"/>
          <w:szCs w:val="10"/>
          <w:b w:val="1"/>
          <w:bCs w:val="1"/>
          <w:color w:val="auto"/>
        </w:rPr>
        <w:t>September 30,</w:t>
      </w:r>
    </w:p>
    <w:tbl>
      <w:tblPr>
        <w:tblLayout w:type="fixed"/>
        <w:tblInd w:w="0" w:type="dxa"/>
        <w:tblCellMar>
          <w:top w:w="0" w:type="dxa"/>
          <w:left w:w="0" w:type="dxa"/>
          <w:bottom w:w="0" w:type="dxa"/>
          <w:right w:w="0" w:type="dxa"/>
        </w:tblCellMar>
      </w:tblPr>
      <w:tr>
        <w:trPr>
          <w:trHeight w:val="136"/>
        </w:trPr>
        <w:tc>
          <w:tcPr>
            <w:tcW w:w="866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2022</w:t>
            </w:r>
          </w:p>
        </w:tc>
        <w:tc>
          <w:tcPr>
            <w:tcW w:w="4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467"/>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8"/>
        </w:trPr>
        <w:tc>
          <w:tcPr>
            <w:tcW w:w="866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Net cash used in operating activities</w:t>
            </w:r>
          </w:p>
        </w:tc>
        <w:tc>
          <w:tcPr>
            <w:tcW w:w="80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(24,703)</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(14,757)</w:t>
            </w:r>
          </w:p>
        </w:tc>
      </w:tr>
      <w:tr>
        <w:trPr>
          <w:trHeight w:val="142"/>
        </w:trPr>
        <w:tc>
          <w:tcPr>
            <w:tcW w:w="8660" w:type="dxa"/>
            <w:vAlign w:val="bottom"/>
          </w:tcPr>
          <w:p>
            <w:pPr>
              <w:spacing w:after="0"/>
              <w:rPr>
                <w:sz w:val="20"/>
                <w:szCs w:val="20"/>
                <w:color w:val="auto"/>
              </w:rPr>
            </w:pPr>
            <w:r>
              <w:rPr>
                <w:rFonts w:ascii="Times New Roman" w:cs="Times New Roman" w:eastAsia="Times New Roman" w:hAnsi="Times New Roman"/>
                <w:sz w:val="11"/>
                <w:szCs w:val="11"/>
                <w:color w:val="auto"/>
              </w:rPr>
              <w:t>Net cash (used in) provided by investing activities</w:t>
            </w:r>
          </w:p>
        </w:tc>
        <w:tc>
          <w:tcPr>
            <w:tcW w:w="8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(10,445)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7,665</w:t>
            </w:r>
          </w:p>
        </w:tc>
      </w:tr>
      <w:tr>
        <w:trPr>
          <w:trHeight w:val="14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cash provided by financing activities</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28,979</w:t>
            </w:r>
          </w:p>
        </w:tc>
      </w:tr>
      <w:tr>
        <w:trPr>
          <w:trHeight w:val="142"/>
        </w:trPr>
        <w:tc>
          <w:tcPr>
            <w:tcW w:w="8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Effect of exchange rates on cash</w:t>
            </w:r>
          </w:p>
        </w:tc>
        <w:tc>
          <w:tcPr>
            <w:tcW w:w="8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1,916</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(293)</w:t>
            </w:r>
          </w:p>
        </w:tc>
      </w:tr>
      <w:tr>
        <w:trPr>
          <w:trHeight w:val="135"/>
        </w:trPr>
        <w:tc>
          <w:tcPr>
            <w:tcW w:w="8660" w:type="dxa"/>
            <w:vAlign w:val="bottom"/>
            <w:shd w:val="clear" w:color="auto" w:fill="CCEEFF"/>
          </w:tcPr>
          <w:p>
            <w:pPr>
              <w:ind w:left="220"/>
              <w:spacing w:after="0" w:line="122" w:lineRule="exact"/>
              <w:rPr>
                <w:sz w:val="20"/>
                <w:szCs w:val="20"/>
                <w:color w:val="auto"/>
              </w:rPr>
            </w:pPr>
            <w:r>
              <w:rPr>
                <w:rFonts w:ascii="Times New Roman" w:cs="Times New Roman" w:eastAsia="Times New Roman" w:hAnsi="Times New Roman"/>
                <w:sz w:val="11"/>
                <w:szCs w:val="11"/>
                <w:color w:val="auto"/>
              </w:rPr>
              <w:t>Net (decrease) increase in cash, cash equivalents and restricted cash</w:t>
            </w: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(31,749)</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21,594</w:t>
            </w:r>
          </w:p>
        </w:tc>
      </w:tr>
      <w:tr>
        <w:trPr>
          <w:trHeight w:val="142"/>
        </w:trPr>
        <w:tc>
          <w:tcPr>
            <w:tcW w:w="8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Cash, cash equivalents and restricted cash, beginning of period</w:t>
            </w:r>
          </w:p>
        </w:tc>
        <w:tc>
          <w:tcPr>
            <w:tcW w:w="8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49,812</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40,015</w:t>
            </w:r>
          </w:p>
        </w:tc>
      </w:tr>
      <w:tr>
        <w:trPr>
          <w:trHeight w:val="151"/>
        </w:trPr>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cash equivalents, and restricted cash, end of period</w:t>
            </w:r>
          </w:p>
        </w:tc>
        <w:tc>
          <w:tcPr>
            <w:tcW w:w="80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18,063</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61,609</w:t>
            </w:r>
          </w:p>
        </w:tc>
      </w:tr>
    </w:tbl>
    <w:p>
      <w:pPr>
        <w:spacing w:after="0" w:line="3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Operating activities. </w:t>
      </w:r>
      <w:r>
        <w:rPr>
          <w:rFonts w:ascii="Times New Roman" w:cs="Times New Roman" w:eastAsia="Times New Roman" w:hAnsi="Times New Roman"/>
          <w:sz w:val="12"/>
          <w:szCs w:val="12"/>
          <w:color w:val="auto"/>
        </w:rPr>
        <w:t>Net cash used in operating activities was $24.7 million for the nine months ended September 30, 2022, compared to net cash used in operating activities of $14.8 million for the same period in 2021.</w:t>
      </w:r>
    </w:p>
    <w:p>
      <w:pPr>
        <w:spacing w:after="0" w:line="109" w:lineRule="exact"/>
        <w:rPr>
          <w:sz w:val="20"/>
          <w:szCs w:val="20"/>
          <w:color w:val="auto"/>
        </w:rPr>
      </w:pPr>
    </w:p>
    <w:p>
      <w:pPr>
        <w:ind w:right="20" w:firstLine="270"/>
        <w:spacing w:after="0" w:line="257" w:lineRule="auto"/>
        <w:rPr>
          <w:sz w:val="20"/>
          <w:szCs w:val="20"/>
          <w:color w:val="auto"/>
        </w:rPr>
      </w:pPr>
      <w:r>
        <w:rPr>
          <w:rFonts w:ascii="Times New Roman" w:cs="Times New Roman" w:eastAsia="Times New Roman" w:hAnsi="Times New Roman"/>
          <w:sz w:val="12"/>
          <w:szCs w:val="12"/>
          <w:color w:val="auto"/>
        </w:rPr>
        <w:t>Net cash used in operating activities for the nine months ended September 30, 2022 is primarily comprised of a $53.3 million net loss incurred during the period, net cash used for working capital of $12.4 million, as adjusted for a $0.9 million non-cash gain attributable to the fair value adjustment on derivative instruments, partially offset by non-cash charges, including depreciation and amortization of $20.9 million, share-based compensation expense of $15.9 million, and amortization of debt discount and debt issuance costs of $2.5 million.</w:t>
      </w:r>
    </w:p>
    <w:p>
      <w:pPr>
        <w:spacing w:after="0" w:line="79" w:lineRule="exact"/>
        <w:rPr>
          <w:sz w:val="20"/>
          <w:szCs w:val="20"/>
          <w:color w:val="auto"/>
        </w:rPr>
      </w:pPr>
    </w:p>
    <w:p>
      <w:pPr>
        <w:ind w:right="100" w:firstLine="270"/>
        <w:spacing w:after="0" w:line="264" w:lineRule="auto"/>
        <w:rPr>
          <w:sz w:val="20"/>
          <w:szCs w:val="20"/>
          <w:color w:val="auto"/>
        </w:rPr>
      </w:pPr>
      <w:r>
        <w:rPr>
          <w:rFonts w:ascii="Times New Roman" w:cs="Times New Roman" w:eastAsia="Times New Roman" w:hAnsi="Times New Roman"/>
          <w:sz w:val="12"/>
          <w:szCs w:val="12"/>
          <w:color w:val="auto"/>
        </w:rPr>
        <w:t>Net cash used in operating activities for the same period in 2021 is primarily comprised of a $37.2 million net loss, net cash used for working capital of $8.3 million, as adjusted for a $3.4 million non-cash gain attributable to the fair value adjustment on derivative instruments, partially offset by non-cash charges, including depreciation and amortization of $19.1 million and share-based compensation expense of $14.5 million.</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Investing activities. </w:t>
      </w:r>
      <w:r>
        <w:rPr>
          <w:rFonts w:ascii="Times New Roman" w:cs="Times New Roman" w:eastAsia="Times New Roman" w:hAnsi="Times New Roman"/>
          <w:sz w:val="12"/>
          <w:szCs w:val="12"/>
          <w:color w:val="auto"/>
        </w:rPr>
        <w:t>Net cash used in investing activities during the nine months ended September 30, 2022 was $10.4 million, compared to net cash provided by investing activities of $7.7 million for the same period in 2021.</w:t>
      </w:r>
    </w:p>
    <w:p>
      <w:pPr>
        <w:spacing w:after="0" w:line="109" w:lineRule="exact"/>
        <w:rPr>
          <w:sz w:val="20"/>
          <w:szCs w:val="20"/>
          <w:color w:val="auto"/>
        </w:rPr>
      </w:pPr>
    </w:p>
    <w:p>
      <w:pPr>
        <w:ind w:firstLine="270"/>
        <w:spacing w:after="0" w:line="264" w:lineRule="auto"/>
        <w:rPr>
          <w:sz w:val="20"/>
          <w:szCs w:val="20"/>
          <w:color w:val="auto"/>
        </w:rPr>
      </w:pPr>
      <w:r>
        <w:rPr>
          <w:rFonts w:ascii="Times New Roman" w:cs="Times New Roman" w:eastAsia="Times New Roman" w:hAnsi="Times New Roman"/>
          <w:sz w:val="12"/>
          <w:szCs w:val="12"/>
          <w:color w:val="auto"/>
        </w:rPr>
        <w:t>Net cash used in investing activities during the nine months ended September 30, 2022 is primarily comprised of $9.2 million of cash outflows related to the development of software in support of our 5G products and services and $1.2 million of property, plant and equipment purchases.</w:t>
      </w:r>
    </w:p>
    <w:p>
      <w:pPr>
        <w:spacing w:after="0" w:line="83" w:lineRule="exact"/>
        <w:rPr>
          <w:sz w:val="20"/>
          <w:szCs w:val="20"/>
          <w:color w:val="auto"/>
        </w:rPr>
      </w:pPr>
    </w:p>
    <w:p>
      <w:pPr>
        <w:ind w:firstLine="270"/>
        <w:spacing w:after="0" w:line="264" w:lineRule="auto"/>
        <w:rPr>
          <w:sz w:val="20"/>
          <w:szCs w:val="20"/>
          <w:color w:val="auto"/>
        </w:rPr>
      </w:pPr>
      <w:r>
        <w:rPr>
          <w:rFonts w:ascii="Times New Roman" w:cs="Times New Roman" w:eastAsia="Times New Roman" w:hAnsi="Times New Roman"/>
          <w:sz w:val="12"/>
          <w:szCs w:val="12"/>
          <w:color w:val="auto"/>
        </w:rPr>
        <w:t>Net cash provided by investing activities during the same period in 2021 is primarily comprised of a $31.5 million of cash inflows related to the sale of Ctrack South Africa, partially offset by $20.6 million of cash outflows related to the development of software in support of our 5G products and services and $4.3 million of property, plant and equipment purchases.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Financing activities. </w:t>
      </w:r>
      <w:r>
        <w:rPr>
          <w:rFonts w:ascii="Times New Roman" w:cs="Times New Roman" w:eastAsia="Times New Roman" w:hAnsi="Times New Roman"/>
          <w:sz w:val="12"/>
          <w:szCs w:val="12"/>
          <w:color w:val="auto"/>
        </w:rPr>
        <w:t>Net cash provided by financing activities during the nine months ended September 30, 2022 was $1.5 million, compared to net cash provided by financing activities of $29.0 million for the same period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2021.</w:t>
      </w:r>
    </w:p>
    <w:p>
      <w:pPr>
        <w:spacing w:after="0" w:line="94" w:lineRule="exact"/>
        <w:rPr>
          <w:sz w:val="20"/>
          <w:szCs w:val="20"/>
          <w:color w:val="auto"/>
        </w:rPr>
      </w:pPr>
    </w:p>
    <w:p>
      <w:pPr>
        <w:ind w:right="40" w:firstLine="270"/>
        <w:spacing w:after="0" w:line="264" w:lineRule="auto"/>
        <w:rPr>
          <w:sz w:val="20"/>
          <w:szCs w:val="20"/>
          <w:color w:val="auto"/>
        </w:rPr>
      </w:pPr>
      <w:r>
        <w:rPr>
          <w:rFonts w:ascii="Times New Roman" w:cs="Times New Roman" w:eastAsia="Times New Roman" w:hAnsi="Times New Roman"/>
          <w:sz w:val="12"/>
          <w:szCs w:val="12"/>
          <w:color w:val="auto"/>
        </w:rPr>
        <w:t>Net cash provided by financing activities during the nine months ended September 30, 2022 is primarily comprised of $3.4 million of cash inflows (consisting of net borrowings of $4.5 million, net of $1.1 million in debt issuance costs) related to our new revolving credit facility, partially offset by $1.6 million in principal payments for financed assets.</w:t>
      </w:r>
    </w:p>
    <w:p>
      <w:pPr>
        <w:spacing w:after="0" w:line="83" w:lineRule="exact"/>
        <w:rPr>
          <w:sz w:val="20"/>
          <w:szCs w:val="20"/>
          <w:color w:val="auto"/>
        </w:rPr>
      </w:pPr>
    </w:p>
    <w:p>
      <w:pPr>
        <w:ind w:right="360" w:firstLine="270"/>
        <w:spacing w:after="0" w:line="264" w:lineRule="auto"/>
        <w:rPr>
          <w:sz w:val="20"/>
          <w:szCs w:val="20"/>
          <w:color w:val="auto"/>
        </w:rPr>
      </w:pPr>
      <w:r>
        <w:rPr>
          <w:rFonts w:ascii="Times New Roman" w:cs="Times New Roman" w:eastAsia="Times New Roman" w:hAnsi="Times New Roman"/>
          <w:sz w:val="12"/>
          <w:szCs w:val="12"/>
          <w:color w:val="auto"/>
        </w:rPr>
        <w:t>Net cash provided by financing activities for the same period in 2021 is primarily comprised of $29.4 million of net proceeds received from the sale of approximately 1.5 million shares of common stock and $2.4 million of proceeds from stock option exercises and purchases through our employee stock purchase plan, partially offset by $3.1 million in principal payments under finance lease obligations.</w:t>
      </w:r>
    </w:p>
    <w:p>
      <w:pPr>
        <w:spacing w:after="0" w:line="3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2"/>
          <w:szCs w:val="12"/>
          <w:b w:val="1"/>
          <w:bCs w:val="1"/>
          <w:i w:val="1"/>
          <w:iCs w:val="1"/>
          <w:color w:val="auto"/>
        </w:rPr>
        <w:t>Quantitative and Qualitative Disclosures About Market Risk.</w:t>
      </w:r>
    </w:p>
    <w:p>
      <w:pPr>
        <w:spacing w:after="0" w:line="118" w:lineRule="exact"/>
        <w:rPr>
          <w:sz w:val="20"/>
          <w:szCs w:val="20"/>
          <w:color w:val="auto"/>
        </w:rPr>
      </w:pPr>
    </w:p>
    <w:p>
      <w:pPr>
        <w:ind w:right="360" w:firstLine="270"/>
        <w:spacing w:after="0" w:line="279" w:lineRule="auto"/>
        <w:rPr>
          <w:sz w:val="20"/>
          <w:szCs w:val="20"/>
          <w:color w:val="auto"/>
        </w:rPr>
      </w:pPr>
      <w:r>
        <w:rPr>
          <w:rFonts w:ascii="Times New Roman" w:cs="Times New Roman" w:eastAsia="Times New Roman" w:hAnsi="Times New Roman"/>
          <w:sz w:val="12"/>
          <w:szCs w:val="12"/>
          <w:color w:val="auto"/>
        </w:rPr>
        <w:t>The Company is exposed to market risk in the ordinary course of our business. Our revenue, earnings, cash flows, receivables, and payables are subject to fluctuations due to changes in foreign currency exchange rates. The ongoing COVID-19 pandemic has increased the volatility of global financial markets, which may increase our foreign currency exchange risk.</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Interest Rate Risk</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i w:val="1"/>
          <w:iCs w:val="1"/>
          <w:color w:val="auto"/>
        </w:rPr>
        <w:t>2025 Notes and Embedded Derivative</w:t>
      </w:r>
    </w:p>
    <w:p>
      <w:pPr>
        <w:spacing w:after="0" w:line="10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Our total fixed-rate borrowings under the 2025 Notes as of both September 30, 2022 and December 31, 2021 were $161.9 million. We record all of our fixed-rate borrowings at amortized cost and therefore, any changes in interest rates do not impact the carrying values that we report for these senior notes on our consolidated financial statements.</w:t>
      </w:r>
    </w:p>
    <w:p>
      <w:pPr>
        <w:spacing w:after="0" w:line="66" w:lineRule="exact"/>
        <w:rPr>
          <w:sz w:val="20"/>
          <w:szCs w:val="20"/>
          <w:color w:val="auto"/>
        </w:rPr>
      </w:pPr>
    </w:p>
    <w:p>
      <w:pPr>
        <w:ind w:right="100" w:firstLine="270"/>
        <w:spacing w:after="0" w:line="257" w:lineRule="auto"/>
        <w:rPr>
          <w:sz w:val="20"/>
          <w:szCs w:val="20"/>
          <w:color w:val="auto"/>
        </w:rPr>
      </w:pPr>
      <w:r>
        <w:rPr>
          <w:rFonts w:ascii="Times New Roman" w:cs="Times New Roman" w:eastAsia="Times New Roman" w:hAnsi="Times New Roman"/>
          <w:sz w:val="12"/>
          <w:szCs w:val="12"/>
          <w:color w:val="auto"/>
        </w:rPr>
        <w:t xml:space="preserve">The 2025 Notes include an embedded derivative which was marked to fair value at September 30, 2022 and December 31, 2021 of $0.02 million and $0.9 million, respectively. The fair value inputs to the derivative valuation include dividend yield, term, volatility, stock price, and risk-free rate. Consequently we may incur gains and losses on the derivative as changes occur in the stock price, volatility, and risk-free rate at each reporting period. Additional details regarding our 2025 Notes and the embedded derivative are included in Item I Part 1 Note 3. </w:t>
      </w:r>
      <w:r>
        <w:rPr>
          <w:rFonts w:ascii="Times New Roman" w:cs="Times New Roman" w:eastAsia="Times New Roman" w:hAnsi="Times New Roman"/>
          <w:sz w:val="12"/>
          <w:szCs w:val="12"/>
          <w:i w:val="1"/>
          <w:iCs w:val="1"/>
          <w:color w:val="auto"/>
        </w:rPr>
        <w:t>Fair Value Measurement of Assets and Liabilities</w:t>
      </w:r>
      <w:r>
        <w:rPr>
          <w:rFonts w:ascii="Times New Roman" w:cs="Times New Roman" w:eastAsia="Times New Roman" w:hAnsi="Times New Roman"/>
          <w:sz w:val="12"/>
          <w:szCs w:val="12"/>
          <w:color w:val="auto"/>
        </w:rPr>
        <w:t xml:space="preserve"> and Note 4.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xml:space="preserve"> in this Quarterly Report on Form 10-Q.</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Revolving Credit Facility</w:t>
      </w:r>
    </w:p>
    <w:p>
      <w:pPr>
        <w:spacing w:after="0" w:line="109" w:lineRule="exact"/>
        <w:rPr>
          <w:sz w:val="20"/>
          <w:szCs w:val="20"/>
          <w:color w:val="auto"/>
        </w:rPr>
      </w:pPr>
    </w:p>
    <w:p>
      <w:pPr>
        <w:ind w:right="40" w:firstLine="270"/>
        <w:spacing w:after="0" w:line="279" w:lineRule="auto"/>
        <w:rPr>
          <w:sz w:val="20"/>
          <w:szCs w:val="20"/>
          <w:color w:val="auto"/>
        </w:rPr>
      </w:pPr>
      <w:r>
        <w:rPr>
          <w:rFonts w:ascii="Times New Roman" w:cs="Times New Roman" w:eastAsia="Times New Roman" w:hAnsi="Times New Roman"/>
          <w:sz w:val="12"/>
          <w:szCs w:val="12"/>
          <w:color w:val="auto"/>
        </w:rPr>
        <w:t>We are exposed to interest rate risk associated with fluctuations in interest rates on our revolving credit facility. As of September 30, 2022, assuming our revolving credit facility was fully drawn up to the $19.1 million borrowing base, a 1% increase in interest rates would result in a $0.2 million change in annualized interest expense.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Currency Risk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 Transaction Risk</w:t>
      </w:r>
    </w:p>
    <w:p>
      <w:pPr>
        <w:spacing w:after="0" w:line="118"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2"/>
          <w:szCs w:val="12"/>
          <w:color w:val="auto"/>
        </w:rPr>
        <w:t>Our results of operations and cash flows are subject to fluctuations due to changes in foreign currency exchange rates. A majority of our revenue is denominated in U.S. Dollars, and therefore, our revenue is not directly subject to foreign currency risk. However, as we have operations in foreign countries, primarily in Europe,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spacing w:after="0" w:line="79" w:lineRule="exact"/>
        <w:rPr>
          <w:sz w:val="20"/>
          <w:szCs w:val="20"/>
          <w:color w:val="auto"/>
        </w:rPr>
      </w:pPr>
    </w:p>
    <w:p>
      <w:pPr>
        <w:ind w:right="80" w:firstLine="270"/>
        <w:spacing w:after="0" w:line="246" w:lineRule="auto"/>
        <w:rPr>
          <w:sz w:val="20"/>
          <w:szCs w:val="20"/>
          <w:color w:val="auto"/>
        </w:rPr>
      </w:pPr>
      <w:r>
        <w:rPr>
          <w:rFonts w:ascii="Times New Roman" w:cs="Times New Roman" w:eastAsia="Times New Roman" w:hAnsi="Times New Roman"/>
          <w:sz w:val="12"/>
          <w:szCs w:val="12"/>
          <w:color w:val="auto"/>
        </w:rPr>
        <w:t>For the three and nine months ended September 30, 2022, sales denominated in foreign currencies were approximately 22.0% and 17.2% of total revenue. Our expenses are generally denominated in the currencies in which our operations are located, which are primarily in the U.S. and to a lesser extent in Europe. Our results of operations and cash flows are, therefore, subject to fluctuations due to changes in foreign currency exchange rates and may be adversely affected in the future due to changes in foreign exchange rates. These foreign functional currencies consist of the pound sterling, Euro, and Australian Dollar (collectively, the “Foreign Functional Currencies”). For the three and nine months ended September 30, 2022, a hypothetical 10% change in Foreign Functional Currency exchange rates would have increased or decreased our revenue by approximately $1.5 million and $3.3 million, respectively. Actual gains and losses in the future may differ materially from the hypothetical gains and losses discussed above based on changes in the timing and amount of foreign currency exchange rate movements.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 Translation Risk</w:t>
      </w:r>
    </w:p>
    <w:p>
      <w:pPr>
        <w:spacing w:after="0" w:line="10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Fluctuations in foreign currencies impact the amount of total assets, liabilities, earnings and cash flows that we report for our foreign subsidiaries upon the translation of these amounts into U.S. Dollars for, and as of the end of, each reporting period. In particular, the strengthening of the U.S. Dollar generally will reduce the reported amount of our foreign-denominated cash, cash equivalents, marketable securities, total revenues and total expense that we translate into U.S. Dollars and report in our consolidated financial statements for, and as of the end of, each reporting period.</w:t>
      </w:r>
    </w:p>
    <w:p>
      <w:pPr>
        <w:spacing w:after="0" w:line="7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i w:val="1"/>
          <w:iCs w:val="1"/>
          <w:color w:val="auto"/>
        </w:rPr>
        <w:t>Controls and Procedures.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109"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2"/>
          <w:szCs w:val="12"/>
          <w:color w:val="auto"/>
        </w:rPr>
        <w:t>The Company maintains disclosure controls and procedures, as defined in Rule 13a-15(e) and 15d-15(e) promulgated under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79" w:lineRule="exact"/>
        <w:rPr>
          <w:sz w:val="20"/>
          <w:szCs w:val="20"/>
          <w:color w:val="auto"/>
        </w:rPr>
      </w:pPr>
    </w:p>
    <w:p>
      <w:pPr>
        <w:ind w:right="160" w:firstLine="270"/>
        <w:spacing w:after="0" w:line="279" w:lineRule="auto"/>
        <w:rPr>
          <w:sz w:val="20"/>
          <w:szCs w:val="20"/>
          <w:color w:val="auto"/>
        </w:rPr>
      </w:pPr>
      <w:r>
        <w:rPr>
          <w:rFonts w:ascii="Times New Roman" w:cs="Times New Roman" w:eastAsia="Times New Roman" w:hAnsi="Times New Roman"/>
          <w:sz w:val="12"/>
          <w:szCs w:val="12"/>
          <w:color w:val="auto"/>
        </w:rPr>
        <w:t>As required by Rule 13a-15(b) promulgated under the Exchange Act, the Company carried out an evaluation, under the supervision and with the participation of the Company’s management, including the Company’s principal executive officer and principal financial officer, of the effectiveness of the design and operation of the Company’s disclosure controls and procedures</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46" w:right="359" w:bottom="1440" w:gutter="0" w:footer="0" w:header="0"/>
        </w:sectPr>
      </w:pPr>
    </w:p>
    <w:bookmarkStart w:id="30" w:name="page31"/>
    <w:bookmarkEnd w:id="30"/>
    <w:p>
      <w:pPr>
        <w:spacing w:after="0" w:line="264" w:lineRule="auto"/>
        <w:rPr>
          <w:sz w:val="20"/>
          <w:szCs w:val="20"/>
          <w:color w:val="auto"/>
        </w:rPr>
      </w:pPr>
      <w:r>
        <w:rPr>
          <w:rFonts w:ascii="Times New Roman" w:cs="Times New Roman" w:eastAsia="Times New Roman" w:hAnsi="Times New Roman"/>
          <w:sz w:val="12"/>
          <w:szCs w:val="12"/>
          <w:color w:val="auto"/>
        </w:rPr>
        <w:t>as of September 30, 2022, the end of the period covered by this report. Based on the foregoing, our principal executive officer and principal financial officer concluded that our disclosure controls and procedures were effective as of September 30, 2022.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09" w:lineRule="exact"/>
        <w:rPr>
          <w:sz w:val="20"/>
          <w:szCs w:val="20"/>
          <w:color w:val="auto"/>
        </w:rPr>
      </w:pPr>
    </w:p>
    <w:p>
      <w:pPr>
        <w:ind w:right="120" w:firstLine="270"/>
        <w:spacing w:after="0" w:line="264" w:lineRule="auto"/>
        <w:rPr>
          <w:sz w:val="20"/>
          <w:szCs w:val="20"/>
          <w:color w:val="auto"/>
        </w:rPr>
      </w:pPr>
      <w:r>
        <w:rPr>
          <w:rFonts w:ascii="Times New Roman" w:cs="Times New Roman" w:eastAsia="Times New Roman" w:hAnsi="Times New Roman"/>
          <w:sz w:val="12"/>
          <w:szCs w:val="12"/>
          <w:color w:val="auto"/>
        </w:rPr>
        <w:t>There were no changes in the Company’s internal control over financial reporting, as defined in Rule 13a-15(f) and 15d-15(f) promulgated under the Exchange Act, during the quarter ended September 30,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40"/>
          </w:cols>
          <w:pgMar w:left="300" w:top="750" w:right="6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b w:val="1"/>
          <w:bCs w:val="1"/>
          <w:color w:val="auto"/>
        </w:rPr>
        <w:t>PART II—OTHER INFORMATION</w:t>
      </w:r>
    </w:p>
    <w:p>
      <w:pPr>
        <w:spacing w:after="0" w:line="11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i w:val="1"/>
          <w:iCs w:val="1"/>
          <w:color w:val="auto"/>
        </w:rPr>
        <w:t>Legal Proceedings.</w:t>
      </w:r>
    </w:p>
    <w:p>
      <w:pPr>
        <w:spacing w:after="0" w:line="73" w:lineRule="exact"/>
        <w:rPr>
          <w:sz w:val="20"/>
          <w:szCs w:val="20"/>
          <w:color w:val="auto"/>
        </w:rPr>
      </w:pPr>
    </w:p>
    <w:p>
      <w:pPr>
        <w:ind w:firstLine="270"/>
        <w:spacing w:after="0" w:line="279" w:lineRule="auto"/>
        <w:rPr>
          <w:sz w:val="20"/>
          <w:szCs w:val="20"/>
          <w:color w:val="auto"/>
        </w:rPr>
      </w:pPr>
      <w:r>
        <w:rPr>
          <w:rFonts w:ascii="Times New Roman" w:cs="Times New Roman" w:eastAsia="Times New Roman" w:hAnsi="Times New Roman"/>
          <w:sz w:val="12"/>
          <w:szCs w:val="12"/>
          <w:color w:val="auto"/>
        </w:rPr>
        <w:t>The Company is, from time to time, party to various legal proceedings arising in the ordinary course of business. We are currently not party to any litigation, the outcome of which, if determined adversely to us, would individually or in the aggregate be reasonably expected to have a material and adverse effect on our business, financial position or results of operations.</w:t>
      </w:r>
    </w:p>
    <w:p>
      <w:pPr>
        <w:spacing w:after="0" w:line="9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1A.</w:t>
      </w:r>
      <w:r>
        <w:rPr>
          <w:sz w:val="20"/>
          <w:szCs w:val="20"/>
          <w:color w:val="auto"/>
        </w:rPr>
        <w:tab/>
      </w:r>
      <w:r>
        <w:rPr>
          <w:rFonts w:ascii="Times New Roman" w:cs="Times New Roman" w:eastAsia="Times New Roman" w:hAnsi="Times New Roman"/>
          <w:sz w:val="11"/>
          <w:szCs w:val="11"/>
          <w:b w:val="1"/>
          <w:bCs w:val="1"/>
          <w:i w:val="1"/>
          <w:iCs w:val="1"/>
          <w:color w:val="auto"/>
        </w:rPr>
        <w:t>Risk Factors.</w:t>
      </w:r>
    </w:p>
    <w:p>
      <w:pPr>
        <w:spacing w:after="0" w:line="118" w:lineRule="exact"/>
        <w:rPr>
          <w:sz w:val="20"/>
          <w:szCs w:val="20"/>
          <w:color w:val="auto"/>
        </w:rPr>
      </w:pPr>
    </w:p>
    <w:p>
      <w:pPr>
        <w:ind w:right="40" w:firstLine="270"/>
        <w:spacing w:after="0" w:line="264" w:lineRule="auto"/>
        <w:rPr>
          <w:sz w:val="20"/>
          <w:szCs w:val="20"/>
          <w:color w:val="auto"/>
        </w:rPr>
      </w:pPr>
      <w:r>
        <w:rPr>
          <w:rFonts w:ascii="Times New Roman" w:cs="Times New Roman" w:eastAsia="Times New Roman" w:hAnsi="Times New Roman"/>
          <w:sz w:val="12"/>
          <w:szCs w:val="12"/>
          <w:color w:val="auto"/>
        </w:rPr>
        <w:t>There have been no material changes in our risk factors from those disclosed in “Item 1A. Risk Factors” of the Form 10-K, Form 10-Q,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w:t>
      </w:r>
    </w:p>
    <w:p>
      <w:pPr>
        <w:spacing w:after="0" w:line="24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i w:val="1"/>
          <w:iCs w:val="1"/>
          <w:color w:val="auto"/>
        </w:rPr>
        <w:t>Unregistered Sales of Equity Securities and Use of Proceeds.</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33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i w:val="1"/>
          <w:iCs w:val="1"/>
          <w:color w:val="auto"/>
        </w:rPr>
        <w:t>Defaults Upon Senior Securities.</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None.</w:t>
      </w:r>
    </w:p>
    <w:p>
      <w:pPr>
        <w:spacing w:after="0" w:line="38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i w:val="1"/>
          <w:iCs w:val="1"/>
          <w:color w:val="auto"/>
        </w:rPr>
        <w:t>Mine Safety Disclosures.</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Not applicable.</w:t>
      </w:r>
    </w:p>
    <w:p>
      <w:pPr>
        <w:spacing w:after="0" w:line="38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2"/>
          <w:szCs w:val="12"/>
          <w:b w:val="1"/>
          <w:bCs w:val="1"/>
          <w:color w:val="auto"/>
        </w:rPr>
        <w:t>Item 5.</w:t>
      </w:r>
      <w:r>
        <w:rPr>
          <w:sz w:val="20"/>
          <w:szCs w:val="20"/>
          <w:color w:val="auto"/>
        </w:rPr>
        <w:tab/>
      </w:r>
      <w:r>
        <w:rPr>
          <w:rFonts w:ascii="Times New Roman" w:cs="Times New Roman" w:eastAsia="Times New Roman" w:hAnsi="Times New Roman"/>
          <w:sz w:val="12"/>
          <w:szCs w:val="12"/>
          <w:b w:val="1"/>
          <w:bCs w:val="1"/>
          <w:i w:val="1"/>
          <w:iCs w:val="1"/>
          <w:color w:val="auto"/>
        </w:rPr>
        <w:t>Other Information.</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59"/>
        </w:trPr>
        <w:tc>
          <w:tcPr>
            <w:tcW w:w="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6.</w:t>
            </w:r>
          </w:p>
        </w:tc>
        <w:tc>
          <w:tcPr>
            <w:tcW w:w="9380" w:type="dxa"/>
            <w:vAlign w:val="bottom"/>
            <w:gridSpan w:val="19"/>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Exhibits.</w:t>
            </w:r>
          </w:p>
        </w:tc>
      </w:tr>
      <w:tr>
        <w:trPr>
          <w:trHeight w:val="208"/>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3"/>
              </w:rPr>
              <w:t>Exhibit No.</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90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87"/>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3.1</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20" w:type="dxa"/>
            <w:vAlign w:val="bottom"/>
            <w:tcBorders>
              <w:bottom w:val="single" w:sz="8" w:color="0000FF"/>
            </w:tcBorders>
            <w:gridSpan w:val="11"/>
          </w:tcPr>
          <w:p>
            <w:pPr>
              <w:spacing w:after="0"/>
              <w:rPr>
                <w:rFonts w:ascii="Times New Roman" w:cs="Times New Roman" w:eastAsia="Times New Roman" w:hAnsi="Times New Roman"/>
                <w:sz w:val="12"/>
                <w:szCs w:val="12"/>
                <w:color w:val="0000FF"/>
                <w:w w:val="99"/>
              </w:rPr>
            </w:pPr>
            <w:hyperlink r:id="rId44">
              <w:r>
                <w:rPr>
                  <w:rFonts w:ascii="Times New Roman" w:cs="Times New Roman" w:eastAsia="Times New Roman" w:hAnsi="Times New Roman"/>
                  <w:sz w:val="12"/>
                  <w:szCs w:val="12"/>
                  <w:color w:val="0000FF"/>
                  <w:w w:val="99"/>
                </w:rPr>
                <w:t>Amended and Restated Certificate of Incorporation (incorporated by reference to Exhibit 3.1 to the Company’s Current Report on Form 8-K, filed November 9, 2016).</w:t>
              </w:r>
            </w:hyperlink>
          </w:p>
        </w:tc>
        <w:tc>
          <w:tcPr>
            <w:tcW w:w="880" w:type="dxa"/>
            <w:vAlign w:val="bottom"/>
            <w:gridSpan w:val="6"/>
          </w:tcPr>
          <w:p>
            <w:pPr>
              <w:spacing w:after="0"/>
              <w:rPr>
                <w:sz w:val="16"/>
                <w:szCs w:val="16"/>
                <w:color w:val="auto"/>
              </w:rPr>
            </w:pPr>
          </w:p>
        </w:tc>
      </w:tr>
      <w:tr>
        <w:trPr>
          <w:trHeight w:val="223"/>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3.2</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60" w:type="dxa"/>
            <w:vAlign w:val="bottom"/>
            <w:tcBorders>
              <w:bottom w:val="single" w:sz="8" w:color="0000FF"/>
            </w:tcBorders>
            <w:gridSpan w:val="8"/>
          </w:tcPr>
          <w:p>
            <w:pPr>
              <w:spacing w:after="0"/>
              <w:rPr>
                <w:rFonts w:ascii="Times New Roman" w:cs="Times New Roman" w:eastAsia="Times New Roman" w:hAnsi="Times New Roman"/>
                <w:sz w:val="12"/>
                <w:szCs w:val="12"/>
                <w:color w:val="0000FF"/>
                <w:w w:val="99"/>
              </w:rPr>
            </w:pPr>
            <w:hyperlink r:id="rId45">
              <w:r>
                <w:rPr>
                  <w:rFonts w:ascii="Times New Roman" w:cs="Times New Roman" w:eastAsia="Times New Roman" w:hAnsi="Times New Roman"/>
                  <w:sz w:val="12"/>
                  <w:szCs w:val="12"/>
                  <w:color w:val="0000FF"/>
                  <w:w w:val="99"/>
                </w:rPr>
                <w:t>Amended and Restated Bylaws (incorporated by reference to Exhibit 3.2 to the Company’s Current Report on Form 8-K, filed November 9, 2016).</w:t>
              </w:r>
            </w:hyperlink>
          </w:p>
        </w:tc>
        <w:tc>
          <w:tcPr>
            <w:tcW w:w="1840" w:type="dxa"/>
            <w:vAlign w:val="bottom"/>
            <w:gridSpan w:val="9"/>
          </w:tcPr>
          <w:p>
            <w:pPr>
              <w:spacing w:after="0"/>
              <w:rPr>
                <w:sz w:val="19"/>
                <w:szCs w:val="19"/>
                <w:color w:val="auto"/>
              </w:rPr>
            </w:pPr>
          </w:p>
        </w:tc>
      </w:tr>
      <w:tr>
        <w:trPr>
          <w:trHeight w:val="187"/>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3.3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00" w:type="dxa"/>
            <w:vAlign w:val="bottom"/>
            <w:gridSpan w:val="17"/>
          </w:tcPr>
          <w:p>
            <w:pPr>
              <w:spacing w:after="0"/>
              <w:rPr>
                <w:rFonts w:ascii="Times New Roman" w:cs="Times New Roman" w:eastAsia="Times New Roman" w:hAnsi="Times New Roman"/>
                <w:sz w:val="12"/>
                <w:szCs w:val="12"/>
                <w:color w:val="0000FF"/>
              </w:rPr>
            </w:pPr>
            <w:hyperlink r:id="rId46">
              <w:r>
                <w:rPr>
                  <w:rFonts w:ascii="Times New Roman" w:cs="Times New Roman" w:eastAsia="Times New Roman" w:hAnsi="Times New Roman"/>
                  <w:sz w:val="12"/>
                  <w:szCs w:val="12"/>
                  <w:color w:val="0000FF"/>
                </w:rPr>
                <w:t>Certificate of Designation of Series E Fixed-Rate Cumulative Perpetual Preferred Stock filed with the Secretary of State of the State of Delaware on August 8, 2019 (incorporated by</w:t>
              </w:r>
            </w:hyperlink>
          </w:p>
        </w:tc>
      </w:tr>
      <w:tr>
        <w:trPr>
          <w:trHeight w:val="97"/>
        </w:trPr>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720" w:type="dxa"/>
            <w:vAlign w:val="bottom"/>
            <w:tcBorders>
              <w:top w:val="single" w:sz="8" w:color="0000FF"/>
            </w:tcBorders>
            <w:gridSpan w:val="14"/>
          </w:tcPr>
          <w:p>
            <w:pPr>
              <w:spacing w:after="0" w:line="97" w:lineRule="exact"/>
              <w:rPr>
                <w:rFonts w:ascii="Times New Roman" w:cs="Times New Roman" w:eastAsia="Times New Roman" w:hAnsi="Times New Roman"/>
                <w:sz w:val="11"/>
                <w:szCs w:val="11"/>
                <w:color w:val="0000FF"/>
              </w:rPr>
            </w:pPr>
            <w:hyperlink r:id="rId46">
              <w:r>
                <w:rPr>
                  <w:rFonts w:ascii="Times New Roman" w:cs="Times New Roman" w:eastAsia="Times New Roman" w:hAnsi="Times New Roman"/>
                  <w:sz w:val="11"/>
                  <w:szCs w:val="11"/>
                  <w:color w:val="0000FF"/>
                </w:rPr>
                <w:t>reference to Exhibit 3.1 to the Company’s Current Report on Form 8-K, filed August 13, 2019).</w:t>
              </w:r>
            </w:hyperlink>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3.4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900" w:type="dxa"/>
            <w:vAlign w:val="bottom"/>
            <w:gridSpan w:val="17"/>
          </w:tcPr>
          <w:p>
            <w:pPr>
              <w:spacing w:after="0"/>
              <w:rPr>
                <w:rFonts w:ascii="Times New Roman" w:cs="Times New Roman" w:eastAsia="Times New Roman" w:hAnsi="Times New Roman"/>
                <w:sz w:val="12"/>
                <w:szCs w:val="12"/>
                <w:color w:val="0000FF"/>
              </w:rPr>
            </w:pPr>
            <w:hyperlink r:id="rId47">
              <w:r>
                <w:rPr>
                  <w:rFonts w:ascii="Times New Roman" w:cs="Times New Roman" w:eastAsia="Times New Roman" w:hAnsi="Times New Roman"/>
                  <w:sz w:val="12"/>
                  <w:szCs w:val="12"/>
                  <w:color w:val="0000FF"/>
                </w:rPr>
                <w:t>Certificate of Amendment to Certificate of Designation of Series E Fixed-Rate Cumulative Perpetual Preferred Stock (incorporated by reference to Exhibit 3.1 to the Company’s</w:t>
              </w:r>
            </w:hyperlink>
          </w:p>
        </w:tc>
      </w:tr>
      <w:tr>
        <w:trPr>
          <w:trHeight w:val="97"/>
        </w:trPr>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500" w:type="dxa"/>
            <w:vAlign w:val="bottom"/>
            <w:tcBorders>
              <w:top w:val="single" w:sz="8" w:color="0000FF"/>
            </w:tcBorders>
            <w:gridSpan w:val="12"/>
          </w:tcPr>
          <w:p>
            <w:pPr>
              <w:spacing w:after="0" w:line="97" w:lineRule="exact"/>
              <w:rPr>
                <w:rFonts w:ascii="Times New Roman" w:cs="Times New Roman" w:eastAsia="Times New Roman" w:hAnsi="Times New Roman"/>
                <w:sz w:val="11"/>
                <w:szCs w:val="11"/>
                <w:color w:val="0000FF"/>
              </w:rPr>
            </w:pPr>
            <w:hyperlink r:id="rId47">
              <w:r>
                <w:rPr>
                  <w:rFonts w:ascii="Times New Roman" w:cs="Times New Roman" w:eastAsia="Times New Roman" w:hAnsi="Times New Roman"/>
                  <w:sz w:val="11"/>
                  <w:szCs w:val="11"/>
                  <w:color w:val="0000FF"/>
                </w:rPr>
                <w:t>Current Report on Form 8-K, filed March 10, 2020).</w:t>
              </w:r>
            </w:hyperlink>
          </w:p>
        </w:tc>
        <w:tc>
          <w:tcPr>
            <w:tcW w:w="20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10.1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900" w:type="dxa"/>
            <w:vAlign w:val="bottom"/>
            <w:gridSpan w:val="17"/>
          </w:tcPr>
          <w:p>
            <w:pPr>
              <w:spacing w:after="0"/>
              <w:rPr>
                <w:rFonts w:ascii="Times New Roman" w:cs="Times New Roman" w:eastAsia="Times New Roman" w:hAnsi="Times New Roman"/>
                <w:sz w:val="12"/>
                <w:szCs w:val="12"/>
                <w:color w:val="0000FF"/>
              </w:rPr>
            </w:pPr>
            <w:hyperlink r:id="rId48">
              <w:r>
                <w:rPr>
                  <w:rFonts w:ascii="Times New Roman" w:cs="Times New Roman" w:eastAsia="Times New Roman" w:hAnsi="Times New Roman"/>
                  <w:sz w:val="12"/>
                  <w:szCs w:val="12"/>
                  <w:color w:val="0000FF"/>
                </w:rPr>
                <w:t>Amended Inseego Corp. 2018 Omnibus Incentive Compensation Plan (incorporated by reference to Exhibit 10.1 to the Registrant’s Current Report on Form 8-K (File No. 001-38358),</w:t>
              </w:r>
            </w:hyperlink>
          </w:p>
        </w:tc>
      </w:tr>
      <w:tr>
        <w:trPr>
          <w:trHeight w:val="97"/>
        </w:trPr>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Borders>
              <w:top w:val="single" w:sz="8" w:color="0000FF"/>
              <w:bottom w:val="single" w:sz="8" w:color="0000FF"/>
            </w:tcBorders>
          </w:tcPr>
          <w:p>
            <w:pPr>
              <w:spacing w:after="0" w:line="97" w:lineRule="exact"/>
              <w:rPr>
                <w:rFonts w:ascii="Times New Roman" w:cs="Times New Roman" w:eastAsia="Times New Roman" w:hAnsi="Times New Roman"/>
                <w:sz w:val="11"/>
                <w:szCs w:val="11"/>
                <w:color w:val="0000FF"/>
              </w:rPr>
            </w:pPr>
            <w:hyperlink r:id="rId48">
              <w:r>
                <w:rPr>
                  <w:rFonts w:ascii="Times New Roman" w:cs="Times New Roman" w:eastAsia="Times New Roman" w:hAnsi="Times New Roman"/>
                  <w:sz w:val="11"/>
                  <w:szCs w:val="11"/>
                  <w:color w:val="0000FF"/>
                </w:rPr>
                <w:t>filed on August 9, 2022).</w:t>
              </w:r>
            </w:hyperlink>
          </w:p>
        </w:tc>
        <w:tc>
          <w:tcPr>
            <w:tcW w:w="7580" w:type="dxa"/>
            <w:vAlign w:val="bottom"/>
            <w:tcBorders>
              <w:top w:val="single" w:sz="8" w:color="0000FF"/>
            </w:tcBorders>
            <w:gridSpan w:val="14"/>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42"/>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10.2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900" w:type="dxa"/>
            <w:vAlign w:val="bottom"/>
            <w:gridSpan w:val="17"/>
          </w:tcPr>
          <w:p>
            <w:pPr>
              <w:spacing w:after="0"/>
              <w:rPr>
                <w:rFonts w:ascii="Times New Roman" w:cs="Times New Roman" w:eastAsia="Times New Roman" w:hAnsi="Times New Roman"/>
                <w:sz w:val="12"/>
                <w:szCs w:val="12"/>
                <w:color w:val="0000FF"/>
              </w:rPr>
            </w:pPr>
            <w:hyperlink r:id="rId49">
              <w:r>
                <w:rPr>
                  <w:rFonts w:ascii="Times New Roman" w:cs="Times New Roman" w:eastAsia="Times New Roman" w:hAnsi="Times New Roman"/>
                  <w:sz w:val="12"/>
                  <w:szCs w:val="12"/>
                  <w:color w:val="0000FF"/>
                </w:rPr>
                <w:t>Amended and Restated Inseego Corp. 2000 Employee Stock Purchase Plan (incorporated by reference to Exhibit 10.2 to the Registrant’s Current Report on Form 8-K (File No. 001-</w:t>
              </w:r>
            </w:hyperlink>
          </w:p>
        </w:tc>
      </w:tr>
      <w:tr>
        <w:trPr>
          <w:trHeight w:val="97"/>
        </w:trPr>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Borders>
              <w:top w:val="single" w:sz="8" w:color="0000FF"/>
              <w:bottom w:val="single" w:sz="8" w:color="0000FF"/>
            </w:tcBorders>
            <w:gridSpan w:val="3"/>
          </w:tcPr>
          <w:p>
            <w:pPr>
              <w:spacing w:after="0" w:line="97" w:lineRule="exact"/>
              <w:rPr>
                <w:rFonts w:ascii="Times New Roman" w:cs="Times New Roman" w:eastAsia="Times New Roman" w:hAnsi="Times New Roman"/>
                <w:sz w:val="11"/>
                <w:szCs w:val="11"/>
                <w:color w:val="0000FF"/>
              </w:rPr>
            </w:pPr>
            <w:hyperlink r:id="rId49">
              <w:r>
                <w:rPr>
                  <w:rFonts w:ascii="Times New Roman" w:cs="Times New Roman" w:eastAsia="Times New Roman" w:hAnsi="Times New Roman"/>
                  <w:sz w:val="11"/>
                  <w:szCs w:val="11"/>
                  <w:color w:val="0000FF"/>
                </w:rPr>
                <w:t>38358)</w:t>
              </w:r>
              <w:r>
                <w:rPr>
                  <w:rFonts w:ascii="Times New Roman" w:cs="Times New Roman" w:eastAsia="Times New Roman" w:hAnsi="Times New Roman"/>
                  <w:sz w:val="11"/>
                  <w:szCs w:val="11"/>
                  <w:u w:val="single" w:color="auto"/>
                  <w:color w:val="0000FF"/>
                </w:rPr>
                <w:t>,</w:t>
              </w:r>
              <w:r>
                <w:rPr>
                  <w:rFonts w:ascii="Times New Roman" w:cs="Times New Roman" w:eastAsia="Times New Roman" w:hAnsi="Times New Roman"/>
                  <w:sz w:val="11"/>
                  <w:szCs w:val="11"/>
                  <w:color w:val="0000FF"/>
                </w:rPr>
                <w:t xml:space="preserve"> filed on August 9, 2022).</w:t>
              </w:r>
            </w:hyperlink>
          </w:p>
        </w:tc>
        <w:tc>
          <w:tcPr>
            <w:tcW w:w="7080" w:type="dxa"/>
            <w:vAlign w:val="bottom"/>
            <w:tcBorders>
              <w:top w:val="single" w:sz="8" w:color="0000FF"/>
            </w:tcBorders>
            <w:gridSpan w:val="10"/>
          </w:tcPr>
          <w:p>
            <w:pPr>
              <w:spacing w:after="0"/>
              <w:rPr>
                <w:sz w:val="8"/>
                <w:szCs w:val="8"/>
                <w:color w:val="auto"/>
              </w:rPr>
            </w:pPr>
          </w:p>
        </w:tc>
        <w:tc>
          <w:tcPr>
            <w:tcW w:w="120" w:type="dxa"/>
            <w:vAlign w:val="bottom"/>
            <w:gridSpan w:val="3"/>
          </w:tcPr>
          <w:p>
            <w:pPr>
              <w:spacing w:after="0"/>
              <w:rPr>
                <w:sz w:val="8"/>
                <w:szCs w:val="8"/>
                <w:color w:val="auto"/>
              </w:rPr>
            </w:pPr>
          </w:p>
        </w:tc>
        <w:tc>
          <w:tcPr>
            <w:tcW w:w="80" w:type="dxa"/>
            <w:vAlign w:val="bottom"/>
          </w:tcPr>
          <w:p>
            <w:pPr>
              <w:spacing w:after="0"/>
              <w:rPr>
                <w:sz w:val="8"/>
                <w:szCs w:val="8"/>
                <w:color w:val="auto"/>
              </w:rPr>
            </w:pPr>
          </w:p>
        </w:tc>
      </w:tr>
      <w:tr>
        <w:trPr>
          <w:trHeight w:val="142"/>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10.3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900" w:type="dxa"/>
            <w:vAlign w:val="bottom"/>
            <w:gridSpan w:val="17"/>
          </w:tcPr>
          <w:p>
            <w:pPr>
              <w:spacing w:after="0"/>
              <w:rPr>
                <w:sz w:val="20"/>
                <w:szCs w:val="20"/>
                <w:color w:val="auto"/>
              </w:rPr>
            </w:pPr>
            <w:r>
              <w:rPr>
                <w:rFonts w:ascii="Times New Roman" w:cs="Times New Roman" w:eastAsia="Times New Roman" w:hAnsi="Times New Roman"/>
                <w:sz w:val="12"/>
                <w:szCs w:val="12"/>
                <w:color w:val="0000FF"/>
              </w:rPr>
              <w:t>Loan and Security Agreement, dated as of August 5, 2022, among Siena Lending Group LLC (as Lender), Inseego Wireless, Inc., and Inseego North America LLC (as Borrowers), and</w:t>
            </w:r>
          </w:p>
        </w:tc>
      </w:tr>
      <w:tr>
        <w:trPr>
          <w:trHeight w:val="115"/>
        </w:trPr>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Borders>
              <w:top w:val="single" w:sz="8" w:color="0000FF"/>
              <w:bottom w:val="single" w:sz="8" w:color="0000FF"/>
            </w:tcBorders>
            <w:gridSpan w:val="2"/>
          </w:tcPr>
          <w:p>
            <w:pPr>
              <w:spacing w:after="0" w:line="115" w:lineRule="exact"/>
              <w:rPr>
                <w:sz w:val="20"/>
                <w:szCs w:val="20"/>
                <w:color w:val="auto"/>
              </w:rPr>
            </w:pPr>
            <w:r>
              <w:rPr>
                <w:rFonts w:ascii="Times New Roman" w:cs="Times New Roman" w:eastAsia="Times New Roman" w:hAnsi="Times New Roman"/>
                <w:sz w:val="12"/>
                <w:szCs w:val="12"/>
                <w:color w:val="0000FF"/>
                <w:w w:val="99"/>
              </w:rPr>
              <w:t>Inseego Corp. (as Guarantor).</w:t>
            </w:r>
          </w:p>
        </w:tc>
        <w:tc>
          <w:tcPr>
            <w:tcW w:w="7380" w:type="dxa"/>
            <w:vAlign w:val="bottom"/>
            <w:tcBorders>
              <w:top w:val="single" w:sz="8" w:color="0000FF"/>
            </w:tcBorders>
            <w:gridSpan w:val="14"/>
          </w:tcPr>
          <w:p>
            <w:pPr>
              <w:spacing w:after="0"/>
              <w:rPr>
                <w:sz w:val="10"/>
                <w:szCs w:val="10"/>
                <w:color w:val="auto"/>
              </w:rPr>
            </w:pPr>
          </w:p>
        </w:tc>
        <w:tc>
          <w:tcPr>
            <w:tcW w:w="80" w:type="dxa"/>
            <w:vAlign w:val="bottom"/>
          </w:tcPr>
          <w:p>
            <w:pPr>
              <w:spacing w:after="0"/>
              <w:rPr>
                <w:sz w:val="10"/>
                <w:szCs w:val="10"/>
                <w:color w:val="auto"/>
              </w:rPr>
            </w:pPr>
          </w:p>
        </w:tc>
      </w:tr>
      <w:tr>
        <w:trPr>
          <w:trHeight w:val="187"/>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31.1*</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2"/>
                <w:szCs w:val="12"/>
                <w:color w:val="0000FF"/>
                <w:w w:val="99"/>
              </w:rPr>
              <w:t>Certification of our Principal Executive Officer adopted pursuant to Section 302 of the Sarbanes-Oxley Act of 2002.</w:t>
            </w:r>
          </w:p>
        </w:tc>
        <w:tc>
          <w:tcPr>
            <w:tcW w:w="3300" w:type="dxa"/>
            <w:vAlign w:val="bottom"/>
            <w:gridSpan w:val="10"/>
          </w:tcPr>
          <w:p>
            <w:pPr>
              <w:spacing w:after="0"/>
              <w:rPr>
                <w:sz w:val="16"/>
                <w:szCs w:val="16"/>
                <w:color w:val="auto"/>
              </w:rPr>
            </w:pPr>
          </w:p>
        </w:tc>
      </w:tr>
      <w:tr>
        <w:trPr>
          <w:trHeight w:val="223"/>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31.2*</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2"/>
                <w:szCs w:val="12"/>
                <w:color w:val="0000FF"/>
                <w:w w:val="99"/>
              </w:rPr>
              <w:t>Certification of our Principal Financial Officer adopted pursuant to Section 302 of the Sarbanes-Oxley Act of 2002.</w:t>
            </w:r>
          </w:p>
        </w:tc>
        <w:tc>
          <w:tcPr>
            <w:tcW w:w="3340" w:type="dxa"/>
            <w:vAlign w:val="bottom"/>
            <w:gridSpan w:val="11"/>
          </w:tcPr>
          <w:p>
            <w:pPr>
              <w:spacing w:after="0"/>
              <w:rPr>
                <w:sz w:val="19"/>
                <w:szCs w:val="19"/>
                <w:color w:val="auto"/>
              </w:rPr>
            </w:pPr>
          </w:p>
        </w:tc>
      </w:tr>
      <w:tr>
        <w:trPr>
          <w:trHeight w:val="223"/>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32.1#</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3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2"/>
                <w:szCs w:val="12"/>
                <w:color w:val="0000FF"/>
                <w:w w:val="99"/>
              </w:rPr>
              <w:t>Certification of Principal Executive Officer pursuant to 18 U.S.C. Section 1350, as adopted pursuant to Section 906 of the Sarbanes-Oxley Act of 2002.</w:t>
            </w:r>
          </w:p>
        </w:tc>
        <w:tc>
          <w:tcPr>
            <w:tcW w:w="1600" w:type="dxa"/>
            <w:vAlign w:val="bottom"/>
            <w:gridSpan w:val="7"/>
          </w:tcPr>
          <w:p>
            <w:pPr>
              <w:spacing w:after="0"/>
              <w:rPr>
                <w:sz w:val="19"/>
                <w:szCs w:val="19"/>
                <w:color w:val="auto"/>
              </w:rPr>
            </w:pPr>
          </w:p>
        </w:tc>
      </w:tr>
      <w:tr>
        <w:trPr>
          <w:trHeight w:val="223"/>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32.2#</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2"/>
                <w:szCs w:val="12"/>
                <w:color w:val="0000FF"/>
                <w:w w:val="99"/>
              </w:rPr>
              <w:t>Certification of Principal Financial Officer pursuant to 18 U.S.C. Section 1350, as adopted pursuant to Section 906 of the Sarbanes-Oxley Act of 2002.</w:t>
            </w:r>
          </w:p>
        </w:tc>
        <w:tc>
          <w:tcPr>
            <w:tcW w:w="1640" w:type="dxa"/>
            <w:vAlign w:val="bottom"/>
            <w:gridSpan w:val="8"/>
          </w:tcPr>
          <w:p>
            <w:pPr>
              <w:spacing w:after="0"/>
              <w:rPr>
                <w:sz w:val="19"/>
                <w:szCs w:val="19"/>
                <w:color w:val="auto"/>
              </w:rPr>
            </w:pPr>
          </w:p>
        </w:tc>
      </w:tr>
      <w:tr>
        <w:trPr>
          <w:trHeight w:val="250"/>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101.INS</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90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Inline XBRL Instance Document - the instance document does not appear in the Interactive Data File because its XBRL tags are embedded within the Inline XBRL document.</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101.SCH</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90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Inline XBRL Taxonomy Extension Schema Document.</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101.CAL</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90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Inline XBRL Taxonomy Extension Calculation Linkbase Document.</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101.DEF</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90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Inline XBRL Taxonomy Extension Definition Linkbase Document.</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101.LAB</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90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Inline XBRL Taxonomy Extension Label Linkbase Document.</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101.PRE</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90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Inline XBRL Taxonomy Extension Presentation Linkbase Document.</w:t>
            </w:r>
          </w:p>
        </w:tc>
      </w:tr>
      <w:tr>
        <w:trPr>
          <w:trHeight w:val="207"/>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90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 Exhibit 101).</w:t>
            </w:r>
          </w:p>
        </w:tc>
      </w:tr>
    </w:tbl>
    <w:p>
      <w:pPr>
        <w:spacing w:after="0" w:line="34" w:lineRule="exact"/>
        <w:rPr>
          <w:sz w:val="20"/>
          <w:szCs w:val="20"/>
          <w:color w:val="auto"/>
        </w:rPr>
      </w:pPr>
    </w:p>
    <w:p>
      <w:pPr>
        <w:ind w:left="960" w:hanging="956"/>
        <w:spacing w:after="0"/>
        <w:tabs>
          <w:tab w:leader="none" w:pos="9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herewith.</w:t>
      </w:r>
    </w:p>
    <w:p>
      <w:pPr>
        <w:spacing w:after="0" w:line="69" w:lineRule="exact"/>
        <w:rPr>
          <w:sz w:val="20"/>
          <w:szCs w:val="20"/>
          <w:color w:val="auto"/>
        </w:rPr>
      </w:pPr>
    </w:p>
    <w:p>
      <w:pPr>
        <w:ind w:left="960" w:hanging="956"/>
        <w:spacing w:after="0"/>
        <w:tabs>
          <w:tab w:leader="none" w:pos="9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638" w:right="1440" w:bottom="1440" w:gutter="0" w:footer="0" w:header="0"/>
        </w:sectPr>
      </w:pPr>
    </w:p>
    <w:bookmarkStart w:id="33" w:name="page34"/>
    <w:bookmarkEnd w:id="33"/>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3, 2022</w:t>
            </w:r>
          </w:p>
        </w:tc>
        <w:tc>
          <w:tcPr>
            <w:tcW w:w="4040" w:type="dxa"/>
            <w:vAlign w:val="bottom"/>
            <w:gridSpan w:val="2"/>
          </w:tcPr>
          <w:p>
            <w:pPr>
              <w:ind w:left="2720"/>
              <w:spacing w:after="0"/>
              <w:rPr>
                <w:sz w:val="20"/>
                <w:szCs w:val="20"/>
                <w:color w:val="auto"/>
              </w:rPr>
            </w:pPr>
            <w:r>
              <w:rPr>
                <w:rFonts w:ascii="Times New Roman" w:cs="Times New Roman" w:eastAsia="Times New Roman" w:hAnsi="Times New Roman"/>
                <w:sz w:val="12"/>
                <w:szCs w:val="12"/>
                <w:color w:val="auto"/>
              </w:rPr>
              <w:t>Inseego Corp.</w:t>
            </w:r>
          </w:p>
        </w:tc>
        <w:tc>
          <w:tcPr>
            <w:tcW w:w="86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189"/>
        </w:trPr>
        <w:tc>
          <w:tcPr>
            <w:tcW w:w="3900" w:type="dxa"/>
            <w:vAlign w:val="bottom"/>
          </w:tcPr>
          <w:p>
            <w:pPr>
              <w:spacing w:after="0"/>
              <w:rPr>
                <w:sz w:val="16"/>
                <w:szCs w:val="16"/>
                <w:color w:val="auto"/>
              </w:rPr>
            </w:pPr>
          </w:p>
        </w:tc>
        <w:tc>
          <w:tcPr>
            <w:tcW w:w="4040" w:type="dxa"/>
            <w:vAlign w:val="bottom"/>
            <w:gridSpan w:val="2"/>
          </w:tcPr>
          <w:p>
            <w:pPr>
              <w:ind w:left="2720"/>
              <w:spacing w:after="0"/>
              <w:rPr>
                <w:sz w:val="20"/>
                <w:szCs w:val="20"/>
                <w:color w:val="auto"/>
              </w:rPr>
            </w:pPr>
            <w:r>
              <w:rPr>
                <w:rFonts w:ascii="Times New Roman" w:cs="Times New Roman" w:eastAsia="Times New Roman" w:hAnsi="Times New Roman"/>
                <w:sz w:val="12"/>
                <w:szCs w:val="12"/>
                <w:color w:val="auto"/>
              </w:rPr>
              <w:t>By:</w:t>
            </w:r>
          </w:p>
        </w:tc>
        <w:tc>
          <w:tcPr>
            <w:tcW w:w="860" w:type="dxa"/>
            <w:vAlign w:val="bottom"/>
          </w:tcPr>
          <w:p>
            <w:pPr>
              <w:ind w:left="760"/>
              <w:spacing w:after="0"/>
              <w:rPr>
                <w:sz w:val="20"/>
                <w:szCs w:val="20"/>
                <w:color w:val="auto"/>
              </w:rPr>
            </w:pPr>
            <w:r>
              <w:rPr>
                <w:rFonts w:ascii="Times New Roman" w:cs="Times New Roman" w:eastAsia="Times New Roman" w:hAnsi="Times New Roman"/>
                <w:sz w:val="11"/>
                <w:szCs w:val="11"/>
                <w:color w:val="auto"/>
                <w:w w:val="76"/>
              </w:rPr>
              <w:t>/s/</w:t>
            </w:r>
          </w:p>
        </w:tc>
        <w:tc>
          <w:tcPr>
            <w:tcW w:w="2460" w:type="dxa"/>
            <w:vAlign w:val="bottom"/>
          </w:tcPr>
          <w:p>
            <w:pPr>
              <w:jc w:val="center"/>
              <w:ind w:right="1329"/>
              <w:spacing w:after="0"/>
              <w:rPr>
                <w:sz w:val="20"/>
                <w:szCs w:val="20"/>
                <w:color w:val="auto"/>
              </w:rPr>
            </w:pPr>
            <w:r>
              <w:rPr>
                <w:rFonts w:ascii="Times New Roman" w:cs="Times New Roman" w:eastAsia="Times New Roman" w:hAnsi="Times New Roman"/>
                <w:sz w:val="11"/>
                <w:szCs w:val="11"/>
                <w:color w:val="auto"/>
                <w:w w:val="98"/>
              </w:rPr>
              <w:t>ASHISH SHARMA</w:t>
            </w:r>
          </w:p>
        </w:tc>
      </w:tr>
      <w:tr>
        <w:trPr>
          <w:trHeight w:val="114"/>
        </w:trPr>
        <w:tc>
          <w:tcPr>
            <w:tcW w:w="39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460" w:type="dxa"/>
            <w:vAlign w:val="bottom"/>
            <w:tcBorders>
              <w:top w:val="single" w:sz="8" w:color="auto"/>
            </w:tcBorders>
          </w:tcPr>
          <w:p>
            <w:pPr>
              <w:jc w:val="center"/>
              <w:ind w:right="1549"/>
              <w:spacing w:after="0"/>
              <w:rPr>
                <w:sz w:val="20"/>
                <w:szCs w:val="20"/>
                <w:color w:val="auto"/>
              </w:rPr>
            </w:pPr>
            <w:r>
              <w:rPr>
                <w:rFonts w:ascii="Times New Roman" w:cs="Times New Roman" w:eastAsia="Times New Roman" w:hAnsi="Times New Roman"/>
                <w:sz w:val="10"/>
                <w:szCs w:val="10"/>
                <w:b w:val="1"/>
                <w:bCs w:val="1"/>
                <w:color w:val="auto"/>
                <w:w w:val="94"/>
              </w:rPr>
              <w:t>Ashish Sharma</w:t>
            </w:r>
          </w:p>
        </w:tc>
      </w:tr>
      <w:tr>
        <w:trPr>
          <w:trHeight w:val="128"/>
        </w:trPr>
        <w:tc>
          <w:tcPr>
            <w:tcW w:w="39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20" w:type="dxa"/>
            <w:vAlign w:val="bottom"/>
            <w:gridSpan w:val="2"/>
          </w:tcPr>
          <w:p>
            <w:pPr>
              <w:jc w:val="center"/>
              <w:ind w:right="669"/>
              <w:spacing w:after="0"/>
              <w:rPr>
                <w:sz w:val="20"/>
                <w:szCs w:val="20"/>
                <w:color w:val="auto"/>
              </w:rPr>
            </w:pPr>
            <w:r>
              <w:rPr>
                <w:rFonts w:ascii="Times New Roman" w:cs="Times New Roman" w:eastAsia="Times New Roman" w:hAnsi="Times New Roman"/>
                <w:sz w:val="10"/>
                <w:szCs w:val="10"/>
                <w:b w:val="1"/>
                <w:bCs w:val="1"/>
                <w:color w:val="auto"/>
                <w:w w:val="95"/>
              </w:rPr>
              <w:t>Chief Executive Officer</w:t>
            </w:r>
          </w:p>
        </w:tc>
      </w:tr>
      <w:tr>
        <w:trPr>
          <w:trHeight w:val="440"/>
        </w:trPr>
        <w:tc>
          <w:tcPr>
            <w:tcW w:w="3900" w:type="dxa"/>
            <w:vAlign w:val="bottom"/>
          </w:tcPr>
          <w:p>
            <w:pPr>
              <w:spacing w:after="0"/>
              <w:rPr>
                <w:sz w:val="24"/>
                <w:szCs w:val="24"/>
                <w:color w:val="auto"/>
              </w:rPr>
            </w:pPr>
          </w:p>
        </w:tc>
        <w:tc>
          <w:tcPr>
            <w:tcW w:w="4040" w:type="dxa"/>
            <w:vAlign w:val="bottom"/>
            <w:gridSpan w:val="2"/>
          </w:tcPr>
          <w:p>
            <w:pPr>
              <w:ind w:left="2720"/>
              <w:spacing w:after="0"/>
              <w:rPr>
                <w:sz w:val="20"/>
                <w:szCs w:val="20"/>
                <w:color w:val="auto"/>
              </w:rPr>
            </w:pPr>
            <w:r>
              <w:rPr>
                <w:rFonts w:ascii="Times New Roman" w:cs="Times New Roman" w:eastAsia="Times New Roman" w:hAnsi="Times New Roman"/>
                <w:sz w:val="12"/>
                <w:szCs w:val="12"/>
                <w:color w:val="auto"/>
              </w:rPr>
              <w:t>By:</w:t>
            </w:r>
          </w:p>
        </w:tc>
        <w:tc>
          <w:tcPr>
            <w:tcW w:w="86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/s/</w:t>
            </w:r>
          </w:p>
        </w:tc>
        <w:tc>
          <w:tcPr>
            <w:tcW w:w="2460" w:type="dxa"/>
            <w:vAlign w:val="bottom"/>
          </w:tcPr>
          <w:p>
            <w:pPr>
              <w:jc w:val="center"/>
              <w:ind w:right="1329"/>
              <w:spacing w:after="0"/>
              <w:rPr>
                <w:sz w:val="20"/>
                <w:szCs w:val="20"/>
                <w:color w:val="auto"/>
              </w:rPr>
            </w:pPr>
            <w:r>
              <w:rPr>
                <w:rFonts w:ascii="Times New Roman" w:cs="Times New Roman" w:eastAsia="Times New Roman" w:hAnsi="Times New Roman"/>
                <w:sz w:val="11"/>
                <w:szCs w:val="11"/>
                <w:color w:val="auto"/>
                <w:w w:val="97"/>
              </w:rPr>
              <w:t>ROBERT G. BARBIERI</w:t>
            </w:r>
          </w:p>
        </w:tc>
      </w:tr>
      <w:tr>
        <w:trPr>
          <w:trHeight w:val="114"/>
        </w:trPr>
        <w:tc>
          <w:tcPr>
            <w:tcW w:w="39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460" w:type="dxa"/>
            <w:vAlign w:val="bottom"/>
            <w:tcBorders>
              <w:top w:val="single" w:sz="8" w:color="auto"/>
            </w:tcBorders>
          </w:tcPr>
          <w:p>
            <w:pPr>
              <w:jc w:val="center"/>
              <w:ind w:right="1549"/>
              <w:spacing w:after="0"/>
              <w:rPr>
                <w:sz w:val="20"/>
                <w:szCs w:val="20"/>
                <w:color w:val="auto"/>
              </w:rPr>
            </w:pPr>
            <w:r>
              <w:rPr>
                <w:rFonts w:ascii="Times New Roman" w:cs="Times New Roman" w:eastAsia="Times New Roman" w:hAnsi="Times New Roman"/>
                <w:sz w:val="10"/>
                <w:szCs w:val="10"/>
                <w:b w:val="1"/>
                <w:bCs w:val="1"/>
                <w:color w:val="auto"/>
                <w:w w:val="95"/>
              </w:rPr>
              <w:t>Robert G. Barbieri</w:t>
            </w:r>
          </w:p>
        </w:tc>
      </w:tr>
      <w:tr>
        <w:trPr>
          <w:trHeight w:val="128"/>
        </w:trPr>
        <w:tc>
          <w:tcPr>
            <w:tcW w:w="39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20" w:type="dxa"/>
            <w:vAlign w:val="bottom"/>
            <w:gridSpan w:val="2"/>
          </w:tcPr>
          <w:p>
            <w:pPr>
              <w:jc w:val="center"/>
              <w:ind w:right="689"/>
              <w:spacing w:after="0"/>
              <w:rPr>
                <w:sz w:val="20"/>
                <w:szCs w:val="20"/>
                <w:color w:val="auto"/>
              </w:rPr>
            </w:pPr>
            <w:r>
              <w:rPr>
                <w:rFonts w:ascii="Times New Roman" w:cs="Times New Roman" w:eastAsia="Times New Roman" w:hAnsi="Times New Roman"/>
                <w:sz w:val="10"/>
                <w:szCs w:val="10"/>
                <w:b w:val="1"/>
                <w:bCs w:val="1"/>
                <w:color w:val="auto"/>
                <w:w w:val="95"/>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34</w:t>
      </w:r>
    </w:p>
    <w:p>
      <w:pPr>
        <w:sectPr>
          <w:pgSz w:w="11900" w:h="16838" w:orient="portrait"/>
          <w:cols w:equalWidth="0" w:num="1">
            <w:col w:w="11260"/>
          </w:cols>
          <w:pgMar w:left="300" w:top="638" w:right="339" w:bottom="1440"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7913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8275320</wp:posOffset>
            </wp:positionV>
            <wp:extent cx="7130415"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8269605</wp:posOffset>
            </wp:positionV>
            <wp:extent cx="7130415" cy="18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8274685</wp:posOffset>
            </wp:positionV>
            <wp:extent cx="7130415" cy="18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8268970</wp:posOffset>
            </wp:positionV>
            <wp:extent cx="7130415" cy="18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Rule 13a-14(a) adopted pursuant to Section 302 of the Sarbanes-Oxley Act of 2002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Ashish Sharma, certify that:</w:t>
      </w:r>
    </w:p>
    <w:p>
      <w:pPr>
        <w:spacing w:after="0" w:line="114" w:lineRule="exact"/>
        <w:rPr>
          <w:sz w:val="20"/>
          <w:szCs w:val="20"/>
          <w:color w:val="auto"/>
        </w:rPr>
      </w:pPr>
    </w:p>
    <w:p>
      <w:pPr>
        <w:ind w:left="440" w:hanging="124"/>
        <w:spacing w:after="0"/>
        <w:tabs>
          <w:tab w:leader="none" w:pos="4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Inseego Corp.;</w:t>
      </w:r>
    </w:p>
    <w:p>
      <w:pPr>
        <w:spacing w:after="0" w:line="114" w:lineRule="exact"/>
        <w:rPr>
          <w:rFonts w:ascii="Times New Roman" w:cs="Times New Roman" w:eastAsia="Times New Roman" w:hAnsi="Times New Roman"/>
          <w:sz w:val="12"/>
          <w:szCs w:val="12"/>
          <w:color w:val="auto"/>
        </w:rPr>
      </w:pPr>
    </w:p>
    <w:p>
      <w:pPr>
        <w:ind w:right="220" w:firstLine="316"/>
        <w:spacing w:after="0" w:line="279" w:lineRule="auto"/>
        <w:tabs>
          <w:tab w:leader="none" w:pos="44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2"/>
          <w:szCs w:val="12"/>
          <w:color w:val="auto"/>
        </w:rPr>
      </w:pPr>
    </w:p>
    <w:p>
      <w:pPr>
        <w:ind w:right="80" w:firstLine="316"/>
        <w:spacing w:after="0" w:line="279" w:lineRule="auto"/>
        <w:tabs>
          <w:tab w:leader="none" w:pos="44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Times New Roman" w:cs="Times New Roman" w:eastAsia="Times New Roman" w:hAnsi="Times New Roman"/>
          <w:sz w:val="12"/>
          <w:szCs w:val="12"/>
          <w:color w:val="auto"/>
        </w:rPr>
      </w:pPr>
    </w:p>
    <w:p>
      <w:pPr>
        <w:ind w:right="100" w:firstLine="316"/>
        <w:spacing w:after="0" w:line="279" w:lineRule="auto"/>
        <w:tabs>
          <w:tab w:leader="none" w:pos="44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Times New Roman" w:cs="Times New Roman" w:eastAsia="Times New Roman" w:hAnsi="Times New Roman"/>
          <w:sz w:val="12"/>
          <w:szCs w:val="12"/>
          <w:color w:val="auto"/>
        </w:rPr>
      </w:pPr>
    </w:p>
    <w:p>
      <w:pPr>
        <w:ind w:left="1060" w:right="20" w:hanging="160"/>
        <w:spacing w:after="0" w:line="236" w:lineRule="auto"/>
        <w:tabs>
          <w:tab w:leader="none" w:pos="1060"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Times New Roman" w:cs="Times New Roman" w:eastAsia="Times New Roman" w:hAnsi="Times New Roman"/>
          <w:sz w:val="12"/>
          <w:szCs w:val="12"/>
          <w:color w:val="auto"/>
        </w:rPr>
      </w:pPr>
    </w:p>
    <w:p>
      <w:pPr>
        <w:ind w:left="1060" w:right="240" w:hanging="167"/>
        <w:spacing w:after="0" w:line="236" w:lineRule="auto"/>
        <w:tabs>
          <w:tab w:leader="none" w:pos="1060"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Times New Roman" w:cs="Times New Roman" w:eastAsia="Times New Roman" w:hAnsi="Times New Roman"/>
          <w:sz w:val="12"/>
          <w:szCs w:val="12"/>
          <w:color w:val="auto"/>
        </w:rPr>
      </w:pPr>
    </w:p>
    <w:p>
      <w:pPr>
        <w:ind w:left="1060" w:right="140" w:hanging="160"/>
        <w:spacing w:after="0" w:line="236" w:lineRule="auto"/>
        <w:tabs>
          <w:tab w:leader="none" w:pos="1060"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2"/>
          <w:szCs w:val="12"/>
          <w:color w:val="auto"/>
        </w:rPr>
      </w:pPr>
    </w:p>
    <w:p>
      <w:pPr>
        <w:ind w:left="1060" w:right="200" w:hanging="167"/>
        <w:spacing w:after="0" w:line="236" w:lineRule="auto"/>
        <w:tabs>
          <w:tab w:leader="none" w:pos="1060"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Times New Roman" w:cs="Times New Roman" w:eastAsia="Times New Roman" w:hAnsi="Times New Roman"/>
          <w:sz w:val="12"/>
          <w:szCs w:val="12"/>
          <w:color w:val="auto"/>
        </w:rPr>
      </w:pPr>
    </w:p>
    <w:p>
      <w:pPr>
        <w:ind w:right="340" w:firstLine="316"/>
        <w:spacing w:after="0" w:line="279" w:lineRule="auto"/>
        <w:tabs>
          <w:tab w:leader="none" w:pos="44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Times New Roman" w:cs="Times New Roman" w:eastAsia="Times New Roman" w:hAnsi="Times New Roman"/>
          <w:sz w:val="12"/>
          <w:szCs w:val="12"/>
          <w:color w:val="auto"/>
        </w:rPr>
      </w:pPr>
    </w:p>
    <w:p>
      <w:pPr>
        <w:ind w:left="1060" w:right="160" w:hanging="160"/>
        <w:spacing w:after="0" w:line="236" w:lineRule="auto"/>
        <w:tabs>
          <w:tab w:leader="none" w:pos="1060"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2"/>
          <w:szCs w:val="12"/>
          <w:color w:val="auto"/>
        </w:rPr>
      </w:pPr>
    </w:p>
    <w:p>
      <w:pPr>
        <w:ind w:left="1060" w:hanging="167"/>
        <w:spacing w:after="0"/>
        <w:tabs>
          <w:tab w:leader="none" w:pos="1060"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3, 2022</w:t>
      </w:r>
    </w:p>
    <w:p>
      <w:pPr>
        <w:spacing w:after="0" w:line="159" w:lineRule="exact"/>
        <w:rPr>
          <w:sz w:val="20"/>
          <w:szCs w:val="20"/>
          <w:color w:val="auto"/>
        </w:rPr>
      </w:pPr>
    </w:p>
    <w:p>
      <w:pPr>
        <w:ind w:left="2960"/>
        <w:spacing w:after="0"/>
        <w:tabs>
          <w:tab w:leader="none" w:pos="3180" w:val="left"/>
        </w:tabs>
        <w:rPr>
          <w:sz w:val="20"/>
          <w:szCs w:val="20"/>
          <w:color w:val="auto"/>
        </w:rPr>
      </w:pPr>
      <w:r>
        <w:rPr>
          <w:rFonts w:ascii="Times New Roman" w:cs="Times New Roman" w:eastAsia="Times New Roman" w:hAnsi="Times New Roman"/>
          <w:sz w:val="12"/>
          <w:szCs w:val="12"/>
          <w:color w:val="auto"/>
        </w:rPr>
        <w:t>/s/</w:t>
      </w:r>
      <w:r>
        <w:rPr>
          <w:sz w:val="20"/>
          <w:szCs w:val="20"/>
          <w:color w:val="auto"/>
        </w:rPr>
        <w:tab/>
      </w:r>
      <w:r>
        <w:rPr>
          <w:rFonts w:ascii="Times New Roman" w:cs="Times New Roman" w:eastAsia="Times New Roman" w:hAnsi="Times New Roman"/>
          <w:sz w:val="11"/>
          <w:szCs w:val="11"/>
          <w:color w:val="auto"/>
        </w:rPr>
        <w:t>Ashish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22225</wp:posOffset>
            </wp:positionV>
            <wp:extent cx="341757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3417570" cy="5715"/>
                    </a:xfrm>
                    <a:prstGeom prst="rect">
                      <a:avLst/>
                    </a:prstGeom>
                    <a:noFill/>
                  </pic:spPr>
                </pic:pic>
              </a:graphicData>
            </a:graphic>
          </wp:anchor>
        </w:drawing>
      </w:r>
    </w:p>
    <w:p>
      <w:pPr>
        <w:spacing w:after="0" w:line="1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2"/>
          <w:szCs w:val="12"/>
          <w:b w:val="1"/>
          <w:bCs w:val="1"/>
          <w:color w:val="auto"/>
        </w:rPr>
        <w:t>Ashish Sharma</w:t>
      </w:r>
    </w:p>
    <w:p>
      <w:pPr>
        <w:spacing w:after="0" w:line="8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2"/>
          <w:szCs w:val="12"/>
          <w:i w:val="1"/>
          <w:iCs w:val="1"/>
          <w:color w:val="auto"/>
        </w:rPr>
        <w:t>Chief Executive Officer</w:t>
      </w:r>
    </w:p>
    <w:p>
      <w:pPr>
        <w:spacing w:after="0" w:line="1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ectPr>
          <w:pgSz w:w="11900" w:h="16838" w:orient="portrait"/>
          <w:cols w:equalWidth="0" w:num="1">
            <w:col w:w="11300"/>
          </w:cols>
          <w:pgMar w:left="300" w:top="665" w:right="29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FINANCIAL OFFICER</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Rule 13a-14(a) adopted pursuant to Section 302 of the Sarbanes-Oxley Act of 2002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Robert G. Barbieri, certify that:</w:t>
      </w:r>
    </w:p>
    <w:p>
      <w:pPr>
        <w:spacing w:after="0" w:line="114" w:lineRule="exact"/>
        <w:rPr>
          <w:sz w:val="20"/>
          <w:szCs w:val="20"/>
          <w:color w:val="auto"/>
        </w:rPr>
      </w:pPr>
    </w:p>
    <w:p>
      <w:pPr>
        <w:ind w:left="440" w:hanging="124"/>
        <w:spacing w:after="0"/>
        <w:tabs>
          <w:tab w:leader="none" w:pos="4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Inseego Corp.;</w:t>
      </w:r>
    </w:p>
    <w:p>
      <w:pPr>
        <w:spacing w:after="0" w:line="114" w:lineRule="exact"/>
        <w:rPr>
          <w:rFonts w:ascii="Times New Roman" w:cs="Times New Roman" w:eastAsia="Times New Roman" w:hAnsi="Times New Roman"/>
          <w:sz w:val="12"/>
          <w:szCs w:val="12"/>
          <w:color w:val="auto"/>
        </w:rPr>
      </w:pPr>
    </w:p>
    <w:p>
      <w:pPr>
        <w:ind w:right="220" w:firstLine="316"/>
        <w:spacing w:after="0" w:line="279" w:lineRule="auto"/>
        <w:tabs>
          <w:tab w:leader="none" w:pos="444"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2"/>
          <w:szCs w:val="12"/>
          <w:color w:val="auto"/>
        </w:rPr>
      </w:pPr>
    </w:p>
    <w:p>
      <w:pPr>
        <w:ind w:right="80" w:firstLine="316"/>
        <w:spacing w:after="0" w:line="279" w:lineRule="auto"/>
        <w:tabs>
          <w:tab w:leader="none" w:pos="444"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Times New Roman" w:cs="Times New Roman" w:eastAsia="Times New Roman" w:hAnsi="Times New Roman"/>
          <w:sz w:val="12"/>
          <w:szCs w:val="12"/>
          <w:color w:val="auto"/>
        </w:rPr>
      </w:pPr>
    </w:p>
    <w:p>
      <w:pPr>
        <w:ind w:right="100" w:firstLine="316"/>
        <w:spacing w:after="0" w:line="279" w:lineRule="auto"/>
        <w:tabs>
          <w:tab w:leader="none" w:pos="444"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Times New Roman" w:cs="Times New Roman" w:eastAsia="Times New Roman" w:hAnsi="Times New Roman"/>
          <w:sz w:val="12"/>
          <w:szCs w:val="12"/>
          <w:color w:val="auto"/>
        </w:rPr>
      </w:pPr>
    </w:p>
    <w:p>
      <w:pPr>
        <w:ind w:left="1060" w:right="20" w:hanging="160"/>
        <w:spacing w:after="0" w:line="236" w:lineRule="auto"/>
        <w:tabs>
          <w:tab w:leader="none" w:pos="106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Times New Roman" w:cs="Times New Roman" w:eastAsia="Times New Roman" w:hAnsi="Times New Roman"/>
          <w:sz w:val="12"/>
          <w:szCs w:val="12"/>
          <w:color w:val="auto"/>
        </w:rPr>
      </w:pPr>
    </w:p>
    <w:p>
      <w:pPr>
        <w:ind w:left="1060" w:right="240" w:hanging="167"/>
        <w:spacing w:after="0" w:line="236" w:lineRule="auto"/>
        <w:tabs>
          <w:tab w:leader="none" w:pos="106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Times New Roman" w:cs="Times New Roman" w:eastAsia="Times New Roman" w:hAnsi="Times New Roman"/>
          <w:sz w:val="12"/>
          <w:szCs w:val="12"/>
          <w:color w:val="auto"/>
        </w:rPr>
      </w:pPr>
    </w:p>
    <w:p>
      <w:pPr>
        <w:ind w:left="1060" w:right="140" w:hanging="160"/>
        <w:spacing w:after="0" w:line="236" w:lineRule="auto"/>
        <w:tabs>
          <w:tab w:leader="none" w:pos="106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2"/>
          <w:szCs w:val="12"/>
          <w:color w:val="auto"/>
        </w:rPr>
      </w:pPr>
    </w:p>
    <w:p>
      <w:pPr>
        <w:ind w:left="1060" w:right="200" w:hanging="167"/>
        <w:spacing w:after="0" w:line="236" w:lineRule="auto"/>
        <w:tabs>
          <w:tab w:leader="none" w:pos="106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Times New Roman" w:cs="Times New Roman" w:eastAsia="Times New Roman" w:hAnsi="Times New Roman"/>
          <w:sz w:val="12"/>
          <w:szCs w:val="12"/>
          <w:color w:val="auto"/>
        </w:rPr>
      </w:pPr>
    </w:p>
    <w:p>
      <w:pPr>
        <w:ind w:right="340" w:firstLine="316"/>
        <w:spacing w:after="0" w:line="279" w:lineRule="auto"/>
        <w:tabs>
          <w:tab w:leader="none" w:pos="444"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4" w:lineRule="exact"/>
        <w:rPr>
          <w:rFonts w:ascii="Times New Roman" w:cs="Times New Roman" w:eastAsia="Times New Roman" w:hAnsi="Times New Roman"/>
          <w:sz w:val="12"/>
          <w:szCs w:val="12"/>
          <w:color w:val="auto"/>
        </w:rPr>
      </w:pPr>
    </w:p>
    <w:p>
      <w:pPr>
        <w:ind w:left="1060" w:right="160" w:hanging="160"/>
        <w:spacing w:after="0" w:line="248" w:lineRule="auto"/>
        <w:tabs>
          <w:tab w:leader="none" w:pos="106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Times New Roman" w:cs="Times New Roman" w:eastAsia="Times New Roman" w:hAnsi="Times New Roman"/>
          <w:sz w:val="12"/>
          <w:szCs w:val="12"/>
          <w:color w:val="auto"/>
        </w:rPr>
      </w:pPr>
    </w:p>
    <w:p>
      <w:pPr>
        <w:ind w:left="1060" w:hanging="167"/>
        <w:spacing w:after="0"/>
        <w:tabs>
          <w:tab w:leader="none" w:pos="106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3, 2022</w:t>
      </w:r>
    </w:p>
    <w:p>
      <w:pPr>
        <w:spacing w:after="0" w:line="159" w:lineRule="exact"/>
        <w:rPr>
          <w:sz w:val="20"/>
          <w:szCs w:val="20"/>
          <w:color w:val="auto"/>
        </w:rPr>
      </w:pPr>
    </w:p>
    <w:p>
      <w:pPr>
        <w:ind w:left="2960"/>
        <w:spacing w:after="0"/>
        <w:tabs>
          <w:tab w:leader="none" w:pos="3180" w:val="left"/>
        </w:tabs>
        <w:rPr>
          <w:sz w:val="20"/>
          <w:szCs w:val="20"/>
          <w:color w:val="auto"/>
        </w:rPr>
      </w:pPr>
      <w:r>
        <w:rPr>
          <w:rFonts w:ascii="Times New Roman" w:cs="Times New Roman" w:eastAsia="Times New Roman" w:hAnsi="Times New Roman"/>
          <w:sz w:val="12"/>
          <w:szCs w:val="12"/>
          <w:color w:val="auto"/>
        </w:rPr>
        <w:t>/s/</w:t>
        <w:tab/>
        <w:t>Robert G.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22225</wp:posOffset>
            </wp:positionV>
            <wp:extent cx="341757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3417570" cy="5715"/>
                    </a:xfrm>
                    <a:prstGeom prst="rect">
                      <a:avLst/>
                    </a:prstGeom>
                    <a:noFill/>
                  </pic:spPr>
                </pic:pic>
              </a:graphicData>
            </a:graphic>
          </wp:anchor>
        </w:drawing>
      </w:r>
    </w:p>
    <w:p>
      <w:pPr>
        <w:spacing w:after="0" w:line="12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2"/>
          <w:szCs w:val="12"/>
          <w:b w:val="1"/>
          <w:bCs w:val="1"/>
          <w:color w:val="auto"/>
        </w:rPr>
        <w:t>Robert G. Barbieri</w:t>
      </w:r>
    </w:p>
    <w:p>
      <w:pPr>
        <w:spacing w:after="0" w:line="8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1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ectPr>
          <w:pgSz w:w="11900" w:h="16838" w:orient="portrait"/>
          <w:cols w:equalWidth="0" w:num="1">
            <w:col w:w="11300"/>
          </w:cols>
          <w:pgMar w:left="300" w:top="503" w:right="29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 SECTION 906</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SARBANES-OXLEY ACT OF 2002</w:t>
      </w:r>
    </w:p>
    <w:p>
      <w:pPr>
        <w:spacing w:after="0" w:line="136"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2"/>
          <w:szCs w:val="12"/>
          <w:color w:val="auto"/>
        </w:rPr>
        <w:t>I, Ashish Sharma, Chief Executive Officer of Inseego Corp. (the “Company”), do hereby certify, pursuant to 18 U.S.C. Section 1350, as adopted pursuant to Section 906 of the Sarbanes-Oxley Act of 2002, that to the best of my knowledge:</w:t>
      </w:r>
    </w:p>
    <w:p>
      <w:pPr>
        <w:spacing w:after="0" w:line="147" w:lineRule="exact"/>
        <w:rPr>
          <w:sz w:val="20"/>
          <w:szCs w:val="20"/>
          <w:color w:val="auto"/>
        </w:rPr>
      </w:pPr>
    </w:p>
    <w:p>
      <w:pPr>
        <w:ind w:left="1460" w:right="60" w:hanging="808"/>
        <w:spacing w:after="0" w:line="236" w:lineRule="auto"/>
        <w:tabs>
          <w:tab w:leader="none" w:pos="146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Quarterly Report on Form 10-Q of the Company for the quarter ended September 30, 2022 (the “Report”) fully complies with the requirements of Section 13(a) or 15(d) of the Securities Exchange Act of 1934, as amended; and</w:t>
      </w:r>
    </w:p>
    <w:p>
      <w:pPr>
        <w:spacing w:after="0" w:line="160" w:lineRule="exact"/>
        <w:rPr>
          <w:rFonts w:ascii="Times New Roman" w:cs="Times New Roman" w:eastAsia="Times New Roman" w:hAnsi="Times New Roman"/>
          <w:sz w:val="12"/>
          <w:szCs w:val="12"/>
          <w:color w:val="auto"/>
        </w:rPr>
      </w:pPr>
    </w:p>
    <w:p>
      <w:pPr>
        <w:ind w:left="1460" w:hanging="808"/>
        <w:spacing w:after="0"/>
        <w:tabs>
          <w:tab w:leader="none" w:pos="146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3, 2022</w:t>
      </w:r>
    </w:p>
    <w:p>
      <w:pPr>
        <w:spacing w:after="0" w:line="168" w:lineRule="exact"/>
        <w:rPr>
          <w:sz w:val="20"/>
          <w:szCs w:val="20"/>
          <w:color w:val="auto"/>
        </w:rPr>
      </w:pPr>
    </w:p>
    <w:p>
      <w:pPr>
        <w:ind w:left="3040"/>
        <w:spacing w:after="0"/>
        <w:tabs>
          <w:tab w:leader="none" w:pos="3260" w:val="left"/>
        </w:tabs>
        <w:rPr>
          <w:sz w:val="20"/>
          <w:szCs w:val="20"/>
          <w:color w:val="auto"/>
        </w:rPr>
      </w:pPr>
      <w:r>
        <w:rPr>
          <w:rFonts w:ascii="Times New Roman" w:cs="Times New Roman" w:eastAsia="Times New Roman" w:hAnsi="Times New Roman"/>
          <w:sz w:val="12"/>
          <w:szCs w:val="12"/>
          <w:color w:val="auto"/>
        </w:rPr>
        <w:t>/s/</w:t>
      </w:r>
      <w:r>
        <w:rPr>
          <w:sz w:val="20"/>
          <w:szCs w:val="20"/>
          <w:color w:val="auto"/>
        </w:rPr>
        <w:tab/>
      </w:r>
      <w:r>
        <w:rPr>
          <w:rFonts w:ascii="Times New Roman" w:cs="Times New Roman" w:eastAsia="Times New Roman" w:hAnsi="Times New Roman"/>
          <w:sz w:val="11"/>
          <w:szCs w:val="11"/>
          <w:color w:val="auto"/>
        </w:rPr>
        <w:t>Ashish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22225</wp:posOffset>
            </wp:positionV>
            <wp:extent cx="331470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3314700" cy="5715"/>
                    </a:xfrm>
                    <a:prstGeom prst="rect">
                      <a:avLst/>
                    </a:prstGeom>
                    <a:noFill/>
                  </pic:spPr>
                </pic:pic>
              </a:graphicData>
            </a:graphic>
          </wp:anchor>
        </w:drawing>
      </w:r>
    </w:p>
    <w:p>
      <w:pPr>
        <w:spacing w:after="0" w:line="1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2"/>
          <w:szCs w:val="12"/>
          <w:b w:val="1"/>
          <w:bCs w:val="1"/>
          <w:color w:val="auto"/>
        </w:rPr>
        <w:t>Ashish Sharma</w:t>
      </w:r>
    </w:p>
    <w:p>
      <w:pPr>
        <w:spacing w:after="0" w:line="5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2"/>
          <w:szCs w:val="12"/>
          <w:i w:val="1"/>
          <w:iCs w:val="1"/>
          <w:color w:val="auto"/>
        </w:rPr>
        <w:t>Chief Executive Officer</w:t>
      </w:r>
    </w:p>
    <w:p>
      <w:pPr>
        <w:spacing w:after="0" w:line="1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ectPr>
          <w:pgSz w:w="11900" w:h="16838" w:orient="portrait"/>
          <w:cols w:equalWidth="0" w:num="1">
            <w:col w:w="11300"/>
          </w:cols>
          <w:pgMar w:left="300" w:top="503" w:right="29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 SECTION 906</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SARBANES-OXLEY ACT OF 2002</w:t>
      </w:r>
    </w:p>
    <w:p>
      <w:pPr>
        <w:spacing w:after="0" w:line="172"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I, Robert G. Barbieri, Chief Financial Officer of Inseego Corp. (the “Company”), do hereby certify, pursuant to 18 U.S.C. Section 1350, as adopted pursuant to Section 906 of the Sarbanes-Oxley Act of 2002, that to the best of my knowledge:</w:t>
      </w:r>
    </w:p>
    <w:p>
      <w:pPr>
        <w:spacing w:after="0" w:line="147" w:lineRule="exact"/>
        <w:rPr>
          <w:sz w:val="20"/>
          <w:szCs w:val="20"/>
          <w:color w:val="auto"/>
        </w:rPr>
      </w:pPr>
    </w:p>
    <w:p>
      <w:pPr>
        <w:ind w:left="1300" w:right="80" w:hanging="810"/>
        <w:spacing w:after="0" w:line="236" w:lineRule="auto"/>
        <w:tabs>
          <w:tab w:leader="none" w:pos="13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Quarterly Report on Form 10-Q of the Company for the quarter ended September 30, 2022 (the “Report”) fully complies with the requirements of Section 13(a) or 15(d) of the Securities Exchange Act of 1934, as amended; and</w:t>
      </w:r>
    </w:p>
    <w:p>
      <w:pPr>
        <w:spacing w:after="0" w:line="160" w:lineRule="exact"/>
        <w:rPr>
          <w:rFonts w:ascii="Times New Roman" w:cs="Times New Roman" w:eastAsia="Times New Roman" w:hAnsi="Times New Roman"/>
          <w:sz w:val="12"/>
          <w:szCs w:val="12"/>
          <w:color w:val="auto"/>
        </w:rPr>
      </w:pPr>
    </w:p>
    <w:p>
      <w:pPr>
        <w:ind w:left="1300" w:hanging="810"/>
        <w:spacing w:after="0"/>
        <w:tabs>
          <w:tab w:leader="none" w:pos="13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3, 2022</w:t>
      </w:r>
    </w:p>
    <w:p>
      <w:pPr>
        <w:spacing w:after="0" w:line="168" w:lineRule="exact"/>
        <w:rPr>
          <w:sz w:val="20"/>
          <w:szCs w:val="20"/>
          <w:color w:val="auto"/>
        </w:rPr>
      </w:pPr>
    </w:p>
    <w:p>
      <w:pPr>
        <w:ind w:left="3040"/>
        <w:spacing w:after="0"/>
        <w:tabs>
          <w:tab w:leader="none" w:pos="3260" w:val="left"/>
        </w:tabs>
        <w:rPr>
          <w:sz w:val="20"/>
          <w:szCs w:val="20"/>
          <w:color w:val="auto"/>
        </w:rPr>
      </w:pPr>
      <w:r>
        <w:rPr>
          <w:rFonts w:ascii="Times New Roman" w:cs="Times New Roman" w:eastAsia="Times New Roman" w:hAnsi="Times New Roman"/>
          <w:sz w:val="12"/>
          <w:szCs w:val="12"/>
          <w:color w:val="auto"/>
        </w:rPr>
        <w:t>/s/</w:t>
        <w:tab/>
        <w:t>Robert G.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22225</wp:posOffset>
            </wp:positionV>
            <wp:extent cx="331470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3314700" cy="5715"/>
                    </a:xfrm>
                    <a:prstGeom prst="rect">
                      <a:avLst/>
                    </a:prstGeom>
                    <a:noFill/>
                  </pic:spPr>
                </pic:pic>
              </a:graphicData>
            </a:graphic>
          </wp:anchor>
        </w:drawing>
      </w:r>
    </w:p>
    <w:p>
      <w:pPr>
        <w:spacing w:after="0" w:line="12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2"/>
          <w:szCs w:val="12"/>
          <w:b w:val="1"/>
          <w:bCs w:val="1"/>
          <w:color w:val="auto"/>
        </w:rPr>
        <w:t>Robert G. Barbieri</w:t>
      </w:r>
    </w:p>
    <w:p>
      <w:pPr>
        <w:spacing w:after="0" w:line="5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1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sectPr>
      <w:pgSz w:w="11900" w:h="16838" w:orient="portrait"/>
      <w:cols w:equalWidth="0" w:num="1">
        <w:col w:w="11300"/>
      </w:cols>
      <w:pgMar w:left="300" w:top="34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44" Type="http://schemas.openxmlformats.org/officeDocument/2006/relationships/hyperlink" Target="http://www.sec.gov/Archives/edgar/data/1022652/000119312516763609/d261554dex31.htm" TargetMode="External"/><Relationship Id="rId45" Type="http://schemas.openxmlformats.org/officeDocument/2006/relationships/hyperlink" Target="http://www.sec.gov/Archives/edgar/data/1022652/000119312516763609/d261554dex32.htm" TargetMode="External"/><Relationship Id="rId46" Type="http://schemas.openxmlformats.org/officeDocument/2006/relationships/hyperlink" Target="http://www.sec.gov/Archives/edgar/data/1022652/000119312519219943/d792529dex31.htm" TargetMode="External"/><Relationship Id="rId47" Type="http://schemas.openxmlformats.org/officeDocument/2006/relationships/hyperlink" Target="http://www.sec.gov/Archives/edgar/data/1022652/000119312520067668/d824727dex31.htm" TargetMode="External"/><Relationship Id="rId48" Type="http://schemas.openxmlformats.org/officeDocument/2006/relationships/hyperlink" Target="https://www.sec.gov/Archives/edgar/data/1022652/000168316822005449/inseego_ex1001.htm" TargetMode="External"/><Relationship Id="rId49" Type="http://schemas.openxmlformats.org/officeDocument/2006/relationships/hyperlink" Target="https://www.sec.gov/Archives/edgar/data/1022652/000168316822005449/inseego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2022-11-03T12:17:43Z</dcterms:created>
  <dcterms:modified xsi:type="dcterms:W3CDTF">2022-11-03T12:17:43Z</dcterms:modified>
</cp:coreProperties>
</file>