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September 5,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INSEEGO CORP.</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tbl>
      <w:tblPr>
        <w:tblLayout w:type="fixed"/>
        <w:tblInd w:w="840" w:type="dxa"/>
        <w:tblCellMar>
          <w:top w:w="0" w:type="dxa"/>
          <w:left w:w="0" w:type="dxa"/>
          <w:bottom w:w="0" w:type="dxa"/>
          <w:right w:w="0" w:type="dxa"/>
        </w:tblCellMar>
      </w:tblPr>
      <w:tr>
        <w:trPr>
          <w:trHeight w:val="216"/>
        </w:trPr>
        <w:tc>
          <w:tcPr>
            <w:tcW w:w="2460" w:type="dxa"/>
            <w:vAlign w:val="bottom"/>
          </w:tcPr>
          <w:p>
            <w:pPr>
              <w:jc w:val="center"/>
              <w:ind w:right="330"/>
              <w:spacing w:after="0"/>
              <w:rPr>
                <w:sz w:val="20"/>
                <w:szCs w:val="20"/>
                <w:color w:val="auto"/>
              </w:rPr>
            </w:pPr>
            <w:r>
              <w:rPr>
                <w:rFonts w:ascii="Arial" w:cs="Arial" w:eastAsia="Arial" w:hAnsi="Arial"/>
                <w:sz w:val="18"/>
                <w:szCs w:val="18"/>
                <w:b w:val="1"/>
                <w:bCs w:val="1"/>
                <w:color w:val="auto"/>
                <w:w w:val="91"/>
              </w:rPr>
              <w:t>Delaware</w:t>
            </w:r>
          </w:p>
        </w:tc>
        <w:tc>
          <w:tcPr>
            <w:tcW w:w="482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001-38358</w:t>
            </w:r>
          </w:p>
        </w:tc>
        <w:tc>
          <w:tcPr>
            <w:tcW w:w="1980" w:type="dxa"/>
            <w:vAlign w:val="bottom"/>
          </w:tcPr>
          <w:p>
            <w:pPr>
              <w:jc w:val="center"/>
              <w:ind w:left="470"/>
              <w:spacing w:after="0"/>
              <w:rPr>
                <w:sz w:val="20"/>
                <w:szCs w:val="20"/>
                <w:color w:val="auto"/>
              </w:rPr>
            </w:pPr>
            <w:r>
              <w:rPr>
                <w:rFonts w:ascii="Arial" w:cs="Arial" w:eastAsia="Arial" w:hAnsi="Arial"/>
                <w:sz w:val="18"/>
                <w:szCs w:val="18"/>
                <w:b w:val="1"/>
                <w:bCs w:val="1"/>
                <w:color w:val="auto"/>
                <w:w w:val="89"/>
              </w:rPr>
              <w:t>81-3377646</w:t>
            </w:r>
          </w:p>
        </w:tc>
      </w:tr>
      <w:tr>
        <w:trPr>
          <w:trHeight w:val="216"/>
        </w:trPr>
        <w:tc>
          <w:tcPr>
            <w:tcW w:w="2460" w:type="dxa"/>
            <w:vAlign w:val="bottom"/>
          </w:tcPr>
          <w:p>
            <w:pPr>
              <w:jc w:val="center"/>
              <w:ind w:right="310"/>
              <w:spacing w:after="0"/>
              <w:rPr>
                <w:sz w:val="20"/>
                <w:szCs w:val="20"/>
                <w:color w:val="auto"/>
              </w:rPr>
            </w:pPr>
            <w:r>
              <w:rPr>
                <w:rFonts w:ascii="Arial" w:cs="Arial" w:eastAsia="Arial" w:hAnsi="Arial"/>
                <w:sz w:val="18"/>
                <w:szCs w:val="18"/>
                <w:b w:val="1"/>
                <w:bCs w:val="1"/>
                <w:color w:val="auto"/>
                <w:w w:val="91"/>
              </w:rPr>
              <w:t>(State or other jurisdiction</w:t>
            </w:r>
          </w:p>
        </w:tc>
        <w:tc>
          <w:tcPr>
            <w:tcW w:w="482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(Commission</w:t>
            </w:r>
          </w:p>
        </w:tc>
        <w:tc>
          <w:tcPr>
            <w:tcW w:w="1980" w:type="dxa"/>
            <w:vAlign w:val="bottom"/>
          </w:tcPr>
          <w:p>
            <w:pPr>
              <w:jc w:val="center"/>
              <w:ind w:left="470"/>
              <w:spacing w:after="0"/>
              <w:rPr>
                <w:sz w:val="20"/>
                <w:szCs w:val="20"/>
                <w:color w:val="auto"/>
              </w:rPr>
            </w:pPr>
            <w:r>
              <w:rPr>
                <w:rFonts w:ascii="Arial" w:cs="Arial" w:eastAsia="Arial" w:hAnsi="Arial"/>
                <w:sz w:val="18"/>
                <w:szCs w:val="18"/>
                <w:b w:val="1"/>
                <w:bCs w:val="1"/>
                <w:color w:val="auto"/>
                <w:w w:val="95"/>
              </w:rPr>
              <w:t>(IRS Employer</w:t>
            </w:r>
          </w:p>
        </w:tc>
      </w:tr>
      <w:tr>
        <w:trPr>
          <w:trHeight w:val="234"/>
        </w:trPr>
        <w:tc>
          <w:tcPr>
            <w:tcW w:w="2460" w:type="dxa"/>
            <w:vAlign w:val="bottom"/>
          </w:tcPr>
          <w:p>
            <w:pPr>
              <w:jc w:val="center"/>
              <w:ind w:right="330"/>
              <w:spacing w:after="0"/>
              <w:rPr>
                <w:sz w:val="20"/>
                <w:szCs w:val="20"/>
                <w:color w:val="auto"/>
              </w:rPr>
            </w:pPr>
            <w:r>
              <w:rPr>
                <w:rFonts w:ascii="Arial" w:cs="Arial" w:eastAsia="Arial" w:hAnsi="Arial"/>
                <w:sz w:val="18"/>
                <w:szCs w:val="18"/>
                <w:b w:val="1"/>
                <w:bCs w:val="1"/>
                <w:color w:val="auto"/>
                <w:w w:val="91"/>
              </w:rPr>
              <w:t>of incorporation)</w:t>
            </w:r>
          </w:p>
        </w:tc>
        <w:tc>
          <w:tcPr>
            <w:tcW w:w="482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file number)</w:t>
            </w:r>
          </w:p>
        </w:tc>
        <w:tc>
          <w:tcPr>
            <w:tcW w:w="1980" w:type="dxa"/>
            <w:vAlign w:val="bottom"/>
          </w:tcPr>
          <w:p>
            <w:pPr>
              <w:jc w:val="center"/>
              <w:ind w:left="470"/>
              <w:spacing w:after="0"/>
              <w:rPr>
                <w:sz w:val="20"/>
                <w:szCs w:val="20"/>
                <w:color w:val="auto"/>
              </w:rPr>
            </w:pPr>
            <w:r>
              <w:rPr>
                <w:rFonts w:ascii="Arial" w:cs="Arial" w:eastAsia="Arial" w:hAnsi="Arial"/>
                <w:sz w:val="18"/>
                <w:szCs w:val="18"/>
                <w:b w:val="1"/>
                <w:bCs w:val="1"/>
                <w:color w:val="auto"/>
                <w:w w:val="93"/>
              </w:rPr>
              <w:t>Identification No.)</w:t>
            </w:r>
          </w:p>
        </w:tc>
      </w:tr>
      <w:tr>
        <w:trPr>
          <w:trHeight w:val="414"/>
        </w:trPr>
        <w:tc>
          <w:tcPr>
            <w:tcW w:w="2460" w:type="dxa"/>
            <w:vAlign w:val="bottom"/>
          </w:tcPr>
          <w:p>
            <w:pPr>
              <w:spacing w:after="0"/>
              <w:rPr>
                <w:sz w:val="24"/>
                <w:szCs w:val="24"/>
                <w:color w:val="auto"/>
              </w:rPr>
            </w:pPr>
          </w:p>
        </w:tc>
        <w:tc>
          <w:tcPr>
            <w:tcW w:w="482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9710 Scranton Road, Suite 200</w:t>
            </w:r>
          </w:p>
        </w:tc>
        <w:tc>
          <w:tcPr>
            <w:tcW w:w="1980" w:type="dxa"/>
            <w:vAlign w:val="bottom"/>
          </w:tcPr>
          <w:p>
            <w:pPr>
              <w:spacing w:after="0"/>
              <w:rPr>
                <w:sz w:val="24"/>
                <w:szCs w:val="24"/>
                <w:color w:val="auto"/>
              </w:rPr>
            </w:pPr>
          </w:p>
        </w:tc>
      </w:tr>
      <w:tr>
        <w:trPr>
          <w:trHeight w:val="216"/>
        </w:trPr>
        <w:tc>
          <w:tcPr>
            <w:tcW w:w="2460" w:type="dxa"/>
            <w:vAlign w:val="bottom"/>
          </w:tcPr>
          <w:p>
            <w:pPr>
              <w:spacing w:after="0"/>
              <w:rPr>
                <w:sz w:val="18"/>
                <w:szCs w:val="18"/>
                <w:color w:val="auto"/>
              </w:rPr>
            </w:pPr>
          </w:p>
        </w:tc>
        <w:tc>
          <w:tcPr>
            <w:tcW w:w="482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San Diego, California 92121</w:t>
            </w:r>
          </w:p>
        </w:tc>
        <w:tc>
          <w:tcPr>
            <w:tcW w:w="1980" w:type="dxa"/>
            <w:vAlign w:val="bottom"/>
          </w:tcPr>
          <w:p>
            <w:pPr>
              <w:spacing w:after="0"/>
              <w:rPr>
                <w:sz w:val="18"/>
                <w:szCs w:val="18"/>
                <w:color w:val="auto"/>
              </w:rPr>
            </w:pPr>
          </w:p>
        </w:tc>
      </w:tr>
      <w:tr>
        <w:trPr>
          <w:trHeight w:val="234"/>
        </w:trPr>
        <w:tc>
          <w:tcPr>
            <w:tcW w:w="2460" w:type="dxa"/>
            <w:vAlign w:val="bottom"/>
          </w:tcPr>
          <w:p>
            <w:pPr>
              <w:spacing w:after="0"/>
              <w:rPr>
                <w:sz w:val="20"/>
                <w:szCs w:val="20"/>
                <w:color w:val="auto"/>
              </w:rPr>
            </w:pPr>
          </w:p>
        </w:tc>
        <w:tc>
          <w:tcPr>
            <w:tcW w:w="48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(Address of principal executive offices) (Zip Code)</w:t>
            </w:r>
          </w:p>
        </w:tc>
        <w:tc>
          <w:tcPr>
            <w:tcW w:w="198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(858) 812-3400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40" w:firstLine="8"/>
        <w:spacing w:after="0" w:line="498" w:lineRule="auto"/>
        <w:tabs>
          <w:tab w:leader="none" w:pos="459"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195"/>
        </w:trPr>
        <w:tc>
          <w:tcPr>
            <w:tcW w:w="4320" w:type="dxa"/>
            <w:vAlign w:val="bottom"/>
          </w:tcPr>
          <w:p>
            <w:pPr>
              <w:jc w:val="center"/>
              <w:spacing w:after="0" w:line="195" w:lineRule="exact"/>
              <w:rPr>
                <w:sz w:val="20"/>
                <w:szCs w:val="20"/>
                <w:color w:val="auto"/>
              </w:rPr>
            </w:pPr>
            <w:r>
              <w:rPr>
                <w:rFonts w:ascii="Arial" w:cs="Arial" w:eastAsia="Arial" w:hAnsi="Arial"/>
                <w:sz w:val="18"/>
                <w:szCs w:val="18"/>
                <w:color w:val="auto"/>
                <w:w w:val="89"/>
              </w:rPr>
              <w:t>Common Stock, par value $0.001 per share</w:t>
            </w:r>
          </w:p>
        </w:tc>
        <w:tc>
          <w:tcPr>
            <w:tcW w:w="2580" w:type="dxa"/>
            <w:vAlign w:val="bottom"/>
            <w:vMerge w:val="restart"/>
          </w:tcPr>
          <w:p>
            <w:pPr>
              <w:jc w:val="center"/>
              <w:spacing w:after="0"/>
              <w:rPr>
                <w:sz w:val="20"/>
                <w:szCs w:val="20"/>
                <w:color w:val="auto"/>
              </w:rPr>
            </w:pPr>
            <w:r>
              <w:rPr>
                <w:rFonts w:ascii="Arial" w:cs="Arial" w:eastAsia="Arial" w:hAnsi="Arial"/>
                <w:sz w:val="18"/>
                <w:szCs w:val="18"/>
                <w:color w:val="auto"/>
                <w:w w:val="95"/>
              </w:rPr>
              <w:t>INSG</w:t>
            </w:r>
          </w:p>
        </w:tc>
        <w:tc>
          <w:tcPr>
            <w:tcW w:w="4340" w:type="dxa"/>
            <w:vAlign w:val="bottom"/>
            <w:vMerge w:val="restart"/>
          </w:tcPr>
          <w:p>
            <w:pPr>
              <w:jc w:val="center"/>
              <w:spacing w:after="0"/>
              <w:rPr>
                <w:sz w:val="20"/>
                <w:szCs w:val="20"/>
                <w:color w:val="auto"/>
              </w:rPr>
            </w:pPr>
            <w:r>
              <w:rPr>
                <w:rFonts w:ascii="Arial" w:cs="Arial" w:eastAsia="Arial" w:hAnsi="Arial"/>
                <w:sz w:val="18"/>
                <w:szCs w:val="18"/>
                <w:color w:val="auto"/>
                <w:w w:val="90"/>
              </w:rPr>
              <w:t>Nasdaq Global Select Market</w:t>
            </w:r>
          </w:p>
        </w:tc>
        <w:tc>
          <w:tcPr>
            <w:tcW w:w="0" w:type="dxa"/>
            <w:vAlign w:val="bottom"/>
          </w:tcPr>
          <w:p>
            <w:pPr>
              <w:spacing w:after="0"/>
              <w:rPr>
                <w:sz w:val="1"/>
                <w:szCs w:val="1"/>
                <w:color w:val="auto"/>
              </w:rPr>
            </w:pPr>
          </w:p>
        </w:tc>
      </w:tr>
      <w:tr>
        <w:trPr>
          <w:trHeight w:val="122"/>
        </w:trPr>
        <w:tc>
          <w:tcPr>
            <w:tcW w:w="4320" w:type="dxa"/>
            <w:vAlign w:val="bottom"/>
            <w:vMerge w:val="restart"/>
          </w:tcPr>
          <w:p>
            <w:pPr>
              <w:jc w:val="center"/>
              <w:spacing w:after="0"/>
              <w:rPr>
                <w:sz w:val="20"/>
                <w:szCs w:val="20"/>
                <w:color w:val="auto"/>
              </w:rPr>
            </w:pPr>
            <w:r>
              <w:rPr>
                <w:rFonts w:ascii="Arial" w:cs="Arial" w:eastAsia="Arial" w:hAnsi="Arial"/>
                <w:sz w:val="18"/>
                <w:szCs w:val="18"/>
                <w:color w:val="auto"/>
                <w:w w:val="89"/>
              </w:rPr>
              <w:t>Preferred Stock Purchase Rights</w:t>
            </w:r>
          </w:p>
        </w:tc>
        <w:tc>
          <w:tcPr>
            <w:tcW w:w="2580" w:type="dxa"/>
            <w:vAlign w:val="bottom"/>
            <w:vMerge w:val="continue"/>
          </w:tcPr>
          <w:p>
            <w:pPr>
              <w:spacing w:after="0"/>
              <w:rPr>
                <w:sz w:val="10"/>
                <w:szCs w:val="10"/>
                <w:color w:val="auto"/>
              </w:rPr>
            </w:pPr>
          </w:p>
        </w:tc>
        <w:tc>
          <w:tcPr>
            <w:tcW w:w="4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320" w:type="dxa"/>
            <w:vAlign w:val="bottom"/>
            <w:vMerge w:val="continue"/>
          </w:tcPr>
          <w:p>
            <w:pPr>
              <w:spacing w:after="0"/>
              <w:rPr>
                <w:sz w:val="9"/>
                <w:szCs w:val="9"/>
                <w:color w:val="auto"/>
              </w:rPr>
            </w:pPr>
          </w:p>
        </w:tc>
        <w:tc>
          <w:tcPr>
            <w:tcW w:w="2580" w:type="dxa"/>
            <w:vAlign w:val="bottom"/>
          </w:tcPr>
          <w:p>
            <w:pPr>
              <w:spacing w:after="0"/>
              <w:rPr>
                <w:sz w:val="9"/>
                <w:szCs w:val="9"/>
                <w:color w:val="auto"/>
              </w:rPr>
            </w:pPr>
          </w:p>
        </w:tc>
        <w:tc>
          <w:tcPr>
            <w:tcW w:w="43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18"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93"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608330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1" w:name="page2"/>
    <w:bookmarkEnd w:id="1"/>
    <w:p>
      <w:pPr>
        <w:jc w:val="center"/>
        <w:ind w:right="-9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This Form 8-K/A (this “Amendment”) is being filed to amend the Form 8-K filed by Inseego Corp. (the “Company”) on September 8, 2023 (the “Original 8-K”). The Original 8-K was filed with the Securities and Exchange Commission to report the stockholder votes at the Company’s Annual Meeting of Stockholders held on September 5, 2023. The sole purpose of this Amendment is to disclose, in accordance with Item 5.07(d) of Form 8-K, the Board’s decision on the stockholder vote regarding the frequency of advisory votes on executive compensation. Except as set forth herein, no other modifications have been made to the Original 8-K.</w:t>
      </w:r>
    </w:p>
    <w:p>
      <w:pPr>
        <w:spacing w:after="0" w:line="184"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29" w:lineRule="exact"/>
        <w:rPr>
          <w:sz w:val="20"/>
          <w:szCs w:val="20"/>
          <w:color w:val="auto"/>
        </w:rPr>
      </w:pPr>
    </w:p>
    <w:p>
      <w:pPr>
        <w:ind w:right="40" w:firstLine="656"/>
        <w:spacing w:after="0" w:line="257" w:lineRule="auto"/>
        <w:tabs>
          <w:tab w:leader="none" w:pos="903" w:val="left"/>
        </w:tabs>
        <w:numPr>
          <w:ilvl w:val="0"/>
          <w:numId w:val="2"/>
        </w:numPr>
        <w:rPr>
          <w:rFonts w:ascii="Arial" w:cs="Arial" w:eastAsia="Arial" w:hAnsi="Arial"/>
          <w:sz w:val="18"/>
          <w:szCs w:val="18"/>
          <w:color w:val="auto"/>
        </w:rPr>
      </w:pPr>
      <w:r>
        <w:rPr>
          <w:rFonts w:ascii="Arial" w:cs="Arial" w:eastAsia="Arial" w:hAnsi="Arial"/>
          <w:sz w:val="18"/>
          <w:szCs w:val="18"/>
          <w:color w:val="auto"/>
        </w:rPr>
        <w:t>At the Annual Meeting, the Company’s stockholders voted on, among other matters, an advisory proposal concerning the frequency of future advisory votes on executive compensation (the “Say on Pay Vote”). As reported in the Original 8-K, the stockholders voted for an annual advisory vote on the frequency of future Say on Pay Votes (the “Frequency Vote”). On October 25, 2023, the Board of Directors of the Company determined, in light of the results of the Frequency Vote, that the Company will include a Say on Pay Vote in its annual meeting proxy materials every year until the next required Frequency Vote is held.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796" w:right="41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7200" w:type="dxa"/>
            <w:vAlign w:val="bottom"/>
            <w:gridSpan w:val="2"/>
          </w:tcPr>
          <w:p>
            <w:pPr>
              <w:ind w:left="2020"/>
              <w:spacing w:after="0"/>
              <w:rPr>
                <w:sz w:val="20"/>
                <w:szCs w:val="20"/>
                <w:color w:val="auto"/>
              </w:rPr>
            </w:pPr>
            <w:r>
              <w:rPr>
                <w:rFonts w:ascii="Arial" w:cs="Arial" w:eastAsia="Arial" w:hAnsi="Arial"/>
                <w:sz w:val="18"/>
                <w:szCs w:val="18"/>
                <w:b w:val="1"/>
                <w:bCs w:val="1"/>
                <w:color w:val="auto"/>
              </w:rPr>
              <w:t>INSEEGO CORP.</w:t>
            </w:r>
          </w:p>
        </w:tc>
      </w:tr>
      <w:tr>
        <w:trPr>
          <w:trHeight w:val="432"/>
        </w:trPr>
        <w:tc>
          <w:tcPr>
            <w:tcW w:w="3720" w:type="dxa"/>
            <w:vAlign w:val="bottom"/>
          </w:tcPr>
          <w:p>
            <w:pPr>
              <w:spacing w:after="0"/>
              <w:rPr>
                <w:sz w:val="20"/>
                <w:szCs w:val="20"/>
                <w:color w:val="auto"/>
              </w:rPr>
            </w:pPr>
            <w:r>
              <w:rPr>
                <w:rFonts w:ascii="Arial" w:cs="Arial" w:eastAsia="Arial" w:hAnsi="Arial"/>
                <w:sz w:val="18"/>
                <w:szCs w:val="18"/>
                <w:color w:val="auto"/>
              </w:rPr>
              <w:t>Date: October 30, 2023</w:t>
            </w:r>
          </w:p>
        </w:tc>
        <w:tc>
          <w:tcPr>
            <w:tcW w:w="2480" w:type="dxa"/>
            <w:vAlign w:val="bottom"/>
          </w:tcPr>
          <w:p>
            <w:pPr>
              <w:ind w:left="2020"/>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 Kurt E. Scheuerman</w:t>
            </w:r>
          </w:p>
        </w:tc>
      </w:tr>
      <w:tr>
        <w:trPr>
          <w:trHeight w:val="195"/>
        </w:trPr>
        <w:tc>
          <w:tcPr>
            <w:tcW w:w="37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4720" w:type="dxa"/>
            <w:vAlign w:val="bottom"/>
          </w:tcPr>
          <w:p>
            <w:pPr>
              <w:ind w:left="180"/>
              <w:spacing w:after="0" w:line="195" w:lineRule="exact"/>
              <w:rPr>
                <w:sz w:val="20"/>
                <w:szCs w:val="20"/>
                <w:color w:val="auto"/>
              </w:rPr>
            </w:pPr>
            <w:r>
              <w:rPr>
                <w:rFonts w:ascii="Arial" w:cs="Arial" w:eastAsia="Arial" w:hAnsi="Arial"/>
                <w:sz w:val="18"/>
                <w:szCs w:val="18"/>
                <w:color w:val="auto"/>
              </w:rPr>
              <w:t>Name: Kurt E. Scheuerman</w:t>
            </w:r>
          </w:p>
        </w:tc>
      </w:tr>
      <w:tr>
        <w:trPr>
          <w:trHeight w:val="230"/>
        </w:trPr>
        <w:tc>
          <w:tcPr>
            <w:tcW w:w="37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4720" w:type="dxa"/>
            <w:vAlign w:val="bottom"/>
          </w:tcPr>
          <w:p>
            <w:pPr>
              <w:ind w:left="180"/>
              <w:spacing w:after="0"/>
              <w:rPr>
                <w:sz w:val="20"/>
                <w:szCs w:val="20"/>
                <w:color w:val="auto"/>
              </w:rPr>
            </w:pPr>
            <w:r>
              <w:rPr>
                <w:rFonts w:ascii="Arial" w:cs="Arial" w:eastAsia="Arial" w:hAnsi="Arial"/>
                <w:sz w:val="18"/>
                <w:szCs w:val="18"/>
                <w:color w:val="auto"/>
              </w:rPr>
              <w:t>Title: Chief Administrative Officer &amp;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00"/>
      </w:cols>
      <w:pgMar w:left="320" w:top="79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2023-10-30T15:36:26Z</dcterms:created>
  <dcterms:modified xsi:type="dcterms:W3CDTF">2023-10-30T15:36:26Z</dcterms:modified>
</cp:coreProperties>
</file>