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140" w:right="2440" w:hanging="4132"/>
        <w:spacing w:after="0" w:line="438"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2010</w:t>
      </w:r>
    </w:p>
    <w:p>
      <w:pPr>
        <w:ind w:left="56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1" w:lineRule="exact"/>
        <w:rPr>
          <w:sz w:val="24"/>
          <w:szCs w:val="24"/>
          <w:color w:val="auto"/>
        </w:rPr>
      </w:pPr>
    </w:p>
    <w:p>
      <w:pPr>
        <w:ind w:left="3980"/>
        <w:spacing w:after="0"/>
        <w:tabs>
          <w:tab w:leader="none" w:pos="6660" w:val="left"/>
          <w:tab w:leader="none" w:pos="73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435" w:right="299" w:bottom="1440" w:gutter="0" w:footer="0" w:header="0"/>
        </w:sectPr>
      </w:pP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26" w:lineRule="exact"/>
        <w:rPr>
          <w:sz w:val="24"/>
          <w:szCs w:val="24"/>
          <w:color w:val="auto"/>
        </w:rPr>
      </w:pPr>
    </w:p>
    <w:p>
      <w:pPr>
        <w:sectPr>
          <w:pgSz w:w="11900" w:h="16838" w:orient="portrait"/>
          <w:cols w:equalWidth="0" w:num="4">
            <w:col w:w="2160" w:space="720"/>
            <w:col w:w="2140" w:space="720"/>
            <w:col w:w="2240" w:space="720"/>
            <w:col w:w="2660"/>
          </w:cols>
          <w:pgMar w:left="240" w:top="435"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060"/>
          </w:cols>
          <w:pgMar w:left="240" w:top="435" w:right="29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registrant’s common stock outstanding as of August 5, 2010 was 31,613,773.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35" w:right="299" w:bottom="1440" w:gutter="0" w:footer="0" w:header="0"/>
          <w:type w:val="continuous"/>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and emerging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assimilate any business, products, technologies or personnel that we may acquire in the future.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2009.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“Novatel Wireless”, the Novatel Wireless logo, “MiFi”, “MiFi Intelligent Mobile Hotspot”, “MobiLink”, “Ovation”, “Expedite”, “MiFi.Freedom.My Way”, “Conversa”, “TotalMobileInternet”, “NovaSpeed”, “NovaCore” , and “NovaDrive”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tcPr>
          <w:p>
            <w:pPr>
              <w:jc w:val="center"/>
              <w:ind w:left="1612"/>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tcPr>
          <w:p>
            <w:pPr>
              <w:jc w:val="center"/>
              <w:ind w:left="1612"/>
              <w:spacing w:after="0"/>
              <w:rPr>
                <w:sz w:val="20"/>
                <w:szCs w:val="20"/>
                <w:color w:val="auto"/>
              </w:rPr>
            </w:pPr>
            <w:r>
              <w:rPr>
                <w:rFonts w:ascii="Arial" w:cs="Arial" w:eastAsia="Arial" w:hAnsi="Arial"/>
                <w:sz w:val="18"/>
                <w:szCs w:val="18"/>
                <w:b w:val="1"/>
                <w:bCs w:val="1"/>
                <w:color w:val="auto"/>
                <w:w w:val="96"/>
              </w:rPr>
              <w:t>NOVATEL WIRELESS, INC.</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540" w:type="dxa"/>
            <w:vAlign w:val="bottom"/>
          </w:tcPr>
          <w:p>
            <w:pPr>
              <w:jc w:val="center"/>
              <w:ind w:left="1612"/>
              <w:spacing w:after="0"/>
              <w:rPr>
                <w:sz w:val="20"/>
                <w:szCs w:val="20"/>
                <w:color w:val="auto"/>
              </w:rPr>
            </w:pPr>
            <w:r>
              <w:rPr>
                <w:rFonts w:ascii="Arial" w:cs="Arial" w:eastAsia="Arial" w:hAnsi="Arial"/>
                <w:sz w:val="18"/>
                <w:szCs w:val="18"/>
                <w:b w:val="1"/>
                <w:bCs w:val="1"/>
                <w:color w:val="auto"/>
                <w:w w:val="96"/>
              </w:rPr>
              <w:t>CONSOLIDATED BALANCE SHEETS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tcPr>
          <w:p>
            <w:pPr>
              <w:jc w:val="center"/>
              <w:ind w:left="1612"/>
              <w:spacing w:after="0"/>
              <w:rPr>
                <w:sz w:val="20"/>
                <w:szCs w:val="20"/>
                <w:color w:val="auto"/>
              </w:rPr>
            </w:pPr>
            <w:r>
              <w:rPr>
                <w:rFonts w:ascii="Arial" w:cs="Arial" w:eastAsia="Arial" w:hAnsi="Arial"/>
                <w:sz w:val="18"/>
                <w:szCs w:val="18"/>
                <w:b w:val="1"/>
                <w:bCs w:val="1"/>
                <w:color w:val="auto"/>
                <w:w w:val="86"/>
              </w:rPr>
              <w:t>(in thousands, except per share data)</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4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188,890</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w w:val="92"/>
              </w:rPr>
              <w:t>Accounts receivable, net of allowance for doubtful accounts of $213 at June 30, 2010 and $741 at December 31, 2009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45,379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271,187</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200,164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Property and equipment, net of accumulated depreciation of $45,056 at June 30, 2010 and $40,279 at December 31, 2009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$2,890 at June 30, 2010 and $2,441 at December 31, 2009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vMerge w:val="restart"/>
          </w:tcPr>
          <w:p>
            <w:pPr>
              <w:ind w:left="70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289,735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277,394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4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bridge loan facility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39,171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vMerge w:val="restart"/>
          </w:tcPr>
          <w:p>
            <w:pPr>
              <w:ind w:left="2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86,376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long-term</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14,868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101,355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66,239</w:t>
            </w:r>
          </w:p>
        </w:tc>
        <w:tc>
          <w:tcPr>
            <w:tcW w:w="0" w:type="dxa"/>
            <w:vAlign w:val="bottom"/>
          </w:tcPr>
          <w:p>
            <w:pPr>
              <w:spacing w:after="0"/>
              <w:rPr>
                <w:sz w:val="1"/>
                <w:szCs w:val="1"/>
                <w:color w:val="auto"/>
              </w:rPr>
            </w:pPr>
          </w:p>
        </w:tc>
      </w:tr>
      <w:tr>
        <w:trPr>
          <w:trHeight w:val="222"/>
        </w:trPr>
        <w:tc>
          <w:tcPr>
            <w:tcW w:w="91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w w:val="88"/>
              </w:rPr>
              <w:t>Common stock, par value $0.001; 50,000 shares authorized, 31,612 and 31,092 shares issued and outstanding at June 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tcPr>
          <w:p>
            <w:pPr>
              <w:ind w:left="60"/>
              <w:spacing w:after="0"/>
              <w:rPr>
                <w:sz w:val="20"/>
                <w:szCs w:val="20"/>
                <w:color w:val="auto"/>
              </w:rPr>
            </w:pPr>
            <w:r>
              <w:rPr>
                <w:rFonts w:ascii="Arial" w:cs="Arial" w:eastAsia="Arial" w:hAnsi="Arial"/>
                <w:sz w:val="18"/>
                <w:szCs w:val="18"/>
                <w:color w:val="auto"/>
              </w:rPr>
              <w:t>2010 and December 31, 2009, respectively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420,023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(206,675)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(180,470)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213,380</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236,155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2,436 common shares at June 30, 2010 and December 31, 2009, respectively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vMerge w:val="restart"/>
          </w:tcPr>
          <w:p>
            <w:pPr>
              <w:ind w:left="70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188,380</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211,155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289,735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71,823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84,100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144,062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154,493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58,231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65,544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112,701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119,881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34,612</w:t>
            </w: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11,095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21,606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income,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(11,859)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(22,816)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(26,205)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(0.84)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 average shares used in computation of basic and diluted net loss per share:</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31,439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31,439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30,531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880"/>
              <w:spacing w:after="0"/>
              <w:rPr>
                <w:sz w:val="20"/>
                <w:szCs w:val="20"/>
                <w:color w:val="auto"/>
              </w:rPr>
            </w:pPr>
            <w:r>
              <w:rPr>
                <w:rFonts w:ascii="Arial" w:cs="Arial" w:eastAsia="Arial" w:hAnsi="Arial"/>
                <w:sz w:val="18"/>
                <w:szCs w:val="18"/>
                <w:color w:val="auto"/>
              </w:rPr>
              <w:t>Accrued interest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Impairment loss on equipment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880"/>
              <w:spacing w:after="0"/>
              <w:rPr>
                <w:sz w:val="20"/>
                <w:szCs w:val="20"/>
                <w:color w:val="auto"/>
              </w:rPr>
            </w:pPr>
            <w:r>
              <w:rPr>
                <w:rFonts w:ascii="Arial" w:cs="Arial" w:eastAsia="Arial" w:hAnsi="Arial"/>
                <w:sz w:val="18"/>
                <w:szCs w:val="18"/>
                <w:color w:val="auto"/>
              </w:rPr>
              <w:t>Provision for bad debts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Inventory provision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7980" w:type="dxa"/>
            <w:vAlign w:val="bottom"/>
          </w:tcPr>
          <w:p>
            <w:pPr>
              <w:ind w:left="880"/>
              <w:spacing w:after="0"/>
              <w:rPr>
                <w:sz w:val="20"/>
                <w:szCs w:val="20"/>
                <w:color w:val="auto"/>
              </w:rPr>
            </w:pPr>
            <w:r>
              <w:rPr>
                <w:rFonts w:ascii="Arial" w:cs="Arial" w:eastAsia="Arial" w:hAnsi="Arial"/>
                <w:sz w:val="18"/>
                <w:szCs w:val="18"/>
                <w:color w:val="auto"/>
              </w:rPr>
              <w:t>Share-based compensation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Excess tax benefits from equity based compensation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980" w:type="dxa"/>
            <w:vAlign w:val="bottom"/>
          </w:tcPr>
          <w:p>
            <w:pPr>
              <w:ind w:left="880"/>
              <w:spacing w:after="0"/>
              <w:rPr>
                <w:sz w:val="20"/>
                <w:szCs w:val="20"/>
                <w:color w:val="auto"/>
              </w:rPr>
            </w:pPr>
            <w:r>
              <w:rPr>
                <w:rFonts w:ascii="Arial" w:cs="Arial" w:eastAsia="Arial" w:hAnsi="Arial"/>
                <w:sz w:val="18"/>
                <w:szCs w:val="18"/>
                <w:color w:val="auto"/>
              </w:rPr>
              <w:t>Deferred income tax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assets and liabilities: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300"/>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(18,907)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Inventories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6"/>
        </w:trPr>
        <w:tc>
          <w:tcPr>
            <w:tcW w:w="7980" w:type="dxa"/>
            <w:vAlign w:val="bottom"/>
          </w:tcPr>
          <w:p>
            <w:pPr>
              <w:ind w:left="1300"/>
              <w:spacing w:after="0"/>
              <w:rPr>
                <w:sz w:val="20"/>
                <w:szCs w:val="20"/>
                <w:color w:val="auto"/>
              </w:rPr>
            </w:pPr>
            <w:r>
              <w:rPr>
                <w:rFonts w:ascii="Arial" w:cs="Arial" w:eastAsia="Arial" w:hAnsi="Arial"/>
                <w:sz w:val="18"/>
                <w:szCs w:val="18"/>
                <w:color w:val="auto"/>
              </w:rPr>
              <w:t>Prepaid expenses and other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23"/>
        </w:trPr>
        <w:tc>
          <w:tcPr>
            <w:tcW w:w="7980" w:type="dxa"/>
            <w:vAlign w:val="bottom"/>
          </w:tcPr>
          <w:p>
            <w:pPr>
              <w:ind w:left="1300"/>
              <w:spacing w:after="0"/>
              <w:rPr>
                <w:sz w:val="20"/>
                <w:szCs w:val="20"/>
                <w:color w:val="auto"/>
              </w:rPr>
            </w:pPr>
            <w:r>
              <w:rPr>
                <w:rFonts w:ascii="Arial" w:cs="Arial" w:eastAsia="Arial" w:hAnsi="Arial"/>
                <w:sz w:val="18"/>
                <w:szCs w:val="18"/>
                <w:color w:val="auto"/>
              </w:rPr>
              <w:t>Accrued expenses, income taxes, and other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property and equipment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Purchases of intangible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(39,840)</w:t>
            </w:r>
          </w:p>
        </w:tc>
        <w:tc>
          <w:tcPr>
            <w:tcW w:w="0" w:type="dxa"/>
            <w:vAlign w:val="bottom"/>
          </w:tcPr>
          <w:p>
            <w:pPr>
              <w:spacing w:after="0"/>
              <w:rPr>
                <w:sz w:val="1"/>
                <w:szCs w:val="1"/>
                <w:color w:val="auto"/>
              </w:rPr>
            </w:pPr>
          </w:p>
        </w:tc>
      </w:tr>
      <w:tr>
        <w:trPr>
          <w:trHeight w:val="223"/>
        </w:trPr>
        <w:tc>
          <w:tcPr>
            <w:tcW w:w="7980" w:type="dxa"/>
            <w:vAlign w:val="bottom"/>
          </w:tcPr>
          <w:p>
            <w:pPr>
              <w:ind w:left="440"/>
              <w:spacing w:after="0"/>
              <w:rPr>
                <w:sz w:val="20"/>
                <w:szCs w:val="20"/>
                <w:color w:val="auto"/>
              </w:rPr>
            </w:pPr>
            <w:r>
              <w:rPr>
                <w:rFonts w:ascii="Arial" w:cs="Arial" w:eastAsia="Arial" w:hAnsi="Arial"/>
                <w:sz w:val="18"/>
                <w:szCs w:val="18"/>
                <w:color w:val="auto"/>
              </w:rPr>
              <w:t>Securities maturities/sales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153,371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investing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Principal payments under capital lease obligations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stock option exercises net of taxes paid on vested restricted stock units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Excess tax benefits from equity based compensation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 of restricted funds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(188,890)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740"/>
              <w:spacing w:after="0"/>
              <w:rPr>
                <w:sz w:val="20"/>
                <w:szCs w:val="20"/>
                <w:color w:val="auto"/>
              </w:rPr>
            </w:pPr>
            <w:r>
              <w:rPr>
                <w:rFonts w:ascii="Arial" w:cs="Arial" w:eastAsia="Arial" w:hAnsi="Arial"/>
                <w:sz w:val="18"/>
                <w:szCs w:val="18"/>
                <w:color w:val="auto"/>
              </w:rPr>
              <w:t>Net cash (used in) provided by financing activities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(160,892)</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740"/>
              <w:spacing w:after="0"/>
              <w:rPr>
                <w:sz w:val="20"/>
                <w:szCs w:val="20"/>
                <w:color w:val="auto"/>
              </w:rPr>
            </w:pPr>
            <w:r>
              <w:rPr>
                <w:rFonts w:ascii="Arial" w:cs="Arial" w:eastAsia="Arial" w:hAnsi="Arial"/>
                <w:sz w:val="18"/>
                <w:szCs w:val="18"/>
                <w:color w:val="auto"/>
              </w:rPr>
              <w:t>Net (decrease) increase in cash and cash equivalents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(84,804)</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100,025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15,221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87,635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Cash paid during the year for: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98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tcPr>
          <w:p>
            <w:pPr>
              <w:ind w:left="880"/>
              <w:spacing w:after="0"/>
              <w:rPr>
                <w:sz w:val="20"/>
                <w:szCs w:val="20"/>
                <w:color w:val="auto"/>
              </w:rPr>
            </w:pPr>
            <w:r>
              <w:rPr>
                <w:rFonts w:ascii="Arial" w:cs="Arial" w:eastAsia="Arial" w:hAnsi="Arial"/>
                <w:sz w:val="18"/>
                <w:szCs w:val="18"/>
                <w:color w:val="auto"/>
              </w:rPr>
              <w:t>Accrued debt issuance costs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2010 and the results of the Company’s operations for the three and six months ended June 30, 2010 and June 30, 2009 are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from which they were derived and notes thereto included in the Company’s Annual Report on Form 10-K for the year ended December 31, 2009. The accounting policies used in preparing these consolidated financial statements are the same as those described in the Company’s Annual Report on Form 10-K with the exception of the accounting policy concerning restricted cash, which has been updated as described below, and any accounting pronouncements adopted in 2010. The results of operations for the interim periods presented are not necessarily indicative of results to be expected for any other interim period or for the year as a whole.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royalty costs, provision for warranty costs, income taxes and share-based compensation expense.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April 2010, the Financial Accounting Standards Board (“FASB”) issued Accounting Standards Update (“ASU”) 2010-17, “Revenue Recognition — Milestone Method”, which provides guidance on when it may be appropriate to apply the milestone method of revenue recognition for research or development transactions. Under the milestone method of revenue recognition, a vendor can recognize consideration that is contingent upon achievement of a milestone as revenue in the period in which the milestone is achieved only if the milestone meets all criteria that is considered to be substantive. Accordingly, this ASU provides guidance on the definition of a milestone and determining whether a milestone is substantive. This accounting guidance is effective for interim and annual periods ending after June 15, 2010. The Company is currently evaluating the impact of adopting this accounting guidance.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Company classifies amounts as restricted cash when the funds are not available for the Company’s general use. In its determination as to whether amounts should be classified as restricted cash, the Company considers restrictions on the use of its funds resulting from any applicable legal or contractual arrangement.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the second quarter of 2010, the Company reclassified the deferred tax asset arising from its liability for uncertain tax positions against the balance of its liability for its uncertain tax positions. This reclassification was applied to the Company’s Consolidated Balance Sheets as of June 30, 2010 and December 31, 2009 and amounted to $6.0 million and $5.1 million, respectively. This reclassification did not impact our net loss or total stockholders’ equity.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 w:name="page7"/>
    <w:bookmarkEnd w:id="6"/>
    <w:p>
      <w:pPr>
        <w:ind w:left="460" w:right="9620" w:hanging="452"/>
        <w:spacing w:after="0" w:line="417" w:lineRule="auto"/>
        <w:tabs>
          <w:tab w:leader="none" w:pos="17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5"/>
          <w:szCs w:val="15"/>
          <w:i w:val="1"/>
          <w:iCs w:val="1"/>
          <w:color w:val="auto"/>
        </w:rPr>
        <w:t>Restricted Cash</w:t>
      </w:r>
    </w:p>
    <w:p>
      <w:pPr>
        <w:spacing w:after="0" w:line="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As of June 30, 2010, the Company classified $189 million as restricted cash in the Company’s Consolidated Balance Sheet. The restrictions on these funds were the result of the terms of the Company’s bridge loan entered into in connection with the Company’s bid to purchase certain assets of Cinterion Wireless Modules (“Cinterion”). On July 1, 2010, as a result of the full repayment of its bridge loan, all related restrictions on the Company’s cash balances were removed. As of June 30, 2010, all restricted cash consisted of Euro-denominated cash. For more information, see Note 4 to the Consolidated Financial Statements.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restricted cash at December 31, 2009.</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connection with funding and escrow requirements related to the Company’s bid to purchase certain assets of Cinterion, the Company liquidated its marketable securities holdings during the second quarter of 2010. As a result, the Company realized losses of $74,000, or $47,000 net of taxes.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Company’s portfolio of available-for-sale securities by contractual maturity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8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2"/>
                <w:szCs w:val="12"/>
                <w:color w:val="auto"/>
              </w:rPr>
            </w:pPr>
          </w:p>
        </w:tc>
        <w:tc>
          <w:tcPr>
            <w:tcW w:w="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900" w:type="dxa"/>
            <w:vAlign w:val="bottom"/>
            <w:gridSpan w:val="4"/>
          </w:tcPr>
          <w:p>
            <w:pPr>
              <w:spacing w:after="0"/>
              <w:rPr>
                <w:sz w:val="20"/>
                <w:szCs w:val="20"/>
                <w:color w:val="auto"/>
              </w:rPr>
            </w:pPr>
            <w:r>
              <w:rPr>
                <w:rFonts w:ascii="Arial" w:cs="Arial" w:eastAsia="Arial" w:hAnsi="Arial"/>
                <w:sz w:val="14"/>
                <w:szCs w:val="14"/>
                <w:b w:val="1"/>
                <w:bCs w:val="1"/>
                <w:color w:val="auto"/>
              </w:rPr>
              <w:t>December 31, 2009</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Cost</w:t>
            </w:r>
          </w:p>
        </w:tc>
        <w:tc>
          <w:tcPr>
            <w:tcW w:w="320" w:type="dxa"/>
            <w:vAlign w:val="bottom"/>
          </w:tcPr>
          <w:p>
            <w:pPr>
              <w:spacing w:after="0"/>
              <w:rPr>
                <w:sz w:val="14"/>
                <w:szCs w:val="14"/>
                <w:color w:val="auto"/>
              </w:rPr>
            </w:pPr>
          </w:p>
        </w:tc>
        <w:tc>
          <w:tcPr>
            <w:tcW w:w="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78"/>
              </w:rPr>
              <w:t>Losses</w:t>
            </w:r>
          </w:p>
        </w:tc>
        <w:tc>
          <w:tcPr>
            <w:tcW w:w="36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center"/>
              <w:ind w:left="35"/>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14,755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35"/>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27,626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27,664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48,369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48,355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75,995</w:t>
            </w: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76,019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3"/>
            <w:vMerge w:val="restart"/>
          </w:tcPr>
          <w:p>
            <w:pPr>
              <w:ind w:left="440"/>
              <w:spacing w:after="0"/>
              <w:rPr>
                <w:sz w:val="20"/>
                <w:szCs w:val="20"/>
                <w:color w:val="auto"/>
              </w:rPr>
            </w:pPr>
            <w:r>
              <w:rPr>
                <w:rFonts w:ascii="Arial" w:cs="Arial" w:eastAsia="Arial" w:hAnsi="Arial"/>
                <w:sz w:val="18"/>
                <w:szCs w:val="18"/>
                <w:i w:val="1"/>
                <w:iCs w:val="1"/>
                <w:color w:val="auto"/>
              </w:rPr>
              <w:t>Inventories</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688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880" w:type="dxa"/>
            <w:vAlign w:val="bottom"/>
            <w:gridSpan w:val="3"/>
          </w:tcPr>
          <w:p>
            <w:pPr>
              <w:ind w:left="440"/>
              <w:spacing w:after="0"/>
              <w:rPr>
                <w:sz w:val="20"/>
                <w:szCs w:val="20"/>
                <w:color w:val="auto"/>
              </w:rPr>
            </w:pPr>
            <w:r>
              <w:rPr>
                <w:rFonts w:ascii="Arial" w:cs="Arial" w:eastAsia="Arial" w:hAnsi="Arial"/>
                <w:sz w:val="18"/>
                <w:szCs w:val="18"/>
                <w:color w:val="auto"/>
              </w:rPr>
              <w:t>Inventories consist of the following (in thousands):</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492"/>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24,845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Raw materials and components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24,973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June 30, 2010, the Company’s raw material balance consisted primarily of certain production materials in transit to, or held on a consignment basis at, the Company’s contract manufacturers.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8,229</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2,411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r>
      <w:tr>
        <w:trPr>
          <w:trHeight w:val="222"/>
        </w:trPr>
        <w:tc>
          <w:tcPr>
            <w:tcW w:w="8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19,045</w:t>
            </w:r>
          </w:p>
        </w:tc>
        <w:tc>
          <w:tcPr>
            <w:tcW w:w="5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23,236</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Company’s cooperative advertising arrangements consist primarily of marketing development funds and allowances for price protection. These costs were primarily incurred to support the Company’s MiFi product. The Company apportions these costs between a reduction in net revenues and sales and marketing expense in the Consolidated Statements of Operations. The following table summarizes costs incurred in conjunction with these advertising arrangements and their classification within the Consolidated Statements of Operations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ind w:left="3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2,989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4"/>
              </w:rPr>
              <w:t>1,883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460"/>
              <w:spacing w:after="0"/>
              <w:rPr>
                <w:sz w:val="20"/>
                <w:szCs w:val="20"/>
                <w:color w:val="auto"/>
              </w:rPr>
            </w:pPr>
            <w:r>
              <w:rPr>
                <w:rFonts w:ascii="Arial" w:cs="Arial" w:eastAsia="Arial" w:hAnsi="Arial"/>
                <w:sz w:val="18"/>
                <w:szCs w:val="18"/>
                <w:i w:val="1"/>
                <w:iCs w:val="1"/>
                <w:color w:val="auto"/>
              </w:rPr>
              <w:t>Accrued Warranty Obligations</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6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2"/>
          </w:tcPr>
          <w:p>
            <w:pPr>
              <w:ind w:left="460"/>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0"/>
              </w:rPr>
              <w:t>Three Months Ended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June 30,</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at beginning of period</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ind w:left="460"/>
              <w:spacing w:after="0"/>
              <w:rPr>
                <w:sz w:val="20"/>
                <w:szCs w:val="20"/>
                <w:color w:val="auto"/>
              </w:rPr>
            </w:pPr>
            <w:r>
              <w:rPr>
                <w:rFonts w:ascii="Arial" w:cs="Arial" w:eastAsia="Arial" w:hAnsi="Arial"/>
                <w:sz w:val="18"/>
                <w:szCs w:val="18"/>
                <w:color w:val="auto"/>
              </w:rPr>
              <w:t>Warranty liability at end of period</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2,467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2,467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revenues in the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first quarter of 2010, the Company implemented an exchange program that provided Canadian MiFi 2372 customers with a new battery and redesigned battery door that is easier to open. During the first quarter of 2010, the Company accrued $450,000 for the estimated costs of this program. During the second quarter of 2010, the Company incurred approximately $213,000 in connection with logistical activities and material costs of the program, and no additional costs were accrued in connection with the exchange program. As of June 30, 2010, the Company estimates that the remaining costs associated with the program were $237,000. All costs of the exchange program were charged to cost of revenues in the Consolidated Statement of Operations and included as a component of accrued warranty on the Consolidated Balance Sheet. The Company expects to complete the exchange program by August 31,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MiFi 2352 and MiFi 2200, which are sold primarily in the European and in United States markets, respectively, are not included in the exchange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Company’s fair value measurements relate to its cash equivalents and foreign exchange forward contracts, which are classified pursuant to authoritative guidance for fair value measurements. The Company places its cash equivalents in instruments that meet credit quality standards, specified in its investment policy guidelines. These guidelines also limit the amount of credit exposure to any one issue, issuer or type of instrument.</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Company’s cash equivalents consist of its investment in money market securities. The Company values its investments in money market securities based on quoted market prices in active markets (level 1 of the fair value hierarchy). From time to time, the Company may utilize foreign exchange forward contracts. These contracts are valued using pricing models that take into account the currency rates as of the balance sheet date (level 2 of the fair value hierarchy).</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June 30, 2010, the Company did not have any financial instruments without observable market values that would require a high level of judgment to determine fair value (level 3 of the fair value hierarchy).</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June 30, 2010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June 30, 2010</w:t>
            </w:r>
          </w:p>
        </w:tc>
        <w:tc>
          <w:tcPr>
            <w:tcW w:w="1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Level 2</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8,328</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30"/>
        </w:trPr>
        <w:tc>
          <w:tcPr>
            <w:tcW w:w="906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short-term financial assets: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Foreign exchange forward contracts</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390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8,328</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$ 390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utilizes foreign exchange forward contracts to hedge the Company’s Euro-denominated cash and accounts receivable balances.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2010, the total amount of outstanding foreign exchange forward contracts amounted to €4.5 million ($5.5 million using the exchange rate of $1.22 /</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 as of June 30, 2010). As of June 30, 2010 and December 31, 2009, the Company recorded an unrealized gain of $390,000 and $30,000, respectively, on 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outstanding foreign exchange forward contracts.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three and six months ended June 30, 2010, the Company recorded foreign currency gains on its Euro-denominated foreign exchange forward contracts of approximately $180,000 and $336,000, respectively. During the same periods in 2009, the Company recorded losses on its foreign exchange forward contracts of approximately $310,000 and gains of approximately $304,000, respectively.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foreign exchange forward contact activity described above, during the second quarter of 2010 the Company paid $1.2 million to enter into several Euro-denominated put options to hedge the foreign currency risk associated with its cash holdings in Euros related to the Cinterion bid process. These put options expired unexercised on June 25, 2010.</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three and six months ended June 30, 2010, the Company recorded gains on foreign currency denominated transactions of approximately $2.3 million and $2.7 million, respectively. The gains during the three and six months ended June 30, 2010 primarily relate to a $2.9 million foreign currency gain realized on the liquidation of the Company’s cash holdings in Euros at the conclusion of the insolvency proceeding for the sale of Cinterion. During the same periods in 2009, the Company recorded gains on its foreign currency denominated transactions of approximately $383,000 and losses of approximately $318,000, respectively.</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recorded gains and losses (including the $1.2 million in expense for premiums paid on Euro-denominated put options) on foreign exchange transactions are recorded in other income (expense), net, within the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Merger and Acquisition Activities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June 2010, the Company submitted a bid to purchase certain assets of Cinterion, a company in the cellular machine-to-machine communications industry, in connection with an insolvency proceeding. The Company was not the successful bidder.</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accordance with bidding procedures, the Company deposited into escrow an amount in Euros equal to its bid price using cash and cash equivalents, proceeds from the sale of marketable securities, and borrowings under a $30 million bridge loan facility. The Company engaged in hedging transactions to address foreign currency risk at a cost of $1.2 million, which amount was recorded in other income (expense), net, in the Consolidated Statement of Operations.</w:t>
      </w:r>
    </w:p>
    <w:p>
      <w:pPr>
        <w:spacing w:after="0" w:line="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connection with its bid, the Company borrowed $30 million under a bridge loan facility. This amount, net of $2.2 million in lender fees, was recorded as a short-term liability on the Company’s Consolidated Balance Sheet. Pursuant to authoritative accounting guidance, lender fees are recorded as a discount to amounts outstanding under the facility and amortized over the term of the facility which was scheduled to mature on September 8, 2010. The Company incurred $660,000 in professional fees attributable to the bridge facility, which were capitalized and recorded in prepaid and other assets in the Consolidated Balance Sheet and amortized over the term of the facility. The Company also recognized $687,000 in interest expense related to this facility, which primarily consisted of amortization of lender and professional fees.</w:t>
      </w:r>
    </w:p>
    <w:p>
      <w:pPr>
        <w:spacing w:after="0" w:line="14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recorded a foreign currency gain of $2.9 million, which was recorded in other income (expense), net, in connection with the conversion of its Euro-denominated escrow funds into U.S. dollars following completion of the auction. In July 2010, the Company repaid all amounts outstanding under the bridge loan facility and expensed all unamortized debt issuance costs.</w:t>
      </w:r>
    </w:p>
    <w:p>
      <w:pPr>
        <w:spacing w:after="0" w:line="1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connection with its bid, the Company incurred $2.0 million in legal, advisory and professional fees unrelated to the bridge loan facility, which were recorded as accrued expenses in the Consolidated Balance Sheet and classified as general and administrative expenses in the Consolidated Statement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included the following amounts for share-based compensation awards in the accompanying unaudited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six months ended June 30, 2010 and 2009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2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3,143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54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details the geographic concentration of the Company’s assets in the United States, Canada, Europe and Asia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$284,594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Canada</w:t>
            </w:r>
          </w:p>
        </w:tc>
        <w:tc>
          <w:tcPr>
            <w:tcW w:w="4920" w:type="dxa"/>
            <w:vAlign w:val="bottom"/>
            <w:gridSpan w:val="3"/>
          </w:tcPr>
          <w:p>
            <w:pPr>
              <w:jc w:val="right"/>
              <w:ind w:right="420"/>
              <w:spacing w:after="0"/>
              <w:rPr>
                <w:sz w:val="20"/>
                <w:szCs w:val="20"/>
                <w:color w:val="auto"/>
              </w:rPr>
            </w:pPr>
            <w:r>
              <w:rPr>
                <w:rFonts w:ascii="Arial" w:cs="Arial" w:eastAsia="Arial" w:hAnsi="Arial"/>
                <w:sz w:val="18"/>
                <w:szCs w:val="18"/>
                <w:color w:val="auto"/>
              </w:rPr>
              <w:t>3,888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Asia</w:t>
            </w:r>
          </w:p>
        </w:tc>
        <w:tc>
          <w:tcPr>
            <w:tcW w:w="38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289,735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concentration of the Company’s net revenues by geographic region: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4"/>
              </w:rPr>
              <w:t>Three months ended</w:t>
            </w: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Six months ended</w:t>
            </w:r>
          </w:p>
        </w:tc>
      </w:tr>
      <w:tr>
        <w:trPr>
          <w:trHeight w:val="161"/>
        </w:trPr>
        <w:tc>
          <w:tcPr>
            <w:tcW w:w="79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96.0%</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93.6%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980" w:type="dxa"/>
            <w:vAlign w:val="bottom"/>
            <w:gridSpan w:val="2"/>
          </w:tcPr>
          <w:p>
            <w:pPr>
              <w:jc w:val="right"/>
              <w:ind w:right="472"/>
              <w:spacing w:after="0"/>
              <w:rPr>
                <w:sz w:val="20"/>
                <w:szCs w:val="20"/>
                <w:color w:val="auto"/>
              </w:rPr>
            </w:pPr>
            <w:r>
              <w:rPr>
                <w:rFonts w:ascii="Arial" w:cs="Arial" w:eastAsia="Arial" w:hAnsi="Arial"/>
                <w:sz w:val="18"/>
                <w:szCs w:val="18"/>
                <w:color w:val="auto"/>
              </w:rPr>
              <w:t>4.7</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0.3</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7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7920" w:type="dxa"/>
            <w:vAlign w:val="bottom"/>
          </w:tcPr>
          <w:p>
            <w:pPr>
              <w:spacing w:after="0"/>
              <w:rPr>
                <w:sz w:val="19"/>
                <w:szCs w:val="19"/>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94"/>
              </w:rPr>
              <w:t>100.0%</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100.0%</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7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June 30, 2010, sales to our two largest customers accounted for 62.2% and 20.9% of net revenues, respectively. In the same periods in 2009, sales to our two largest customers accounted for 37.8% and 33.0% of net revenues. For the six months ended June 30, 2010, sales to our two largest customers accounted for 59.1% and 12.9% of net revenues, respectively. In the same periods in 2009, sales to our two largest customers accounted for 43.7% and 25.5% of net revenues.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customer accounted for more than ten percent of total net revenues in the three and six months ended June 30, 2010 and 2009.</w:t>
      </w:r>
    </w:p>
    <w:p>
      <w:pPr>
        <w:spacing w:after="0" w:line="17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Company outsources its manufacturing to two third-party contract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6"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warrants,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jc w:val="both"/>
        <w:ind w:right="42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and six months ended June 30, 2010, basic and diluted weighted average common shares outstanding were 31,438,514 and 31,312,416, respectively. During these same periods, weighted-average options, RSUs, and unissued ESPP shares to acquire a total of 4,898,809 and 4,337,627 shares of common stock, respectively, were outstanding but not included in the computation of diluted earnings per share as their effect was anti-dilutive.</w:t>
      </w:r>
    </w:p>
    <w:p>
      <w:pPr>
        <w:spacing w:after="0" w:line="88"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For the three and six months ended June 30, 2009, basic and diluted weighted average common shares outstanding were 30,531,462 and 30,459,835, respectively. During these same periods, warrants, weighted-average options, RSUs, and unissued ESPP shares to acquire a total of 5,560,455, and 5,061,512 shares of common stock, respectively, were outstanding but not included in the computation of diluted earnings per share as their effect was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Losses on Firm Purchase Commitments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quarter ended June 30, 2009, a customer cancelled several purchase orders. As a result, the Company recorded $2.1 million in cancellation costs, consisting of cancellation fees and the cost of components that the Company was obligated to purchase from its contract manufacturer, and recognized that amount in cost of revenues in the three months ended June 30, 2009. During the three months ended September 30, 2009, the cancellation liability was reduced to $1.6 million through negotiations with the customer. In the fourth quarter of 2009, the customer agreed to purchase from the Company approximately $969,000 in non-cancellable components related to this matter. The Company collected this balance in full during the first quarter of 2010.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customer cancelled a significant purchase order during the six months ended June 30, 2010.</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Backe v. Novatel Wireless, Inc., et al. ,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the defendants filed a petition for permission to appeal that order to the U.S. Court of Appeals for the Ninth Circuit. A ruling on the defendants’ petition is forthcoming, and the parties are currently engaged in discovery. Discovery in this case is ongoing. The Company intends to defend this litigation vigorously. Due to the preliminary nature of this litigation, the Company is unable to estimate a range of exposure associated with this litigation.</w:t>
      </w:r>
    </w:p>
    <w:p>
      <w:pPr>
        <w:spacing w:after="0" w:line="12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however it is anticipated the plaintiffs will seek to recover attorney fees. The Company expects the costs of any such attorney fees will be covered by the Company’s insurance policies. The parties are currently engaged in confirmatory discovery related to the contemplated settlement.</w:t>
      </w:r>
    </w:p>
    <w:p>
      <w:pPr>
        <w:spacing w:after="0" w:line="12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July 6, 2009, SPH America, LLC filed suit in the United States District Court for the Eastern District of Virginia against the Company and numerous other defendants, including original equipment manufacturers of laptops and manufacturers of wireless modems, alleging, among other things, that the defendants’ manufacture, sale and/or use of certain wireless modems infringes various U.S. patents to which plaintiff purportedly has exclusive licensing rights. On October 9, 2009, the court granted defendants’ motion to transfer the lawsuit to the U.S. District Court for the Southern District of California. Due to the preliminary nature of this action, the Company is unable to estimate a range of exposure associated with this litigation.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7, 2009, WIAV Networks, LLC filed suit in the United States District Court for the Eastern District of Texas against the Company and numerous other defendants, including original equipment manufacturers of laptops and manufacturers of wireless modems, alleging, among other things, that the defendants’ manufacture, sale and/or use of certain wireless modems infringes various U.S. patents which plaintiff purportedly owns. Due to the preliminary nature of this action, the Company is unable to estimate a range of exposure associated with this litigation.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January 16, 2009, Datascape, Inc. filed a putative patent infringement lawsuit in the United States District Court for the Northern District of Georgia against Company customer, Sprint Spectrum, L.P. and affiliates (“Sprint”)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Due to the preliminary nature of this matter, the Company is unable to estimate the range of exposure associated with this matter.</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18, 2009, MSTG, Inc. filed a putative patent infringement lawsuit in the United States District Court for the Northern District of Illinois, Eastern Division, against several wireless operators and wireless device providers, including one of the Company’s customers, Sprint Spectrum, L.P., as defendants. The complaint alleges generally that the defendants have engaged in the manufacture, use, importation, sale and/or offer for sale of products, services and technology employing inventions that constitute infringement of U.S. Patent Nos. 5,920,551, 6,198,936 and 6,438,113, which the plaintiff allegedly owns. The plaintiff is seeking an award of damages adequate to compensate MSTG for any infringement (together with pre-judgment interest); an award of all remedies available under 35 U.S.C. Sections 284 and 285; and a permanent injunction prohibiting further infringement and additional relief as may be awarded. The Company had been evaluating this matter to determine the nature and extent of any obligation to indemnify and/or defend its customer in this lawsuit. In April 2010, the customer notified the Company that it has determined that the Company does not currently have indemnification and defense obligations in this matter. Notwithstanding the foregoing, the customer has recently indicated its desire to re-examine whether and the extent to which the Company might continue to have indemnification and defense obligations.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July 8, 2009, Celltrace, LLC. filed a putative patent infringement lawsuit in the United States District Court for the Eastern District of Texas, Tyler Division, against several wireless operators, including Company customers, Sprint, Sprint Spectrum L.P. and Cellco Partnership d/b/a Verizon Wireless, as defendants. The complaint alleges generally that the defendants have engaged in making, using, selling, offering for sale and/or leasing certain products, services and systems in Texas that constitute infringement of U.S. Patent Nos. 6,011,976 and 7,551,933, which the plaintiff allegedly owns. The complaint also alleges that each defendant sells and/or offers for sale cellular telephone services which communicate with the defendants’ cellular network that constitute infringement of the patents allegedly owned by the plaintiff. The plaintiff is seeking a reasonable royalty for the acts of infringement, adjudication of infringement, damages and costs related thereto, attorneys’ fees and costs and additional relief as may be awarded. The Company is currently evaluating this matter to determine the nature and extent of any obligation to indemnify and/or defend its customers in this lawsuit. Due to the preliminary nature of this action, the Company is unable to estimate the range of exposure associated with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(22,816)</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0"/>
              </w:rPr>
              <w:t>$ (800)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 (26,205)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12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7"/>
        </w:trPr>
        <w:tc>
          <w:tcPr>
            <w:tcW w:w="6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(22,816)</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(752)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(26,205)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(3,248)</w:t>
            </w:r>
          </w:p>
        </w:tc>
      </w:tr>
      <w:tr>
        <w:trPr>
          <w:trHeight w:val="20"/>
        </w:trPr>
        <w:tc>
          <w:tcPr>
            <w:tcW w:w="6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assessing whether a valuation allowance is required, significant weight is to be given to evidence that can be objectively verified. A significant factor in the Company’s assessment is the possibility that the Company may be in a three-year historical cumulative loss as of the end of the fourth quarter of 2010, as the comparatively high profitable quarters in fiscal 2007 are removed from the rolling three-year calculation. This fact, combined with uncertain near-term market and economic conditions, reduced the Company’s ability to rely on projections of future taxable income in assessing the realizability of its deferred tax assets.</w:t>
      </w:r>
    </w:p>
    <w:p>
      <w:pPr>
        <w:spacing w:after="0" w:line="9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After a review of the four sources of taxable income as of June 30, 2010 (as described above), and after considering the possibility of being in a three year cumulative loss position at the end of 2010, the Company recognized an increase in the valuation allowance related to its U.S.-based deferred tax amounts, with a corresponding charge to income tax expense, of $15.5 million during the quarter ended June 30, 2010. After this increase and the reclassification described in Note 1 and further below, the Company’s valuation allowance was $19.4 million on gross deferred tax assets of $22.5 million. The net unreserved portion of the Company’s remaining deferred tax assets at June 30, 2010 primarily related to research and development tax credits associated with the Company’s Canadian subsidiary.</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three and six months ended June 30, 2010, the Company recorded income tax expense, including discrete items, of $15.6 million and $14.3 million, respectively. These amounts vary from the tax provision that would be computed at the U.S statutory rate during the same periods primarily due to the increase in the Company’s valuation allowances discussed above. For the six months ended June 30, 2010, the Company recorded a $1.3 million tax benefit related to 2010 net operating loss carrybacks estimated to benefit income taxes paid in prior taxable years.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2007, the Company adopted the authoritative accounting guidance regarding accounting for uncertainty in income taxes. Under this authoritative accounting guidance, the Company’s gross liability for unrecognized tax benefits, as of June 30, 2010 was $20.9 million. The Company has reduced this amount by $6.0 million on its June 30, 2010 balance sheet to reflect the potential benefit of related future deductible amounts should the liability become realized. Such tax benefits were previously recorded in the Company’s deferred tax assets. Consistent with this change in presentation, the Company reclassified $5.1 million in related tax benefits against the unrecognized tax benefit liability in its December 31, 2009 balance sheet.</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June 30, 2010, the Company had recorded $1.8 million of accrued interest related to uncertain tax positions in its Consolidated Balance Sheet. For the three and six months ended June 30, 2010, the Company recognized $127,000 and $253,000, respectively, of interest expense related to uncertain tax positions in the Consolidated Statements of Operations.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income federal tax examinations for the 1996 through 2009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59"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Background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Which May Influence Future Results of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and Acquisition Activities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2009 contained in our Annual Report on Form 10-K for the year ended December 31,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current products principally includes third generation, or 3G, intelligent mobile hotspots, communications and applications software, USB modems, and ExpressCard modems. Through the integration of our hardware and software, our products are designed to operate on a majority of the world’s wireless networks and provide mobile subscribers with secure and convenient high speed access to corporate, public and personal information through the Internet and enterprise networks.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strong customer relationships provide us with the opportunity to expand our market reach and sales. Most of our sales to wireless operators and original equipment manufacturers (“OEMs”) are sold directly through our sales force. To a lesser degree, we also use an indirect sales distribution model through the use of select distributors. We continue to be focused on driving the widespread adoption of our products through increased global marketing activities, expansion of our sales team and distribution networks and continued leverage of our strategic relationships with wireless industry leaders.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to identify and respond to our customers’ needs by introducing new product designs for 3G and 4G next generation networks,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As a result of weak economic conditions globally, we have experienced lower demand for our products, which has adversely impacted our results of operations. While general economic conditions have shown some recent improvement, market competition remains intense. As a result of this competitive pressure, demand for our products may continue to contract, which could materially adversely affect our results of operations and financial condition.</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5" w:name="page16"/>
    <w:bookmarkEnd w:id="15"/>
    <w:p>
      <w:pPr>
        <w:ind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Europe, North America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competition from other wireless data modem suppliers as well as suppliers of emerging devices that contain a wireless data access feature;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EV-DO and High Speed Packet Access (“HSPA”) products;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3G and 4G products. We continue to develop and maintain strategic relationships with wireless and computing industry leaders like Dell, QUALCOMM, Sprint PCS, Verizon Wireless, Telefonica, Virgin Mobile, Vodafone, Bell, Rogers, and major software vendors.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revenues. Cost of revenues also includes warranty costs, amortization of intangible licenses,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result of the general improvement in market conditions in 2010, we anticipate that increases in consumer demand for wireless products, coupled with the competitive pressure in the marketplace, may result in a tight market for certain inventory components. Any resource constraints could materially adversely affect our results of operations and financial condition in future periods.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incurred, and expect in future periods to continue to incur, these expenses prior to recognizing net revenues from sales of these products.</w:t>
      </w:r>
    </w:p>
    <w:p>
      <w:pPr>
        <w:spacing w:after="0" w:line="107"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&amp; Acquisition Activities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2010, we submitted a bid to purchase certain assets of Cinterion, a company in the cellular machine-to-machine communications industry, in connection with an insolvency proceeding. In accordance with bidding procedures, we deposited into escrow an amount in Euros equal to our bid price using cash and cash equivalents, proceeds from the sale of marketable securities, and borrowings under a $30 million bridge loan facility. We were not the successful bidder. For more information, see Note 4 to the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2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July 2010, we repaid all amounts outstanding under the bridge loan facility and expensed all unamortized debt issuance costs. Our participation in this bidding process resulted in the following significant impacts to our results of operations during the second quarter of 2010:</w:t>
      </w:r>
    </w:p>
    <w:p>
      <w:pPr>
        <w:spacing w:after="0" w:line="4" w:lineRule="exact"/>
        <w:rPr>
          <w:sz w:val="20"/>
          <w:szCs w:val="20"/>
          <w:color w:val="auto"/>
        </w:rPr>
      </w:pPr>
    </w:p>
    <w:p>
      <w:pPr>
        <w:ind w:left="660" w:right="180" w:hanging="206"/>
        <w:spacing w:after="0" w:line="30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recorded a foreign exchange gain of $2.9 million in connection with the conversion of our Euro-denominated escrow funds into U.S. dollars following completion of the auction. This foreign exchange gain was offset by $1.2 million paid for put options to hedge our Euro exposure during the bidding process. The realized foreign exchange gain and the cost of the put options were recorded in other income (expense), net.</w:t>
      </w:r>
    </w:p>
    <w:p>
      <w:pPr>
        <w:spacing w:after="0" w:line="25"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recognized $687,000 in interest expense related to the bridge loan facility, which primarily consisted of the amortization of lender and professional fees.</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our bid, we incurred $2.0 million in legal, advisory and professional fees unrelated to the bridge loan facility, which were recorded as general and administrative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2010 Compared to Three Months Ended June 30, 2009</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three months ended June 30, 2010 were $71.8 million, a decrease of $12.3 million or 14.6%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2009. The decline in net revenues in the three months ended June 30, 2010 was primarily driven by a decline in sales of EV-DO products during the second quarter of 2010. The decrease in EV-DO net revenues resulted primarily from a decline in embedded module sales due to the presence of competing products available to OEMs and the lack of significant sales to content delivery device customers in the second quarter of 2010. This decline was offset by quarter over quarter increases in sales of our MiFi and Ovation products, although the average selling price per unit for these products declined quarter over quarter due to increased competition from similar wireless devices. EV-DO products are primarily sold in the North American market and represented 92.7% of net revenues in the three months ended June 30, 2010 compared to 91.9% in the same period in 2009. Net revenues from EV-DO product driven technology amounted to $66.6 million, a decrease of $10.7 million or 13.9%, compared to the same period in 2009.</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second quarter of 2010, the Company experienced a decrease in net revenues related to HSPA products. Net revenues from sales of HSPA product driven technology amounted to $4.8 million during the three months ended June 30, 2010, a decrease of $1.6 million or 25% compared to the same period in 2009. This decrease resulted primarily from a decline in embedded module sales due to the presence of competing products available to OEMs. HSPA products are primarily sold in the European market and represented 6.7% of net revenues in the three months ended June 30, 2010 compared to 7.6% in the same period in 2009. We believe the European market remains, and is expected to remain, intensely competitive for the foreseeable future.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for the three months ended June 30, 2010 was $58.2 million, or 81.1% of net revenues, as compared to $65.5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77.9% of net revenues, for the same period in 2009. The primary drivers of the increase in cost of revenues as a percentage of net revenues compared to 2009 was a decline in average selling prices that exceeded the rate of decrease in per unit product costs, and an unfavorable sales mix that included products with lower gross margins. Cost of revenues as a percentage of net revenues is expected to fluctuate in future quarters depending on the mix of products sold, competitive pricing, new product introduction costs and other factors.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2010 was $13.6 million, or 18.9% of net revenues, compared to $18.6 million, or 22.1%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2009. The decrease was primarily attributable to the changes in net revenues and cost of revenues discussed above. We expect that our gross profit percentage will continue to fluctuate from quarter to quarter depending on product mix, competitive selling prices, our ability to reduce product costs and changes in unit volumes.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jc w:val="both"/>
        <w:ind w:right="180" w:firstLine="456"/>
        <w:spacing w:after="0" w:line="30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Research and development expenses. </w:t>
      </w:r>
      <w:r>
        <w:rPr>
          <w:rFonts w:ascii="Arial" w:cs="Arial" w:eastAsia="Arial" w:hAnsi="Arial"/>
          <w:sz w:val="15"/>
          <w:szCs w:val="15"/>
          <w:color w:val="auto"/>
        </w:rPr>
        <w:t>Research and development expenses for the three months ended June 30, 2010 were $11.2 million, or 15.6% of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$10.7 million, or 12.7% of net revenues, for the same period in 2009. The increase was due primarily to higher compensation expense in the three months ended June 30, 2010 compared to the same period in 2009 to support expanded research and development and product introduction activities.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continue to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2010 were $4.4 million, or 6.1%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$4.9 million, or 5.8% of net revenues, for the same period in 2009. The quarter over quarter decline in sales and marketing expense was primarily related to a reduction in the level of activity related to the MiFi product launch in early 2009.</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2010 were $6.1 million, or 8.5%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$4.4 million, or 5.2% of net revenues, for the same period in 2009. The quarter over quarter increase in general and administrative expenses during the quarter ended June 30, 2010 is primarily related to the $2.0 million of legal, advisory and other professional fees incurred in conjunction with our activities related to Cinterion.</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While we are closely monitoring and undertaking to control general and administrative costs, we expect that these costs will be negatively impacted in future periods by legal fees incurred by the Company to defend outstanding legal claims.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three months ended June 30, 2010 was $604,000 as compared to a net interest income of $370,000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2009. Our net interest expense during the three months ended June 30, 2010 is primarily related to interest charges and the amortization of debt issuance costs associated with our bridge loan facility. In addition, the Company’s interest income declined as a result of the liquidation of our investment holdings to facilitate our bid for Cinterion. For a discussion of this bridge loan facility and the bidding process for Cinterion, see Note 4 to the Consolidated Financial Statements.</w:t>
      </w:r>
    </w:p>
    <w:p>
      <w:pPr>
        <w:spacing w:after="0" w:line="14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Our net interest expense will be negatively impacted in the third quarter of 2010 as a result of the write off of unamortized debt issuance costs in connection with our termination and repayment of the bridge loan facility.</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for the three months ended June 30, 2010 was $1.4 million as compared to $81,000 for the same period in 2009.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was primarily driven by a $2.9 million foreign exchange gain realized upon the conversion the Euro-denominated bid funds into U.S. dollars in June 2010 at the conclusion of the bidding process for Cinterion. This gain was offset by $1.2 million in premiums paid for protective put options utilized to hedge our exposure to the Euro during the bidding process for Cinterion. These puts expired unexercised on June 25, 2010.</w:t>
      </w:r>
    </w:p>
    <w:p>
      <w:pPr>
        <w:spacing w:after="0" w:line="11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including discrete items, for the three months ended June 30, 2010 was $15.6 million, or 216% of our loss before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taxes, as compared to an income tax benefit of $135,000, or 14% of our loss before taxes, for the same period in 2009. The effective income tax expense rate is higher than the income tax benefit rate in 2009 primarily due to a $15.5 million valuation allowance recorded on our U.S.-based deferred tax assets in the second quarter of 2010. This valuation allowance and additional items impacting the effective tax rate are discussed in Note 10 to the Consolidated Financial Statements.</w:t>
      </w:r>
    </w:p>
    <w:p>
      <w:pPr>
        <w:spacing w:after="0" w:line="9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three months ended June 30, 2010, we reported a net loss of $22.8 million, as compared to a net loss of $800,000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As discussed above, net loss was negatively impacted by decreases in net revenues and gross profit, and increases in operating expenses, and changes in our valuation allowance for deferred tax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 Months Ended June 30, 2010 Compared to Six Months Ended June 30, 2009</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six months ended June 30, 2010 were $144.1 million, a decrease of $10.4 million or 6.7% compared to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2009. The decline in net revenues in the six months ended June 30, 2010 was primarily driven by a decline in sales of EV-DO products during the six months ended June 30, 2010. The decrease in EV-DO net revenues resulted primarily from a decline in embedded module sales due to the presence of competing products available to OEMs and the lack of significant sales to content delivery device customers in the six months ended June 30, 2010. This decline was offset by increases in sales of our MiFi and Ovation products, although the average selling price per unit for these products declined for the six months ended June 30, 2010 as compared to the same period in 2009 due to increased competition from similar wireless devices. EV-DO products are primarily sold in the North American market and represented 90.4% of net revenues in the six months ended June 30, 2010 compared to 89.3% in the same period in 2009. Net revenues from EV-DO product driven technology amounted to $130.3 million in the six months ended June 30, 2010, a decrease of $7.7 million or 5.6%, compared to the same period in 2009.</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the first half of 2010, the Company experienced a decrease in net revenues related to HSPA products. Net revenues from sales of HSPA product driven technology amounted to $12.8 million during the six months ended June 30, 2010, a decrease of $3.1 million or 19.4% compared to the same period in 2009. This decrease resulted primarily from a decline in embedded module sales due to the presence of competing products available to OEMs. HSPA products are primarily sold in the European market and represented 8.9% of net revenues in the six months ended June 30, 2010 compared to 10.3% in the same period in 2009. We believe the European market remains, and is expected to remain, intensely competitive for the foreseeable future.</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for the six months ended June 30, 2010 was $112.7 million, or 78.2% of net revenues, as compared to $119.9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77.6% of net revenues, for the same period in 2009. The primary driver of the increase in cost of revenues as a percentage of net revenues compared to 2009 was a decline in average selling prices that exceeded the rate of decrease in per unit product costs and an unfavorable sales mix that included products with lower gross margins. Cost of revenues as a percentage of net revenues is expected to fluctuate in future quarters depending on the mix of products sold, competitive pricing, new product introduction costs and other factors.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2010 was $31.4 million, or 21.8% of net revenues, compared to $34.6 million, or 22.4%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for the same period in 2009. The decrease was primarily attributable to the changes in net revenues and cost of revenues discussed above. We expect that our gross profit percentage will continue to fluctuate from quarter to quarter depending on product mix, competitive selling prices, our ability to reduce product costs and changes in unit volumes.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2010 were $22.5 million, or 15.6%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$21.7 million, or 14.1% of net revenues, for the same period in 2009. The increase was due primarily to higher compensation expense to support expanded research and development and product introduction activities. We continue to believe that focused investments in research and development are critical to our future growth and competitive position in the marketplace and are directly related to timely development of new and enhanced products that are central to the our core business strategy. As such, we expect to make further investments in research and development to remain competitive.</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six months ended June 30, 2010 were $11.1 million, or 7.7%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$9.4 million, or 6.1% of net revenues, for the same period in 2009. The increase was due primarily to an increase in expenses related to cooperative marketing and advertising to support marketing efforts for our MiFi product during the first quarter of 2010.</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2010 were $10.5 million, or 7.3%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$8.9 million, or 5.7% of net revenues, for the same period in 2009. The increase in general and administrative expenses during the six months ended June 30, 2010 is primarily related to the $2.0 million of legal, advisory and other professional fees incurred in conjunction with our bid to purchase certain assets of Cinterion.</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While we are closely monitoring and undertaking to control general and administrative costs, we expect these costs to be negatively impacted in future periods by legal fees incurred by the Company to defend against outstanding claims.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expense, net. </w:t>
      </w:r>
      <w:r>
        <w:rPr>
          <w:rFonts w:ascii="Arial" w:cs="Arial" w:eastAsia="Arial" w:hAnsi="Arial"/>
          <w:sz w:val="16"/>
          <w:szCs w:val="16"/>
          <w:color w:val="auto"/>
        </w:rPr>
        <w:t>Interest expense, net, for the six months ended June 30, 2010 was $406,000 as compared to net interest income of $851,000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2009. Our net interest expense during the six months ended June 30, 2010 is primarily related to interest charges and the amortization of debt issuance costs associated with our bridge loan facility. In addition, the Company’s interest income declined as a result of the liquidation of our investment holdings to facilitate our bid during the bidding process for Cinterion and the overall decline in average yields experienced during the six months ended June 30, 2010. For a discussion of the bridge loan facility and our bid to purchase certain assets of Cinterion, see Note 4 to the Consolidated Financial Statements.</w:t>
      </w:r>
    </w:p>
    <w:p>
      <w:pPr>
        <w:spacing w:after="0" w:line="1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net interest expense will be negatively impacted in the third quarter of 2010 as a result of the write off of the unamortized debt issuance costs in connection with our repayment and termination of the bridge loan facility.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six months ended June 30, 2010 was $1.3 million as compared to a net expense of $3,000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2009. The increase in other income, net, during the six months ended June 30, 2010 was primarily driven by a $2.9 million foreign exchange gain realized upon conversion of the Euro-denominated bid funds into U.S. dollars in June 2010 at the conclusion of the bidding process for Cinterion. This gain was offset by $1.2 million in premiums paid for protective put options we utilized to hedge our Euro exposure during the bidding process for Cinterion. These puts expired unexercised on June 25, 2010.</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including discrete items, for the six months ended June 30, 2010 was $14.3 million, or 121% of our loss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 compared to an income tax benefit of $1.2 million, or 27% of our loss before taxes, for the same period in 2009. The effective income tax expense is higher than the income tax benefit rate in 2009 primarily due to a $15.5 million valuation allowance recorded on our U.S.-based deferred tax assets in the second quarter of 2010. This valuation allowance and additional items impacting the effective tax rate are discussed above and in Note 10 to the Consolidated Financial Statements.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six months ended June 30, 2010, we reported a net loss of $26.2 million, as compared to a net loss of $3.3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As discussed above, net loss was negatively impacted by decreases in net revenues and gross profit, increases in operating expenses, and changes in our valuation allowance for deferred tax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Liquidity</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principal sources of liquidity are our existing cash, cash equivalents and cash generated from operations. We believe that these sources will be sufficient to fund operations, including the potential expansion of our sales and marketing team, the development of our new products and the related potential increase in our general and administrative expenses, and to satisfy our working capital requirements and anticipated capital expenditures for the next twelve months. Our future net revenues are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revenues from new or existing products.</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the extent that we identify future strategic opportunities, such as the acquisition of businesses, products, technologies and/or personnel that we believe would be advantageous or complementary to the development of our business, our existing liquidity may not be sufficient and we may be required to obtain additional financing.</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we believe our sources of liquidity will be sufficient to sustain operations for the remainder of fiscal 2010, there can be no assurance that we will continue generate cash flows at or above current levels. If our liquidity is insufficient for any reason, there can be no assurance that we will be able to obtain additional financing or on favorable terms.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June 2010, we borrowed $27.8 million ($30.0 million net of $2.2 million in directly attributable issuance costs) under a short-term bridge loan facility, which we entered into in conjunction with the Cinterion bidding process discussed above. The Company classified $189 million in funds as restricted cash in the Company’s Consolidated Balance Sheets in connection with the bridge loan facility. On July 1, 2010, we repaid and terminated the bridge loan facility, and all restrictions on the funds designated as restricted cash were removed.</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Liquidity Needs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expects to incur professional fees and expenses to defend the outstanding litigation filed against the Company or related to its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costs cannot be estimated at this 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next twelve months we plan to incur $10 million to $13 million for the acquisition of property and equipment and additional licenses.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Increase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(1)(2)</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184,811</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149,468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20" w:type="dxa"/>
            <w:vAlign w:val="bottom"/>
            <w:gridSpan w:val="3"/>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15,221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(84,804)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(48,355)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176,044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(160,823)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working capital balance at June 30, 2010 includes its restricted cash.</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June 30, 2010, our working capital increased $35.3 million from December 31, 2009. This increase is primarily due to the liquidation of our long-term marketable securities portfolio performed in conjunction with our participation in the bidding process for Cinterion, and the reduction in our short term deferred tax assets which resulted from the increase in our valuation allowance for deferred taxes. Our working capital at June 30, 2010 includes $189 million of restricted cash related to our bid to purchase certain assets of Cinterion. All restrictions on these funds were removed effective July 1, 2010.</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June 30, 2010, our cash and cash equivalents decreased $84.8 million from December 31, 2009. This decrease is primarily due to the restrictions placed on our cash and cash equivalents in connection with the Cinterion bidding process. All restrictions on the use of these funds were removed when the Company repaid and terminated this bridge loan facility on July 1, 2010.</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June 30, 2010, our marketable securities decreased an aggregate of $76.0 million due to the sale of our investment portfolio in conjunction with our participation in the Cinterion bidding process.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72,210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(160,892)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Net (decrease) increase in cash and cash equivalents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(84,804)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100,025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87,635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700" w:type="dxa"/>
            <w:vAlign w:val="bottom"/>
            <w:vMerge w:val="restart"/>
          </w:tcPr>
          <w:p>
            <w:pPr>
              <w:jc w:val="right"/>
              <w:ind w:right="313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1" w:name="page22"/>
    <w:bookmarkEnd w:id="21"/>
    <w:p>
      <w:pPr>
        <w:ind w:firstLine="456"/>
        <w:spacing w:after="0" w:line="25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Operating Activities. </w:t>
      </w:r>
      <w:r>
        <w:rPr>
          <w:rFonts w:ascii="Arial" w:cs="Arial" w:eastAsia="Arial" w:hAnsi="Arial"/>
          <w:sz w:val="18"/>
          <w:szCs w:val="18"/>
          <w:color w:val="auto"/>
        </w:rPr>
        <w:t>Net cash provided by operating activities decreased by $1.9 million to $4.0 million for the six months ended June 30, 2010,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$5.9 million for the same period in 2009. The $1.9 million decrease was primarily attributable to decreased sales of our products and reduced margins. These factors were offset by the cash provided by working capital changes, primarily accounts payable. The difference between our net loss of $26.2 million for the six months ended June 30, 2010 and our net cash provided by operating activities of $4.0 million is primarily due to the cash provided by these working capital changes and non-cash charges, including changes in our valuation allowance for deferred tax assets, depreciation, amortization and share-based compensation. During the same period in 2009, the difference between our net loss of $3.3 million and our net cash provided by operating activities of $5.9 million was primarily due to working capital changes, offset by the cash favorable impact of non-cash charges, including depreciation and amortization, and share-based compensation.</w:t>
      </w:r>
    </w:p>
    <w:p>
      <w:pPr>
        <w:spacing w:after="0" w:line="14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for the six months ended June 30, 2010 was $72.2 million, compared to $3.8 million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2009. Net cash provided by investing activities in the six months ended June 30, 2010 was primarily related to the sale of our investment portfolio in conjunction with our participation in the Cinterion bidding process. Net cash provided by investing activities in the six months ended June 30, 2009 was primarily related to sales of investment securities, offset by purchases of securities and property and equipment.</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the six months ended June 30, 2010 was $161.0 million, compared to $196,000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activities during the same period in 2009. Net cash used in financing activities in the six months ended June 30, 2010 was primarily due to the deposit of $189 million in funds into escrow in connection with the Cinterion bidding process. The impact of the restriction of these funds on cash used in financing activities was offset by the $27.8 million in net proceeds from the short-term bridge loan facility, which are net of issuance costs associated with obtaining the facility, which was repaid and terminated on July 1, 2010. Net cash provided by financing activities during the six months ended June 30, 2009 was primarily related to proceeds from stock option exercises and stock purchases through our employee stock purchase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royalty costs, provision for warranty costs, income taxes, foreign exchange forward contracts, and share-based compensation expense. The significant accounting policies used in preparation of these consolidated financial statements for the three and six months ended June 30, 2010 are consistent with those discussed in Note 1 to the Consolidated Financial Statements included in our Annual Report on Form 10-K for the year ended December 31, 2009 in all material respects and in Note 1 to the consolidated financial statements included in this report. The critical accounting policies and the significant judgments and estimates used in the preparation of our Consolidated Financial Statements for the three and six months ended June 30, 2010 are consistent with those discussed in our Annual Report on Form 10-K for the year ended December 31, 2009 in the section captioned “Management’s Discussion and Analysis of Financial Condition and Results of Operations — Critical Accounting Policies and Estimates.”</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Since December 31, 2009, there have been no material changes in the quantitative or qualitative aspect of our market risk profile. For additional information regarding the Company’s exposure to certain market risks, see Item 7A, “Quantitative and Qualitative Disclosures About Market Risk” in our Annual Report on Form 10-K for the year ended December 31,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30, 2010,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June 30, 2010, that have materially affected, or are reasonably likely to materially affect, the Company’s internal control over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Backe v. Novatel Wireless, Inc., et al. ,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the defendants filed a petition for permission to appeal that order to the U.S. Court of Appeals for the Ninth Circuit. A ruling on the defendants’ petition is forthcoming, and the parties are currently engaged in discovery. The Company intends to defend this litigation vigorously.</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however it is anticipated the plaintiffs will seek to recover attorney fees. The Company expects the costs of any such attorney fees will be covered by the Company’s insurance policies. The parties are currently engaged in confirmatory discovery related to the contemplated settlement.</w:t>
      </w:r>
    </w:p>
    <w:p>
      <w:pPr>
        <w:spacing w:after="0" w:line="123"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Except as described above, there have been no material developments in our legal proceedings since December 31, 2009. For additional information regarding the Company’s legal proceedings, see Item 3, “Legal Proceedings” in our Annual Report on Form 10-K for the year ended December 31, 2009.</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Reserved.</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74" w:right="2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Other Information</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1400" w:type="dxa"/>
            <w:vAlign w:val="bottom"/>
            <w:gridSpan w:val="4"/>
          </w:tcPr>
          <w:p>
            <w:pPr>
              <w:ind w:left="4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00"/>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0" w:type="dxa"/>
            <w:vAlign w:val="bottom"/>
          </w:tcPr>
          <w:p>
            <w:pPr>
              <w:spacing w:after="0"/>
              <w:rPr>
                <w:sz w:val="1"/>
                <w:szCs w:val="1"/>
                <w:color w:val="auto"/>
              </w:rPr>
            </w:pPr>
          </w:p>
        </w:tc>
      </w:tr>
      <w:tr>
        <w:trPr>
          <w:trHeight w:val="316"/>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and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of our Principal Executive Officer and Principal Financial and Accounting Officer pursuant to Section 906 of the Sarbanes-Oxley Act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40" w:type="dxa"/>
            <w:vAlign w:val="bottom"/>
            <w:gridSpan w:val="2"/>
          </w:tcPr>
          <w:p>
            <w:pPr>
              <w:jc w:val="right"/>
              <w:ind w:right="553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920"/>
        <w:spacing w:after="0"/>
        <w:tabs>
          <w:tab w:leader="none" w:pos="788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Peter Leparulo</w:t>
      </w:r>
    </w:p>
    <w:p>
      <w:pPr>
        <w:jc w:val="center"/>
        <w:ind w:left="63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30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5920"/>
        <w:spacing w:after="0"/>
        <w:tabs>
          <w:tab w:leader="none" w:pos="7840" w:val="left"/>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Kenneth Leddon</w:t>
      </w:r>
    </w:p>
    <w:p>
      <w:pPr>
        <w:jc w:val="center"/>
        <w:ind w:left="630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3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June 30, 2010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p>
      <w:pPr>
        <w:spacing w:after="0"/>
        <w:tabs>
          <w:tab w:leader="none" w:pos="7760" w:val="left"/>
          <w:tab w:leader="none" w:pos="810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Peter Leparulo</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7740"/>
        <w:spacing w:after="0"/>
        <w:tabs>
          <w:tab w:leader="none" w:pos="806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Kenneth Leddon</w:t>
      </w:r>
    </w:p>
    <w:p>
      <w:pPr>
        <w:jc w:val="center"/>
        <w:ind w:left="60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0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6"/>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2019-12-10T14:48:47Z</dcterms:created>
  <dcterms:modified xsi:type="dcterms:W3CDTF">2019-12-10T14:48:47Z</dcterms:modified>
</cp:coreProperties>
</file>