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McClaskey James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INSEEGO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9710 SCRANTON ROAD,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INSEEGO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16"/>
        <w:gridCol w:w="504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5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465</w:t>
            </w:r>
          </w:p>
        </w:tc>
        <w:tc>
          <w:tcPr>
            <w:tcW w:w="5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7.86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40,096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satisfy the reporting person's tax withholding obligations in connection with the vesting of restricted stock units (RSUs) granted on 7/30/2024. The RSU grant was previously reported in Table I of the reporting person's Form 3 filed on 10/2/2024. The vesting schedule for the award was subsequently modified from an initial structure of monthly vesting over four years (with one-fourth vesting on the first anniversary of the grant date and 1/48th vesting monthly thereafter) to a quarterly vesting schedule, including a 7.5% acceleration of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Frances Wong,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0558" TargetMode="External"/><Relationship Id="rId5" Type="http://schemas.openxmlformats.org/officeDocument/2006/relationships/hyperlink" Target="http://www.sec.gov/cgi-bin/browse-edgar?action=getcompany&amp;CIK=00010226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3565</Characters>
  <CharactersWithSpaces>4159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