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7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fiscal year ended December 31, 2019</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88" w:lineRule="exact"/>
        <w:rPr>
          <w:sz w:val="24"/>
          <w:szCs w:val="24"/>
          <w:color w:val="auto"/>
        </w:rPr>
      </w:pPr>
    </w:p>
    <w:p>
      <w:pPr>
        <w:ind w:left="348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001-38358</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INSEEGO CORP.</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1" w:lineRule="exact"/>
        <w:rPr>
          <w:sz w:val="24"/>
          <w:szCs w:val="24"/>
          <w:color w:val="auto"/>
        </w:rPr>
      </w:pPr>
    </w:p>
    <w:tbl>
      <w:tblPr>
        <w:tblLayout w:type="fixed"/>
        <w:tblInd w:w="1860" w:type="dxa"/>
        <w:tblCellMar>
          <w:top w:w="0" w:type="dxa"/>
          <w:left w:w="0" w:type="dxa"/>
          <w:bottom w:w="0" w:type="dxa"/>
          <w:right w:w="0" w:type="dxa"/>
        </w:tblCellMar>
      </w:tblPr>
      <w:tr>
        <w:trPr>
          <w:trHeight w:val="234"/>
        </w:trPr>
        <w:tc>
          <w:tcPr>
            <w:tcW w:w="464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41"/>
              <w:spacing w:after="0"/>
              <w:rPr>
                <w:sz w:val="20"/>
                <w:szCs w:val="20"/>
                <w:color w:val="auto"/>
              </w:rPr>
            </w:pPr>
            <w:r>
              <w:rPr>
                <w:rFonts w:ascii="Arial" w:cs="Arial" w:eastAsia="Arial" w:hAnsi="Arial"/>
                <w:sz w:val="18"/>
                <w:szCs w:val="18"/>
                <w:b w:val="1"/>
                <w:bCs w:val="1"/>
                <w:color w:val="auto"/>
              </w:rPr>
              <w:t>81-3377646</w:t>
            </w:r>
          </w:p>
        </w:tc>
      </w:tr>
      <w:tr>
        <w:trPr>
          <w:trHeight w:val="180"/>
        </w:trPr>
        <w:tc>
          <w:tcPr>
            <w:tcW w:w="4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3"/>
              </w:rPr>
              <w:t>(State or Other Jurisdiction</w:t>
            </w:r>
          </w:p>
        </w:tc>
        <w:tc>
          <w:tcPr>
            <w:tcW w:w="306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5"/>
              </w:rPr>
              <w:t>of Incorporation or Organization)</w:t>
            </w:r>
          </w:p>
        </w:tc>
        <w:tc>
          <w:tcPr>
            <w:tcW w:w="3060" w:type="dxa"/>
            <w:vAlign w:val="bottom"/>
          </w:tcPr>
          <w:p>
            <w:pPr>
              <w:jc w:val="center"/>
              <w:ind w:left="186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640" w:type="dxa"/>
            <w:vAlign w:val="bottom"/>
          </w:tcPr>
          <w:p>
            <w:pPr>
              <w:jc w:val="center"/>
              <w:ind w:right="1839"/>
              <w:spacing w:after="0"/>
              <w:rPr>
                <w:sz w:val="20"/>
                <w:szCs w:val="20"/>
                <w:color w:val="auto"/>
              </w:rPr>
            </w:pPr>
            <w:r>
              <w:rPr>
                <w:rFonts w:ascii="Arial" w:cs="Arial" w:eastAsia="Arial" w:hAnsi="Arial"/>
                <w:sz w:val="18"/>
                <w:szCs w:val="18"/>
                <w:b w:val="1"/>
                <w:bCs w:val="1"/>
                <w:color w:val="auto"/>
                <w:w w:val="90"/>
              </w:rPr>
              <w:t>12600 Deerfield Parkway, Suite 100</w:t>
            </w:r>
          </w:p>
        </w:tc>
        <w:tc>
          <w:tcPr>
            <w:tcW w:w="3060" w:type="dxa"/>
            <w:vAlign w:val="bottom"/>
          </w:tcPr>
          <w:p>
            <w:pPr>
              <w:spacing w:after="0"/>
              <w:rPr>
                <w:sz w:val="24"/>
                <w:szCs w:val="24"/>
                <w:color w:val="auto"/>
              </w:rPr>
            </w:pPr>
          </w:p>
        </w:tc>
      </w:tr>
      <w:tr>
        <w:trPr>
          <w:trHeight w:val="270"/>
        </w:trPr>
        <w:tc>
          <w:tcPr>
            <w:tcW w:w="4640" w:type="dxa"/>
            <w:vAlign w:val="bottom"/>
          </w:tcPr>
          <w:p>
            <w:pPr>
              <w:ind w:left="280"/>
              <w:spacing w:after="0"/>
              <w:rPr>
                <w:sz w:val="20"/>
                <w:szCs w:val="20"/>
                <w:color w:val="auto"/>
              </w:rPr>
            </w:pPr>
            <w:r>
              <w:rPr>
                <w:rFonts w:ascii="Arial" w:cs="Arial" w:eastAsia="Arial" w:hAnsi="Arial"/>
                <w:sz w:val="18"/>
                <w:szCs w:val="18"/>
                <w:b w:val="1"/>
                <w:bCs w:val="1"/>
                <w:color w:val="auto"/>
              </w:rPr>
              <w:t>Alpharetta, Georgia</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30004</w:t>
            </w:r>
          </w:p>
        </w:tc>
      </w:tr>
      <w:tr>
        <w:trPr>
          <w:trHeight w:val="217"/>
        </w:trPr>
        <w:tc>
          <w:tcPr>
            <w:tcW w:w="4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jc w:val="center"/>
              <w:ind w:left="1861"/>
              <w:spacing w:after="0"/>
              <w:rPr>
                <w:sz w:val="20"/>
                <w:szCs w:val="20"/>
                <w:color w:val="auto"/>
              </w:rPr>
            </w:pPr>
            <w:r>
              <w:rPr>
                <w:rFonts w:ascii="Arial" w:cs="Arial" w:eastAsia="Arial" w:hAnsi="Arial"/>
                <w:sz w:val="14"/>
                <w:szCs w:val="14"/>
                <w:b w:val="1"/>
                <w:bCs w:val="1"/>
                <w:color w:val="auto"/>
                <w:w w:val="98"/>
              </w:rPr>
              <w:t>(Zip Code)</w:t>
            </w:r>
          </w:p>
        </w:tc>
      </w:tr>
    </w:tbl>
    <w:p>
      <w:pPr>
        <w:spacing w:after="0" w:line="10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(858) 812-3400</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50" w:lineRule="exact"/>
        <w:rPr>
          <w:sz w:val="24"/>
          <w:szCs w:val="24"/>
          <w:color w:val="auto"/>
        </w:rPr>
      </w:pPr>
    </w:p>
    <w:tbl>
      <w:tblPr>
        <w:tblLayout w:type="fixed"/>
        <w:tblInd w:w="230" w:type="dxa"/>
        <w:tblCellMar>
          <w:top w:w="0" w:type="dxa"/>
          <w:left w:w="0" w:type="dxa"/>
          <w:bottom w:w="0" w:type="dxa"/>
          <w:right w:w="0" w:type="dxa"/>
        </w:tblCellMar>
      </w:tblPr>
      <w:tr>
        <w:trPr>
          <w:trHeight w:val="257"/>
        </w:trPr>
        <w:tc>
          <w:tcPr>
            <w:tcW w:w="3420" w:type="dxa"/>
            <w:vAlign w:val="bottom"/>
            <w:tcBorders>
              <w:top w:val="single" w:sz="8" w:color="auto"/>
              <w:left w:val="single" w:sz="8" w:color="auto"/>
            </w:tcBorders>
          </w:tcPr>
          <w:p>
            <w:pPr>
              <w:jc w:val="center"/>
              <w:ind w:left="834"/>
              <w:spacing w:after="0"/>
              <w:rPr>
                <w:sz w:val="20"/>
                <w:szCs w:val="20"/>
                <w:color w:val="auto"/>
              </w:rPr>
            </w:pPr>
            <w:r>
              <w:rPr>
                <w:rFonts w:ascii="Arial" w:cs="Arial" w:eastAsia="Arial" w:hAnsi="Arial"/>
                <w:sz w:val="18"/>
                <w:szCs w:val="18"/>
                <w:b w:val="1"/>
                <w:bCs w:val="1"/>
                <w:color w:val="auto"/>
                <w:w w:val="86"/>
              </w:rPr>
              <w:t>Title of each class</w:t>
            </w:r>
          </w:p>
        </w:tc>
        <w:tc>
          <w:tcPr>
            <w:tcW w:w="940" w:type="dxa"/>
            <w:vAlign w:val="bottom"/>
            <w:tcBorders>
              <w:top w:val="single" w:sz="8" w:color="auto"/>
              <w:right w:val="single" w:sz="8" w:color="auto"/>
            </w:tcBorders>
          </w:tcPr>
          <w:p>
            <w:pPr>
              <w:spacing w:after="0"/>
              <w:rPr>
                <w:sz w:val="22"/>
                <w:szCs w:val="22"/>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6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2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3420" w:type="dxa"/>
            <w:vAlign w:val="bottom"/>
            <w:tcBorders>
              <w:left w:val="single" w:sz="8" w:color="auto"/>
            </w:tcBorders>
          </w:tcPr>
          <w:p>
            <w:pPr>
              <w:jc w:val="center"/>
              <w:ind w:left="854"/>
              <w:spacing w:after="0"/>
              <w:rPr>
                <w:sz w:val="20"/>
                <w:szCs w:val="20"/>
                <w:color w:val="auto"/>
              </w:rPr>
            </w:pPr>
            <w:r>
              <w:rPr>
                <w:rFonts w:ascii="Arial" w:cs="Arial" w:eastAsia="Arial" w:hAnsi="Arial"/>
                <w:sz w:val="18"/>
                <w:szCs w:val="18"/>
                <w:color w:val="auto"/>
                <w:w w:val="90"/>
              </w:rPr>
              <w:t>Common Stock, $0.001 par value-</w:t>
            </w:r>
          </w:p>
        </w:tc>
        <w:tc>
          <w:tcPr>
            <w:tcW w:w="9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INSG</w:t>
            </w:r>
          </w:p>
        </w:tc>
        <w:tc>
          <w:tcPr>
            <w:tcW w:w="46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70"/>
        </w:trPr>
        <w:tc>
          <w:tcPr>
            <w:tcW w:w="3420" w:type="dxa"/>
            <w:vAlign w:val="bottom"/>
            <w:tcBorders>
              <w:left w:val="single" w:sz="8" w:color="auto"/>
            </w:tcBorders>
          </w:tcPr>
          <w:p>
            <w:pPr>
              <w:jc w:val="center"/>
              <w:ind w:left="834"/>
              <w:spacing w:after="0"/>
              <w:rPr>
                <w:sz w:val="20"/>
                <w:szCs w:val="20"/>
                <w:color w:val="auto"/>
              </w:rPr>
            </w:pPr>
            <w:r>
              <w:rPr>
                <w:rFonts w:ascii="Arial" w:cs="Arial" w:eastAsia="Arial" w:hAnsi="Arial"/>
                <w:sz w:val="18"/>
                <w:szCs w:val="18"/>
                <w:color w:val="auto"/>
                <w:w w:val="89"/>
              </w:rPr>
              <w:t>Preferred Stock Purchase Rights</w:t>
            </w:r>
          </w:p>
        </w:tc>
        <w:tc>
          <w:tcPr>
            <w:tcW w:w="94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2460" w:type="dxa"/>
            <w:vAlign w:val="bottom"/>
            <w:tcBorders>
              <w:right w:val="single" w:sz="8" w:color="auto"/>
            </w:tcBorders>
          </w:tcPr>
          <w:p>
            <w:pPr>
              <w:spacing w:after="0"/>
              <w:rPr>
                <w:sz w:val="23"/>
                <w:szCs w:val="23"/>
                <w:color w:val="auto"/>
              </w:rPr>
            </w:pPr>
          </w:p>
        </w:tc>
      </w:tr>
      <w:tr>
        <w:trPr>
          <w:trHeight w:val="27"/>
        </w:trPr>
        <w:tc>
          <w:tcPr>
            <w:tcW w:w="342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514"/>
        </w:trPr>
        <w:tc>
          <w:tcPr>
            <w:tcW w:w="3420" w:type="dxa"/>
            <w:vAlign w:val="bottom"/>
          </w:tcPr>
          <w:p>
            <w:pPr>
              <w:spacing w:after="0"/>
              <w:rPr>
                <w:sz w:val="24"/>
                <w:szCs w:val="24"/>
                <w:color w:val="auto"/>
              </w:rPr>
            </w:pPr>
          </w:p>
        </w:tc>
        <w:tc>
          <w:tcPr>
            <w:tcW w:w="4960" w:type="dxa"/>
            <w:vAlign w:val="bottom"/>
            <w:gridSpan w:val="3"/>
          </w:tcPr>
          <w:p>
            <w:pPr>
              <w:jc w:val="center"/>
              <w:ind w:right="910"/>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246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jc w:val="center"/>
              <w:ind w:left="153"/>
              <w:spacing w:after="0"/>
              <w:rPr>
                <w:sz w:val="20"/>
                <w:szCs w:val="20"/>
                <w:color w:val="auto"/>
              </w:rPr>
            </w:pPr>
            <w:r>
              <w:rPr>
                <w:rFonts w:ascii="Arial" w:cs="Arial" w:eastAsia="Arial" w:hAnsi="Arial"/>
                <w:sz w:val="16"/>
                <w:szCs w:val="16"/>
                <w:b w:val="1"/>
                <w:bCs w:val="1"/>
                <w:color w:val="auto"/>
                <w:w w:val="89"/>
              </w:rPr>
              <w:t>None</w:t>
            </w:r>
          </w:p>
        </w:tc>
        <w:tc>
          <w:tcPr>
            <w:tcW w:w="21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75"/>
        </w:trPr>
        <w:tc>
          <w:tcPr>
            <w:tcW w:w="8380" w:type="dxa"/>
            <w:vAlign w:val="bottom"/>
            <w:gridSpan w:val="4"/>
          </w:tcPr>
          <w:p>
            <w:pPr>
              <w:ind w:left="120"/>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p>
        </w:tc>
        <w:tc>
          <w:tcPr>
            <w:tcW w:w="246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6"/>
        </w:trPr>
        <w:tc>
          <w:tcPr>
            <w:tcW w:w="8380" w:type="dxa"/>
            <w:vAlign w:val="bottom"/>
            <w:gridSpan w:val="4"/>
          </w:tcPr>
          <w:p>
            <w:pPr>
              <w:ind w:left="120"/>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2"/>
              </w:rPr>
              <w:t>☐</w:t>
            </w:r>
          </w:p>
        </w:tc>
        <w:tc>
          <w:tcPr>
            <w:tcW w:w="246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32" w:lineRule="exact"/>
        <w:rPr>
          <w:sz w:val="24"/>
          <w:szCs w:val="24"/>
          <w:color w:val="auto"/>
        </w:rPr>
      </w:pPr>
    </w:p>
    <w:p>
      <w:pPr>
        <w:jc w:val="both"/>
        <w:ind w:right="3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4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89" w:lineRule="exact"/>
        <w:rPr>
          <w:sz w:val="24"/>
          <w:szCs w:val="24"/>
          <w:color w:val="auto"/>
        </w:rPr>
      </w:pPr>
    </w:p>
    <w:p>
      <w:pPr>
        <w:ind w:right="26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80" w:type="dxa"/>
        <w:tblCellMar>
          <w:top w:w="0" w:type="dxa"/>
          <w:left w:w="0" w:type="dxa"/>
          <w:bottom w:w="0" w:type="dxa"/>
          <w:right w:w="0" w:type="dxa"/>
        </w:tblCellMar>
      </w:tblPr>
      <w:tr>
        <w:trPr>
          <w:trHeight w:val="254"/>
        </w:trPr>
        <w:tc>
          <w:tcPr>
            <w:tcW w:w="1560" w:type="dxa"/>
            <w:vAlign w:val="bottom"/>
          </w:tcPr>
          <w:p>
            <w:pPr>
              <w:spacing w:after="0"/>
              <w:rPr>
                <w:sz w:val="20"/>
                <w:szCs w:val="20"/>
                <w:color w:val="auto"/>
              </w:rPr>
            </w:pPr>
            <w:r>
              <w:rPr>
                <w:rFonts w:ascii="Arial" w:cs="Arial" w:eastAsia="Arial" w:hAnsi="Arial"/>
                <w:sz w:val="16"/>
                <w:szCs w:val="16"/>
                <w:color w:val="auto"/>
                <w:w w:val="97"/>
              </w:rPr>
              <w:t>Large accelerated filer</w:t>
            </w:r>
          </w:p>
        </w:tc>
        <w:tc>
          <w:tcPr>
            <w:tcW w:w="26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15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400"/>
              <w:spacing w:after="0"/>
              <w:rPr>
                <w:sz w:val="20"/>
                <w:szCs w:val="20"/>
                <w:color w:val="auto"/>
              </w:rPr>
            </w:pPr>
            <w:r>
              <w:rPr>
                <w:rFonts w:ascii="Arial" w:cs="Arial" w:eastAsia="Arial" w:hAnsi="Arial"/>
                <w:sz w:val="16"/>
                <w:szCs w:val="16"/>
                <w:color w:val="auto"/>
                <w:w w:val="98"/>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5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300" w:type="dxa"/>
            <w:vAlign w:val="bottom"/>
          </w:tcPr>
          <w:p>
            <w:pPr>
              <w:ind w:left="2400"/>
              <w:spacing w:after="0"/>
              <w:rPr>
                <w:sz w:val="20"/>
                <w:szCs w:val="20"/>
                <w:color w:val="auto"/>
              </w:rPr>
            </w:pPr>
            <w:r>
              <w:rPr>
                <w:rFonts w:ascii="Arial" w:cs="Arial" w:eastAsia="Arial" w:hAnsi="Arial"/>
                <w:sz w:val="16"/>
                <w:szCs w:val="16"/>
                <w:color w:val="auto"/>
                <w:w w:val="98"/>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6" w:lineRule="exact"/>
        <w:rPr>
          <w:sz w:val="24"/>
          <w:szCs w:val="24"/>
          <w:color w:val="auto"/>
        </w:rPr>
      </w:pPr>
    </w:p>
    <w:p>
      <w:pPr>
        <w:ind w:right="22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340"/>
        <w:spacing w:after="0" w:line="184" w:lineRule="exact"/>
        <w:tabs>
          <w:tab w:leader="none" w:pos="76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28, 2019, as reported by The Nasdaq Global Select Market, was approximately $222.1 million.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common stock outstanding.</w:t>
      </w:r>
    </w:p>
    <w:p>
      <w:pPr>
        <w:spacing w:after="0" w:line="3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of the registrant’s common stock outstanding as of March 10, 2020 was 96,121,497.</w:t>
      </w:r>
    </w:p>
    <w:p>
      <w:pPr>
        <w:spacing w:after="0" w:line="163"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right="60" w:firstLine="324"/>
        <w:spacing w:after="0" w:line="275" w:lineRule="auto"/>
        <w:rPr>
          <w:sz w:val="20"/>
          <w:szCs w:val="20"/>
          <w:color w:val="auto"/>
        </w:rPr>
      </w:pPr>
      <w:r>
        <w:rPr>
          <w:rFonts w:ascii="Arial" w:cs="Arial" w:eastAsia="Arial" w:hAnsi="Arial"/>
          <w:sz w:val="16"/>
          <w:szCs w:val="16"/>
          <w:color w:val="auto"/>
        </w:rPr>
        <w:t>Portions of the registrant’s definitive proxy statement for the 2020 Annual Meeting of Stockholders to be filed with the Securities and Exchange Commission pursuant to Regulation 14A are incorporated by reference into Part III of this Form 10-K to the extent stated herein.</w:t>
      </w:r>
    </w:p>
    <w:p>
      <w:pPr>
        <w:sectPr>
          <w:pgSz w:w="11900" w:h="16838" w:orient="portrait"/>
          <w:cols w:equalWidth="0" w:num="1">
            <w:col w:w="11200"/>
          </w:cols>
          <w:pgMar w:left="320" w:top="242"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86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78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PART I</w:t>
            </w:r>
          </w:p>
        </w:tc>
        <w:tc>
          <w:tcPr>
            <w:tcW w:w="9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860" w:type="dxa"/>
            <w:vAlign w:val="bottom"/>
          </w:tcPr>
          <w:p>
            <w:pPr>
              <w:ind w:left="12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5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860" w:type="dxa"/>
            <w:vAlign w:val="bottom"/>
          </w:tcPr>
          <w:p>
            <w:pPr>
              <w:ind w:left="120"/>
              <w:spacing w:after="0"/>
              <w:rPr>
                <w:rFonts w:ascii="Arial" w:cs="Arial" w:eastAsia="Arial" w:hAnsi="Arial"/>
                <w:sz w:val="18"/>
                <w:szCs w:val="18"/>
                <w:color w:val="auto"/>
              </w:rPr>
            </w:pPr>
            <w:hyperlink w:anchor="page10">
              <w:r>
                <w:rPr>
                  <w:rFonts w:ascii="Arial" w:cs="Arial" w:eastAsia="Arial" w:hAnsi="Arial"/>
                  <w:sz w:val="18"/>
                  <w:szCs w:val="18"/>
                  <w:color w:val="auto"/>
                </w:rPr>
                <w:t>Risk Factors</w:t>
              </w:r>
            </w:hyperlink>
          </w:p>
        </w:tc>
        <w:tc>
          <w:tcPr>
            <w:tcW w:w="560" w:type="dxa"/>
            <w:vAlign w:val="bottom"/>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9860" w:type="dxa"/>
            <w:vAlign w:val="bottom"/>
          </w:tcPr>
          <w:p>
            <w:pPr>
              <w:ind w:left="120"/>
              <w:spacing w:after="0"/>
              <w:rPr>
                <w:rFonts w:ascii="Arial" w:cs="Arial" w:eastAsia="Arial" w:hAnsi="Arial"/>
                <w:sz w:val="18"/>
                <w:szCs w:val="18"/>
                <w:color w:val="auto"/>
              </w:rPr>
            </w:pPr>
            <w:hyperlink w:anchor="page32">
              <w:r>
                <w:rPr>
                  <w:rFonts w:ascii="Arial" w:cs="Arial" w:eastAsia="Arial" w:hAnsi="Arial"/>
                  <w:sz w:val="18"/>
                  <w:szCs w:val="18"/>
                  <w:color w:val="auto"/>
                </w:rPr>
                <w:t>Unresolved Staff Comments</w:t>
              </w:r>
            </w:hyperlink>
          </w:p>
        </w:tc>
        <w:tc>
          <w:tcPr>
            <w:tcW w:w="56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tcPr>
          <w:p>
            <w:pPr>
              <w:ind w:left="120"/>
              <w:spacing w:after="0"/>
              <w:rPr>
                <w:rFonts w:ascii="Arial" w:cs="Arial" w:eastAsia="Arial" w:hAnsi="Arial"/>
                <w:sz w:val="18"/>
                <w:szCs w:val="18"/>
                <w:color w:val="auto"/>
              </w:rPr>
            </w:pPr>
            <w:hyperlink w:anchor="page32">
              <w:r>
                <w:rPr>
                  <w:rFonts w:ascii="Arial" w:cs="Arial" w:eastAsia="Arial" w:hAnsi="Arial"/>
                  <w:sz w:val="18"/>
                  <w:szCs w:val="18"/>
                  <w:color w:val="auto"/>
                </w:rPr>
                <w:t>Properties</w:t>
              </w:r>
            </w:hyperlink>
          </w:p>
        </w:tc>
        <w:tc>
          <w:tcPr>
            <w:tcW w:w="56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60" w:type="dxa"/>
            <w:vAlign w:val="bottom"/>
          </w:tcPr>
          <w:p>
            <w:pPr>
              <w:ind w:left="120"/>
              <w:spacing w:after="0"/>
              <w:rPr>
                <w:rFonts w:ascii="Arial" w:cs="Arial" w:eastAsia="Arial" w:hAnsi="Arial"/>
                <w:sz w:val="18"/>
                <w:szCs w:val="18"/>
                <w:color w:val="auto"/>
              </w:rPr>
            </w:pPr>
            <w:hyperlink w:anchor="page32">
              <w:r>
                <w:rPr>
                  <w:rFonts w:ascii="Arial" w:cs="Arial" w:eastAsia="Arial" w:hAnsi="Arial"/>
                  <w:sz w:val="18"/>
                  <w:szCs w:val="18"/>
                  <w:color w:val="auto"/>
                </w:rPr>
                <w:t>Legal Proceedings</w:t>
              </w:r>
            </w:hyperlink>
          </w:p>
        </w:tc>
        <w:tc>
          <w:tcPr>
            <w:tcW w:w="56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60" w:type="dxa"/>
            <w:vAlign w:val="bottom"/>
          </w:tcPr>
          <w:p>
            <w:pPr>
              <w:ind w:left="120"/>
              <w:spacing w:after="0"/>
              <w:rPr>
                <w:rFonts w:ascii="Arial" w:cs="Arial" w:eastAsia="Arial" w:hAnsi="Arial"/>
                <w:sz w:val="18"/>
                <w:szCs w:val="18"/>
                <w:color w:val="auto"/>
              </w:rPr>
            </w:pPr>
            <w:hyperlink w:anchor="page32">
              <w:r>
                <w:rPr>
                  <w:rFonts w:ascii="Arial" w:cs="Arial" w:eastAsia="Arial" w:hAnsi="Arial"/>
                  <w:sz w:val="18"/>
                  <w:szCs w:val="18"/>
                  <w:color w:val="auto"/>
                </w:rPr>
                <w:t>Mine Safety Disclosures</w:t>
              </w:r>
            </w:hyperlink>
          </w:p>
        </w:tc>
        <w:tc>
          <w:tcPr>
            <w:tcW w:w="56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II</w:t>
            </w:r>
          </w:p>
        </w:tc>
        <w:tc>
          <w:tcPr>
            <w:tcW w:w="9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9860" w:type="dxa"/>
            <w:vAlign w:val="bottom"/>
          </w:tcPr>
          <w:p>
            <w:pPr>
              <w:ind w:left="120"/>
              <w:spacing w:after="0"/>
              <w:rPr>
                <w:rFonts w:ascii="Arial" w:cs="Arial" w:eastAsia="Arial" w:hAnsi="Arial"/>
                <w:sz w:val="18"/>
                <w:szCs w:val="18"/>
                <w:color w:val="auto"/>
              </w:rPr>
            </w:pPr>
            <w:hyperlink w:anchor="page33">
              <w:r>
                <w:rPr>
                  <w:rFonts w:ascii="Arial" w:cs="Arial" w:eastAsia="Arial" w:hAnsi="Arial"/>
                  <w:sz w:val="18"/>
                  <w:szCs w:val="18"/>
                  <w:color w:val="auto"/>
                </w:rPr>
                <w:t>Market for Registrant’s Common Equity, Related Stockholder Matters and Issuer Purchases of Equity Securities</w:t>
              </w:r>
            </w:hyperlink>
          </w:p>
        </w:tc>
        <w:tc>
          <w:tcPr>
            <w:tcW w:w="5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860" w:type="dxa"/>
            <w:vAlign w:val="bottom"/>
          </w:tcPr>
          <w:p>
            <w:pPr>
              <w:ind w:left="120"/>
              <w:spacing w:after="0"/>
              <w:rPr>
                <w:rFonts w:ascii="Arial" w:cs="Arial" w:eastAsia="Arial" w:hAnsi="Arial"/>
                <w:sz w:val="18"/>
                <w:szCs w:val="18"/>
                <w:color w:val="auto"/>
              </w:rPr>
            </w:pPr>
            <w:hyperlink w:anchor="page33">
              <w:r>
                <w:rPr>
                  <w:rFonts w:ascii="Arial" w:cs="Arial" w:eastAsia="Arial" w:hAnsi="Arial"/>
                  <w:sz w:val="18"/>
                  <w:szCs w:val="18"/>
                  <w:color w:val="auto"/>
                </w:rPr>
                <w:t>Selected Financial Data</w:t>
              </w:r>
            </w:hyperlink>
          </w:p>
        </w:tc>
        <w:tc>
          <w:tcPr>
            <w:tcW w:w="5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7.</w:t>
            </w:r>
          </w:p>
        </w:tc>
        <w:tc>
          <w:tcPr>
            <w:tcW w:w="9860" w:type="dxa"/>
            <w:vAlign w:val="bottom"/>
          </w:tcPr>
          <w:p>
            <w:pPr>
              <w:ind w:left="120"/>
              <w:spacing w:after="0"/>
              <w:rPr>
                <w:rFonts w:ascii="Arial" w:cs="Arial" w:eastAsia="Arial" w:hAnsi="Arial"/>
                <w:sz w:val="18"/>
                <w:szCs w:val="18"/>
                <w:color w:val="auto"/>
              </w:rPr>
            </w:pPr>
            <w:hyperlink w:anchor="page34">
              <w:r>
                <w:rPr>
                  <w:rFonts w:ascii="Arial" w:cs="Arial" w:eastAsia="Arial" w:hAnsi="Arial"/>
                  <w:sz w:val="18"/>
                  <w:szCs w:val="18"/>
                  <w:color w:val="auto"/>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9860" w:type="dxa"/>
            <w:vAlign w:val="bottom"/>
          </w:tcPr>
          <w:p>
            <w:pPr>
              <w:ind w:left="120"/>
              <w:spacing w:after="0"/>
              <w:rPr>
                <w:rFonts w:ascii="Arial" w:cs="Arial" w:eastAsia="Arial" w:hAnsi="Arial"/>
                <w:sz w:val="18"/>
                <w:szCs w:val="18"/>
                <w:color w:val="auto"/>
              </w:rPr>
            </w:pPr>
            <w:hyperlink w:anchor="page48">
              <w:r>
                <w:rPr>
                  <w:rFonts w:ascii="Arial" w:cs="Arial" w:eastAsia="Arial" w:hAnsi="Arial"/>
                  <w:sz w:val="18"/>
                  <w:szCs w:val="18"/>
                  <w:color w:val="auto"/>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8.</w:t>
            </w:r>
          </w:p>
        </w:tc>
        <w:tc>
          <w:tcPr>
            <w:tcW w:w="9860" w:type="dxa"/>
            <w:vAlign w:val="bottom"/>
          </w:tcPr>
          <w:p>
            <w:pPr>
              <w:ind w:left="120"/>
              <w:spacing w:after="0"/>
              <w:rPr>
                <w:rFonts w:ascii="Arial" w:cs="Arial" w:eastAsia="Arial" w:hAnsi="Arial"/>
                <w:sz w:val="18"/>
                <w:szCs w:val="18"/>
                <w:color w:val="auto"/>
              </w:rPr>
            </w:pPr>
            <w:hyperlink w:anchor="page48">
              <w:r>
                <w:rPr>
                  <w:rFonts w:ascii="Arial" w:cs="Arial" w:eastAsia="Arial" w:hAnsi="Arial"/>
                  <w:sz w:val="18"/>
                  <w:szCs w:val="18"/>
                  <w:color w:val="auto"/>
                </w:rPr>
                <w:t>Financial Statements and Supplementary Data</w:t>
              </w:r>
            </w:hyperlink>
          </w:p>
        </w:tc>
        <w:tc>
          <w:tcPr>
            <w:tcW w:w="5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9860" w:type="dxa"/>
            <w:vAlign w:val="bottom"/>
          </w:tcPr>
          <w:p>
            <w:pPr>
              <w:ind w:left="120"/>
              <w:spacing w:after="0"/>
              <w:rPr>
                <w:rFonts w:ascii="Arial" w:cs="Arial" w:eastAsia="Arial" w:hAnsi="Arial"/>
                <w:sz w:val="18"/>
                <w:szCs w:val="18"/>
                <w:color w:val="auto"/>
              </w:rPr>
            </w:pPr>
            <w:hyperlink w:anchor="page48">
              <w:r>
                <w:rPr>
                  <w:rFonts w:ascii="Arial" w:cs="Arial" w:eastAsia="Arial" w:hAnsi="Arial"/>
                  <w:sz w:val="18"/>
                  <w:szCs w:val="18"/>
                  <w:color w:val="auto"/>
                </w:rPr>
                <w:t>Changes in and Disagreements With Accountants on Accounting and Financial Disclosure</w:t>
              </w:r>
            </w:hyperlink>
          </w:p>
        </w:tc>
        <w:tc>
          <w:tcPr>
            <w:tcW w:w="5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9A.</w:t>
            </w:r>
          </w:p>
        </w:tc>
        <w:tc>
          <w:tcPr>
            <w:tcW w:w="9860" w:type="dxa"/>
            <w:vAlign w:val="bottom"/>
          </w:tcPr>
          <w:p>
            <w:pPr>
              <w:ind w:left="120"/>
              <w:spacing w:after="0"/>
              <w:rPr>
                <w:rFonts w:ascii="Arial" w:cs="Arial" w:eastAsia="Arial" w:hAnsi="Arial"/>
                <w:sz w:val="18"/>
                <w:szCs w:val="18"/>
                <w:color w:val="auto"/>
              </w:rPr>
            </w:pPr>
            <w:hyperlink w:anchor="page48">
              <w:r>
                <w:rPr>
                  <w:rFonts w:ascii="Arial" w:cs="Arial" w:eastAsia="Arial" w:hAnsi="Arial"/>
                  <w:sz w:val="18"/>
                  <w:szCs w:val="18"/>
                  <w:color w:val="auto"/>
                </w:rPr>
                <w:t>Controls and Procedures</w:t>
              </w:r>
            </w:hyperlink>
          </w:p>
        </w:tc>
        <w:tc>
          <w:tcPr>
            <w:tcW w:w="5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9860" w:type="dxa"/>
            <w:vAlign w:val="bottom"/>
          </w:tcPr>
          <w:p>
            <w:pPr>
              <w:ind w:left="120"/>
              <w:spacing w:after="0"/>
              <w:rPr>
                <w:rFonts w:ascii="Arial" w:cs="Arial" w:eastAsia="Arial" w:hAnsi="Arial"/>
                <w:sz w:val="18"/>
                <w:szCs w:val="18"/>
                <w:color w:val="auto"/>
              </w:rPr>
            </w:pPr>
            <w:hyperlink w:anchor="page48">
              <w:r>
                <w:rPr>
                  <w:rFonts w:ascii="Arial" w:cs="Arial" w:eastAsia="Arial" w:hAnsi="Arial"/>
                  <w:sz w:val="18"/>
                  <w:szCs w:val="18"/>
                  <w:color w:val="auto"/>
                </w:rPr>
                <w:t>Other Information</w:t>
              </w:r>
            </w:hyperlink>
          </w:p>
        </w:tc>
        <w:tc>
          <w:tcPr>
            <w:tcW w:w="5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PART III</w:t>
            </w:r>
          </w:p>
        </w:tc>
        <w:tc>
          <w:tcPr>
            <w:tcW w:w="9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9860" w:type="dxa"/>
            <w:vAlign w:val="bottom"/>
          </w:tcPr>
          <w:p>
            <w:pPr>
              <w:ind w:left="120"/>
              <w:spacing w:after="0"/>
              <w:rPr>
                <w:rFonts w:ascii="Arial" w:cs="Arial" w:eastAsia="Arial" w:hAnsi="Arial"/>
                <w:sz w:val="18"/>
                <w:szCs w:val="18"/>
                <w:color w:val="auto"/>
              </w:rPr>
            </w:pPr>
            <w:hyperlink w:anchor="page50">
              <w:r>
                <w:rPr>
                  <w:rFonts w:ascii="Arial" w:cs="Arial" w:eastAsia="Arial" w:hAnsi="Arial"/>
                  <w:sz w:val="18"/>
                  <w:szCs w:val="18"/>
                  <w:color w:val="auto"/>
                </w:rPr>
                <w:t>Directors, Executive Officers and Corporate Governance</w:t>
              </w:r>
            </w:hyperlink>
          </w:p>
        </w:tc>
        <w:tc>
          <w:tcPr>
            <w:tcW w:w="560" w:type="dxa"/>
            <w:vAlign w:val="bottom"/>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9860" w:type="dxa"/>
            <w:vAlign w:val="bottom"/>
          </w:tcPr>
          <w:p>
            <w:pPr>
              <w:ind w:left="120"/>
              <w:spacing w:after="0"/>
              <w:rPr>
                <w:sz w:val="20"/>
                <w:szCs w:val="20"/>
                <w:color w:val="auto"/>
              </w:rPr>
            </w:pPr>
            <w:r>
              <w:rPr>
                <w:rFonts w:ascii="Arial" w:cs="Arial" w:eastAsia="Arial" w:hAnsi="Arial"/>
                <w:sz w:val="18"/>
                <w:szCs w:val="18"/>
                <w:color w:val="auto"/>
              </w:rPr>
              <w:t>Executive Compensation</w:t>
            </w:r>
          </w:p>
        </w:tc>
        <w:tc>
          <w:tcPr>
            <w:tcW w:w="560" w:type="dxa"/>
            <w:vAlign w:val="bottom"/>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9860" w:type="dxa"/>
            <w:vAlign w:val="bottom"/>
          </w:tcPr>
          <w:p>
            <w:pPr>
              <w:ind w:left="1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9860" w:type="dxa"/>
            <w:vAlign w:val="bottom"/>
          </w:tcPr>
          <w:p>
            <w:pPr>
              <w:ind w:left="1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9860" w:type="dxa"/>
            <w:vAlign w:val="bottom"/>
          </w:tcPr>
          <w:p>
            <w:pPr>
              <w:ind w:left="120"/>
              <w:spacing w:after="0"/>
              <w:rPr>
                <w:sz w:val="20"/>
                <w:szCs w:val="20"/>
                <w:color w:val="auto"/>
              </w:rPr>
            </w:pPr>
            <w:r>
              <w:rPr>
                <w:rFonts w:ascii="Arial" w:cs="Arial" w:eastAsia="Arial" w:hAnsi="Arial"/>
                <w:sz w:val="18"/>
                <w:szCs w:val="18"/>
                <w:color w:val="auto"/>
              </w:rPr>
              <w:t>Principal Accounting Fees and Services</w:t>
            </w:r>
          </w:p>
        </w:tc>
        <w:tc>
          <w:tcPr>
            <w:tcW w:w="560" w:type="dxa"/>
            <w:vAlign w:val="bottom"/>
            <w:vMerge w:val="restart"/>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IV</w:t>
            </w:r>
          </w:p>
        </w:tc>
        <w:tc>
          <w:tcPr>
            <w:tcW w:w="9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9860" w:type="dxa"/>
            <w:vAlign w:val="bottom"/>
          </w:tcPr>
          <w:p>
            <w:pPr>
              <w:ind w:left="120"/>
              <w:spacing w:after="0"/>
              <w:rPr>
                <w:sz w:val="20"/>
                <w:szCs w:val="20"/>
                <w:color w:val="auto"/>
              </w:rPr>
            </w:pPr>
            <w:r>
              <w:rPr>
                <w:rFonts w:ascii="Arial" w:cs="Arial" w:eastAsia="Arial" w:hAnsi="Arial"/>
                <w:sz w:val="18"/>
                <w:szCs w:val="18"/>
                <w:color w:val="auto"/>
              </w:rPr>
              <w:t>Exhibits, Financial Statement Schedules</w:t>
            </w:r>
          </w:p>
        </w:tc>
        <w:tc>
          <w:tcPr>
            <w:tcW w:w="560" w:type="dxa"/>
            <w:vAlign w:val="bottom"/>
            <w:vMerge w:val="restart"/>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Item 16.</w:t>
            </w:r>
          </w:p>
        </w:tc>
        <w:tc>
          <w:tcPr>
            <w:tcW w:w="9860" w:type="dxa"/>
            <w:vAlign w:val="bottom"/>
          </w:tcPr>
          <w:p>
            <w:pPr>
              <w:ind w:left="120"/>
              <w:spacing w:after="0"/>
              <w:rPr>
                <w:sz w:val="20"/>
                <w:szCs w:val="20"/>
                <w:color w:val="auto"/>
              </w:rPr>
            </w:pPr>
            <w:r>
              <w:rPr>
                <w:rFonts w:ascii="Arial" w:cs="Arial" w:eastAsia="Arial" w:hAnsi="Arial"/>
                <w:sz w:val="18"/>
                <w:szCs w:val="18"/>
                <w:color w:val="auto"/>
              </w:rPr>
              <w:t>Form 10-K Summary</w:t>
            </w:r>
          </w:p>
        </w:tc>
        <w:tc>
          <w:tcPr>
            <w:tcW w:w="560" w:type="dxa"/>
            <w:vAlign w:val="bottom"/>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392"/>
        </w:trPr>
        <w:tc>
          <w:tcPr>
            <w:tcW w:w="10640" w:type="dxa"/>
            <w:vAlign w:val="bottom"/>
            <w:gridSpan w:val="2"/>
          </w:tcPr>
          <w:p>
            <w:pPr>
              <w:spacing w:after="0"/>
              <w:rPr>
                <w:rFonts w:ascii="Arial" w:cs="Arial" w:eastAsia="Arial" w:hAnsi="Arial"/>
                <w:sz w:val="18"/>
                <w:szCs w:val="18"/>
                <w:color w:val="auto"/>
              </w:rPr>
            </w:pPr>
            <w:hyperlink w:anchor="page54">
              <w:r>
                <w:rPr>
                  <w:rFonts w:ascii="Arial" w:cs="Arial" w:eastAsia="Arial" w:hAnsi="Arial"/>
                  <w:sz w:val="18"/>
                  <w:szCs w:val="18"/>
                  <w:color w:val="auto"/>
                </w:rPr>
                <w:t>SIGNATURES</w:t>
              </w:r>
            </w:hyperlink>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391"/>
        </w:trPr>
        <w:tc>
          <w:tcPr>
            <w:tcW w:w="10640" w:type="dxa"/>
            <w:vAlign w:val="bottom"/>
            <w:gridSpan w:val="2"/>
          </w:tcPr>
          <w:p>
            <w:pPr>
              <w:spacing w:after="0"/>
              <w:rPr>
                <w:rFonts w:ascii="Arial" w:cs="Arial" w:eastAsia="Arial" w:hAnsi="Arial"/>
                <w:sz w:val="18"/>
                <w:szCs w:val="18"/>
                <w:color w:val="auto"/>
              </w:rPr>
            </w:pPr>
            <w:hyperlink w:anchor="page55">
              <w:r>
                <w:rPr>
                  <w:rFonts w:ascii="Arial" w:cs="Arial" w:eastAsia="Arial" w:hAnsi="Arial"/>
                  <w:sz w:val="18"/>
                  <w:szCs w:val="18"/>
                  <w:color w:val="auto"/>
                </w:rPr>
                <w:t>INDEX TO CONSOLIDATED FINANCIAL STATEMENTS</w:t>
              </w:r>
            </w:hyperlink>
          </w:p>
        </w:tc>
        <w:tc>
          <w:tcPr>
            <w:tcW w:w="560" w:type="dxa"/>
            <w:vAlign w:val="bottom"/>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F-1</w:t>
              </w:r>
            </w:hyperlink>
          </w:p>
        </w:tc>
        <w:tc>
          <w:tcPr>
            <w:tcW w:w="0" w:type="dxa"/>
            <w:vAlign w:val="bottom"/>
          </w:tcPr>
          <w:p>
            <w:pPr>
              <w:spacing w:after="0"/>
              <w:rPr>
                <w:sz w:val="1"/>
                <w:szCs w:val="1"/>
                <w:color w:val="auto"/>
              </w:rPr>
            </w:pPr>
          </w:p>
        </w:tc>
      </w:tr>
    </w:tbl>
    <w:p>
      <w:pPr>
        <w:sectPr>
          <w:pgSz w:w="11900" w:h="16838" w:orient="portrait"/>
          <w:cols w:equalWidth="0" w:num="1">
            <w:col w:w="11200"/>
          </w:cols>
          <w:pgMar w:left="36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64" w:lineRule="exact"/>
        <w:rPr>
          <w:sz w:val="20"/>
          <w:szCs w:val="20"/>
          <w:color w:val="auto"/>
        </w:rPr>
      </w:pPr>
    </w:p>
    <w:p>
      <w:pPr>
        <w:ind w:left="620" w:right="26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right="58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scheduled payments of the principal of, to pay interest on, or to refinance our indebtedness, including our term loan and convertible notes obligations;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32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global health emergencies;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that new or adjusted tariffs may have on the costs of components or our products, and our ability to sell products internationally;</w:t>
      </w:r>
    </w:p>
    <w:p>
      <w:pPr>
        <w:spacing w:after="0" w:line="236" w:lineRule="exact"/>
        <w:rPr>
          <w:rFonts w:ascii="Arial" w:cs="Arial" w:eastAsia="Arial" w:hAnsi="Arial"/>
          <w:sz w:val="17"/>
          <w:szCs w:val="17"/>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wireless broadband data access in industrial IoT markets;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ectPr>
          <w:pgSz w:w="11900" w:h="16838" w:orient="portrait"/>
          <w:cols w:equalWidth="0" w:num="1">
            <w:col w:w="11240"/>
          </w:cols>
          <w:pgMar w:left="320" w:top="418" w:right="339" w:bottom="1440" w:gutter="0" w:footer="0" w:header="0"/>
        </w:sectPr>
      </w:pPr>
    </w:p>
    <w:bookmarkStart w:id="3" w:name="page4"/>
    <w:bookmarkEnd w:id="3"/>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and other reports we file with the Securities and Exchange Commission (the “SEC”), including the 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the “Company” and “Inseego” refer to Inseego Corp., a Delaware corporation, and its wholly owned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“Inseego”, the Inseego logo, “DigiCore”, “Novatel Wireless”, the Novatel Wireless logo, “MiFi”, “MiFi Intelligent Mobile Hotspot”, “Ctrack”, the Ctrack logo, “Inseego North America”, and “Skyus” are trademarks or registered trademarks of Inseego and its subsidiaries. Other trademarks, trade names or service marks used in this report are the property of their respective owners.</w:t>
      </w:r>
    </w:p>
    <w:p>
      <w:pPr>
        <w:sectPr>
          <w:pgSz w:w="11900" w:h="16838" w:orient="portrait"/>
          <w:cols w:equalWidth="0" w:num="1">
            <w:col w:w="11200"/>
          </w:cols>
          <w:pgMar w:left="320" w:top="449"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Inseego Corp. is a Delaware corporation formed in 2016 as the successor to Novatel Wireless, Inc., a Delaware corporation formed in 1996 (“Novatel Wireless”), resulting from an internal reorganization that was completed in November 2016. Our principal executive office is located at 12600 Deerfield Parkway, Suite 100, Alpharetta, GA 30004, our corporate offices are located at 9710 Scranton Road, Suite 200, San Diego, CA 92121 and our sales and engineering offices are located throughout the world. Inseego’s common stock trades on The NASDAQ Global Select Market under the trading symbol “INSG”.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Inseego Corp. is a leader in the design and development of fixed and mobile wireless solutions (advanced 4G and 5G NR), Industrial IoT (“IIoT”) and cloud solutions for large enterprise verticals, service providers and small and medium-sized businesses around the globe. Our product portfolio consists of fixed and mobile device-to-cloud solutions that provide compelling, intelligent, reliable and secure end-to-end IoT services with deep business intelligence. Inseego’s products and solutions power mission critical applications with a “zero unscheduled downtime” mandate, such as our 5G fixed wireless access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303"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We have been at the forefront of the ways in which the world stays connected and accesses information, and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337" w:lineRule="exact"/>
        <w:rPr>
          <w:sz w:val="20"/>
          <w:szCs w:val="20"/>
          <w:color w:val="auto"/>
        </w:rPr>
      </w:pPr>
    </w:p>
    <w:p>
      <w:pPr>
        <w:jc w:val="both"/>
        <w:ind w:right="260" w:firstLine="405"/>
        <w:spacing w:after="0" w:line="311" w:lineRule="auto"/>
        <w:rPr>
          <w:sz w:val="20"/>
          <w:szCs w:val="20"/>
          <w:color w:val="auto"/>
        </w:rPr>
      </w:pPr>
      <w:r>
        <w:rPr>
          <w:rFonts w:ascii="Arial" w:cs="Arial" w:eastAsia="Arial" w:hAnsi="Arial"/>
          <w:sz w:val="16"/>
          <w:szCs w:val="16"/>
          <w:color w:val="auto"/>
        </w:rPr>
        <w:t>For over two decades the mobile industry has experienced tremendous advancements and growth. As the largest technology platform in the world, mobile connectivity has changed the way we work, the way we live and the way we connect with each other. The scale and pace of innovation in mobile technology, especially around connectivity and computing capabilities, is also impacting industries beyond traditional wireless.</w:t>
      </w:r>
    </w:p>
    <w:p>
      <w:pPr>
        <w:spacing w:after="0" w:line="257" w:lineRule="exact"/>
        <w:rPr>
          <w:sz w:val="20"/>
          <w:szCs w:val="20"/>
          <w:color w:val="auto"/>
        </w:rPr>
      </w:pPr>
    </w:p>
    <w:p>
      <w:pPr>
        <w:ind w:right="40" w:firstLine="391"/>
        <w:spacing w:after="0" w:line="256" w:lineRule="auto"/>
        <w:rPr>
          <w:sz w:val="20"/>
          <w:szCs w:val="20"/>
          <w:color w:val="auto"/>
        </w:rPr>
      </w:pPr>
      <w:r>
        <w:rPr>
          <w:rFonts w:ascii="Arial" w:cs="Arial" w:eastAsia="Arial" w:hAnsi="Arial"/>
          <w:sz w:val="17"/>
          <w:szCs w:val="17"/>
          <w:color w:val="auto"/>
        </w:rPr>
        <w:t>Looking forward, Inseego is working with leading global service providers and enterprises in the mobile and FWA ecosystems to further develop, commercialize and accelerate the availability of 5G NR based solutions, which represents the next generation of mobile technology. 5G has been coined “the 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industrial revolution” due to the richness of use cases targeted, and refers to 5G NR, which is the standard adopted by the 3rd Generation Partnership Project (“3GPP”), an international consortium responsible for the development of mobile standards. 5G has been designed to multi-gigabit data rates, sub-millisecond network latency and wider spectrum bandwidths. Incorporating many of the innovations developed for 4G LTE, 5G is also expected to be scalable and adaptable across a variety of use cases, which include, among others, empowering new industries and services, such as autonomous vehicles, telemedicine, live ultra-high definition video streaming, cloud gaming, edge computing, and countless industrial applications such as augmented reality and robotics for smart manufacturing.</w:t>
      </w:r>
    </w:p>
    <w:p>
      <w:pPr>
        <w:spacing w:after="0" w:line="298" w:lineRule="exact"/>
        <w:rPr>
          <w:sz w:val="20"/>
          <w:szCs w:val="20"/>
          <w:color w:val="auto"/>
        </w:rPr>
      </w:pPr>
    </w:p>
    <w:p>
      <w:pPr>
        <w:ind w:right="120" w:firstLine="391"/>
        <w:spacing w:after="0" w:line="254" w:lineRule="auto"/>
        <w:rPr>
          <w:sz w:val="20"/>
          <w:szCs w:val="20"/>
          <w:color w:val="auto"/>
        </w:rPr>
      </w:pPr>
      <w:r>
        <w:rPr>
          <w:rFonts w:ascii="Arial" w:cs="Arial" w:eastAsia="Arial" w:hAnsi="Arial"/>
          <w:sz w:val="18"/>
          <w:szCs w:val="18"/>
          <w:color w:val="auto"/>
        </w:rPr>
        <w:t>The widespread adoption of IoT in enterprise applications, including manufacturing, agriculture, industrial automation, retail and healthcare industry sectors, among others, along with an increasing dependence on smartphone applications and always-connected computers, and the constraints of 4G LTE technology are prompting mobile network operators to embark on an accelerated rollout of 5G communications to keep pace with expected network demands. As the fifth-generation wireless broadband technology, 5G NR is based on the 3GPP Release 15 standard. The key operating ranges for 5G spectrum globally are in the sub-6 GHz (below 6 GHz), and millimeter wave (28 GHz and 39 GHz bands), with speed offerings greater than 1 Gigabit (“Gb”) per second and sub-millisecond latency, providing better coverage and signaling efficiency. Networks utilizing 5G technology are expected to deploy meaningfully in 2020 and beyond.</w:t>
      </w:r>
    </w:p>
    <w:p>
      <w:pPr>
        <w:spacing w:after="0" w:line="303" w:lineRule="exact"/>
        <w:rPr>
          <w:sz w:val="20"/>
          <w:szCs w:val="20"/>
          <w:color w:val="auto"/>
        </w:rPr>
      </w:pPr>
    </w:p>
    <w:p>
      <w:pPr>
        <w:ind w:right="160" w:firstLine="391"/>
        <w:spacing w:after="0" w:line="296" w:lineRule="auto"/>
        <w:rPr>
          <w:sz w:val="20"/>
          <w:szCs w:val="20"/>
          <w:color w:val="auto"/>
        </w:rPr>
      </w:pPr>
      <w:r>
        <w:rPr>
          <w:rFonts w:ascii="Arial" w:cs="Arial" w:eastAsia="Arial" w:hAnsi="Arial"/>
          <w:sz w:val="16"/>
          <w:szCs w:val="16"/>
          <w:color w:val="auto"/>
        </w:rPr>
        <w:t xml:space="preserve">The growing demand for high speed data, increased demand for machine-to-machine communications and low latency requirements for new applications are key factors contributing to the growth of the 5G. 4G LTE is expected to continue to operate alongside 5G as a major part of the wireless ecosystem. Based on industry reports, such as GSMA’s Intelligence report on </w:t>
      </w:r>
      <w:r>
        <w:rPr>
          <w:rFonts w:ascii="Arial" w:cs="Arial" w:eastAsia="Arial" w:hAnsi="Arial"/>
          <w:sz w:val="16"/>
          <w:szCs w:val="16"/>
          <w:i w:val="1"/>
          <w:iCs w:val="1"/>
          <w:color w:val="auto"/>
        </w:rPr>
        <w:t>The 5G era in the US</w:t>
      </w:r>
      <w:r>
        <w:rPr>
          <w:rFonts w:ascii="Arial" w:cs="Arial" w:eastAsia="Arial" w:hAnsi="Arial"/>
          <w:sz w:val="16"/>
          <w:szCs w:val="16"/>
          <w:color w:val="auto"/>
        </w:rPr>
        <w:t>, we believe that 4G and 5G networks will coexist and remain complementary for many years. This means that operators will be able to service a significant share of the data traffic on 4G networks, leaving 5G with the dual remit of absorbing overflow capacity and underpinning consumer and enterprise services that require higher speeds and/or</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7" w:right="339" w:bottom="1440" w:gutter="0" w:footer="0" w:header="0"/>
        </w:sectPr>
      </w:pPr>
    </w:p>
    <w:bookmarkStart w:id="5" w:name="page6"/>
    <w:bookmarkEnd w:id="5"/>
    <w:p>
      <w:pPr>
        <w:ind w:right="160"/>
        <w:spacing w:after="0" w:line="257" w:lineRule="auto"/>
        <w:rPr>
          <w:sz w:val="20"/>
          <w:szCs w:val="20"/>
          <w:color w:val="auto"/>
        </w:rPr>
      </w:pPr>
      <w:r>
        <w:rPr>
          <w:rFonts w:ascii="Arial" w:cs="Arial" w:eastAsia="Arial" w:hAnsi="Arial"/>
          <w:sz w:val="18"/>
          <w:szCs w:val="18"/>
          <w:color w:val="auto"/>
        </w:rPr>
        <w:t>lower latency. As such, most 5G devices are expected to include multimode support for 4G and Wi-Fi, enabling service continuity where 5G has yet to be deployed and simultaneous connectivity across 4G and Wi-Fi technologies, while also allowing mobile operators to utilize current network deployments. At the same time, 4G is expected to continue to evolve in parallel with the development of 5G and become fundamental to many of the key 5G technologies, such as support for unlicensed spectrum, gigabit LTE user data rates (currently available from Inseego) and cellular IoT with connectivity designed to meet the needs of ultra-low power and low cost applications.</w:t>
      </w:r>
    </w:p>
    <w:p>
      <w:pPr>
        <w:spacing w:after="0" w:line="296" w:lineRule="exact"/>
        <w:rPr>
          <w:sz w:val="20"/>
          <w:szCs w:val="20"/>
          <w:color w:val="auto"/>
        </w:rPr>
      </w:pPr>
    </w:p>
    <w:p>
      <w:pPr>
        <w:ind w:right="60" w:firstLine="391"/>
        <w:spacing w:after="0" w:line="257" w:lineRule="auto"/>
        <w:rPr>
          <w:sz w:val="20"/>
          <w:szCs w:val="20"/>
          <w:color w:val="auto"/>
        </w:rPr>
      </w:pPr>
      <w:r>
        <w:rPr>
          <w:rFonts w:ascii="Arial" w:cs="Arial" w:eastAsia="Arial" w:hAnsi="Arial"/>
          <w:sz w:val="18"/>
          <w:szCs w:val="18"/>
          <w:color w:val="auto"/>
        </w:rPr>
        <w:t xml:space="preserve">Further, based on GSMA’s November 2019 paper titled </w:t>
      </w:r>
      <w:r>
        <w:rPr>
          <w:rFonts w:ascii="Arial" w:cs="Arial" w:eastAsia="Arial" w:hAnsi="Arial"/>
          <w:sz w:val="18"/>
          <w:szCs w:val="18"/>
          <w:i w:val="1"/>
          <w:iCs w:val="1"/>
          <w:color w:val="auto"/>
        </w:rPr>
        <w:t>Internet of Things in the 5G Era</w:t>
      </w:r>
      <w:r>
        <w:rPr>
          <w:rFonts w:ascii="Arial" w:cs="Arial" w:eastAsia="Arial" w:hAnsi="Arial"/>
          <w:sz w:val="18"/>
          <w:szCs w:val="18"/>
          <w:color w:val="auto"/>
        </w:rPr>
        <w:t>, we expect that the number of IoT connections could grow to 25.2 billion by 2025. Based on reports such as those by GSMA Intelligence, we believe that 5G will bring a number of enhanced benefits not available using 4G networks including massive numbers of both fixed and mobile wireless devices with differing speed, bandwidth and quality of service demands, allowing the networks to provide support for “massive numbers of IoT devices and wireless edge technologies” for use cases including manufacturing, augmented and virtual reality, and autonomous vehicles.</w:t>
      </w:r>
    </w:p>
    <w:p>
      <w:pPr>
        <w:spacing w:after="0" w:line="13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continue to work closely with wireless operators, chipset suppliers and infrastructure vendors around the world on 5G developments and trials in preparation for commercial network launches.</w:t>
      </w:r>
    </w:p>
    <w:p>
      <w:pPr>
        <w:spacing w:after="0" w:line="11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adoption of IoT technology continues to grow as companies across a wide range of industries are leveraging cellular IoT technologies to increase efficiency, gain better customer insights, facilitate compliance and build new business models. IoT growth is expanding broadly, and adoption is particularly strong in the telematics and transportation industries and in industrial IoT markets such as smart city infrastructure, utilities and energy management. We are building IoT capabilities by leveraging business models that monetize usage on most major carrier networks. We have developed IoT solutions that address key market needs for asset tracking applications, telematics, SD WAN failover management, retail, remote monitoring and various other industrial automation applications. In addition, our cloud solutions can turn the data that our solutions provide into actionable insights for our customers so they can develop new services and create revenue growth.</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33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objective is to be a leader in high performance 5G fixed, mobile, and IIoT device-to-cloud solutions for large enterprise verticals, service providers and small and medium-sized businesses around the globe. We will meet this objective through innovations we are driving in IIoT, fixed, mobile and SaaS technologies. In furtherance of that objective, we will continue to focus on developing mission critical enterprise applications with a “zero unscheduled downtime” mandate, such as mobile and fixed broadband, industrial IoT, SD WAN failover management, asset tracking and fleet management services. Our solutions will be powered by our key innovations in IoT, purpose-built SaaS platforms and advanced mobile technologies, including emerging 5G NR.</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key elements of our strategy are to:</w:t>
      </w:r>
    </w:p>
    <w:p>
      <w:pPr>
        <w:spacing w:after="0" w:line="225" w:lineRule="exact"/>
        <w:rPr>
          <w:sz w:val="20"/>
          <w:szCs w:val="20"/>
          <w:color w:val="auto"/>
        </w:rPr>
      </w:pPr>
    </w:p>
    <w:p>
      <w:pPr>
        <w:ind w:left="980" w:right="40" w:hanging="324"/>
        <w:spacing w:after="0" w:line="279" w:lineRule="auto"/>
        <w:tabs>
          <w:tab w:leader="none" w:pos="9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Capitalize on our direct relationships with wireless operators, original equipment manufacturers (“OEMs”) and component suppliers. </w:t>
      </w:r>
      <w:r>
        <w:rPr>
          <w:rFonts w:ascii="Arial" w:cs="Arial" w:eastAsia="Arial" w:hAnsi="Arial"/>
          <w:sz w:val="17"/>
          <w:szCs w:val="17"/>
          <w:color w:val="auto"/>
        </w:rPr>
        <w:t>We</w:t>
      </w:r>
      <w:r>
        <w:rPr>
          <w:rFonts w:ascii="Arial" w:cs="Arial" w:eastAsia="Arial" w:hAnsi="Arial"/>
          <w:sz w:val="17"/>
          <w:szCs w:val="17"/>
          <w:i w:val="1"/>
          <w:iCs w:val="1"/>
          <w:color w:val="auto"/>
        </w:rPr>
        <w:t xml:space="preserve"> </w:t>
      </w:r>
      <w:r>
        <w:rPr>
          <w:rFonts w:ascii="Arial" w:cs="Arial" w:eastAsia="Arial" w:hAnsi="Arial"/>
          <w:sz w:val="17"/>
          <w:szCs w:val="17"/>
          <w:color w:val="auto"/>
        </w:rPr>
        <w:t>intend to continue to capitalize on our direct and long-standing relationships with wireless operators, OEMs and component suppliers in order to strengthen our worldwide market position, using these long standing relationships to springboard both the expansion of the 4G and 4G LTE platforms globally, and influence the adoption of our 5G NR products around the world.</w:t>
      </w:r>
    </w:p>
    <w:p>
      <w:pPr>
        <w:spacing w:after="0" w:line="63" w:lineRule="exact"/>
        <w:rPr>
          <w:rFonts w:ascii="Arial" w:cs="Arial" w:eastAsia="Arial" w:hAnsi="Arial"/>
          <w:sz w:val="17"/>
          <w:szCs w:val="17"/>
          <w:i w:val="1"/>
          <w:iCs w:val="1"/>
          <w:color w:val="auto"/>
        </w:rPr>
      </w:pPr>
    </w:p>
    <w:p>
      <w:pPr>
        <w:jc w:val="both"/>
        <w:ind w:left="980" w:right="1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 our IoT solutions portfolio by leveraging our core mobile technologies and platforms developed for our mobile portfolio. </w:t>
      </w:r>
      <w:r>
        <w:rPr>
          <w:rFonts w:ascii="Arial" w:cs="Arial" w:eastAsia="Arial" w:hAnsi="Arial"/>
          <w:sz w:val="18"/>
          <w:szCs w:val="18"/>
          <w:color w:val="auto"/>
        </w:rPr>
        <w:t>We intend</w:t>
      </w:r>
      <w:r>
        <w:rPr>
          <w:rFonts w:ascii="Arial" w:cs="Arial" w:eastAsia="Arial" w:hAnsi="Arial"/>
          <w:sz w:val="18"/>
          <w:szCs w:val="18"/>
          <w:i w:val="1"/>
          <w:iCs w:val="1"/>
          <w:color w:val="auto"/>
        </w:rPr>
        <w:t xml:space="preserve"> </w:t>
      </w:r>
      <w:r>
        <w:rPr>
          <w:rFonts w:ascii="Arial" w:cs="Arial" w:eastAsia="Arial" w:hAnsi="Arial"/>
          <w:sz w:val="18"/>
          <w:szCs w:val="18"/>
          <w:color w:val="auto"/>
        </w:rPr>
        <w:t>to expand our IoT solutions portfolio with end-to-end solutions that include edge devices based on the latest mobile technologies and cloud solutions.</w:t>
      </w:r>
    </w:p>
    <w:p>
      <w:pPr>
        <w:spacing w:after="0" w:line="75" w:lineRule="exact"/>
        <w:rPr>
          <w:rFonts w:ascii="Arial" w:cs="Arial" w:eastAsia="Arial" w:hAnsi="Arial"/>
          <w:sz w:val="18"/>
          <w:szCs w:val="18"/>
          <w:color w:val="auto"/>
        </w:rPr>
      </w:pPr>
    </w:p>
    <w:p>
      <w:pPr>
        <w:ind w:left="980" w:right="60" w:hanging="324"/>
        <w:spacing w:after="0" w:line="342" w:lineRule="auto"/>
        <w:tabs>
          <w:tab w:leader="none" w:pos="98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Aggressively expand our go-to-market offerings through sales and marketing expansion, channel development and strategic partnerships</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intend to expand our go-to-market IoT, mobile and cloud offerings in North America as well as in international markets.</w:t>
      </w:r>
    </w:p>
    <w:p>
      <w:pPr>
        <w:spacing w:after="0" w:line="123" w:lineRule="exact"/>
        <w:rPr>
          <w:rFonts w:ascii="Arial" w:cs="Arial" w:eastAsia="Arial" w:hAnsi="Arial"/>
          <w:sz w:val="16"/>
          <w:szCs w:val="16"/>
          <w:i w:val="1"/>
          <w:iCs w:val="1"/>
          <w:color w:val="auto"/>
        </w:rPr>
      </w:pPr>
    </w:p>
    <w:p>
      <w:pPr>
        <w:ind w:left="980" w:right="2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Improve SaaS solution penetration</w:t>
      </w:r>
      <w:r>
        <w:rPr>
          <w:rFonts w:ascii="Arial" w:cs="Arial" w:eastAsia="Arial" w:hAnsi="Arial"/>
          <w:sz w:val="18"/>
          <w:szCs w:val="18"/>
          <w:color w:val="auto"/>
        </w:rPr>
        <w:t>. Through our Ctrack telematics and asset tracking platform and subscription management solutions,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customers around the world with actionable insights and workflow efficiencies with high security from our cutting-edge cloud platforms.</w:t>
      </w:r>
    </w:p>
    <w:p>
      <w:pPr>
        <w:spacing w:after="0" w:line="183" w:lineRule="exact"/>
        <w:rPr>
          <w:rFonts w:ascii="Arial" w:cs="Arial" w:eastAsia="Arial" w:hAnsi="Arial"/>
          <w:sz w:val="18"/>
          <w:szCs w:val="18"/>
          <w:color w:val="auto"/>
        </w:rPr>
      </w:pPr>
    </w:p>
    <w:p>
      <w:pPr>
        <w:ind w:left="980" w:right="80" w:hanging="324"/>
        <w:spacing w:after="0" w:line="275"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Increase the value of our offerings. </w:t>
      </w:r>
      <w:r>
        <w:rPr>
          <w:rFonts w:ascii="Arial" w:cs="Arial" w:eastAsia="Arial" w:hAnsi="Arial"/>
          <w:sz w:val="17"/>
          <w:szCs w:val="17"/>
          <w:color w:val="auto"/>
        </w:rPr>
        <w:t>As we seek to capitalize on potential growth opportunities, we continue to develop cutting edge IoT,</w:t>
      </w:r>
      <w:r>
        <w:rPr>
          <w:rFonts w:ascii="Arial" w:cs="Arial" w:eastAsia="Arial" w:hAnsi="Arial"/>
          <w:sz w:val="17"/>
          <w:szCs w:val="17"/>
          <w:i w:val="1"/>
          <w:iCs w:val="1"/>
          <w:color w:val="auto"/>
        </w:rPr>
        <w:t xml:space="preserve"> </w:t>
      </w:r>
      <w:r>
        <w:rPr>
          <w:rFonts w:ascii="Arial" w:cs="Arial" w:eastAsia="Arial" w:hAnsi="Arial"/>
          <w:sz w:val="17"/>
          <w:szCs w:val="17"/>
          <w:color w:val="auto"/>
        </w:rPr>
        <w:t>mobile and cloud solutions, with specific focus on end-to-end solutions that enable the best IoT and mobile experience for our customers. In addition, our complete portfolio of advanced 4G solutions in conjunction with our new 5G solution portfolio opens us up to larger worldwide potential markets. Finally, continued investment within both edge devices and cloud platform solutions in predictive analytics, machine learning, and edge intelligence should expand our market opportunities.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0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Sources of Revenue</w:t>
      </w:r>
    </w:p>
    <w:p>
      <w:pPr>
        <w:spacing w:after="0" w:line="33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provide intelligent wireless 3G, 4G and 5G hardware products for the worldwide mobile communications and industrial IoT markets. Our hardware products address multiple vertical markets including private LTE/5G networks, First responders network authority/Firstnet, SD-WAN, telematics, remote monitoring and surveillance, and fixed wireless access and mobile broadband devices. Our broad range of products principally includes intelligent 4G and 5G fixed wireless routers and gateways, and mobile hotspots, and wireless gateways and routers for IIoT applications,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290"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Our MiFi customer base is comprised of wireless operators to whom we provide intelligent fixed and mobile wireless devices. These wireless operators include Verizon Wireless, AT&amp;T, and Sprint in the United States, Rogers in Canada, Telstra in Australia, as well as other international wireless operators, distributors and various companies in other vertical markets and geographies.</w:t>
      </w:r>
    </w:p>
    <w:p>
      <w:pPr>
        <w:spacing w:after="0" w:line="292"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We sell our wireless routers for industrial IoT, integrated telematics and mobile tracking hardware devices through our direct sales force, value-added resellers and through distributors. The customer base for our IIoT products is comprised of transportation companies, industrial enterprises,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also sold under our Ctrack brand and provided as part of our integrated SaaS solutions.</w:t>
      </w:r>
    </w:p>
    <w:p>
      <w:pPr>
        <w:spacing w:after="0" w:line="284"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Inseego sells SaaS, software and services solutions across multiple mobile and industrial IoT vertical markets, including fleet management, vehicle telematics, stolen vehicle recovery, asset tracking, monitoring, business connectivity and subscription management.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265" w:lineRule="exact"/>
        <w:rPr>
          <w:sz w:val="20"/>
          <w:szCs w:val="20"/>
          <w:color w:val="auto"/>
        </w:rPr>
      </w:pPr>
    </w:p>
    <w:p>
      <w:pPr>
        <w:jc w:val="both"/>
        <w:ind w:right="340" w:firstLine="405"/>
        <w:spacing w:after="0" w:line="263" w:lineRule="auto"/>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 and our Device Management Solutions, a hosted SaaS platform that helps organizations manage the selection, deployment and spend of their wireless assets by helping them to save money on personnel and telecom expenses.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years ended December 31, 2019 and 2018, the Company’s total net revenues were $219.5 million and $202.5 million,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IoT and Mobile Business</w:t>
      </w:r>
    </w:p>
    <w:p>
      <w:pPr>
        <w:spacing w:after="0" w:line="333"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IoT business focuses on addressing applications for a variety of markets including large enterprise verticals and industrial IoT markets. These applications include, among others, smart city infrastructure management, remote monitoring and control, SD WAN failover and enterprise connectivity. Our Skyus branded wireless gateways, routers and modems serve as connectivity solutions for the rapidly growing and underpenetrated IoT market segments. Worldwide IoT spending is expected to increase at a 13% compound annual growth rate between 2019 and 2023, surpassing $1.1 trillion (International Data Corporation, 2019). With many enterprise customers using our solutions, we believe that we already have a solid footing in this market. We are continuing to invest and grow this portfolio to realize the opportunities in the growing IoT market.</w:t>
      </w:r>
    </w:p>
    <w:p>
      <w:pPr>
        <w:spacing w:after="0" w:line="286"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mobile business has been driving advanced mobile technologies for a multitude of consumer and enterprise applications for over 20 years. Our product portfolio consists of intelligent mobile broadband solutions, HD quality VoLTE products, residential 4G gateways and an advanced 5G portfolio of products (currently in various stages of development). Our mobile broadband solutions, sold under the MiFi brand, are actively used by millions of end users annually to provide secure and convenient high-speed access to corporate, public and personal information through the Internet and enterprise networks. The introduction of 5G technology is rapidly expanding new enterprise and consumer market use cases and opportunities, including residential broadband gateways, industrial automation, massive machine connectivity and autonomous vehicles. We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499" w:right="359" w:bottom="1440" w:gutter="0" w:footer="0" w:header="0"/>
        </w:sectPr>
      </w:pPr>
    </w:p>
    <w:bookmarkStart w:id="7" w:name="page8"/>
    <w:bookmarkEnd w:id="7"/>
    <w:p>
      <w:pPr>
        <w:ind w:right="220"/>
        <w:spacing w:after="0" w:line="277" w:lineRule="auto"/>
        <w:rPr>
          <w:sz w:val="20"/>
          <w:szCs w:val="20"/>
          <w:color w:val="auto"/>
        </w:rPr>
      </w:pPr>
      <w:r>
        <w:rPr>
          <w:rFonts w:ascii="Arial" w:cs="Arial" w:eastAsia="Arial" w:hAnsi="Arial"/>
          <w:sz w:val="18"/>
          <w:szCs w:val="18"/>
          <w:color w:val="auto"/>
        </w:rPr>
        <w:t>believe we are strategically well placed to realize the opportunity for 5G and we are focused on developing a comprehensive portfolio of 5G products for fixed and mobile wireless applications.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Telematics and Asset Tracking Business</w:t>
      </w:r>
    </w:p>
    <w:p>
      <w:pPr>
        <w:spacing w:after="0" w:line="171"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Inseego entered the telematics software and services industry through the acquisition of Digicore Holdings Limited (which was renamed Ctrack Holdings (Pty) Ltd (“Ctrack”)) in October 2015. Ctrack was founded in South Africa in 1985, and today Ctrack operations span over 50 countries on six continents. Through a series of global acquisitions and mergers, the Ctrack group broadened its international reach by expanding into the United Kingdom, Europe, Australia/New Zealand and the United States, and using distributors in emerging markets such as Asia and the balance of the African continent.</w:t>
      </w:r>
    </w:p>
    <w:p>
      <w:pPr>
        <w:spacing w:after="0" w:line="265" w:lineRule="exact"/>
        <w:rPr>
          <w:sz w:val="20"/>
          <w:szCs w:val="20"/>
          <w:color w:val="auto"/>
        </w:rPr>
      </w:pPr>
    </w:p>
    <w:p>
      <w:pPr>
        <w:ind w:right="100" w:firstLine="391"/>
        <w:spacing w:after="0" w:line="301" w:lineRule="auto"/>
        <w:rPr>
          <w:sz w:val="20"/>
          <w:szCs w:val="20"/>
          <w:color w:val="auto"/>
        </w:rPr>
      </w:pPr>
      <w:r>
        <w:rPr>
          <w:rFonts w:ascii="Arial" w:cs="Arial" w:eastAsia="Arial" w:hAnsi="Arial"/>
          <w:sz w:val="16"/>
          <w:szCs w:val="16"/>
          <w:color w:val="auto"/>
        </w:rPr>
        <w:t>With more than 30 years of experience, we are recognized as a leading global provider of advanced fleet management telematics and asset tracking solutions that add value to a global base of customers. We design, develop and sell a robust range of asset management and monitoring systems using GPS satellite positioning, advanced cellular communications and advanced sensory technologies. The result is innovative solutions ranging from basic track-and-trace, with stolen vehicle response services, to complete integrated enterprise-level solutions for large fleet owners across the globe.</w:t>
      </w:r>
    </w:p>
    <w:p>
      <w:pPr>
        <w:spacing w:after="0" w:line="26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believe that our continued emphasis on development of next-generation products keeps Ctrack ahead of the market, meeting demands for value-added, flexible, feature-rich and cost-effective technology across multiple market verticals. Our solutions, coupled with a proven track record in the successful implementation and support of projects of all sizes worldwide, provide Ctrack with a competitive edge with respect to attracting and retaining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engage in a wide variety of sales and marketing activities, driving market leadership and global demand through integrated marketing campaigns.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product marketing, corporate communications, brand marketing and demand generation.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market for our mobile, IoT and asset tracking/telematics services and solutions is rapidly evolving and highly competitive. It is likely to continue to be affected by new product introductions and industry participants.</w:t>
      </w:r>
    </w:p>
    <w:p>
      <w:pPr>
        <w:spacing w:after="0" w:line="116"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We believe the principal competitive factors impacting the market for our products are features and functionality, performance, quality and brand. To maintain and improve our competitive position, we must continue to expand our customer base, invest in research and development, grow our distribution network, and leverage our strategic relationships.</w:t>
      </w:r>
    </w:p>
    <w:p>
      <w:pPr>
        <w:spacing w:after="0" w:line="13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During 2018, the U.S. government imposed import restrictions on products made by certain mainland China-based companies. These restrictions caused an acceleration of global service providers to direct business from such companies to Inseego. We are actively designing devices for use within such providers’ networks.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products compete with a variety of telematics solutions providers and IoT solutions suppliers. Our current competitors include:</w:t>
      </w:r>
    </w:p>
    <w:p>
      <w:pPr>
        <w:spacing w:after="0" w:line="17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Fleet management SaaS and services providers, such as Fleetmatics, Masternaut, TomTom, Telogis, MiX Telematics and Cartrack;</w:t>
      </w:r>
    </w:p>
    <w:p>
      <w:pPr>
        <w:spacing w:after="0" w:line="12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wireless, Mobile hotspots and wireless data modems providers, such as Netgear, Franklin Wireless, WNC, Sierra Wireless, Nokia, TCL, ZTE and Huawei;</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IoT solution providers, such as Cradlepoint and Sierra Wireless;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experience software solutions and services providers, such as Amdocs.</w:t>
      </w:r>
    </w:p>
    <w:p>
      <w:pPr>
        <w:spacing w:after="0" w:line="171"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We believe that we have advantages over our primary competitors due in varying measure to the broad range of customized solutions that we offer, the ease-of-use of our products and our ability to adapt our products to specific customer needs. As the market for our solutions and services expands, other entrants may seek to compete with us either directly or indirectly.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8"/>
          <w:szCs w:val="18"/>
          <w:color w:val="auto"/>
        </w:rPr>
        <w:t>Our research and development efforts are focused on developing innovative mobile devices, including IoT and advanced gateway solutions in both the 4G LTE and 5G markets, and telematics solutions and services, while improving the functionality, design and performance of our current products and solutions.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03" w:right="339" w:bottom="1440" w:gutter="0" w:footer="0" w:header="0"/>
        </w:sectPr>
      </w:pPr>
    </w:p>
    <w:bookmarkStart w:id="8" w:name="page9"/>
    <w:bookmarkEnd w:id="8"/>
    <w:p>
      <w:pPr>
        <w:ind w:firstLine="405"/>
        <w:spacing w:after="0" w:line="259" w:lineRule="auto"/>
        <w:rPr>
          <w:sz w:val="20"/>
          <w:szCs w:val="20"/>
          <w:color w:val="auto"/>
        </w:rPr>
      </w:pPr>
      <w:r>
        <w:rPr>
          <w:rFonts w:ascii="Arial" w:cs="Arial" w:eastAsia="Arial" w:hAnsi="Arial"/>
          <w:sz w:val="18"/>
          <w:szCs w:val="18"/>
          <w:color w:val="auto"/>
        </w:rPr>
        <w:t>We intend to continue to identify and respond to our customers’ needs by introducing new SaaS, IoT and mobile solutions and product designs that meet the needs of the market and our customers, with an emphasis on creating next generation wireless product platforms targeting mass market initiatives in high growth verticals and technologies such as 5G NR and easy-to-use products and services that enable customers to connect, track, and manage their business systems and assets.</w:t>
      </w:r>
    </w:p>
    <w:p>
      <w:pPr>
        <w:spacing w:after="0" w:line="295" w:lineRule="exact"/>
        <w:rPr>
          <w:sz w:val="20"/>
          <w:szCs w:val="20"/>
          <w:color w:val="auto"/>
        </w:rPr>
      </w:pPr>
    </w:p>
    <w:p>
      <w:pPr>
        <w:ind w:right="300" w:firstLine="405"/>
        <w:spacing w:after="0" w:line="311" w:lineRule="auto"/>
        <w:rPr>
          <w:sz w:val="20"/>
          <w:szCs w:val="20"/>
          <w:color w:val="auto"/>
        </w:rPr>
      </w:pPr>
      <w:r>
        <w:rPr>
          <w:rFonts w:ascii="Arial" w:cs="Arial" w:eastAsia="Arial" w:hAnsi="Arial"/>
          <w:sz w:val="16"/>
          <w:szCs w:val="16"/>
          <w:color w:val="auto"/>
        </w:rPr>
        <w:t>We manage our research and development through a structured life-cycle process, from identifying initial customer requirements through development and commercial introduction to eventual phase-out. During product development, emphasis is placed on quality, reliability, performance, time-to-market, meeting industry standards and customer-product specifications, ease of integration, cost reduction, and manufacturability.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solutions rely on and benefit from our portfolio of intellectual property, including patents and trademarks. We currently own 79 patents and have 3 patent applications pending. The patents that we currently own expire at various times between 2020 and 2035.</w:t>
      </w:r>
    </w:p>
    <w:p>
      <w:pPr>
        <w:spacing w:after="0" w:line="62" w:lineRule="exact"/>
        <w:rPr>
          <w:sz w:val="20"/>
          <w:szCs w:val="20"/>
          <w:color w:val="auto"/>
        </w:rPr>
      </w:pPr>
    </w:p>
    <w:p>
      <w:pPr>
        <w:jc w:val="both"/>
        <w:ind w:right="420" w:firstLine="405"/>
        <w:spacing w:after="0" w:line="263" w:lineRule="auto"/>
        <w:rPr>
          <w:sz w:val="20"/>
          <w:szCs w:val="20"/>
          <w:color w:val="auto"/>
        </w:rPr>
      </w:pPr>
      <w:r>
        <w:rPr>
          <w:rFonts w:ascii="Arial" w:cs="Arial" w:eastAsia="Arial" w:hAnsi="Arial"/>
          <w:sz w:val="18"/>
          <w:szCs w:val="18"/>
          <w:color w:val="auto"/>
        </w:rPr>
        <w:t>We, along with our subsidiaries, also hold a number of trademarks or registered trademarks including “Inseego”, “Inseego North America”, the Inseego logo, “DigiCore”, “Ctrack”, the Ctrack logo, “Skyus”, “Novatel Wireless”, the Novatel Wireless logo, “MiFi”, and “MiFi Intelligent Mobile Hotspot”.</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Partners and Customers</w:t>
      </w:r>
    </w:p>
    <w:p>
      <w:pPr>
        <w:spacing w:after="0" w:line="283"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We have strategic technology, development and marketing relationships with several of our customers and partners. Our strong customer and partner relationships provide us with the opportunity to expand our market reach and sales. We partner with leading OEMs, wireless telecom service providers, wireless network infrastructure providers such as Ericsson and Nokia, value-added resellers and distributors which allows us to offer customers integrated and holistic solutions. Ctrack uses leading cellular providers such as AT&amp;T, Sprint, T-Mobile, Vodafone, MTN, Telstra and Optus to ensure the optimal real-time visibility of tracked vehicles and systems, supported by accurate and sophisticated mapping services such as the HERE Open Location Platform.</w:t>
      </w:r>
    </w:p>
    <w:p>
      <w:pPr>
        <w:spacing w:after="0" w:line="269"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Customers for our products include transportation companies, industrial companies, governmental agencies, manufacturers, application service providers, system integrators and distributors and enterprises in various industries, including fleet and vehicle transportation, finance, accounting, legal, insurance, energy and industrial automation, security and safety, medical monitoring and government.</w:t>
      </w:r>
    </w:p>
    <w:p>
      <w:pPr>
        <w:spacing w:after="0" w:line="273"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Our telematics customer base is comprised of wireless operators, distributors, OEMs and various companies in other vertical markets. Fleet management customers include global enterprises such as BHP Billiton, Super Group, Mammoet and Australia Post. Our customers for our business connectivity products include EnerNOC, Thermo Fisher Scientific, US Army, Fastenal, T-Mobile, Sprint and Verizon Wireless, amongst others. Our customers for our device management solutions include T-Mobile and Sprint.</w:t>
      </w:r>
    </w:p>
    <w:p>
      <w:pPr>
        <w:spacing w:after="0" w:line="295"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A significant portion of our revenue during the year ended December 31, 2019 came from one customer, Verizon Wireless, which represented approximately 53% of our total revenues for the year ended December 31, 2019. It is our intention to diversify our customer base.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83"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hardware used in our solutions is produced by contract manufacturers. Our primary contract manufacturers include Hon Hai Precision Industry Co., Ltd. (“Foxconn”) and Inventec Appliance Corporation (IAC), each of whom manufactures our product outside of mainland China. Under our manufacturing agreements, such contract manufacturers provide us with services including component procurement, product manufacturing, final assembly, testing, quality control and fulfillment. These contract manufacturers are located in Asia and are able to produce our products using modern state-of-the-art equipment and facilities with relatively low-cost labor.</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outsource our manufacturing in an effort to:</w:t>
      </w:r>
    </w:p>
    <w:p>
      <w:pPr>
        <w:spacing w:after="0" w:line="6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503" w:right="439" w:bottom="1440" w:gutter="0" w:footer="0" w:header="0"/>
        </w:sectPr>
      </w:pPr>
    </w:p>
    <w:bookmarkStart w:id="9" w:name="page10"/>
    <w:bookmarkEnd w:id="9"/>
    <w:p>
      <w:pPr>
        <w:ind w:firstLine="432"/>
        <w:spacing w:after="0" w:line="263" w:lineRule="auto"/>
        <w:rPr>
          <w:sz w:val="20"/>
          <w:szCs w:val="20"/>
          <w:color w:val="auto"/>
        </w:rPr>
      </w:pPr>
      <w:r>
        <w:rPr>
          <w:rFonts w:ascii="Arial" w:cs="Arial" w:eastAsia="Arial" w:hAnsi="Arial"/>
          <w:sz w:val="18"/>
          <w:szCs w:val="18"/>
          <w:color w:val="auto"/>
        </w:rPr>
        <w:t>Our operations team manages our relationships with the contract manufacturers as well as other key suppliers. Our operations team focuses on supply chain management and logistics, product quality, inventory and cost optimization, customer fulfillment and new product introduction. We develop and control the software that goes on our devices.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8"/>
          <w:szCs w:val="18"/>
          <w:color w:val="auto"/>
        </w:rPr>
        <w:t>At December 31, 2019, we had 938 employees. We also use the services of consultants and temporary workers from time to time. With the exception of a small number of our employees in South Africa, our employees are not represented by any collective bargaining unit and we consider our relationship with our employees to be good.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12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maintain an Internet website at www.inseego.com.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i w:val="1"/>
          <w:iCs w:val="1"/>
          <w:color w:val="auto"/>
        </w:rPr>
        <w:t>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Some of the risks and uncertainties described herein have been grouped so that related risks can be viewed together. You should not draw conclusions regarding the relative magnitude or likelihood of any risk based on the order in which risks or uncertainties are presented herein. If any of the following risks actually occur, our business could be materially harmed, and our financial condition and results of operations could be materially and adversely affected. As a result, the trading price of our securities could decline. You should also refer to the other information contained in this Annual Report on Form 10-K, including our consolidated financial statements and the related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 RELATING TO OUR BUSINESS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fluctuate in the future, which could cause declines or volatility in the price of our common stock.</w:t>
      </w:r>
    </w:p>
    <w:p>
      <w:pPr>
        <w:spacing w:after="0" w:line="11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Our quarterly operating results have fluctuated in the past and may fluctuate in the future as a result of a variety of factors, many of which are outside of our control. If our quarterly operating results or guidance fall below the expectations of research analysts or investors, the price of our common stock could decline substantially. The following factors, among others, could cause fluctuations in our quarterly operating results:</w:t>
      </w:r>
    </w:p>
    <w:p>
      <w:pPr>
        <w:spacing w:after="0" w:line="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accurately predict changes in customer demand due to matters beyond our control;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introduce new features, including integration of our existing solutions with third-party software and devices;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actions of our competitors, including consolidation within the industry, pricing changes or the introduction of new services;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successfully manage and realize the anticipated benefits of any future acquisitions of businesses, solutions or technologies;</w:t>
      </w:r>
    </w:p>
    <w:p>
      <w:pPr>
        <w:spacing w:after="0" w:line="86" w:lineRule="exact"/>
        <w:rPr>
          <w:rFonts w:ascii="Arial" w:cs="Arial" w:eastAsia="Arial" w:hAnsi="Arial"/>
          <w:sz w:val="16"/>
          <w:szCs w:val="16"/>
          <w:color w:val="auto"/>
        </w:rPr>
      </w:pPr>
    </w:p>
    <w:p>
      <w:pPr>
        <w:ind w:left="980" w:right="6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launch new services or solutions or sell existing services or solutions into additional geographies or vertical markets;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cost of developing or acquiring technologies, services or businesses;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operating costs, and capital expenditures related to the operation, maintenance and expansion of our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service outages or security breaches and any related occurrences which could impact our reputation;</w:t>
      </w:r>
    </w:p>
    <w:p>
      <w:pPr>
        <w:spacing w:after="0" w:line="63"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worldwide economic, industry, and market conditions, including disruptions in financial markets and the deterioration of the underlying economic conditions in some countries, and those conditions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449" w:right="359" w:bottom="1440" w:gutter="0" w:footer="0" w:header="0"/>
        </w:sectPr>
      </w:pPr>
    </w:p>
    <w:bookmarkStart w:id="10" w:name="page11"/>
    <w:bookmarkEnd w:id="10"/>
    <w:p>
      <w:pPr>
        <w:ind w:left="980"/>
        <w:spacing w:after="0"/>
        <w:rPr>
          <w:sz w:val="20"/>
          <w:szCs w:val="20"/>
          <w:color w:val="auto"/>
        </w:rPr>
      </w:pPr>
      <w:r>
        <w:rPr>
          <w:rFonts w:ascii="Arial" w:cs="Arial" w:eastAsia="Arial" w:hAnsi="Arial"/>
          <w:sz w:val="18"/>
          <w:szCs w:val="18"/>
          <w:color w:val="auto"/>
        </w:rPr>
        <w:t>specific to Internet usage and online businesses;</w:t>
      </w:r>
    </w:p>
    <w:p>
      <w:pPr>
        <w:spacing w:after="0" w:line="63" w:lineRule="exact"/>
        <w:rPr>
          <w:sz w:val="20"/>
          <w:szCs w:val="20"/>
          <w:color w:val="auto"/>
        </w:rPr>
      </w:pPr>
    </w:p>
    <w:p>
      <w:pPr>
        <w:ind w:left="980" w:right="2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recent outbreak of the 2019 novel coronavirus (2019-nCoV), now known as “COVID-19”, which could extend lead times in our supply chain and lengthen sales cycles with our customers;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South African Rand to U.S. Dollar exchange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protection measures (such as tariffs and duties) and import or export licensing requirements;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 and regulations affecting our business; and</w:t>
      </w:r>
    </w:p>
    <w:p>
      <w:pPr>
        <w:spacing w:after="0" w:line="63"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 of fleet management solutions or asset management solutions from cellular carrier-controlled or OEM-controlled channels from which Inseego may be excluded.</w:t>
      </w:r>
    </w:p>
    <w:p>
      <w:pPr>
        <w:spacing w:after="0" w:line="116" w:lineRule="exact"/>
        <w:rPr>
          <w:sz w:val="20"/>
          <w:szCs w:val="20"/>
          <w:color w:val="auto"/>
        </w:rPr>
      </w:pPr>
    </w:p>
    <w:p>
      <w:pPr>
        <w:ind w:right="700" w:firstLine="405"/>
        <w:spacing w:after="0" w:line="308" w:lineRule="auto"/>
        <w:rPr>
          <w:sz w:val="20"/>
          <w:szCs w:val="20"/>
          <w:color w:val="auto"/>
        </w:rPr>
      </w:pPr>
      <w:r>
        <w:rPr>
          <w:rFonts w:ascii="Arial" w:cs="Arial" w:eastAsia="Arial" w:hAnsi="Arial"/>
          <w:sz w:val="17"/>
          <w:szCs w:val="17"/>
          <w:color w:val="auto"/>
        </w:rPr>
        <w:t>We believe that our quarterly revenue and operating results may vary significantly in the future and that period-to-period comparisons of our operating results may not be meaningful. You should not rely on the results of any quarter as an indication of future performance.</w:t>
      </w:r>
    </w:p>
    <w:p>
      <w:pPr>
        <w:spacing w:after="0" w:line="2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an accumulated deficit and may not be able to achieve or sustain profitability, which may negatively impact our ability to achieve our business objectives.</w:t>
      </w:r>
    </w:p>
    <w:p>
      <w:pPr>
        <w:spacing w:after="0" w:line="22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have reported net losses in each of the last four fiscal years, and we cannot predict when we will become profitable or if such profitability can be sustained. We expect to continue making significant expenditures to develop and expand our business. Any growth in our revenue or customer base may not be sustainable, and we may not generate sufficient revenue to become profitable. We may incur significant losses in the future for a number of reasons, including the other risks described in this section, and we may encounter unforeseen expenses, difficulties, complications and delays and other unknown events. Accordingly, we may not be able to achieve or sustain profitability, and the failure to fund our capital requirements may negatively impact our ability to achieve our business objectives.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successfully integrate our acquired companies could adversely affect our business and operations.</w:t>
      </w:r>
    </w:p>
    <w:p>
      <w:pPr>
        <w:spacing w:after="0" w:line="171" w:lineRule="exact"/>
        <w:rPr>
          <w:sz w:val="20"/>
          <w:szCs w:val="20"/>
          <w:color w:val="auto"/>
        </w:rPr>
      </w:pPr>
    </w:p>
    <w:p>
      <w:pPr>
        <w:ind w:right="140" w:firstLine="391"/>
        <w:spacing w:after="0" w:line="263" w:lineRule="auto"/>
        <w:rPr>
          <w:sz w:val="20"/>
          <w:szCs w:val="20"/>
          <w:color w:val="auto"/>
        </w:rPr>
      </w:pPr>
      <w:r>
        <w:rPr>
          <w:rFonts w:ascii="Arial" w:cs="Arial" w:eastAsia="Arial" w:hAnsi="Arial"/>
          <w:sz w:val="18"/>
          <w:szCs w:val="18"/>
          <w:color w:val="auto"/>
        </w:rPr>
        <w:t>In connection with our acquisitions of Feeney Wireless, LLC (which was renamed Inseego North America, LLC (“INA”)) and Ctrack, we are continuing to integrate our information systems and infrastructure for the combined businesses. There are a number of risks associated with such a system integration effort, including the following:</w:t>
      </w:r>
    </w:p>
    <w:p>
      <w:pPr>
        <w:spacing w:after="0" w:line="76" w:lineRule="exact"/>
        <w:rPr>
          <w:sz w:val="20"/>
          <w:szCs w:val="20"/>
          <w:color w:val="auto"/>
        </w:rPr>
      </w:pPr>
    </w:p>
    <w:p>
      <w:pPr>
        <w:ind w:left="980" w:hanging="324"/>
        <w:spacing w:after="0" w:line="25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systems from acquired businesses is a difficult, expensive and time-consuming process and the failure to successfully manage such integrations could adversely affect our financial condition and results of operations; and</w:t>
      </w:r>
    </w:p>
    <w:p>
      <w:pPr>
        <w:spacing w:after="0" w:line="1" w:lineRule="exact"/>
        <w:rPr>
          <w:rFonts w:ascii="Arial" w:cs="Arial" w:eastAsia="Arial" w:hAnsi="Arial"/>
          <w:sz w:val="18"/>
          <w:szCs w:val="18"/>
          <w:color w:val="auto"/>
        </w:rPr>
      </w:pPr>
    </w:p>
    <w:p>
      <w:pPr>
        <w:ind w:left="980" w:right="420" w:hanging="324"/>
        <w:spacing w:after="0" w:line="255"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acquisitions of INA and Ctrack changed the nature of the business in which we historically operated from primarily selling communications-related hardware to include a solutions and software business in the emerging IoT market, and the systems necessary to support these businesses are very different.</w:t>
      </w:r>
    </w:p>
    <w:p>
      <w:pPr>
        <w:spacing w:after="0" w:line="82" w:lineRule="exact"/>
        <w:rPr>
          <w:sz w:val="20"/>
          <w:szCs w:val="20"/>
          <w:color w:val="auto"/>
        </w:rPr>
      </w:pPr>
    </w:p>
    <w:p>
      <w:pPr>
        <w:ind w:right="240" w:firstLine="391"/>
        <w:spacing w:after="0" w:line="277" w:lineRule="auto"/>
        <w:rPr>
          <w:sz w:val="20"/>
          <w:szCs w:val="20"/>
          <w:color w:val="auto"/>
        </w:rPr>
      </w:pPr>
      <w:r>
        <w:rPr>
          <w:rFonts w:ascii="Arial" w:cs="Arial" w:eastAsia="Arial" w:hAnsi="Arial"/>
          <w:sz w:val="18"/>
          <w:szCs w:val="18"/>
          <w:color w:val="auto"/>
        </w:rPr>
        <w:t>If we are not able to effectively integrate these businesses, or fail to address the changed nature of our business as part of our integration initiatives, our financial condition and results of operations may be adversely affected.</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5G market may take longer to materialize than we expect or, if it does materialize rapidly, we may not be able to meet the development schedule and other customer demands.</w:t>
      </w:r>
    </w:p>
    <w:p>
      <w:pPr>
        <w:spacing w:after="0" w:line="170"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Growth of the 5G market and its emerging standards, including the newly defined 5G NR standard, is accelerating and we believe that we are at the forefront of this newly emerging standard. However, this market may take longer to materialize than we expect which could delay important commercial network launches. Even if the market does materialize at the rapid pace that we are expecting, we may have difficulties meeting aggressive timing expectations of our current customers and getting our target products to market on time to meet the demands of our target customers. The 5G market requires us to design routers and antennas that meet certain technical specifications. We may have difficulties meeting the market and technical specifications and time lines. Additionally, our target customers have no guarantee that the configurations of their respective target products will be successful or that they can reach the appropriate target client base to provide a positive return on the research and development investments we are making in the 5G market. We are pursuing 5G opportunities in the United States and abroad. 5G markets outside of the United States will develop at different rates and we will encounter these challenges to varying degrees in different countries. Failure to manage challenges related to 5G markets and opportunities could have a material adverse effect on our financial condition and results of operations.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95" w:right="339" w:bottom="1440" w:gutter="0" w:footer="0" w:header="0"/>
        </w:sectPr>
      </w:pPr>
    </w:p>
    <w:bookmarkStart w:id="11" w:name="page12"/>
    <w:bookmarkEnd w:id="11"/>
    <w:p>
      <w:pPr>
        <w:ind w:right="120"/>
        <w:spacing w:after="0" w:line="277" w:lineRule="auto"/>
        <w:rPr>
          <w:sz w:val="20"/>
          <w:szCs w:val="20"/>
          <w:color w:val="auto"/>
        </w:rPr>
      </w:pPr>
      <w:r>
        <w:rPr>
          <w:rFonts w:ascii="Arial" w:cs="Arial" w:eastAsia="Arial" w:hAnsi="Arial"/>
          <w:sz w:val="18"/>
          <w:szCs w:val="18"/>
          <w:b w:val="1"/>
          <w:bCs w:val="1"/>
          <w:i w:val="1"/>
          <w:iCs w:val="1"/>
          <w:color w:val="auto"/>
        </w:rPr>
        <w:t>Our plan to position the Company as a leading provider of industrial IoT products and services to its customer base could subject us to increased costs and related risks and may not achieve the intended results.</w:t>
      </w:r>
    </w:p>
    <w:p>
      <w:pPr>
        <w:spacing w:after="0" w:line="62"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Our strategic plan to position the Company as a leading provider of high value industrial IoT products and services could subject us to unexpected costs and risks. Such activities could subject us to increased operating costs, product liability, regulatory requirements and reputational risks. Our expansion into new and existing markets and implementation of our strategic plan may present competitive and distribution challenges that differ from those of our historical business model. We may be less familiar with the target customers and may face different or additional risks, as well as increased or unexpected costs, compared to existing operations. Growth into new markets may also bring us into direct competition with companies with whom we have little or no past experience as competitors. To the extent we are reliant upon expansion into new product markets and implementation of our strategic plan for growth and do not meet the new challenges posed by such expansion and implementation, our future sales growth could be negatively impacted, our operating costs could increase, and our business operations and financial results could be negatively affected. Implementing our plan to position the Company as a leading provider of industrial IoT products and solutions has required, and is expected to continue to require, additional investments by the Company in both product development and go-to-market resources and additional attention from management, and if not successful, we may not realize the return on our investments as anticipated or our operating results could be adversely affected by slower than expected sales growth or additional costs.</w:t>
      </w:r>
    </w:p>
    <w:p>
      <w:pPr>
        <w:spacing w:after="0" w:line="11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146"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development of new solutions for mobile broadband data, vehicle tracking, asset management, fleet management and telemetry applications can be difficult, time-consuming and costly. There are inherent risks and uncertainties associated with offering new products and services, especially when new markets are not fully developed, related technology standards are not mature, or when the laws and regulations regarding a new product or solution are not mature. Factors outside of our control, such as developing laws and regulations, regulatory orders, competitive product offerings and changes in commercial and consumer demand for products or services may also materially impact the successful implementation of new products or services. As we introduce new products or solutions, our current customers may not require or desire the features of these new offerings and may not purchase them or might purchase them in smaller quantities than we had expected. We may face similar risks that our products or solutions will not be accepted by customers as we enter new markets for our solutions, both in the United States and international markets.</w:t>
      </w:r>
    </w:p>
    <w:p>
      <w:pPr>
        <w:spacing w:after="0" w:line="5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Further, as part of our business, we may enter into contracts with some customers in which we would agree to develop products or solutions that we would sell to such customers. Our ability to generate future revenue and operating income under any such contracts would depend upon, among other factors, our ability to timely and profitably develop products or solutions that can be cost-effectively deployed and that meet required design, technical and performance specifications.</w:t>
      </w:r>
    </w:p>
    <w:p>
      <w:pPr>
        <w:spacing w:after="0" w:line="7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An assertion by a third party that we are infringing its intellectual property could subject us to costly and time- consuming litigation or expensive licenses and our business could be harmed.</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technology industries involving mobile data communications, IoT devices, software and services are characterized by the existence of a large number of patents, copyrights, trademarks and trade secrets and by frequent litigation based on 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One or more patent infringement lawsuits from non-practicing entities are brought against us or our subsidiaries each year in the ordinary course of business.</w:t>
      </w:r>
    </w:p>
    <w:p>
      <w:pPr>
        <w:spacing w:after="0" w:line="296"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 technology might not be successful and, in any case, might substantially increase our costs and harm our business, financial condition and operating results. Withdrawal of any of our products or solutions from the market could harm our business, financial condition and operating results.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03" w:right="339" w:bottom="1440" w:gutter="0" w:footer="0" w:header="0"/>
        </w:sectPr>
      </w:pPr>
    </w:p>
    <w:bookmarkStart w:id="12" w:name="page13"/>
    <w:bookmarkEnd w:id="12"/>
    <w:p>
      <w:pPr>
        <w:ind w:right="60" w:firstLine="405"/>
        <w:spacing w:after="0" w:line="254" w:lineRule="auto"/>
        <w:rPr>
          <w:sz w:val="20"/>
          <w:szCs w:val="20"/>
          <w:color w:val="auto"/>
        </w:rPr>
      </w:pPr>
      <w:r>
        <w:rPr>
          <w:rFonts w:ascii="Arial" w:cs="Arial" w:eastAsia="Arial" w:hAnsi="Arial"/>
          <w:sz w:val="18"/>
          <w:szCs w:val="18"/>
          <w:color w:val="auto"/>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and proprietary rights, our competitive position and our business could be harmed.</w:t>
      </w:r>
    </w:p>
    <w:p>
      <w:pPr>
        <w:spacing w:after="0" w:line="237" w:lineRule="exact"/>
        <w:rPr>
          <w:sz w:val="20"/>
          <w:szCs w:val="20"/>
          <w:color w:val="auto"/>
        </w:rPr>
      </w:pPr>
    </w:p>
    <w:p>
      <w:pPr>
        <w:ind w:right="140" w:firstLine="432"/>
        <w:spacing w:after="0" w:line="296" w:lineRule="auto"/>
        <w:rPr>
          <w:sz w:val="20"/>
          <w:szCs w:val="20"/>
          <w:color w:val="auto"/>
        </w:rPr>
      </w:pPr>
      <w:r>
        <w:rPr>
          <w:rFonts w:ascii="Arial" w:cs="Arial" w:eastAsia="Arial" w:hAnsi="Arial"/>
          <w:sz w:val="16"/>
          <w:szCs w:val="16"/>
          <w:color w:val="auto"/>
        </w:rPr>
        <w:t>We rely on a combination of patent laws, trademark laws, copyright laws, trade secrets, confidentiality procedures and contractual provisions to protect our intellectual property and proprietary rights. However, our issued patents and any future patents that may be issued may not survive a legal challenge to their scope, validity or enforceability, or provide significant protection for us. The failure of our patents to adequately protect our technology might make it easier for our competitors to offer similar products or technologies. In addition, patents may not issue from any of our current or any future applications and significant portions of our intellectual property are held in the form of trade secrets which are not protected by patents.</w:t>
      </w:r>
    </w:p>
    <w:p>
      <w:pPr>
        <w:spacing w:after="0" w:line="10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Monitoring unauthorized use of our intellectual property is difficult and costly.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In addition, the laws of many countries do not protect our proprietary rights to as great an extent as do the laws of the United States. Any failure by us to meaningfully protect our intellectual property could result in competitors offering products that incorporate our most technologically advanced features, which could seriously reduce demand for our products and solutions. In addition, we may in the future need to initiate infringement claims or litigation. Litigation, whether we are a plaintiff or a defendant, can be expensive, time consuming and may divert the efforts of our technical staff and managerial personnel, which could harm our business, whether or not such litigation results in a determination favorable to us.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maintain and expand our business if we are not able to hire, retain and manage additional qualified personnel.</w:t>
      </w:r>
    </w:p>
    <w:p>
      <w:pPr>
        <w:spacing w:after="0" w:line="129" w:lineRule="exact"/>
        <w:rPr>
          <w:sz w:val="20"/>
          <w:szCs w:val="20"/>
          <w:color w:val="auto"/>
        </w:rPr>
      </w:pPr>
    </w:p>
    <w:p>
      <w:pPr>
        <w:ind w:right="40" w:firstLine="432"/>
        <w:spacing w:after="0" w:line="301" w:lineRule="auto"/>
        <w:rPr>
          <w:sz w:val="20"/>
          <w:szCs w:val="20"/>
          <w:color w:val="auto"/>
        </w:rPr>
      </w:pPr>
      <w:r>
        <w:rPr>
          <w:rFonts w:ascii="Arial" w:cs="Arial" w:eastAsia="Arial" w:hAnsi="Arial"/>
          <w:sz w:val="16"/>
          <w:szCs w:val="16"/>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in the event that we acquire another business or company, the success of any acquisition will depend in part on our retention and integration of key personnel from the acquired company or business.</w:t>
      </w:r>
    </w:p>
    <w:p>
      <w:pPr>
        <w:spacing w:after="0" w:line="10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mobile hotspot business is subject to a number of challenges that are difficult to overcome.</w:t>
      </w:r>
    </w:p>
    <w:p>
      <w:pPr>
        <w:spacing w:after="0" w:line="279" w:lineRule="exact"/>
        <w:rPr>
          <w:sz w:val="20"/>
          <w:szCs w:val="20"/>
          <w:color w:val="auto"/>
        </w:rPr>
      </w:pPr>
    </w:p>
    <w:p>
      <w:pPr>
        <w:ind w:firstLine="391"/>
        <w:spacing w:after="0" w:line="253" w:lineRule="auto"/>
        <w:rPr>
          <w:sz w:val="20"/>
          <w:szCs w:val="20"/>
          <w:color w:val="auto"/>
        </w:rPr>
      </w:pPr>
      <w:r>
        <w:rPr>
          <w:rFonts w:ascii="Arial" w:cs="Arial" w:eastAsia="Arial" w:hAnsi="Arial"/>
          <w:sz w:val="18"/>
          <w:szCs w:val="18"/>
          <w:color w:val="auto"/>
        </w:rPr>
        <w:t>The mobile hotspot business has relatively low gross margins and operates in a very competitive market environment. While our mobile hotspot products tend to have advanced features which often enable them to be sold at premium prices when they are first introduced, we also have higher costs than most of our competitors due to our small scale and heavy use of U.S. based engineers in product development. Many of our competitors have substantially greater resources and scale, as would be expected in the relatively mature, consumer electronics product categories which comprise our mobile hotspot business. Our wireless data modem and mobile hotspots, for example, compete against similar products offered by Huawei, ZTE, Sierra Wireless, TCL, Franklin Wireless, WNC, Nokia and NetGear. More broadly, those products also compete against wireless handset manufacturers such as HTC, Apple, LG and Samsung, which all offer mobile hotspot capability as a feature of their cellular smartphones. Failure to manage these challenges, or failure of our hotspot product or service offerings to be successful and profitable, could have a material adverse effect on our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service requirements are significant, and we may not have sufficient cash flow from our business to pay our substantial debt.</w:t>
      </w:r>
    </w:p>
    <w:p>
      <w:pPr>
        <w:spacing w:after="0" w:line="129" w:lineRule="exact"/>
        <w:rPr>
          <w:sz w:val="20"/>
          <w:szCs w:val="20"/>
          <w:color w:val="auto"/>
        </w:rPr>
      </w:pPr>
    </w:p>
    <w:p>
      <w:pPr>
        <w:ind w:right="240" w:firstLine="391"/>
        <w:spacing w:after="0" w:line="277"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term loan (the “Term Loan”) under our Credit Agreement (as defined below), and the 5.50% convertible senior notes due</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341" w:right="379" w:bottom="1440" w:gutter="0" w:footer="0" w:header="0"/>
        </w:sectPr>
      </w:pPr>
    </w:p>
    <w:bookmarkStart w:id="13" w:name="page14"/>
    <w:bookmarkEnd w:id="13"/>
    <w:p>
      <w:pPr>
        <w:ind w:right="40"/>
        <w:spacing w:after="0" w:line="273" w:lineRule="auto"/>
        <w:rPr>
          <w:sz w:val="20"/>
          <w:szCs w:val="20"/>
          <w:color w:val="auto"/>
        </w:rPr>
      </w:pPr>
      <w:r>
        <w:rPr>
          <w:rFonts w:ascii="Arial" w:cs="Arial" w:eastAsia="Arial" w:hAnsi="Arial"/>
          <w:sz w:val="17"/>
          <w:szCs w:val="17"/>
          <w:color w:val="auto"/>
        </w:rPr>
        <w:t>2022 (the “Inseego Notes” ),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capital markets and our financial condition at such time. We may not be able to engage in any of these activities or engage in these activities on favorable terms, which could result in a default on our debt obligations.</w:t>
      </w:r>
    </w:p>
    <w:p>
      <w:pPr>
        <w:spacing w:after="0" w:line="232" w:lineRule="exact"/>
        <w:rPr>
          <w:sz w:val="20"/>
          <w:szCs w:val="20"/>
          <w:color w:val="auto"/>
        </w:rPr>
      </w:pPr>
    </w:p>
    <w:p>
      <w:pPr>
        <w:ind w:right="320" w:firstLine="391"/>
        <w:spacing w:after="0" w:line="277" w:lineRule="auto"/>
        <w:rPr>
          <w:sz w:val="20"/>
          <w:szCs w:val="20"/>
          <w:color w:val="auto"/>
        </w:rPr>
      </w:pPr>
      <w:r>
        <w:rPr>
          <w:rFonts w:ascii="Arial" w:cs="Arial" w:eastAsia="Arial" w:hAnsi="Arial"/>
          <w:sz w:val="18"/>
          <w:szCs w:val="18"/>
          <w:color w:val="auto"/>
        </w:rPr>
        <w:t>Interest rates on our Term Loan are tied to the LIBOR plus a fixed percentage. Increases in the LIBOR will increase our debt service costs/interest payments.</w:t>
      </w:r>
    </w:p>
    <w:p>
      <w:pPr>
        <w:spacing w:after="0" w:line="224" w:lineRule="exact"/>
        <w:rPr>
          <w:sz w:val="20"/>
          <w:szCs w:val="20"/>
          <w:color w:val="auto"/>
        </w:rPr>
      </w:pPr>
    </w:p>
    <w:p>
      <w:pPr>
        <w:ind w:right="100" w:firstLine="391"/>
        <w:spacing w:after="0" w:line="279" w:lineRule="auto"/>
        <w:rPr>
          <w:sz w:val="20"/>
          <w:szCs w:val="20"/>
          <w:color w:val="auto"/>
        </w:rPr>
      </w:pPr>
      <w:r>
        <w:rPr>
          <w:rFonts w:ascii="Arial" w:cs="Arial" w:eastAsia="Arial" w:hAnsi="Arial"/>
          <w:sz w:val="17"/>
          <w:szCs w:val="17"/>
          <w:color w:val="auto"/>
        </w:rPr>
        <w:t>If we are unable to generate sufficient cash flow or otherwise obtain funds necessary to make required payments, or if we fail to comply with the various requirements of our existing indebtedness or any other indebtedness which we may incur in the future, we would be in default, which could permit the holders of our indebtedness, including the Term Loan and the Inseego Notes, to accelerate the maturity of such indebtedness. Any default under such indebtedness could have a material adverse effect on our business,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method for determining LIBOR and the potential replacement of LIBOR may affect interest rates on our credit facilities.</w:t>
      </w:r>
    </w:p>
    <w:p>
      <w:pPr>
        <w:spacing w:after="0" w:line="129" w:lineRule="exact"/>
        <w:rPr>
          <w:sz w:val="20"/>
          <w:szCs w:val="20"/>
          <w:color w:val="auto"/>
        </w:rPr>
      </w:pPr>
    </w:p>
    <w:p>
      <w:pPr>
        <w:ind w:firstLine="391"/>
        <w:spacing w:after="0" w:line="291" w:lineRule="auto"/>
        <w:rPr>
          <w:sz w:val="20"/>
          <w:szCs w:val="20"/>
          <w:color w:val="auto"/>
        </w:rPr>
      </w:pPr>
      <w:r>
        <w:rPr>
          <w:rFonts w:ascii="Arial" w:cs="Arial" w:eastAsia="Arial" w:hAnsi="Arial"/>
          <w:sz w:val="16"/>
          <w:szCs w:val="16"/>
          <w:color w:val="auto"/>
        </w:rPr>
        <w:t>LIBOR, the London interbank offered rate, is the basic rate of interest used in lending between banks on the London interbank market and is widely used as a reference for setting the interest rate on loans globally. Interest rates under our Credit Agreement are based on either LIBOR or a base rate, plus a spread over the applicable index. On July 27, 2017, the United Kingdom’s Financial Conduct Authority, which regulates LIBOR, announced that it intends to phase out LIBOR by the end of 2021. It is unclear if at that time LIBOR will cease to exist or if new methods of calculating LIBOR will be established such that it continues to exist after 2021. If the method for calculation of LIBOR changes, if LIBOR is no longer available or if lenders have increased costs due to changes in LIBOR, we may be adversely affected by potential increases in interest rates on any borrowings. Further, we may need to renegotiate our credit agreements that utilize LIBOR as a factor in determining the interest rate to replace LIBOR with the new standard that is established.</w:t>
      </w:r>
    </w:p>
    <w:p>
      <w:pPr>
        <w:spacing w:after="0" w:line="2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Credit Agreement relating to our Term Loan contains customary operational covenants, our failure to comply with which could result in a default under the Credit Agreement as well as a cross-default under the Inseego Indenture.</w:t>
      </w:r>
    </w:p>
    <w:p>
      <w:pPr>
        <w:spacing w:after="0" w:line="22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credit agreement, dated August 23, 2017 (the “Credit Agreement”), by and among the Company and certain of our direct and indirect subsidiaries (the “Guarantors”), Cantor Fitzgerald Securities, as administrative agent and collateral agent, and certain lenders (the “Lenders”) which governs our Term Loan contains usual and customary restrictive covenants relating to the management and operation of our business, and it is likely that any future debt arrangements we may enter into would contain similar covenants. Failure to comply with any of the covenants under the Credit Agreement or any other debt agreement could result in a default under such an agreement and a cross-default under the indenture dated January 9, 2017 (the “Inseego Indenture”), between the Company, as issuer, and Wilmington Trust National Association, as trustee, which could permit the holders of the Inseego Notes to accelerate the maturity of such indebtedness. Any default or cross-default under such indebtedness could have a material adverse effect on our business, results of operations and financial results.</w:t>
      </w:r>
    </w:p>
    <w:p>
      <w:pPr>
        <w:spacing w:after="0" w:line="2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indebtedness under our Credit Agreement is secured by certain of our assets, including the equity interests of certain of our direct and indirect subsidiaries. As a result of this security interest, such assets would only be available to satisfy claims of our general creditors or to holders of our equity securities if we were to become insolvent to the extent that the value of such assets exceeded the amount of our indebtedness and other obligations under the Credit Agreement.</w:t>
      </w:r>
    </w:p>
    <w:p>
      <w:pPr>
        <w:spacing w:after="0" w:line="24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Indebtedness under our Credit Agreement is secured by a lien on most of our assets, including the equity interests of certain of our direct and indirect subsidiaries. Accordingly, if an event of default were to occur under the Credit Agreement, such as a bankruptcy, insolvency, liquidation or other reorganization, the Lenders would have a priority right to such assets, to the exclusion of our general creditors. In that event, such assets would first be used to repay in full all indebtedness and other obligations under the Credit Agreement, resulting in all or a portion of such assets being unavailable to satisfy the claims of our unsecured creditors. Only after satisfying the claims of our unsecured creditors and our subsidiaries’ unsecured creditors would any amount be available for distribution to holders of our equity securities.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relating to recent changes in our management team may adversely affect our operations.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Over the last three years, we have experienced significant turnover and additions to our senior management. While we expect to engage in an orderly transition process as we integrate newly appointed officers and managers, we face a variety of risks and uncertainties relating to the lack of management continuity, including diversion of management attention from business concerns, failure to retain other key personnel or inability to hire new key personnel. These risks and uncertainties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49" w:right="339" w:bottom="1440" w:gutter="0" w:footer="0" w:header="0"/>
        </w:sectPr>
      </w:pPr>
    </w:p>
    <w:bookmarkStart w:id="14" w:name="page15"/>
    <w:bookmarkEnd w:id="14"/>
    <w:p>
      <w:pPr>
        <w:ind w:right="540"/>
        <w:spacing w:after="0" w:line="277" w:lineRule="auto"/>
        <w:rPr>
          <w:sz w:val="20"/>
          <w:szCs w:val="20"/>
          <w:color w:val="auto"/>
        </w:rPr>
      </w:pPr>
      <w:r>
        <w:rPr>
          <w:rFonts w:ascii="Arial" w:cs="Arial" w:eastAsia="Arial" w:hAnsi="Arial"/>
          <w:sz w:val="18"/>
          <w:szCs w:val="18"/>
          <w:color w:val="auto"/>
        </w:rPr>
        <w:t>could result in operational and administrative inefficiencies and added costs, which could adversely impact our results of operations, stock price and customer relationships.</w:t>
      </w: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Company has entered into a Rights Agreement, and if the holders exercise their share purchase rights under such agreement, it could materially adversely affect the price of our common stock and cause dilution to our existing stockholders.</w:t>
      </w:r>
    </w:p>
    <w:p>
      <w:pPr>
        <w:spacing w:after="0" w:line="224"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We entered into a rights agreement on January 22, 2018, with Computershare Trust Company, N.A., a federally chartered trust company, as Rights Agent (as subsequently amended, the “Rights Agreement”), that was approved by our stockholders at our 2018 Annual Meeting of Stockholders. The Rights Agreement is intended to discourage acquisitions of our common stock which could result in a cumulative change in ownership of more than 50% within a rolling three-year period, thereby preserving our current ability to utilize net operating loss carryforwards to offset future income tax obligations, which would become subject to limitations if we were to experience an “ownership change,” as defined under Section 382 of the Internal Revenue Code of 1986, as amended. While this Rights Agreement is intended to preserve our current ability to utilize net operating loss carryforwards, it effectively deters current and future purchasers from accumulating more than 4.9% of our common stock, which could delay or discourage takeover attempts that stockholders may consider favorable. In addition, if the share purchase rights under the Rights Agreement are exercised, additional shares of our common stock will be issued, which could cause dilution to our current stockholders. Moreover, sales in the public market of any shares of our common stock issuable upon such exercise, or the perception that such sales may occur, could adversely affect the prevailing market price of our common stock. These issuances would also cause our per share net income, if any, to decrease in future periods.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CORPORATE DEVELOPMENT ACTIVITIES</w:t>
      </w:r>
    </w:p>
    <w:p>
      <w:pPr>
        <w:spacing w:after="0" w:line="17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62" w:lineRule="exact"/>
        <w:rPr>
          <w:sz w:val="20"/>
          <w:szCs w:val="20"/>
          <w:color w:val="auto"/>
        </w:rPr>
      </w:pPr>
    </w:p>
    <w:p>
      <w:pPr>
        <w:ind w:right="80" w:firstLine="432"/>
        <w:spacing w:after="0" w:line="296" w:lineRule="auto"/>
        <w:rPr>
          <w:sz w:val="20"/>
          <w:szCs w:val="20"/>
          <w:color w:val="auto"/>
        </w:rPr>
      </w:pPr>
      <w:r>
        <w:rPr>
          <w:rFonts w:ascii="Arial" w:cs="Arial" w:eastAsia="Arial" w:hAnsi="Arial"/>
          <w:sz w:val="16"/>
          <w:szCs w:val="16"/>
          <w:color w:val="auto"/>
        </w:rPr>
        <w:t>Various risks arise if companies and industries quickly grow or evolve. If our business or industry develops more quickly than our ability to respond, our ability to meet customer demand in a timely and efficient manner could be challenged. We may also experience development, certification or production delays as we seek to meet demand for our products or unanticipated product requirements. Our failure to properly manage the developments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0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as part of our growth strategy, acquire companies and businesses, and/or divest assets or businesses. The completion of acquisition or divestiture transactions could have an adverse effect on our financial condition.</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part of our business strategy, we may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make an acquisition, we could take any or all of the following actions, any one of which could adversely affect our business, financial condition, results of operations or stock price:</w:t>
      </w:r>
    </w:p>
    <w:p>
      <w:pPr>
        <w:spacing w:after="0" w:line="8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the percentage ownership of existing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Acquired businesses may have liabilities or adverse operating issues that we fail to discover through due diligence prior to the acquisition, such as:</w:t>
      </w:r>
    </w:p>
    <w:p>
      <w:pPr>
        <w:spacing w:after="0" w:line="19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by previous management to comply with applicable laws or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inaccurate representations;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unfulfilled contractual obligations to customers or vendors.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49" w:right="359" w:bottom="1440" w:gutter="0" w:footer="0" w:header="0"/>
        </w:sectPr>
      </w:pPr>
    </w:p>
    <w:bookmarkStart w:id="15" w:name="page16"/>
    <w:bookmarkEnd w:id="15"/>
    <w:p>
      <w:pPr>
        <w:ind w:right="120"/>
        <w:spacing w:after="0" w:line="277" w:lineRule="auto"/>
        <w:rPr>
          <w:sz w:val="20"/>
          <w:szCs w:val="20"/>
          <w:color w:val="auto"/>
        </w:rPr>
      </w:pPr>
      <w:r>
        <w:rPr>
          <w:rFonts w:ascii="Arial" w:cs="Arial" w:eastAsia="Arial" w:hAnsi="Arial"/>
          <w:sz w:val="18"/>
          <w:szCs w:val="18"/>
          <w:b w:val="1"/>
          <w:bCs w:val="1"/>
          <w:i w:val="1"/>
          <w:iCs w:val="1"/>
          <w:color w:val="auto"/>
        </w:rPr>
        <w:t>Following acquisitions and/or divestitures, our reorganized business may not perform as we or the market expects, which could have an adverse effect on the price of our common stock.</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reorganized company resulting from any acquisitions and/or divestitures we pursue and consummate may not perform as we or the market expect.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Risks associated with such acquisitions and divestitures include the following:</w:t>
      </w:r>
    </w:p>
    <w:p>
      <w:pPr>
        <w:spacing w:after="0" w:line="103" w:lineRule="exact"/>
        <w:rPr>
          <w:sz w:val="20"/>
          <w:szCs w:val="20"/>
          <w:color w:val="auto"/>
        </w:rPr>
      </w:pPr>
    </w:p>
    <w:p>
      <w:pPr>
        <w:ind w:left="980" w:right="26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integrating new business acquisitions and divesting existing lines of business is a difficult, expensive and time-consuming process and will divert management’s attention from existing operations, and the failure to successfully manage such transitions could adversely affect our financial condition and results of operations;</w:t>
      </w:r>
    </w:p>
    <w:p>
      <w:pPr>
        <w:spacing w:after="0" w:line="21" w:lineRule="exact"/>
        <w:rPr>
          <w:rFonts w:ascii="Arial" w:cs="Arial" w:eastAsia="Arial" w:hAnsi="Arial"/>
          <w:sz w:val="18"/>
          <w:szCs w:val="18"/>
          <w:color w:val="auto"/>
        </w:rPr>
      </w:pPr>
    </w:p>
    <w:p>
      <w:pPr>
        <w:ind w:left="980" w:right="32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and divestitures may change the nature of the business in which we have historically operated, including entering markets in which we have limited or no prior experience, and if we are not able to effectively adjust to such changes in the fundamental nature of our business, our financial condition and results of operations may be adversely affected;</w:t>
      </w:r>
    </w:p>
    <w:p>
      <w:pPr>
        <w:spacing w:after="0" w:line="21"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assumptions with respect to future revenue, growth rates, expense rates and synergies resulting from acquisitions and/or divestitures may prove to be inaccurate, which may adversely affect the price of our common stock;</w:t>
      </w:r>
    </w:p>
    <w:p>
      <w:pPr>
        <w:spacing w:after="0" w:line="8" w:lineRule="exact"/>
        <w:rPr>
          <w:rFonts w:ascii="Arial" w:cs="Arial" w:eastAsia="Arial" w:hAnsi="Arial"/>
          <w:sz w:val="18"/>
          <w:szCs w:val="18"/>
          <w:color w:val="auto"/>
        </w:rPr>
      </w:pPr>
    </w:p>
    <w:p>
      <w:pPr>
        <w:ind w:left="980" w:right="160" w:hanging="324"/>
        <w:spacing w:after="0" w:line="316"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is possible that our key employees might decide not to remain with us as a result of these changes in our business or for other reasons, and the loss of such personnel could have a material adverse effect on our financial condition, results of operations and growth prospects;</w:t>
      </w:r>
    </w:p>
    <w:p>
      <w:pPr>
        <w:spacing w:after="0" w:line="1" w:lineRule="exact"/>
        <w:rPr>
          <w:rFonts w:ascii="Arial" w:cs="Arial" w:eastAsia="Arial" w:hAnsi="Arial"/>
          <w:sz w:val="16"/>
          <w:szCs w:val="16"/>
          <w:color w:val="auto"/>
        </w:rPr>
      </w:pPr>
    </w:p>
    <w:p>
      <w:pPr>
        <w:ind w:left="980" w:right="60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relationships with third parties, including key vendors and customers, may be affected by changes in our business resulting from these acquisitions and divestitures, and any adverse changes in these third party relationships could adversely affect our business, financial condition and results of operations; and</w:t>
      </w:r>
    </w:p>
    <w:p>
      <w:pPr>
        <w:spacing w:after="0" w:line="21"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of our common stock may be affected by factors different from those that affected the price of our common stock prior to such acquisitions and/or divestitures.</w:t>
      </w:r>
    </w:p>
    <w:p>
      <w:pPr>
        <w:spacing w:after="0" w:line="62"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As a result, if we fail to properly evaluate or implement acquisitions or divestitures, we may not achieve the anticipated benefits of any such transactions, and we may incur unanticipated costs, either of which could harm our business and operating results.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COMPETITION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for the products and services that we offer is rapidly evolving and highly competitive. We may be unable to compete effectively.</w:t>
      </w:r>
    </w:p>
    <w:p>
      <w:pPr>
        <w:spacing w:after="0" w:line="113" w:lineRule="exact"/>
        <w:rPr>
          <w:sz w:val="20"/>
          <w:szCs w:val="20"/>
          <w:color w:val="auto"/>
        </w:rPr>
      </w:pPr>
    </w:p>
    <w:p>
      <w:pPr>
        <w:ind w:right="80" w:firstLine="432"/>
        <w:spacing w:after="0" w:line="296" w:lineRule="auto"/>
        <w:rPr>
          <w:sz w:val="20"/>
          <w:szCs w:val="20"/>
          <w:color w:val="auto"/>
        </w:rPr>
      </w:pPr>
      <w:r>
        <w:rPr>
          <w:rFonts w:ascii="Arial" w:cs="Arial" w:eastAsia="Arial" w:hAnsi="Arial"/>
          <w:sz w:val="16"/>
          <w:szCs w:val="16"/>
          <w:color w:val="auto"/>
        </w:rPr>
        <w:t>The market for the products and services that we offer is rapidly evolving and highly competitive. We expect competition to continue to increase and intensify, especially in the 5G market.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supplier-related developments, or a shift in the business landscape. They also may devote greater or more effective resources than we do to the development, manufacture, promotion, sale, and post-sale support of their respective products and services.</w:t>
      </w:r>
    </w:p>
    <w:p>
      <w:pPr>
        <w:spacing w:after="0" w:line="107"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services and enhancements. Current and potential competitors might merge or otherwise establish cooperative relationships among themselves or with third parties to enhance their products, services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2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Our products compete with a variety of solutions, including other wireless modems and mobile hotspots, wireless handsets, wireless handheld computing devices, IoT wireless solutions and enterprise software solutions. Our current competitors include:</w:t>
      </w:r>
    </w:p>
    <w:p>
      <w:pPr>
        <w:spacing w:after="0" w:line="6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fleet management SaaS and services providers, such as Fleetmatics, Masternaut, TomTom, Telogis, MiX Telematics and Cartrack;</w:t>
      </w:r>
    </w:p>
    <w:p>
      <w:pPr>
        <w:spacing w:after="0" w:line="34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16</w:t>
      </w:r>
    </w:p>
    <w:p>
      <w:pPr>
        <w:sectPr>
          <w:pgSz w:w="11900" w:h="16838" w:orient="portrait"/>
          <w:cols w:equalWidth="0" w:num="1">
            <w:col w:w="11240"/>
          </w:cols>
          <w:pgMar w:left="320" w:top="503" w:right="339" w:bottom="1440" w:gutter="0" w:footer="0" w:header="0"/>
        </w:sectPr>
      </w:pPr>
    </w:p>
    <w:bookmarkStart w:id="16" w:name="page17"/>
    <w:bookmarkEnd w:id="16"/>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mobile hotspots providers, such as Netgear, Franklin Wireless, WNC, Sierra Wireless, Nokia, TCL, ZTE and Huawei;</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IoT solution providers, such as Cradlepoint and Sierra Wireless;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experience software solutions and services providers, such as Amdocs.</w:t>
      </w:r>
    </w:p>
    <w:p>
      <w:pPr>
        <w:spacing w:after="0" w:line="225"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in the marketplace, meet changing customer requirements, achieve market acceptance and respond to our competitors’ products.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5G fixed wireless access gateway business is subject to a number of challenges that will be difficult to overcome.</w:t>
      </w:r>
    </w:p>
    <w:p>
      <w:pPr>
        <w:spacing w:after="0" w:line="266"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The developing market for 5G fixed wireless access devices is very competitive. In addition to other challenges, our fixed wireless access gateway products compete against similar products offered by mature companies, including Samsung, Ericsson, Nokia and Wistron NeWeb Corporation. Failure to manage these challenges, or failure of our fixed wireless access business to grow to become successful and profitable, could have a material adverse effect on our financial condition and results of operations.</w:t>
      </w:r>
    </w:p>
    <w:p>
      <w:pPr>
        <w:spacing w:after="0" w:line="29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The market for asset management and fleet management solutions and the markets for telemetry and tracking solutions are all highly fragmented and competitive, with low barriers to entry. If we do not compete effectively, our operating results may be harmed.</w:t>
      </w:r>
    </w:p>
    <w:p>
      <w:pPr>
        <w:spacing w:after="0" w:line="3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market for asset management and fleet management solutions and the markets for telemetry and tracking solutions are all highly fragmented, consisting of a large number of vendors, competitive and rapidly changing product and service offerings, with relatively low barriers to entry. Competition in all these markets is based primarily on the level of difficulty in installing, using and maintaining solutions, total cost of ownership, product performance, functionality, interoperability, brand and reputation, distribution channels, industries and the financial resources of the vendor. We expect competition to intensify in the future with the introduction of new technologies and market entrants. For example, in the telematics market, mobile service and software providers, such as Google and makers of GPS navigation devices, such as Garmin, provide limited services at lower prices or at no charge, such as basic GPS- based mapping, tracking and turn-by-turn directions that could be expanded or further developed to more directly compete with our fleet management solutions. In addition, wireless carriers, such as Verizon Wireless, offer fleet management solutions that benefit from the carrier’s scale and cost advantages which we are unable to match. Similarly, vehicle OEMs may provide factory-installed devices and effectively compete against us directly or indirectly by partnering with other fleet management suppliers. We can provide no assurances that we will be able to compete effectively in this ecosystem as the competitive landscape continues to develop. Competition could result in reduced operating margins, increased sales and marketing expenses and the loss of market share, any of which would likely cause serious harm to our operating results.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consolidation may result in increased competition, which could result in a loss of customers or a reduction in revenue.</w:t>
      </w:r>
    </w:p>
    <w:p>
      <w:pPr>
        <w:spacing w:after="0" w:line="171" w:lineRule="exact"/>
        <w:rPr>
          <w:sz w:val="20"/>
          <w:szCs w:val="20"/>
          <w:color w:val="auto"/>
        </w:rPr>
      </w:pPr>
    </w:p>
    <w:p>
      <w:pPr>
        <w:ind w:right="140" w:firstLine="391"/>
        <w:spacing w:after="0" w:line="293" w:lineRule="auto"/>
        <w:rPr>
          <w:sz w:val="20"/>
          <w:szCs w:val="20"/>
          <w:color w:val="auto"/>
        </w:rPr>
      </w:pPr>
      <w:r>
        <w:rPr>
          <w:rFonts w:ascii="Arial" w:cs="Arial" w:eastAsia="Arial" w:hAnsi="Arial"/>
          <w:sz w:val="16"/>
          <w:szCs w:val="16"/>
          <w:color w:val="auto"/>
        </w:rPr>
        <w:t>Some of our competitors have made or may make acquisitions or may enter into partnerships or other strategic relationships to offer more comprehensive services than they individually had offered or achieve greater economies of scale. In addition, new entrants not currently considered to be competitors may enter our market through acquisitions, partnerships or strategic relationships. We expect these trends to continue as companies attempt to strengthen or maintain their market positions. Many of the potential entrants may have competitive advantages over us, such as greater name recognition, longer operating histories, more varied services and larger marketing budgets, as well as greater financial, technical and other resources. These pressures could result in a substantial loss of our customers, a reduction in our revenue or increased costs as we seek ways to become more competitive.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CUSTOMERS AND DEMAND FOR OUR SOLUTIONS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inability to adapt to rapid technological change in our markets could impair our ability to remain competitive and adversely affect our results of operations.</w:t>
      </w:r>
    </w:p>
    <w:p>
      <w:pPr>
        <w:spacing w:after="0" w:line="143" w:lineRule="exact"/>
        <w:rPr>
          <w:sz w:val="20"/>
          <w:szCs w:val="20"/>
          <w:color w:val="auto"/>
        </w:rPr>
      </w:pPr>
    </w:p>
    <w:p>
      <w:pPr>
        <w:ind w:firstLine="391"/>
        <w:spacing w:after="0" w:line="263" w:lineRule="auto"/>
        <w:rPr>
          <w:sz w:val="20"/>
          <w:szCs w:val="20"/>
          <w:color w:val="auto"/>
        </w:rPr>
      </w:pPr>
      <w:r>
        <w:rPr>
          <w:rFonts w:ascii="Arial" w:cs="Arial" w:eastAsia="Arial" w:hAnsi="Arial"/>
          <w:sz w:val="18"/>
          <w:szCs w:val="18"/>
          <w:color w:val="auto"/>
        </w:rPr>
        <w:t>All of the markets in which we operate are characterized by rapid technological change, frequent introductions of new products, services and solutions and evolving customer demands. In addition, we are affected by changes in the many industries related to the products or services we offer, including the aviation, automotive, telematics, wireless telemetry, GPS navigation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95" w:right="33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device and work flow software industries. As the technologies used in each of these industries evolves, we will face new integration and competition challenges. For example, as automobile manufacturers evolve in-vehicle technology, GPS tracking devices may become standard equipment in new vehicles and compete against some segments of our telematics or asset tracking service offerings. If we are unable to adapt to rapid technological change, it could adversely affect our results of operations and our ability to remain competitive.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 key element of our business strategy is to penetrate new markets by developing new service offerings through strategic relationships with industry participants.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with us.</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depend upon Verizon Wireless for a substantial portion of our revenues, and our business would be negatively affected by an adverse change in our dealings with this customer.</w:t>
      </w:r>
    </w:p>
    <w:p>
      <w:pPr>
        <w:spacing w:after="0" w:line="62"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As a result of the significant revenues associated with our MiFi business, sales to Verizon Wireless accounted for 53% and 49% of our consolidated net revenues for the years ended December 31, 2019 and 2018, respectively. While we have accelerated our engagements with prospective new MiFi customers and continue to focus on growing revenue in other parts of our business, we expect that Verizon Wireless will continue to account for a substantial portion of our net revenues, and any impairment of our relationship with Verizon Wireless would adversely affect our business. Additionally, any change in the forecasted or actual product sell-through of Verizon Wireless could have a detrimental impact on our revenue, bottom line and cash position.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retain and increase sales to our existing customers, which could negatively impact our financial results.</w:t>
      </w:r>
    </w:p>
    <w:p>
      <w:pPr>
        <w:spacing w:after="0" w:line="22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We generally seek to license our software and enterprise solutions pursuant to customer agreements with multi-year terms and subscriptions. However, our customers have no obligation to renew these agreements after their initial terms expire. We also actively seek to sell additional solutions to our existing customers. If our efforts to satisfy our existing customers are not successful, we may not be able to retain them or sell additional functionality to them and, as a result, our revenue and ability to grow could be adversely affected. Customers may choose not to renew their subscriptions for many reasons, including the belief that our service is not required for their business needs or is otherwise not cost-effective, a desire to reduce discretionary spending, or a belief that our competitors’ services provide better value. Additionally, our customers may not renew for reasons entirely out of our control, such as the dissolution of their business or an economic downturn in their industry. A significant increase in our churn rate would have an adverse effect on our business, financial condition, and operating results.</w:t>
      </w:r>
    </w:p>
    <w:p>
      <w:pPr>
        <w:spacing w:after="0" w:line="23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 part of our growth strategy is to sell additional new features and solutions to our existing customers. Our ability to sell new features to customers will depend in significant part on our ability to anticipate industry evolution, practices and standards and to continue to enhance existing solutions or introduce or acquire new solutions on a timely basis to keep pace with technological developments both within our industry and in related industries, and to remain compliant with any regulations mandated by federal agencies or state-mandated or foreign government regulations as they pertain to our customers. However, we may prove unsuccessful either in developing new features or in expanding the third-party software and products with which our solutions integrate. In addition, the success of any enhancement or new feature depends on several factors, including the timely completion, introduction and market acceptance of the enhancement or feature. Any new solutions we develop or acquire might not be introduced in a timely or cost-effective manner and might not achieve the broad market acceptance necessary to generate significant revenue. If any of our competitors implement new technologies before we are able to implement them or better anticipate the innovation and integration opportunities in related industries, those competitors may be able to provide more effective or cheaper solutions than ours.</w:t>
      </w:r>
    </w:p>
    <w:p>
      <w:pPr>
        <w:spacing w:after="0" w:line="239"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Another part of our growth strategy is to sell additional subscriptions to existing customers as their fleet sizes or asset portfolios increase. We cannot be assured that our customers’ fleet sizes or asset portfolios will continue to increase. A significant decrease in our ability to sell additional functionality or subscriptions to existing customers could have an adverse effect on our business, financial condition, and operating results.</w:t>
      </w:r>
    </w:p>
    <w:p>
      <w:pPr>
        <w:spacing w:after="0" w:line="11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Loss of, or a significant reduction in business from, one or more enterprise or government customers could adversely affect our revenue and profitability.</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Loss of one or more of our large enterprise or government customers could result in a meaningful decrease in revenue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49" w:right="359" w:bottom="1440" w:gutter="0" w:footer="0" w:header="0"/>
        </w:sectPr>
      </w:pPr>
    </w:p>
    <w:bookmarkStart w:id="18" w:name="page19"/>
    <w:bookmarkEnd w:id="18"/>
    <w:p>
      <w:pPr>
        <w:ind w:right="60"/>
        <w:spacing w:after="0" w:line="255" w:lineRule="auto"/>
        <w:rPr>
          <w:sz w:val="20"/>
          <w:szCs w:val="20"/>
          <w:color w:val="auto"/>
        </w:rPr>
      </w:pPr>
      <w:r>
        <w:rPr>
          <w:rFonts w:ascii="Arial" w:cs="Arial" w:eastAsia="Arial" w:hAnsi="Arial"/>
          <w:sz w:val="18"/>
          <w:szCs w:val="18"/>
          <w:color w:val="auto"/>
        </w:rPr>
        <w:t>profitability, as well as a material increase in our customer churn rate. Because of the variability of industries in which our enterprise and government customers operate and the unpredictability of economic conditions in any particular industry which comprises a significant number of our enterprise or government customers, the composition of, and the volume of business from, our enterprise and government customers is likely to change over time. If we lose one or more large enterprise or government customers, or if we experience a significant reduction in business from one or more large enterprise or government customers, there is no assurance that we would be able to replace those customers to generate comparable revenue over a short time period, which could harm our operating results and profitability.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economic conditions or reduced spending on information technology solutions may adversely impact our revenue and profitability.</w:t>
      </w:r>
    </w:p>
    <w:p>
      <w:pPr>
        <w:spacing w:after="0" w:line="140"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Uncertainty about future economic conditions makes it difficult for us to forecast operating results and to make decisions about future investments. We are unable to predict the likely duration and severity of adverse economic conditions in the United States and other countries, but the longer the duration, the greater risks we face in operating our business. We cannot assure you that current economic conditions, worsening economic conditions or prolonged poor economic conditions will not have a significant adverse impact on the demand for our solutions, and consequently on our results of operations and prospects.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marketability of our products may suffer if wireless telecommunications operators do not deliver acceptable wireless services.</w:t>
      </w:r>
    </w:p>
    <w:p>
      <w:pPr>
        <w:spacing w:after="0" w:line="10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and solutions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6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Changes in practices of insurance companies in the markets in which we provide our solutions could materially and adversely affect demand for products and services.</w:t>
      </w:r>
    </w:p>
    <w:p>
      <w:pPr>
        <w:spacing w:after="0" w:line="62" w:lineRule="exact"/>
        <w:rPr>
          <w:sz w:val="20"/>
          <w:szCs w:val="20"/>
          <w:color w:val="auto"/>
        </w:rPr>
      </w:pPr>
    </w:p>
    <w:p>
      <w:pPr>
        <w:ind w:firstLine="391"/>
        <w:spacing w:after="0" w:line="257" w:lineRule="auto"/>
        <w:rPr>
          <w:sz w:val="20"/>
          <w:szCs w:val="20"/>
          <w:color w:val="auto"/>
        </w:rPr>
      </w:pPr>
      <w:r>
        <w:rPr>
          <w:rFonts w:ascii="Arial" w:cs="Arial" w:eastAsia="Arial" w:hAnsi="Arial"/>
          <w:sz w:val="18"/>
          <w:szCs w:val="18"/>
          <w:color w:val="auto"/>
        </w:rPr>
        <w:t>We depend in part on the practices of insurance companies in some of our markets to support demand for certain of our products and services. For example, in South Africa, which is currently the largest market for our Ctrack products and services, insurance companies either mandate the installation of tracking devices as a prerequisite for providing insurance coverage to owners of certain vehicles, or provide insurance premium discounts to encourage vehicle owners to subscribe to vehicle tracking and mobile asset recovery solutions such as ours. We benefit from this continued practice in the South African and certain other markets of:</w:t>
      </w:r>
    </w:p>
    <w:p>
      <w:pPr>
        <w:spacing w:after="0" w:line="13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accepting mobile asset location technologies such as ours as a preferred security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providing premium discounts for using location and recovery products and services such as ours;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mandating the use of our products and services, or similar products and services, for certain vehicles.</w:t>
      </w:r>
    </w:p>
    <w:p>
      <w:pPr>
        <w:spacing w:after="0" w:line="27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If any of these policies or practices change, revenues from sale of our products and services could decline, which would materially and adversely affect our business, results of operations and financial condition.</w:t>
      </w:r>
    </w:p>
    <w:p>
      <w:pPr>
        <w:spacing w:after="0" w:line="2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Reduction in regulation in certain markets may adversely impact demand for certain of our solutions by reducing the necessity for, or desirability of, our solutions.</w:t>
      </w:r>
    </w:p>
    <w:p>
      <w:pPr>
        <w:spacing w:after="0" w:line="22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Regulatory compliance and reporting is driven by legislation and requirements, which are often subject to change, from regulatory authorities in nearly every jurisdiction globally. For example, in the United States, fleet operators can face numerous complex regulatory requirements, including mandatory Compliance, Safety and Accountability driver safety scoring, hours of service, compliance and fuel tax reporting. The reduction in regulation in certain markets may adversely impact demand for certain of our solutions, which could materially and adversely affect our business, financial condition and results of operations.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DEVELOPING, MANUFACTURING AND DELIVERING OUR SOLUTIONS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currently rely on third parties to manufacture and warehouse many of our products, which exposes us to a number of risks and uncertainties outside our control.</w:t>
      </w:r>
    </w:p>
    <w:p>
      <w:pPr>
        <w:spacing w:after="0" w:line="6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currently outsource the manufacturing of many of our products to companies including Foxconn and AsiaTelco Technologies Co. In addition, in 2016 we sold portions of our IoT modules business to Telit Wireless Solutions, Inc. (“Telit”),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422" w:right="379" w:bottom="1440" w:gutter="0" w:footer="0" w:header="0"/>
        </w:sectPr>
      </w:pPr>
    </w:p>
    <w:bookmarkStart w:id="19" w:name="page20"/>
    <w:bookmarkEnd w:id="19"/>
    <w:p>
      <w:pPr>
        <w:jc w:val="both"/>
        <w:ind w:right="20"/>
        <w:spacing w:after="0" w:line="286" w:lineRule="auto"/>
        <w:rPr>
          <w:sz w:val="20"/>
          <w:szCs w:val="20"/>
          <w:color w:val="auto"/>
        </w:rPr>
      </w:pPr>
      <w:r>
        <w:rPr>
          <w:rFonts w:ascii="Arial" w:cs="Arial" w:eastAsia="Arial" w:hAnsi="Arial"/>
          <w:sz w:val="16"/>
          <w:szCs w:val="16"/>
          <w:color w:val="auto"/>
        </w:rPr>
        <w:t>and we now rely on Telit to supply us with modules that are critical to the functionality of some of our telematics hardware devices, including devices sold or deployed by Ctrack. If one of these third-party manufacturers were to experience delays, disruptions, capacity constraints or quality control problems in its manufacturing operations, product shipments to our customers could be delayed or rejected or our customers could consequently elect to change product demand or cancel the underlying subscription or service. These disruptions would negatively impact our revenues, competitive position and reputation.</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Further, if we are unable to manage successfully our relationship with a manufacturer, the quality and availability of products used in our services and solutions may be harmed. None of our third-party manufacturers is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increase.</w:t>
      </w:r>
    </w:p>
    <w:p>
      <w:pPr>
        <w:spacing w:after="0" w:line="118"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Because we outsource the manufacturing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13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225" w:lineRule="exact"/>
        <w:rPr>
          <w:sz w:val="20"/>
          <w:szCs w:val="20"/>
          <w:color w:val="auto"/>
        </w:rPr>
      </w:pPr>
    </w:p>
    <w:p>
      <w:pPr>
        <w:ind w:right="160" w:firstLine="405"/>
        <w:spacing w:after="0" w:line="296"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and other legal compliance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have been moving production to one or more new contract manufacturers, which exposes us to a number of risks and uncertainties outside our control.</w:t>
      </w:r>
    </w:p>
    <w:p>
      <w:pPr>
        <w:spacing w:after="0" w:line="6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have been moving some production to new contract manufacturers, some of whom we have not contracted with in the past. If our new contract manufacturers are not able to produce our products in the quantities needed prior to the agreed upon delivery dates, or are not able to produce our products in conformity with our quality standards, product shipments to our customers could be delayed or rejected. As a result, our customers may elect to cancel orders or place fewer orders in the future. Such delays, rejections, cancellation or reductions in orders would negatively impact our revenues, competitive position and reputation. Further, if we are unable to successfully manage our relationship with a contract manufacturer, the quality and availability of our products may be harmed.</w:t>
      </w:r>
    </w:p>
    <w:p>
      <w:pPr>
        <w:spacing w:after="0" w:line="21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depend on sole source suppliers for some products used in our services. The availability and sale of those services would be harmed if any of these suppliers is not able to meet our demand and alternative suitable products are not available on acceptable terms, or at all.</w:t>
      </w:r>
    </w:p>
    <w:p>
      <w:pPr>
        <w:spacing w:after="0" w:line="124"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Our services use hardware and software from various third parties, some of which are procured from single suppliers. For example, some of our vehicle tracking and fleet management solutions rely on telecommunications modules procured from Telit and our MiFi mobile hotspots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If there is a shortage or interruption in the availability to us of any such components or products and we cannot timely obtain a commercially and technologically suitable substitute or make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49" w:right="339" w:bottom="1440" w:gutter="0" w:footer="0" w:header="0"/>
        </w:sectPr>
      </w:pPr>
    </w:p>
    <w:bookmarkStart w:id="20" w:name="page21"/>
    <w:bookmarkEnd w:id="20"/>
    <w:p>
      <w:pPr>
        <w:ind w:right="420"/>
        <w:spacing w:after="0" w:line="259" w:lineRule="auto"/>
        <w:rPr>
          <w:sz w:val="20"/>
          <w:szCs w:val="20"/>
          <w:color w:val="auto"/>
        </w:rPr>
      </w:pPr>
      <w:r>
        <w:rPr>
          <w:rFonts w:ascii="Arial" w:cs="Arial" w:eastAsia="Arial" w:hAnsi="Arial"/>
          <w:sz w:val="18"/>
          <w:szCs w:val="18"/>
          <w:color w:val="auto"/>
        </w:rPr>
        <w:t>sufficient and timely design or other modifications to permit the use of such a substitute component or product, we may not be able to timely deliver sufficient quantities of our products or solutions to satisfy our contractual obligations and may not be able to meet particular revenue expectations. Moreover, even if we timely locate a substitute part or product, but its price materially exceeds the original cost of the component or product, then our results of operations could be adversely affected.</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Natural disasters, public health crises, political crises and other catastrophic events or other events outside of our control could damage our facilities or the facilities of third parties on which we depend, and could impact consumer spending.</w:t>
      </w:r>
    </w:p>
    <w:p>
      <w:pPr>
        <w:spacing w:after="0" w:line="116" w:lineRule="exact"/>
        <w:rPr>
          <w:sz w:val="20"/>
          <w:szCs w:val="20"/>
          <w:color w:val="auto"/>
        </w:rPr>
      </w:pPr>
    </w:p>
    <w:p>
      <w:pPr>
        <w:ind w:right="180" w:firstLine="391"/>
        <w:spacing w:after="0" w:line="273" w:lineRule="auto"/>
        <w:rPr>
          <w:sz w:val="20"/>
          <w:szCs w:val="20"/>
          <w:color w:val="auto"/>
        </w:rPr>
      </w:pPr>
      <w:r>
        <w:rPr>
          <w:rFonts w:ascii="Arial" w:cs="Arial" w:eastAsia="Arial" w:hAnsi="Arial"/>
          <w:sz w:val="17"/>
          <w:szCs w:val="17"/>
          <w:color w:val="auto"/>
        </w:rPr>
        <w:t>Our corporate offices are located in San Diego, California near major earthquake faults and fire zones. If any of our facilities or the facilities of our third-party service providers, dealers or partners is affected by natural disasters, such as earthquakes, tsunamis, wildfires, power shortages, floods, public health crises (such as pandemics and epidemics), political crises (such as terrorism, war, political instability or other conflict) or other events outside our control, including a cyberattack, our critical business or IT systems could be destroyed or disrupted and our ability to conduct normal business operations and our revenues and operating results could be adversely affected. Moreover, these types of events could negatively impact consumer spending in the impacted regions or, depending upon the severity, globally, which could adversely impact our operating results.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such as COVID-19, or coronavirus, may materially and adversely affect our business and our financial results.</w:t>
      </w:r>
    </w:p>
    <w:p>
      <w:pPr>
        <w:spacing w:after="0" w:line="251" w:lineRule="exact"/>
        <w:rPr>
          <w:sz w:val="20"/>
          <w:szCs w:val="20"/>
          <w:color w:val="auto"/>
        </w:rPr>
      </w:pPr>
    </w:p>
    <w:p>
      <w:pPr>
        <w:ind w:right="300" w:firstLine="391"/>
        <w:spacing w:after="0" w:line="286" w:lineRule="auto"/>
        <w:rPr>
          <w:sz w:val="20"/>
          <w:szCs w:val="20"/>
          <w:color w:val="auto"/>
        </w:rPr>
      </w:pPr>
      <w:r>
        <w:rPr>
          <w:rFonts w:ascii="Arial" w:cs="Arial" w:eastAsia="Arial" w:hAnsi="Arial"/>
          <w:sz w:val="17"/>
          <w:szCs w:val="17"/>
          <w:color w:val="auto"/>
        </w:rPr>
        <w:t>The spread of COVID-19 has affected segments of the global economy and may affect our operations, including the potential interruption of our supply chain. The recent outbreak of COVID-19 originated in Wuhan, China, in December 2019 and has since spread globally. The continued spread of COVID-19 may result in a period of business disruption, including delays or disruptions in our supply chain.</w:t>
      </w:r>
    </w:p>
    <w:p>
      <w:pPr>
        <w:spacing w:after="0" w:line="246" w:lineRule="exact"/>
        <w:rPr>
          <w:sz w:val="20"/>
          <w:szCs w:val="20"/>
          <w:color w:val="auto"/>
        </w:rPr>
      </w:pPr>
    </w:p>
    <w:p>
      <w:pPr>
        <w:ind w:right="60" w:firstLine="391"/>
        <w:spacing w:after="0" w:line="301" w:lineRule="auto"/>
        <w:rPr>
          <w:sz w:val="20"/>
          <w:szCs w:val="20"/>
          <w:color w:val="auto"/>
        </w:rPr>
      </w:pPr>
      <w:r>
        <w:rPr>
          <w:rFonts w:ascii="Arial" w:cs="Arial" w:eastAsia="Arial" w:hAnsi="Arial"/>
          <w:sz w:val="16"/>
          <w:szCs w:val="16"/>
          <w:color w:val="auto"/>
        </w:rPr>
        <w:t>The spread of COVID-19, or another infectious disease, could also negatively affect the operations at our third-party manufacturers, which could result in delays or disruptions in the supply of our products. In addition, we may take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238" w:lineRule="exact"/>
        <w:rPr>
          <w:sz w:val="20"/>
          <w:szCs w:val="20"/>
          <w:color w:val="auto"/>
        </w:rPr>
      </w:pPr>
    </w:p>
    <w:p>
      <w:pPr>
        <w:ind w:right="100" w:firstLine="391"/>
        <w:spacing w:after="0" w:line="277" w:lineRule="auto"/>
        <w:rPr>
          <w:sz w:val="20"/>
          <w:szCs w:val="20"/>
          <w:color w:val="auto"/>
        </w:rPr>
      </w:pPr>
      <w:r>
        <w:rPr>
          <w:rFonts w:ascii="Arial" w:cs="Arial" w:eastAsia="Arial" w:hAnsi="Arial"/>
          <w:sz w:val="18"/>
          <w:szCs w:val="18"/>
          <w:color w:val="auto"/>
        </w:rPr>
        <w:t>The COVID-19 outbreak is a widespread health crisis that could adversely affect the economies and financial markets of many countries, resulting in an economic downturn that could affect demand for our products and likely impact our operating results.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product replacement, or recall costs could adversely affect our business and financial performance.</w:t>
      </w:r>
    </w:p>
    <w:p>
      <w:pPr>
        <w:spacing w:after="0" w:line="225"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w:t>
      </w:r>
    </w:p>
    <w:p>
      <w:pPr>
        <w:spacing w:after="0" w:line="2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rely on third-party software and other intellectual property to develop and provide our solutions and significant increases in licensing costs or defects in third-party software could harm our business.</w:t>
      </w:r>
    </w:p>
    <w:p>
      <w:pPr>
        <w:spacing w:after="0" w:line="62"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rely on software and other intellectual property licensed from third parties to develop and offer our solutions.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solutions integrate with third-party technologies and if our solutions become incompatible with these technologies, our solutions would lose functionality and our customer acquisition and retention could be adversely affected.</w:t>
      </w:r>
    </w:p>
    <w:p>
      <w:pPr>
        <w:spacing w:after="0" w:line="6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Our solutions integrate with third-party software and devices to allow our solutions to perform key functions. Errors, viruses or bugs may be present in third-party software that our customers use in conjunction with our solutions. Changes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49" w:right="339" w:bottom="1440" w:gutter="0" w:footer="0" w:header="0"/>
        </w:sectPr>
      </w:pPr>
    </w:p>
    <w:bookmarkStart w:id="21" w:name="page22"/>
    <w:bookmarkEnd w:id="21"/>
    <w:p>
      <w:pPr>
        <w:ind w:right="60"/>
        <w:spacing w:after="0" w:line="301" w:lineRule="auto"/>
        <w:rPr>
          <w:sz w:val="20"/>
          <w:szCs w:val="20"/>
          <w:color w:val="auto"/>
        </w:rPr>
      </w:pPr>
      <w:r>
        <w:rPr>
          <w:rFonts w:ascii="Arial" w:cs="Arial" w:eastAsia="Arial" w:hAnsi="Arial"/>
          <w:sz w:val="16"/>
          <w:szCs w:val="16"/>
          <w:color w:val="auto"/>
        </w:rPr>
        <w:t>third-party software that our customers use in conjunction with our solutions could also render our solutions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products until such issues have been resolved, which could have a material adverse effect on our business, financial condition, results of operations, cash flows and future prospects and could damage our reputation.</w:t>
      </w:r>
    </w:p>
    <w:p>
      <w:pPr>
        <w:spacing w:after="0" w:line="103"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spacing w:after="0" w:line="16" w:lineRule="exact"/>
        <w:rPr>
          <w:sz w:val="20"/>
          <w:szCs w:val="20"/>
          <w:color w:val="auto"/>
        </w:rPr>
      </w:pPr>
    </w:p>
    <w:p>
      <w:pPr>
        <w:ind w:right="160" w:firstLine="405"/>
        <w:spacing w:after="0" w:line="289" w:lineRule="auto"/>
        <w:rPr>
          <w:sz w:val="20"/>
          <w:szCs w:val="20"/>
          <w:color w:val="auto"/>
        </w:rPr>
      </w:pPr>
      <w:r>
        <w:rPr>
          <w:rFonts w:ascii="Arial" w:cs="Arial" w:eastAsia="Arial" w:hAnsi="Arial"/>
          <w:sz w:val="16"/>
          <w:szCs w:val="16"/>
          <w:color w:val="auto"/>
        </w:rPr>
        <w:t>Although we warrant that our software will be free of defects for various periods of time, our software platform and its underlying infrastructure are inherently complex and may contain material defects or errors. We must update our solutions quickly to keep pace with the rapidly changing market and the third-party software and devices with which our solutions integrate. We have from time to time found defects in our software and may discover additional defects in the future, particularly as we continue to migrate our product offerings to new platforms or use new devices in connection with our services and solutions. We may not be able to detect and correct defects or errors before customers begin to use our platform or its applications. Consequently, our solutions could contain undetected errors or defects, especially when first introduced or when new versions are released or when new hardware or software is integrated into our solutions. We implement bug fixes and upgrades as part of our regular system maintenance, which may lead to system downtime. Even if we are able to implement the bug fixes and upgrades in a timely manner, any history of defects or inaccuracies in the performance of our software for our customers could result in damage to our reputation or harm to our operating results.</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“over-the-air” transmission of firmware updates could permit a third party to disable our customers’ in-vehicle devices or introduce malware into our customers’ in-vehicle devices, which could expose us to widespread loss of service and customer claims.</w:t>
      </w:r>
    </w:p>
    <w:p>
      <w:pPr>
        <w:spacing w:after="0" w:line="146"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“Over-the-air” transmission of our firmware updates may provide the opportunity for a third party, who has deep inside knowledge of our systems, to modify or disable our customers’ in-vehicle systems or introduce malware into our customers’ in-vehicle systems. No such incidents have occurred to date, but there can be no assurance that they will not occur in the future. Damage to our customers’ in-vehicle devices as a result of such incidents could only be remedied through direct servicing of their installed in-vehicle devices by trained personnel, which would impose a very significant cost on us, particularly if the incidents are widespread. Moreover, such incidents could expose us to widespread loss of service and claims by our customers under various theories of liability, the outcome of which would be uncertain. Third party interference with our over-the-air transmission of firmware, or with our customers’ in-vehicle devices during such process, could materially and adversely affect our business, financial condition and results of operations</w:t>
      </w:r>
    </w:p>
    <w:p>
      <w:pPr>
        <w:spacing w:after="0" w:line="1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solutions rely on cellular and GPS networks and any disruption, failure or increase in costs could impede our profitability and harm our financial results.</w:t>
      </w:r>
    </w:p>
    <w:p>
      <w:pPr>
        <w:spacing w:after="0" w:line="6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Two critical links in our current solutions are between in-vehicle devices and GPS satellites and between in-vehicle devices or customer premise equipment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in-vehicle devices or customer premise equipment, requiring retrofitting of our devices could increase our costs and impact our profitability. In addition, technologies that rely on GPS depend on the use of radio frequency bands and any modification of the permitted uses of these bands may adversely affect the functionality of GPS and, in turn, our solutions.</w:t>
      </w:r>
    </w:p>
    <w:p>
      <w:pPr>
        <w:spacing w:after="0" w:line="84" w:lineRule="exact"/>
        <w:rPr>
          <w:sz w:val="20"/>
          <w:szCs w:val="20"/>
          <w:color w:val="auto"/>
        </w:rPr>
      </w:pPr>
    </w:p>
    <w:p>
      <w:pPr>
        <w:ind w:right="100" w:firstLine="391"/>
        <w:spacing w:after="0" w:line="277" w:lineRule="auto"/>
        <w:rPr>
          <w:sz w:val="20"/>
          <w:szCs w:val="20"/>
          <w:color w:val="auto"/>
        </w:rPr>
      </w:pPr>
      <w:r>
        <w:rPr>
          <w:rFonts w:ascii="Arial" w:cs="Arial" w:eastAsia="Arial" w:hAnsi="Arial"/>
          <w:sz w:val="18"/>
          <w:szCs w:val="18"/>
          <w:color w:val="auto"/>
        </w:rPr>
        <w:t>The mobile carriers can and will discontinue radio frequency technologies as they become obsolete. If we are unable to design our solutions into new technologies such as 4G, 4G LTE and 5G or 5G NR, our future prospects and revenues could be limited.</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Any significant disruption in service on our websites or in our computer systems could damage our reputation and result in a loss of customers, which would harm our business and operating results.</w:t>
      </w:r>
    </w:p>
    <w:p>
      <w:pPr>
        <w:spacing w:after="0" w:line="17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Our brand, reputation, and ability to attract, retain, and serve our customers are dependent upon the reliable performance of our services and our customers’ ability to access our solutions at all times. Our customers rely on our solutions to make operating decisions related to their businesses,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41" w:right="339" w:bottom="1440" w:gutter="0" w:footer="0" w:header="0"/>
        </w:sectPr>
      </w:pPr>
    </w:p>
    <w:bookmarkStart w:id="22" w:name="page23"/>
    <w:bookmarkEnd w:id="22"/>
    <w:p>
      <w:pPr>
        <w:ind w:right="160"/>
        <w:spacing w:after="0" w:line="263" w:lineRule="auto"/>
        <w:rPr>
          <w:sz w:val="20"/>
          <w:szCs w:val="20"/>
          <w:color w:val="auto"/>
        </w:rPr>
      </w:pPr>
      <w:r>
        <w:rPr>
          <w:rFonts w:ascii="Arial" w:cs="Arial" w:eastAsia="Arial" w:hAnsi="Arial"/>
          <w:sz w:val="18"/>
          <w:szCs w:val="18"/>
          <w:color w:val="auto"/>
        </w:rPr>
        <w:t>network architecture may cause our service quality to suffer. Any event that significantly disrupts our service or exposes our data to misuse could damage our reputation and harm our business and operating results, including reducing our revenue, causing us to issue credits to customers, subjecting us to potential liability, harming our churn rates, or increasing our cost of acquiring new customers.</w:t>
      </w:r>
    </w:p>
    <w:p>
      <w:pPr>
        <w:spacing w:after="0" w:line="238"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host our solutions and serve our South African customers from our network servers, which are located at our data center facilities in South Africa. In other geographies, we host our solutions and serve our customers from network servers hosted by third parties, which are located at data center facilities in the United States, Europe and Australia. If these data centers are unable to keep up with our growing needs for capacity, this could have an adverse effect on our business. Our disaster recovery systems are located at third-party hosting facilities, except in South Africa where we manage our own disaster recovery system at an offsite facility. While we are increasing redundancy, our systems have not been tested under actual disaster conditions and may not have sufficient capacity to recover all data and services in the event of an outage. In the event of a disaster in which our disaster recovery systems are irreparably damaged or destroyed, we would experience interruptions in access to our products.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churn rates.</w:t>
      </w:r>
    </w:p>
    <w:p>
      <w:pPr>
        <w:spacing w:after="0" w:line="2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provide minimum service level commitments to certain of our customers, and our failure to meet them could require us to issue credits for future subscriptions or pay penalties, which could harm our results of operations.</w:t>
      </w:r>
    </w:p>
    <w:p>
      <w:pPr>
        <w:spacing w:after="0" w:line="62"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Certain of our customer agreements currently, and may in the future, provide minimum service level commitments regarding items such as system availability, functionality or performance. If we are unable to meet the stated service level commitments for these customers or suffer extended periods of service unavailability, we are or may be contractually obligated to provide these customers with credits for future subscriptions, provide services at no cost, or pay other penalties which could adversely impact our revenue. We do not currently have any reserves on our balance sheet for these commitments</w:t>
      </w:r>
      <w:r>
        <w:rPr>
          <w:rFonts w:ascii="Arial" w:cs="Arial" w:eastAsia="Arial" w:hAnsi="Arial"/>
          <w:sz w:val="16"/>
          <w:szCs w:val="16"/>
          <w:i w:val="1"/>
          <w:iCs w:val="1"/>
          <w:color w:val="auto"/>
        </w:rPr>
        <w:t>.</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Failure to maintain the security of our information and technology networks, including information relating to our customers and employees, could adversely affect us. Furthermore, if security breaches in connection with the delivery of our services allow unauthorized third parties to obtain control or access of our asset management, fleet management and telemetry solutions, our reputation, business, results of operations and financial condition could be harmed.</w:t>
      </w:r>
    </w:p>
    <w:p>
      <w:pPr>
        <w:spacing w:after="0" w:line="187"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We are dependent on information technology networks and systems, including the Internet, to process, transmit and store electronic information and, in the normal course of our business, we collect and retain certain information pertaining to our customers and employees. The protection of customer and employee data is critical to us. We devote significant resources to addressing security vulnerabilities in our products and information technology systems, however, the security measures put in place by us cannot provide absolute security, and our information technology infrastructure may be vulnerable to criminal cyber-attacks or data security incidents due to employee or customer error, malfeasance, or other vulnerabilities. Cybersecurity attacks are increasingly sophisticated, change frequently, and often go undetected until after an attack has been launched. We may fail to identify these new and complex methods of attack or fail to invest sufficient resources in security measures. We cannot be certain that advances in cyber-capabilities or other developments will not compromise or breach the technology protecting the networks that access our services.</w:t>
      </w:r>
    </w:p>
    <w:p>
      <w:pPr>
        <w:spacing w:after="0" w:line="219" w:lineRule="exact"/>
        <w:rPr>
          <w:sz w:val="20"/>
          <w:szCs w:val="20"/>
          <w:color w:val="auto"/>
        </w:rPr>
      </w:pPr>
    </w:p>
    <w:p>
      <w:pPr>
        <w:ind w:right="20" w:firstLine="391"/>
        <w:spacing w:after="0" w:line="259" w:lineRule="auto"/>
        <w:rPr>
          <w:sz w:val="20"/>
          <w:szCs w:val="20"/>
          <w:color w:val="auto"/>
        </w:rPr>
      </w:pPr>
      <w:r>
        <w:rPr>
          <w:rFonts w:ascii="Arial" w:cs="Arial" w:eastAsia="Arial" w:hAnsi="Arial"/>
          <w:sz w:val="18"/>
          <w:szCs w:val="18"/>
          <w:color w:val="auto"/>
        </w:rPr>
        <w:t>As cyber-attacks become more sophisticated, the need to develop our infrastructure to secure our business and customer data can lead to increased cybersecurity protection costs. Such costs may include making organizational changes, deploying additional personnel and protection technologies, training employees, and engaging third party experts and consultants. These efforts come at the potential cost of revenues and human resources that could be utilized to continue to enhance our product offerings.</w:t>
      </w:r>
    </w:p>
    <w:p>
      <w:pPr>
        <w:spacing w:after="0" w:line="241"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If a security breach occurs, our reputation, business, results of operations and financial condition could be harmed. We may also be subject to costly notification and remediation requirements if we, or a third party, determines that we have been the subject of a data breach involving personal information of individuals. Though it is difficult to determine what harm may directly result from any specific interruption or security breach, any failure or perceived failure to maintain performance, reliability, security and availability of systems or the actual or potential theft, loss, fraudulent use or misuse of our products or the personally identifiable data of a customer or employee, could result in harm to our reputation or brand, which could lead some customers to seek to stop using certain of our services, reduce or delay future purchases of our services, use competing services, or materially and adversely affect the overall market perception of the security and reliability of our services. A security breach also exposes us to litigation and legal risks, including regulatory actions by state and federal governmental authorities and non-U.S. authorities. We may not have adequate insurance coverages for a cybersecurity breach or may realize increased insurance premiums as a result of a security breach. Ultimately, a security breach exposes the Company to potential</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reputational harm among its customers and investors, along with uncertain damages to our competitiveness, stock price, and long-term shareholder value.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INTERNATIONAL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global nature of our operations, we are subject to political and economic risks of doing business internationally.</w:t>
      </w:r>
    </w:p>
    <w:p>
      <w:pPr>
        <w:spacing w:after="0" w:line="198" w:lineRule="exact"/>
        <w:rPr>
          <w:sz w:val="20"/>
          <w:szCs w:val="20"/>
          <w:color w:val="auto"/>
        </w:rPr>
      </w:pPr>
    </w:p>
    <w:p>
      <w:pPr>
        <w:ind w:right="200" w:firstLine="391"/>
        <w:spacing w:after="0" w:line="263" w:lineRule="auto"/>
        <w:rPr>
          <w:sz w:val="20"/>
          <w:szCs w:val="20"/>
          <w:color w:val="auto"/>
        </w:rPr>
      </w:pPr>
      <w:r>
        <w:rPr>
          <w:rFonts w:ascii="Arial" w:cs="Arial" w:eastAsia="Arial" w:hAnsi="Arial"/>
          <w:sz w:val="18"/>
          <w:szCs w:val="18"/>
          <w:color w:val="auto"/>
        </w:rPr>
        <w:t>Our largest subsidiary, Ctrack, is headquartered in South Africa and conducts business in over 50 countries. Most of our employees are located outside the United States, and international revenue represents a significant percentage of our worldwide revenue. The risks inherent in global operations include:</w:t>
      </w:r>
    </w:p>
    <w:p>
      <w:pPr>
        <w:spacing w:after="0" w:line="76"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managing sales, product development and logistics and support across continents;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ownership or participation in local enterprises;</w:t>
      </w:r>
    </w:p>
    <w:p>
      <w:pPr>
        <w:spacing w:after="0" w:line="117"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lack of familiarity with, and unexpected changes in, foreign laws, regulations and legal standards, including employment laws, product liability laws, privacy laws and environmental laws, which may vary widely across the countries in which we operate;</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expense to comply with U.S. laws that apply to foreign operations, including the U.S. Foreign Corrupt Practices Act (the “FCPA”) and Office of Foreign Assets Control regulations;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and potentially adverse tax consequences of, foreign tax regimes;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 currency exchange controls, price controls and limitations on repatriation of earnings;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labor laws;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economic conditions;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social and economic instability and disruptions;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acts of terrorism and other security concerns;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embargoes or foreign trade restrictions such as tariffs, duties, taxes or other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117"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product development costs due to differences among countries’ safety regulations and radio frequency allocation schemes and standards;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warranty terms and broader product warranty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expense related to localization of products and development of foreign language marketing and sales materials;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difficulty in collecting accounts receivable in foreign countries;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workforce reorganizations in various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restrictive employment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and increased expense in implementing corporate policies and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international intellectual property laws, which may be more restrictive or offer lower levels of protection than U.S. law;</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differing and changing local laws and regulations in multiple international locations, including regional data privacy laws, as well as compliance with U.S. laws and regulations where applicable in these international locations;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225" w:lineRule="exact"/>
        <w:rPr>
          <w:sz w:val="20"/>
          <w:szCs w:val="20"/>
          <w:color w:val="auto"/>
        </w:rPr>
      </w:pPr>
    </w:p>
    <w:p>
      <w:pPr>
        <w:ind w:firstLine="391"/>
        <w:spacing w:after="0" w:line="277" w:lineRule="auto"/>
        <w:rPr>
          <w:sz w:val="20"/>
          <w:szCs w:val="20"/>
          <w:color w:val="auto"/>
        </w:rPr>
      </w:pPr>
      <w:r>
        <w:rPr>
          <w:rFonts w:ascii="Arial" w:cs="Arial" w:eastAsia="Arial" w:hAnsi="Arial"/>
          <w:sz w:val="18"/>
          <w:szCs w:val="18"/>
          <w:color w:val="auto"/>
        </w:rPr>
        <w:t>If we are unable to successfully manage these and other risks associated with managing and expanding our international business, the risks could have a material adverse effect on our business, results of operations or financial condition.</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Weakness or deterioration in global economic conditions or jurisdictions where we have significant foreign operations could have a material adverse effect on our results of operations and financial condition.</w:t>
      </w:r>
    </w:p>
    <w:p>
      <w:pPr>
        <w:spacing w:after="0" w:line="6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As a result of weak or deteriorating economic conditions globally, or in certain jurisdictions where we have significant foreign operations such as South Africa, we could experience lower demand for our products, which could adversely impact</w:t>
      </w:r>
    </w:p>
    <w:p>
      <w:pPr>
        <w:sectPr>
          <w:pgSz w:w="11900" w:h="16838" w:orient="portrait"/>
          <w:cols w:equalWidth="0" w:num="1">
            <w:col w:w="11220"/>
          </w:cols>
          <w:pgMar w:left="320" w:top="449" w:right="35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320" w:top="449" w:right="359" w:bottom="1440" w:gutter="0" w:footer="0" w:header="0"/>
          <w:type w:val="continuous"/>
        </w:sectPr>
      </w:pPr>
    </w:p>
    <w:bookmarkStart w:id="24" w:name="page25"/>
    <w:bookmarkEnd w:id="24"/>
    <w:p>
      <w:pPr>
        <w:ind w:right="160"/>
        <w:spacing w:after="0" w:line="301" w:lineRule="auto"/>
        <w:rPr>
          <w:sz w:val="20"/>
          <w:szCs w:val="20"/>
          <w:color w:val="auto"/>
        </w:rPr>
      </w:pPr>
      <w:r>
        <w:rPr>
          <w:rFonts w:ascii="Arial" w:cs="Arial" w:eastAsia="Arial" w:hAnsi="Arial"/>
          <w:sz w:val="16"/>
          <w:szCs w:val="16"/>
          <w:color w:val="auto"/>
        </w:rPr>
        <w:t>our results of operations. Additionally, there could be a number of related effects on our business resulting from weak economic conditions, including the insolvency of one or more of our suppliers resulting in product launch or product delivery delays, customer insolvencies resulting in that customer’s inability to order products from us or pay for already delivered products, and reduced demand by the ultimate end-users of our products. Although we continue to monitor market conditions, we cannot predict future market conditions or their impact on demand for our products.</w:t>
      </w:r>
    </w:p>
    <w:p>
      <w:pPr>
        <w:spacing w:after="0" w:line="10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Weakness or deterioration in global political conditions where we have significant business interests could have a material adverse effect on our business, results of operations and financial condition.</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sell to customers throughout the world and we currently have operations and activities in South Africa, Europe, China and other Asian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political risks associated with the Company’s global operations include:</w:t>
      </w:r>
    </w:p>
    <w:p>
      <w:pPr>
        <w:spacing w:after="0" w:line="211" w:lineRule="exact"/>
        <w:rPr>
          <w:sz w:val="20"/>
          <w:szCs w:val="20"/>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and commercial instability risks, corruption and changes in local government laws, regulations and policies, such as those related to tariffs and trade barriers, taxation, exchange controls, employment regulations and repatriation of earnings;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instability, civil unrest, expropriation, nationalization of properties by a government, imposition of sanctions and changes to import or export regulations and fees;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conflicts, territorial disputes, war or terrorist activities;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 public health issues, such as an outbreak of a pandemic or epidemic, which could cause disruptions in our operations or workforce, or the supply of products;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enforcing intellectual property and contractual rights in certain jurisdictions.</w:t>
      </w:r>
    </w:p>
    <w:p>
      <w:pPr>
        <w:spacing w:after="0" w:line="117"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The impact of any of the foregoing factors is difficult to predict, and any one or more of them could adversely affect our business, operating results and financial condition. Existing insurance arrangements may not provide protection for the costs that may arise from such events.</w:t>
      </w:r>
    </w:p>
    <w:p>
      <w:pPr>
        <w:spacing w:after="0" w:line="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especially the South African Rand against the U.S. Dollar, could adversely affect our results of operations.</w:t>
      </w:r>
    </w:p>
    <w:p>
      <w:pPr>
        <w:spacing w:after="0" w:line="116" w:lineRule="exact"/>
        <w:rPr>
          <w:sz w:val="20"/>
          <w:szCs w:val="20"/>
          <w:color w:val="auto"/>
        </w:rPr>
      </w:pPr>
    </w:p>
    <w:p>
      <w:pPr>
        <w:ind w:right="100" w:firstLine="391"/>
        <w:spacing w:after="0" w:line="291" w:lineRule="auto"/>
        <w:rPr>
          <w:sz w:val="20"/>
          <w:szCs w:val="20"/>
          <w:color w:val="auto"/>
        </w:rPr>
      </w:pPr>
      <w:r>
        <w:rPr>
          <w:rFonts w:ascii="Arial" w:cs="Arial" w:eastAsia="Arial" w:hAnsi="Arial"/>
          <w:sz w:val="16"/>
          <w:szCs w:val="16"/>
          <w:color w:val="auto"/>
        </w:rPr>
        <w:t>A significant portion of our revenues are generated from sales agreements denominated in foreign currencies, and we expect to enter into additional such agreements as we expand our international customer base. In addition, we employ a significant number of employees outside the United States, and the associated employment and facilities costs are denominated in foreign currencies. As a result, we are exposed to changes in foreign currency exchange rates. We have particularly large exposure in South Africa where our Ctrack subsidiary is headquartered and the costs of operating in South Africa are subject to the effects of exchange fluctuations of the South African Rand against the U.S. Dollar. Fluctuations in the value of foreign currencies, particularly the South African Rand against the U.S. Dollar, will create greater uncertainty in our revenues and can significantly and adversely affect our operating results. The South African Rand exchange rate is affected by various international and South African economic and political factors.</w:t>
      </w:r>
    </w:p>
    <w:p>
      <w:pPr>
        <w:spacing w:after="0" w:line="58"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We do not currently employ any vehicles as a hedge against currency fluctuations, however, we may decide to use hedging vehicles in the future. At times, we may attempt to manage the risk associated with currency changes, in part, by minimizing the effects of volatility on cash flows by identifying forecasted transactions exposed to these risks, or we may decide to use hedging vehicles such as foreign exchange forward contracts. Since there is a high correlation between the hedging instruments and the underlying exposures, the gains and losses on these underlying exposures are generally offset by reciprocal changes in the value of the hedging instruments. We may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Unionization efforts in certain countries in which we operate could materially increase our costs or limit our flexibility.</w:t>
      </w:r>
    </w:p>
    <w:p>
      <w:pPr>
        <w:spacing w:after="0" w:line="198" w:lineRule="exact"/>
        <w:rPr>
          <w:sz w:val="20"/>
          <w:szCs w:val="20"/>
          <w:color w:val="auto"/>
        </w:rPr>
      </w:pPr>
    </w:p>
    <w:p>
      <w:pPr>
        <w:ind w:right="80" w:firstLine="391"/>
        <w:spacing w:after="0" w:line="301" w:lineRule="auto"/>
        <w:rPr>
          <w:sz w:val="20"/>
          <w:szCs w:val="20"/>
          <w:color w:val="auto"/>
        </w:rPr>
      </w:pPr>
      <w:r>
        <w:rPr>
          <w:rFonts w:ascii="Arial" w:cs="Arial" w:eastAsia="Arial" w:hAnsi="Arial"/>
          <w:sz w:val="16"/>
          <w:szCs w:val="16"/>
          <w:color w:val="auto"/>
        </w:rPr>
        <w:t>Certain of our employees and contractors in South Africa are represented by labor unions or work under collective bargaining or similar agreements, which are subject to periodic renegotiation. Efforts may also be made from time to time to unionize other portions of our global workforce. In addition, we may be subject to strikes or work stoppages and other labor disruptions in the future. Additional unionization efforts, new or renegotiated collective bargaining agreements or work stoppages could materially increase our costs, reduce our net revenues or limit our operational flexibility.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34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RISKS RELATED TO REGULATIONS, TAXATION AND ACCOUNTING MATTERS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substantial international operations may increase our exposure to potential liability under anti-corruption, trade protection, tax and other laws and regulations.</w:t>
      </w:r>
    </w:p>
    <w:p>
      <w:pPr>
        <w:spacing w:after="0" w:line="143" w:lineRule="exact"/>
        <w:rPr>
          <w:sz w:val="20"/>
          <w:szCs w:val="20"/>
          <w:color w:val="auto"/>
        </w:rPr>
      </w:pPr>
    </w:p>
    <w:p>
      <w:pPr>
        <w:ind w:right="60" w:firstLine="391"/>
        <w:spacing w:after="0" w:line="301" w:lineRule="auto"/>
        <w:rPr>
          <w:sz w:val="20"/>
          <w:szCs w:val="20"/>
          <w:color w:val="auto"/>
        </w:rPr>
      </w:pPr>
      <w:r>
        <w:rPr>
          <w:rFonts w:ascii="Arial" w:cs="Arial" w:eastAsia="Arial" w:hAnsi="Arial"/>
          <w:sz w:val="16"/>
          <w:szCs w:val="16"/>
          <w:color w:val="auto"/>
        </w:rPr>
        <w:t>The FCPA and other anti-corruption laws and regulations (“Anti-Corruption Laws”) prohibit corrupt payments by our employees, vendors or agents. From time to time, we may receive inquiries from authorities in the United States and elsewhere about our business activities outside of the United States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w:t>
      </w:r>
    </w:p>
    <w:p>
      <w:pPr>
        <w:spacing w:after="0" w:line="184" w:lineRule="exact"/>
        <w:rPr>
          <w:sz w:val="20"/>
          <w:szCs w:val="20"/>
          <w:color w:val="auto"/>
        </w:rPr>
      </w:pPr>
    </w:p>
    <w:p>
      <w:pPr>
        <w:ind w:right="120" w:firstLine="391"/>
        <w:spacing w:after="0" w:line="263" w:lineRule="auto"/>
        <w:rPr>
          <w:sz w:val="20"/>
          <w:szCs w:val="20"/>
          <w:color w:val="auto"/>
        </w:rPr>
      </w:pPr>
      <w:r>
        <w:rPr>
          <w:rFonts w:ascii="Arial" w:cs="Arial" w:eastAsia="Arial" w:hAnsi="Arial"/>
          <w:sz w:val="18"/>
          <w:szCs w:val="18"/>
          <w:color w:val="auto"/>
        </w:rPr>
        <w:t>Our failure to comply with Anti-Corruption Laws could result in significant fines and penalties, criminal sanctions against us, our officers or our employees, prohibitions on the conduct of our business, and damage to our reputation. Operations outside of the United States may be affected by changes in trade protection laws, policies and measures, and other regulatory requirements affecting trade and investment.</w:t>
      </w:r>
    </w:p>
    <w:p>
      <w:pPr>
        <w:spacing w:after="0" w:line="292" w:lineRule="exact"/>
        <w:rPr>
          <w:sz w:val="20"/>
          <w:szCs w:val="20"/>
          <w:color w:val="auto"/>
        </w:rPr>
      </w:pPr>
    </w:p>
    <w:p>
      <w:pPr>
        <w:ind w:right="160" w:firstLine="391"/>
        <w:spacing w:after="0" w:line="263" w:lineRule="auto"/>
        <w:rPr>
          <w:sz w:val="20"/>
          <w:szCs w:val="20"/>
          <w:color w:val="auto"/>
        </w:rPr>
      </w:pPr>
      <w:r>
        <w:rPr>
          <w:rFonts w:ascii="Arial" w:cs="Arial" w:eastAsia="Arial" w:hAnsi="Arial"/>
          <w:sz w:val="18"/>
          <w:szCs w:val="18"/>
          <w:color w:val="auto"/>
        </w:rPr>
        <w:t>As a result of our international operations we are subject to foreign tax regulations. Such regulations may not be clear, not consistently applied and subject to sudden change, particularly with regard to international transfer pricing. Our earnings could be reduced by the uncertain and changing nature of such tax regulations.</w:t>
      </w:r>
    </w:p>
    <w:p>
      <w:pPr>
        <w:spacing w:after="0" w:line="29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or foreign export regulations, including restrictions on future expFort activities, which could harm our business and operating results. Regulatory restrictions could impair our access to technologies needed to improve our solutions and may also limit or reduce the demand for our solutions outside of the United States.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governmental challenge to our transfer pricing policies or practices could impose significant costs on us.</w:t>
      </w:r>
    </w:p>
    <w:p>
      <w:pPr>
        <w:spacing w:after="0" w:line="320" w:lineRule="exact"/>
        <w:rPr>
          <w:sz w:val="20"/>
          <w:szCs w:val="20"/>
          <w:color w:val="auto"/>
        </w:rPr>
      </w:pPr>
    </w:p>
    <w:p>
      <w:pPr>
        <w:ind w:right="540" w:firstLine="405"/>
        <w:spacing w:after="0" w:line="259" w:lineRule="auto"/>
        <w:rPr>
          <w:sz w:val="20"/>
          <w:szCs w:val="20"/>
          <w:color w:val="auto"/>
        </w:rPr>
      </w:pPr>
      <w:r>
        <w:rPr>
          <w:rFonts w:ascii="Arial" w:cs="Arial" w:eastAsia="Arial" w:hAnsi="Arial"/>
          <w:sz w:val="18"/>
          <w:szCs w:val="18"/>
          <w:color w:val="auto"/>
        </w:rPr>
        <w:t>Our company has intercompany transactions with its subsidiaries and consequently closely monitors the appropriateness of our transfer pricing policies and compliance therewith. The global transfer pricing environment, including with respect to operational and reporting requirements, is continuously evolving and subject to input from multiple sources and jurisdictions. These complexities require management to closely monitor new developments, which it does.</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Many countries routinely examine transfer pricing policies of taxpayers subject to their jurisdiction, and authorities challenge transfer pricing policies aggressively where there is potential non-compliance and impose interest and penalties where non-compliance is determined. Although the documentation of and support for our transfer pricing policies has not been the subject of a governmental proceeding beyond examination to date, there can be no assurance that a governmental authority will not challenge these policies more aggressively in the future or, if challenged, that we will prevail. We could suffer costs related to one or more challenges to our transfer pricing policies.</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do not achieve applicable black economic empowerment objectives in our South African businesses, we risk not being able to renew certain of our existing contracts which service South African government and quasi-governmental customers, as well as not being awarded future corporate and governmental contracts which would result in the loss of revenue.</w:t>
      </w:r>
    </w:p>
    <w:p>
      <w:pPr>
        <w:spacing w:after="0" w:line="184"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The South African government, through the Broad-Based Black Economic Empowerment Act, No. 53 of 2003, and the codes of good practice and industry charters published pursuant thereto (collectively “BBBEE”), has established a legislative framework for the promotion of broad-based black economic empowerment. Achievement of BBBEE objectives is measured by a scorecard which establishes a weighting for the various components of BBBEE. BBBEE objectives are pursued in significant part by requiring parties who contract with corporate, governmental or quasi-governmental entities in South Africa to achieve BBBEE compliance through satisfaction of an applicable scorecard. Parties improve their BBBEE score when contracting with businesses that have earned good BBBEE ratings in relation to their scorecards (this includes black-owned businesses).</w:t>
      </w:r>
    </w:p>
    <w:p>
      <w:pPr>
        <w:spacing w:after="0" w:line="16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Ctrack has material contracts with governmental entities that require it to maintain minimum BBBEE rating levels as measured under the BBBEE scorecard. Failure to achieve applicable BBBEE objectives could jeopardize our ability to maintain existing business or to secure future business from these and other corporate, governmental or quasi-governmental customers that could materially and adversely affect our business, financial condition and results of operations.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11" w:right="339" w:bottom="1440" w:gutter="0" w:footer="0" w:header="0"/>
        </w:sectPr>
      </w:pPr>
    </w:p>
    <w:bookmarkStart w:id="26" w:name="page27"/>
    <w:bookmarkEnd w:id="26"/>
    <w:p>
      <w:pPr>
        <w:ind w:right="60"/>
        <w:spacing w:after="0" w:line="277" w:lineRule="auto"/>
        <w:rPr>
          <w:sz w:val="20"/>
          <w:szCs w:val="20"/>
          <w:color w:val="auto"/>
        </w:rPr>
      </w:pPr>
      <w:r>
        <w:rPr>
          <w:rFonts w:ascii="Arial" w:cs="Arial" w:eastAsia="Arial" w:hAnsi="Arial"/>
          <w:sz w:val="18"/>
          <w:szCs w:val="18"/>
          <w:b w:val="1"/>
          <w:bCs w:val="1"/>
          <w:i w:val="1"/>
          <w:iCs w:val="1"/>
          <w:color w:val="auto"/>
        </w:rPr>
        <w:t>We are required to comply with South African labor laws with respect to certain of our employees and face the risk of disruption from labor disputes in South Africa, which could result in additional operating costs.</w:t>
      </w:r>
    </w:p>
    <w:p>
      <w:pPr>
        <w:spacing w:after="0" w:line="170"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South African laws relating to labor that regulate work time, provide for mandatory compensation in the event of termination of employment for operational reasons, and impose monetary penalties for non-compliance with administrative and reporting requirements in respect of affirmative action policies, could result in additional operating costs. In addition, future changes to South African legislation and regulations relating to labor may increase our costs or alter our relationship with our employees and result in labor disruptions. Resulting disruptions could materially and adversely affect our business, results of operations and financial condition.</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Socio-economic inequality in South Africa or regionally may subject us to political and economic risks which may affect the ownership or operation of our business.</w:t>
      </w:r>
    </w:p>
    <w:p>
      <w:pPr>
        <w:spacing w:after="0" w:line="62" w:lineRule="exact"/>
        <w:rPr>
          <w:sz w:val="20"/>
          <w:szCs w:val="20"/>
          <w:color w:val="auto"/>
        </w:rPr>
      </w:pPr>
    </w:p>
    <w:p>
      <w:pPr>
        <w:ind w:right="200" w:firstLine="391"/>
        <w:spacing w:after="0" w:line="279" w:lineRule="auto"/>
        <w:rPr>
          <w:sz w:val="20"/>
          <w:szCs w:val="20"/>
          <w:color w:val="auto"/>
        </w:rPr>
      </w:pPr>
      <w:r>
        <w:rPr>
          <w:rFonts w:ascii="Arial" w:cs="Arial" w:eastAsia="Arial" w:hAnsi="Arial"/>
          <w:sz w:val="17"/>
          <w:szCs w:val="17"/>
          <w:color w:val="auto"/>
        </w:rPr>
        <w:t>We maintain significant operations in South Africa. As a result, we are subject to political and economic risks relating to South Africa. While South Africa features highly developed and sophisticated business sectors and financial and legal infrastructure at the core of its economy, large parts of the country’s population, particularly in rural areas, do not have access to adequate education, health care, housing and other services, including water and electricity. In addition, South Africa also has higher levels of crime and unemployment than the United States.</w:t>
      </w:r>
    </w:p>
    <w:p>
      <w:pPr>
        <w:spacing w:after="0" w:line="63" w:lineRule="exact"/>
        <w:rPr>
          <w:sz w:val="20"/>
          <w:szCs w:val="20"/>
          <w:color w:val="auto"/>
        </w:rPr>
      </w:pPr>
    </w:p>
    <w:p>
      <w:pPr>
        <w:ind w:right="80" w:firstLine="391"/>
        <w:spacing w:after="0" w:line="259" w:lineRule="auto"/>
        <w:rPr>
          <w:sz w:val="20"/>
          <w:szCs w:val="20"/>
          <w:color w:val="auto"/>
        </w:rPr>
      </w:pPr>
      <w:r>
        <w:rPr>
          <w:rFonts w:ascii="Arial" w:cs="Arial" w:eastAsia="Arial" w:hAnsi="Arial"/>
          <w:sz w:val="18"/>
          <w:szCs w:val="18"/>
          <w:color w:val="auto"/>
        </w:rPr>
        <w:t>It is difficult to predict the future political, social and economic direction of South Africa or the manner in which any future government will attempt to address the country’s inequalities. It is also difficult to predict the impact that addressing these inequalities will have on our business. Furthermore, there has been regional, political and economic instability in countries neighboring South Africa, which could materially and adversely affect our business, results of operations and financial condition.</w:t>
      </w:r>
    </w:p>
    <w:p>
      <w:pPr>
        <w:spacing w:after="0" w:line="79" w:lineRule="exact"/>
        <w:rPr>
          <w:sz w:val="20"/>
          <w:szCs w:val="20"/>
          <w:color w:val="auto"/>
        </w:rPr>
      </w:pPr>
    </w:p>
    <w:p>
      <w:pPr>
        <w:ind w:right="40" w:firstLine="391"/>
        <w:spacing w:after="0" w:line="275" w:lineRule="auto"/>
        <w:rPr>
          <w:sz w:val="20"/>
          <w:szCs w:val="20"/>
          <w:color w:val="auto"/>
        </w:rPr>
      </w:pPr>
      <w:r>
        <w:rPr>
          <w:rFonts w:ascii="Arial" w:cs="Arial" w:eastAsia="Arial" w:hAnsi="Arial"/>
          <w:sz w:val="17"/>
          <w:szCs w:val="17"/>
          <w:color w:val="auto"/>
        </w:rPr>
        <w:t>Although political conditions in South Africa are generally stable, changes may occur in the composition of its ruling party or in its political, fiscal and legal systems which might affect the ownership or operation of our business. These risks may include changes in legislation, arbitrary interference with private ownership of contract rights, and changes to exchange controls, taxation and other laws or policies affecting foreign trade or investment. Any such changes, including changes in investment ratings, regulations and policies or a shift in political attitudes both within and towards South Africa are beyond our control and could materially and adversely affect our business, financial condition and results of operations.</w:t>
      </w:r>
    </w:p>
    <w:p>
      <w:pPr>
        <w:spacing w:after="0" w:line="6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A lack of growth, high inflation or increased interest rates in the South Africa economy could reduce our anticipated revenue and increase our operating costs.</w:t>
      </w:r>
    </w:p>
    <w:p>
      <w:pPr>
        <w:spacing w:after="0" w:line="1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On June 4, 2019, Statistics South Africa announced that the South African economy shrunk by 3.2% during the first quarter of 2019, following a prior announcement on March 5, 2019, that the growth rate during 2018 was 0.8%. Additionally, the economy of South Africa has in the past and may in the future continue to be characterized by rates of inflation and interest rates that are substantially higher than those prevailing in the United States and other highly developed economies. Economic conditions in South Africa could reduce our anticipated revenue growth, increase our South African-based costs, decrease our operating margins and adversely affect our ability to obtain cost-effective debt financing in South Africa.</w:t>
      </w:r>
    </w:p>
    <w:p>
      <w:pPr>
        <w:spacing w:after="0" w:line="12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spacing w:after="0" w:line="119" w:lineRule="exact"/>
        <w:rPr>
          <w:sz w:val="20"/>
          <w:szCs w:val="20"/>
          <w:color w:val="auto"/>
        </w:rPr>
      </w:pPr>
    </w:p>
    <w:p>
      <w:pPr>
        <w:ind w:firstLine="391"/>
        <w:spacing w:after="0" w:line="289" w:lineRule="auto"/>
        <w:rPr>
          <w:sz w:val="20"/>
          <w:szCs w:val="20"/>
          <w:color w:val="auto"/>
        </w:rPr>
      </w:pPr>
      <w:r>
        <w:rPr>
          <w:rFonts w:ascii="Arial" w:cs="Arial" w:eastAsia="Arial" w:hAnsi="Arial"/>
          <w:sz w:val="16"/>
          <w:szCs w:val="16"/>
          <w:color w:val="auto"/>
        </w:rPr>
        <w:t>Our products and solutions enable us to collect, manage and store a wide range of data related to vehicle tracking and fleet management such as vehicle location and fuel usage, speed and mileage. Some of the data we collect or use in our business is subject to data privacy laws, which are complex and increase our cost of doing business. The U.S. federal government and various state governments have adopted or proposed limitations on the collection, distribution and use of personal information. Many foreign jurisdictions, including the European Union and the United Kingdom, have adopted legislation (including directives or regulations) that increase or change the requirements governing data collection and storage in these jurisdictions. In addition, the California Consumer Privacy Act (“CCPA”), which took effect on January 1, 2020, provides new data privacy rights for California consumers, including the right to know what personal information is being collected about them and how it is being used. We market our products in over 50 countries, and accordingly, we are subject to many different, and potentially conflicting, privacy laws. If our privacy or data security measures fail to comply, or are perceived to fail to comply, with current or future laws and regulations, we may be subject to litigation, regulatory investigations or other liabilities.</w:t>
      </w:r>
    </w:p>
    <w:p>
      <w:pPr>
        <w:spacing w:after="0" w:line="166" w:lineRule="exact"/>
        <w:rPr>
          <w:sz w:val="20"/>
          <w:szCs w:val="20"/>
          <w:color w:val="auto"/>
        </w:rPr>
      </w:pPr>
    </w:p>
    <w:p>
      <w:pPr>
        <w:ind w:right="360" w:firstLine="391"/>
        <w:spacing w:after="0" w:line="259" w:lineRule="auto"/>
        <w:rPr>
          <w:sz w:val="20"/>
          <w:szCs w:val="20"/>
          <w:color w:val="auto"/>
        </w:rPr>
      </w:pPr>
      <w:r>
        <w:rPr>
          <w:rFonts w:ascii="Arial" w:cs="Arial" w:eastAsia="Arial" w:hAnsi="Arial"/>
          <w:sz w:val="18"/>
          <w:szCs w:val="18"/>
          <w:color w:val="auto"/>
        </w:rPr>
        <w:t>Furthermore, there can be no assurance that our employees, contractors and agents will comply with the policies and procedures we establish regarding data privacy and data security, particularly as we expand our operations through organic growth and acquisitions. While our employees may violate our policies and procedures, the Company remains responsible for, and obligated to implement, policies and procedures and enter into contracts with service providers that require appropriate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03" w:right="339" w:bottom="1440" w:gutter="0" w:footer="0" w:header="0"/>
        </w:sectPr>
      </w:pPr>
    </w:p>
    <w:bookmarkStart w:id="27" w:name="page28"/>
    <w:bookmarkEnd w:id="27"/>
    <w:p>
      <w:pPr>
        <w:jc w:val="both"/>
        <w:ind w:right="160"/>
        <w:spacing w:after="0" w:line="263" w:lineRule="auto"/>
        <w:rPr>
          <w:sz w:val="20"/>
          <w:szCs w:val="20"/>
          <w:color w:val="auto"/>
        </w:rPr>
      </w:pPr>
      <w:r>
        <w:rPr>
          <w:rFonts w:ascii="Arial" w:cs="Arial" w:eastAsia="Arial" w:hAnsi="Arial"/>
          <w:sz w:val="18"/>
          <w:szCs w:val="18"/>
          <w:color w:val="auto"/>
        </w:rPr>
        <w:t>protection. Any violations could subject us to civil or criminal penalties, including substantial fines or prohibitions on our ability to offer our products in one or more countries, and could also materially damage our reputation, our brand, our international expansion efforts, our business, results of operations and financial condition.</w:t>
      </w:r>
    </w:p>
    <w:p>
      <w:pPr>
        <w:spacing w:after="0" w:line="184" w:lineRule="exact"/>
        <w:rPr>
          <w:sz w:val="20"/>
          <w:szCs w:val="20"/>
          <w:color w:val="auto"/>
        </w:rPr>
      </w:pPr>
    </w:p>
    <w:p>
      <w:pPr>
        <w:ind w:firstLine="391"/>
        <w:spacing w:after="0" w:line="275" w:lineRule="auto"/>
        <w:rPr>
          <w:sz w:val="20"/>
          <w:szCs w:val="20"/>
          <w:color w:val="auto"/>
        </w:rPr>
      </w:pPr>
      <w:r>
        <w:rPr>
          <w:rFonts w:ascii="Arial" w:cs="Arial" w:eastAsia="Arial" w:hAnsi="Arial"/>
          <w:sz w:val="17"/>
          <w:szCs w:val="17"/>
          <w:color w:val="auto"/>
        </w:rPr>
        <w:t>The transmission of data over the Internet and cellular networks is a critical component of our SaaS business model. Additionally, as cloud computing continues to evolve, increased regulation by federal, state or foreign agencies becomes more likely, particularly in the areas of data privacy and data security.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176"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Our solutions and products enable us to collect, manage and store a wide range of data related to fleet management such as mobile asset location and fuel usage, speed and mileage. We obtain our data from a variety of sources, including our customers and third-party providers. The United States and various state governments have adopted or proposed limitations on the collection, distribution and use of personal data, as well as requirements that must be followed if a breach of such personal data occurs. The European Union and the United Kingdom have adopted legislation (including directives, national laws and regulations) that increase or change the requirements governing data collection, use, storage and disclosure of personal data in these jurisdictions. The current European Union legislation related to data protection is the General Data Protection Regulation (“GDPR”), which came into effect on May 25, 2018. We have updated and will continue to evaluate our group data protection and security policies, charters, and procedures to assist in maintaining data privacy and data security in line with international practices.</w:t>
      </w:r>
    </w:p>
    <w:p>
      <w:pPr>
        <w:spacing w:after="0" w:line="178" w:lineRule="exact"/>
        <w:rPr>
          <w:sz w:val="20"/>
          <w:szCs w:val="20"/>
          <w:color w:val="auto"/>
        </w:rPr>
      </w:pPr>
    </w:p>
    <w:p>
      <w:pPr>
        <w:jc w:val="both"/>
        <w:ind w:right="220" w:firstLine="391"/>
        <w:spacing w:after="0" w:line="275" w:lineRule="auto"/>
        <w:rPr>
          <w:sz w:val="20"/>
          <w:szCs w:val="20"/>
          <w:color w:val="auto"/>
        </w:rPr>
      </w:pPr>
      <w:r>
        <w:rPr>
          <w:rFonts w:ascii="Arial" w:cs="Arial" w:eastAsia="Arial" w:hAnsi="Arial"/>
          <w:sz w:val="17"/>
          <w:szCs w:val="17"/>
          <w:color w:val="auto"/>
        </w:rPr>
        <w:t>The Protection of Personal Information Act, No. 4 of 2013 (the “POPI Act”) was promulgated into law in November 2013 in South Africa. Certain sections of the POPI Act, came into effect on April 11, 2014. The remaining sections of the POPI Act will commence on a date to be determined by the South African President, the general assumption being that the remaining sections will commence on April 1, 2020. The POPI Act allows for a one year transition period from its commencement for all persons to comply with its requirements. A failure to comply with the POPI Act may result in a fine not exceeding R10 million and/or imprisonment of up to 10 years, depending on the severity of the contravention.</w:t>
      </w:r>
    </w:p>
    <w:p>
      <w:pPr>
        <w:spacing w:after="0" w:line="176" w:lineRule="exact"/>
        <w:rPr>
          <w:sz w:val="20"/>
          <w:szCs w:val="20"/>
          <w:color w:val="auto"/>
        </w:rPr>
      </w:pPr>
    </w:p>
    <w:p>
      <w:pPr>
        <w:ind w:right="120" w:firstLine="391"/>
        <w:spacing w:after="0" w:line="286" w:lineRule="auto"/>
        <w:rPr>
          <w:sz w:val="20"/>
          <w:szCs w:val="20"/>
          <w:color w:val="auto"/>
        </w:rPr>
      </w:pPr>
      <w:r>
        <w:rPr>
          <w:rFonts w:ascii="Arial" w:cs="Arial" w:eastAsia="Arial" w:hAnsi="Arial"/>
          <w:sz w:val="17"/>
          <w:szCs w:val="17"/>
          <w:color w:val="auto"/>
        </w:rPr>
        <w:t>We may also be subject to costly notification and remediation requirements if we, or a third party, determines that we have been the subject of a data breach involving personal data of individuals. Data breach notification regulations vary among the countries where we conduct business, and also vary among the states of the United States, and any breach of personal data could be subject to any number of these requirements.</w:t>
      </w:r>
    </w:p>
    <w:p>
      <w:pPr>
        <w:spacing w:after="0" w:line="165"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As noted above, we have sought to implement internationally recognized practices regarding data privacy and data security. If our privacy or data security measures fail to comply, or are perceived to fail to comply, with current or future laws and regulations, we may be subject to litigation, regulatory investigations or other liabilities. Moreover, if future laws and regulations limit our customers’ ability to use and share this data or our ability to store, process and share data with our customers over the Internet, demand for our solutions could decrease and our costs could increase. We might also have to limit the manner in which we collect data, the types of personal data that we collect, or the solutions we offer. Any of these risks would materially and adversely affect our business, results of operations and financial condition.</w:t>
      </w:r>
    </w:p>
    <w:p>
      <w:pPr>
        <w:spacing w:after="0" w:line="17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controls over financial reporting, we may not be able to report our financial results timely and accurately, which could adversely affect investor confidence in the Company, and in turn, our results of operations and our stock price.</w:t>
      </w:r>
    </w:p>
    <w:p>
      <w:pPr>
        <w:spacing w:after="0" w:line="16"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 In addition, our independent registered public accounting firm must report on its evaluation of those controls.</w:t>
      </w:r>
    </w:p>
    <w:p>
      <w:pPr>
        <w:spacing w:after="0" w:line="7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Any failure to maintain effective internal controls could cause a delay in compliance with our reporting obligations, SEC rules and regulations or Section 404 of the Sarbanes-Oxley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341" w:right="379" w:bottom="1440" w:gutter="0" w:footer="0" w:header="0"/>
        </w:sectPr>
      </w:pPr>
    </w:p>
    <w:bookmarkStart w:id="28" w:name="page29"/>
    <w:bookmarkEnd w:id="28"/>
    <w:p>
      <w:pPr>
        <w:ind w:right="80"/>
        <w:spacing w:after="0" w:line="277" w:lineRule="auto"/>
        <w:rPr>
          <w:sz w:val="20"/>
          <w:szCs w:val="20"/>
          <w:color w:val="auto"/>
        </w:rPr>
      </w:pPr>
      <w:r>
        <w:rPr>
          <w:rFonts w:ascii="Arial" w:cs="Arial" w:eastAsia="Arial" w:hAnsi="Arial"/>
          <w:sz w:val="18"/>
          <w:szCs w:val="18"/>
          <w:b w:val="1"/>
          <w:bCs w:val="1"/>
          <w:i w:val="1"/>
          <w:iCs w:val="1"/>
          <w:color w:val="auto"/>
        </w:rPr>
        <w:t>If the accounting estimates we make, and the assumptions on which we rely, in preparing our financial statements prove inaccurate, our actual results may be adversely affected.</w:t>
      </w:r>
    </w:p>
    <w:p>
      <w:pPr>
        <w:spacing w:after="0" w:line="62" w:lineRule="exact"/>
        <w:rPr>
          <w:sz w:val="20"/>
          <w:szCs w:val="20"/>
          <w:color w:val="auto"/>
        </w:rPr>
      </w:pPr>
    </w:p>
    <w:p>
      <w:pPr>
        <w:ind w:right="120" w:firstLine="405"/>
        <w:spacing w:after="0" w:line="269" w:lineRule="auto"/>
        <w:rPr>
          <w:sz w:val="20"/>
          <w:szCs w:val="20"/>
          <w:color w:val="auto"/>
        </w:rPr>
      </w:pPr>
      <w:r>
        <w:rPr>
          <w:rFonts w:ascii="Arial" w:cs="Arial" w:eastAsia="Arial" w:hAnsi="Arial"/>
          <w:sz w:val="17"/>
          <w:szCs w:val="17"/>
          <w:color w:val="auto"/>
        </w:rPr>
        <w:t>Our financial statements have been prepared in accordance with accounting principles generally accepted in the United States. The preparation of these financial statements requires us to make estimates and judgments about, among other things, allowance for doubtful accounts receivable, provision for excess and obsolete inventory, valuation of intangible and long-lived assets, valuation of goodwill, royalty costs, accruals relating to litigation and restructuring, income taxes, share-based compensation expense and the Company’s ability to continue as a going concern. These estimates and judgments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changes to the accounting systems or new accounting system implementations may be ineffective or cause delays in our ability to provide timely financial results</w:t>
      </w:r>
    </w:p>
    <w:p>
      <w:pPr>
        <w:spacing w:after="0" w:line="1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 change in the Company’s accounting systems or new accounting system implementations could cause trial balances to drift out of balance or hinder the reconciliation of items which are time consuming to diagnose, impacting our ability to provide timely audited and unaudited financial results. Any such change could have a significant impact on the effectiveness of our system of internal controls and could cause a delay in compliance with our reporting obligations, which could adversely affect our business and the trading price of our common stock.</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43"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Enhanced United States fiscal, tax and trade restrictions and executive and legislative actions could adversely affect our business, financial condition, and results of operations.</w:t>
      </w:r>
    </w:p>
    <w:p>
      <w:pPr>
        <w:spacing w:after="0" w:line="17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There is currently significant uncertainty about the future relationship between the United States and various other countries, most significantly China, with respect to trade policies, treaties, tariffs and taxes. The current U.S. administration has called for substantial changes to U.S. foreign trade policy with respect to China and other countries, including significant new and increased tariffs on goods imported into the United States. In 2018, the Office of the U.S. Trade Representative (the “USTR”) enacted tariffs on imports into the U.S. from China, including communications equipment products and components manufactured and imported from China. The tariff became effective in September 2018, with an initial rate of 10% and was scheduled to increase from 10% to 25% on January 1, 2019. The scheduled increase was delayed until March 2, 2019, however trade negotiations between the U.S. and China continue and the scheduled increase has been further delayed indefinitely. Our business may also be affected by tariffs set by countries into which we sell our products, whether as a response to U.S. foreign trade policy or otherwise. In addition, changes in international trade agreements, regulations, restrictions and tariffs, including new tariffs, may increase our operating costs, reduce our margins and make it more difficult for us to compete in the U.S. and overseas markets, and our business, financial condition and results of operations could be adversely impacted.</w:t>
      </w:r>
    </w:p>
    <w:p>
      <w:pPr>
        <w:spacing w:after="0" w:line="16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have taken actions to mitigate the impact of such tariffs, however, there is no assurance that all such efforts will be successful. These actions include moving our contract manufacturing out of mainland China and working directly with U.S. Customs and Border Protection (“CBP”) to address the harmonized tariff codes used for our products. The majority of the move out of mainland China has been completed, and we expect the balance to be completed by the end of the first quarter 2020. The inability to mitigate the impact of the recently enacted tariffs, including the inability to obtain favorable results from our efforts with CBP, or any similar future increases in tariffs would increase our costs, and our business, financial condition and results of operations could be adversely affected.</w:t>
      </w:r>
    </w:p>
    <w:p>
      <w:pPr>
        <w:spacing w:after="0" w:line="192"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In some cases, the U.S. government’s imposition of trade restrictions involving products sold by certain Chinese manufacturers has caused U.S. wireless carriers to divert business from international providers to the Company, and accordingly, the Company has invested resources in satisfying the needs of such customers. If the U.S. government were to</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503" w:right="359" w:bottom="1440" w:gutter="0" w:footer="0" w:header="0"/>
        </w:sectPr>
      </w:pPr>
    </w:p>
    <w:bookmarkStart w:id="29" w:name="page30"/>
    <w:bookmarkEnd w:id="29"/>
    <w:p>
      <w:pPr>
        <w:ind w:right="40"/>
        <w:spacing w:after="0" w:line="277" w:lineRule="auto"/>
        <w:rPr>
          <w:sz w:val="20"/>
          <w:szCs w:val="20"/>
          <w:color w:val="auto"/>
        </w:rPr>
      </w:pPr>
      <w:r>
        <w:rPr>
          <w:rFonts w:ascii="Arial" w:cs="Arial" w:eastAsia="Arial" w:hAnsi="Arial"/>
          <w:sz w:val="18"/>
          <w:szCs w:val="18"/>
          <w:color w:val="auto"/>
        </w:rPr>
        <w:t>remove or reduce such trade restrictions, it could cause such carriers to reduce their business with the Company and we may be unable to recoup or attain a return on such investments.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OWNING OUR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highly volatile in the past and could be highly volatile in the future.</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market price of our common stock can be highly volatile due to the risks and uncertainties described in this report, as well as other factors, including: comments by securities analysts; announcements by us or others regarding, among other things, operating results, additions or departures of key personnel, and acquisitions or divestitures; additional equity or debt financing; technological innovations; introductions of new products; litigation; price and volume fluctuations in the overall stock market, and particularly with respect to market prices and trading volumes of other high technology stocks; and our failure to meet market expectations.</w:t>
      </w:r>
    </w:p>
    <w:p>
      <w:pPr>
        <w:spacing w:after="0" w:line="242"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In addition, the stock market has from time to time experienced extreme price and volume fluctuations that were unrelated to the operating performance of particular companies. In the past, some companies have experienced volatility that subsequently resulted in securities class action litigation. If litigation were instituted on this basis, it could result in substantial costs and a diversion of management’s attention and resources.</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We may not be able to raise such additional funds on acceptable terms or at all.</w:t>
      </w:r>
    </w:p>
    <w:p>
      <w:pPr>
        <w:spacing w:after="0" w:line="170" w:lineRule="exact"/>
        <w:rPr>
          <w:sz w:val="20"/>
          <w:szCs w:val="20"/>
          <w:color w:val="auto"/>
        </w:rPr>
      </w:pPr>
    </w:p>
    <w:p>
      <w:pPr>
        <w:ind w:right="40" w:firstLine="432"/>
        <w:spacing w:after="0" w:line="296" w:lineRule="auto"/>
        <w:rPr>
          <w:sz w:val="20"/>
          <w:szCs w:val="20"/>
          <w:color w:val="auto"/>
        </w:rPr>
      </w:pPr>
      <w:r>
        <w:rPr>
          <w:rFonts w:ascii="Arial" w:cs="Arial" w:eastAsia="Arial" w:hAnsi="Arial"/>
          <w:sz w:val="16"/>
          <w:szCs w:val="16"/>
          <w:color w:val="auto"/>
        </w:rPr>
        <w:t>We may need to raise substantial additional capital in the future to fund our operations, develop and commercialize new products and solutions or acquire companies. If we require additional funds in the future, we may not be able to obtain those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In addition, restrictions in our existing debt agreements may limit the amount and/or type of indebtedness that we are able to incur.</w:t>
      </w:r>
    </w:p>
    <w:p>
      <w:pPr>
        <w:spacing w:after="0" w:line="215"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If we do not have, or are not able to obtain, sufficient funds, we may have to delay development or commercialization of our products and solutions, liquidate some or all of our assets, or delay, reduce the scope of or eliminate some or all of our sales and marketing expansion programs. Any of these actions could harm our operating results.</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financial or industry analysts do not publish research or reports about our business, or if they issue negative or misleading evaluations of our stock, our stock price and trading volume could decline.</w:t>
      </w:r>
    </w:p>
    <w:p>
      <w:pPr>
        <w:spacing w:after="0" w:line="170"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financial analysts publish about us or our business. We do not control these analysts, or the content and opinions included in their reports. If one or more of the analysts who cover us were to adversely change their recommendation regarding our stock, or provide more favorable relative recommendations about our competitors, our stock price could decline. If one or more of the analysts who cover us cease coverage of our company or fail to publish reports on us regularly, we could lose visibility in the financial markets, which in turn could cause our stock price or trading volume to decline.</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issuances of our common stock to holders of warrants may materially and adversely affect the price of our common stock and cause dilution to our existing stockholders.</w:t>
      </w:r>
    </w:p>
    <w:p>
      <w:pPr>
        <w:spacing w:after="0" w:line="62" w:lineRule="exact"/>
        <w:rPr>
          <w:sz w:val="20"/>
          <w:szCs w:val="20"/>
          <w:color w:val="auto"/>
        </w:rPr>
      </w:pPr>
    </w:p>
    <w:p>
      <w:pPr>
        <w:ind w:right="140" w:firstLine="391"/>
        <w:spacing w:after="0" w:line="301" w:lineRule="auto"/>
        <w:rPr>
          <w:sz w:val="20"/>
          <w:szCs w:val="20"/>
          <w:color w:val="auto"/>
        </w:rPr>
      </w:pPr>
      <w:r>
        <w:rPr>
          <w:rFonts w:ascii="Arial" w:cs="Arial" w:eastAsia="Arial" w:hAnsi="Arial"/>
          <w:sz w:val="16"/>
          <w:szCs w:val="16"/>
          <w:color w:val="auto"/>
        </w:rPr>
        <w:t>As of December 31, 2019, we had outstanding warrants to purchase 2,838,454 shares of our common stock. These warrants are generally only exercisable on a cash basis but may be exercised on a cashless basis if and only if a registration statement relating to the issuance of the shares underlying the warrants is not then effective or an exemption from registration is not available for the resale of such shares. Any such net exercise will dilute the ownership interests of existing stockholders without any corresponding benefit to the Company of a cash payment for the exercise price of such warrant.</w:t>
      </w:r>
    </w:p>
    <w:p>
      <w:pPr>
        <w:spacing w:after="0" w:line="2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Future settlements of any conversion obligations with respect to the Inseego Notes may result in dilution to existing stockholders, lower prevailing market prices for our common stock or require a significant cash outlay.</w:t>
      </w:r>
    </w:p>
    <w:p>
      <w:pPr>
        <w:spacing w:after="0" w:line="170"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Prior to December 15, 2021, holders may convert their Inseego Notes only if certain conditions are met. Because the sale price condition included in the Inseego Indenture was satisfied during December 2019, the Inseego Notes are currently convertible and will remain convertible until March 31, 2020, at which time the convertibility will need to be reevaluated. On or after December 15, 2021, until close of business on the business day immediately preceding the maturity date, holders may convert their Inseego Notes at any time. The Inseego Notes are convertible into cash, shares of the Company’s common stock, or a combination thereof, at the election of the Company, and are currently convertible at a conversion rate of 212.7660 shares of common stock per $1,000 principal amount of Inseego Notes (which is equivalent to an initial conversion price of $4.70 per</w:t>
      </w:r>
    </w:p>
    <w:p>
      <w:pPr>
        <w:sectPr>
          <w:pgSz w:w="11900" w:h="16838" w:orient="portrait"/>
          <w:cols w:equalWidth="0" w:num="1">
            <w:col w:w="11220"/>
          </w:cols>
          <w:pgMar w:left="320" w:top="449" w:right="359" w:bottom="1440" w:gutter="0" w:footer="0" w:header="0"/>
        </w:sect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20"/>
          </w:cols>
          <w:pgMar w:left="320" w:top="449"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share of common stock). The conversion rate is subject to adjustment if certain events occur, but in no event will the conversion rate exceed</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387.5968 shares of common stock per $1,000 principal amount of Inseego Notes (which is equivalent to a conversion price of $2.58 per share of common stock). If we elect to settle conversions of the Inseego Notes with common stock, this may cause significant dilution to our existing stockholders. Any sales in the public market of the common stock issued upon such conversion could adversely affect prevailing market prices of our common stock. If we do not elect to settle conversion of the Inseego Notes solely with common stock, we would be required to settle a portion, or all, of our conversion obligation through the payment of cash, which could adversely affect our liquidity.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the Inseego Indenture could delay or prevent an otherwise beneficial takeover or takeover attempt of us.</w:t>
      </w:r>
    </w:p>
    <w:p>
      <w:pPr>
        <w:spacing w:after="0" w:line="225"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Certain provisions in the Inseego Indenture could make it more difficult or more expensive for a third party to acquire us. For example, if a takeover would constitute a fundamental change (as defined in the Inseego Indenture), holders of the Inseego Notes will have the right to require us to repurchase their Inseego Notes in cash. In addition, if a takeover constitutes a make-whole fundamental change, we may be required to increase the conversion rate for holders who convert their Inseego Notes in connection with such takeover. In either case, and in other cases, our obligations under the Inseego Notes and the Inseego Indenture could increase the cost of acquiring us or otherwise discourage a third party from acquiring 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our common stock is concentrated, and as a result, certain stockholders may exercise significant influence over us.</w:t>
      </w:r>
    </w:p>
    <w:p>
      <w:pPr>
        <w:spacing w:after="0" w:line="117"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As of March 13, 2020, North Sound Trading, L.P. and Golden Harbor Ltd. (together the “Investors”) and their affiliates own an aggregate of approximately 32.1% of the outstanding shares of our common stock. The Investors and their affiliates also hold 100% of the total principal of the Term Loan and approximately $44.8 million of the Inseego Notes (99.7% of the total principal amount). Assuming the conversion of the Inseego Notes and exercise of the warrants also owned by the Investors and their affiliates, the Investors and their affiliates would own approximately 39.7% of the outstanding shares of our common stock. As a result, the Investors have the ability to significantly influence the outcome of any matter submitted for the vote of the holders of our common stock.</w:t>
      </w:r>
    </w:p>
    <w:p>
      <w:pPr>
        <w:spacing w:after="0" w:line="8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concentration of voting power could exert substantial influence over our business. For example, the concentration of voting power could delay, defer or prevent a change of control, entrench our management and the board of directors or delay or prevent a merger, consolidation, takeover or other business combination involving us on terms that other security holders may desire. In addition, conflicts of interest could arise in the future between us on the one hand, and either or both of the Investors on the other hand, concerning potential competitive business activities, business opportunities, capital financing, the issuance of additional securities and other matters.</w:t>
      </w:r>
    </w:p>
    <w:p>
      <w:pPr>
        <w:spacing w:after="0" w:line="80"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In addition, pursuant to that certain Securities Purchase Agreement, dated August 6, 2018, by and among Inseego and the Investors (the “Purchase Agreement”), each of the Investors has the right to nominate a director so long as such Investor and its affiliates beneficially own at least 5% of the issued and outstanding shares of common stock of the Company, subject to satisfaction of reasonable qualification standards. The Purchase Agreement further provides that, at any time at which either Investor, together with its affiliates, beneficially owns more than 20% of the issued and outstanding common shares of stock of the Company, such Investor shall be entitled to appoint a second director, and the size of our Board of Directors shall not be increased to exceed seven directors. Notwithstanding the fact that all directors will be subject to fiduciary duties to the Company and to applicable law, the interests of the directors designated by the Investors may differ from the interests of our security holders as a whole or of our other directors.</w:t>
      </w:r>
    </w:p>
    <w:p>
      <w:pPr>
        <w:spacing w:after="0" w:line="58" w:lineRule="exact"/>
        <w:rPr>
          <w:sz w:val="20"/>
          <w:szCs w:val="20"/>
          <w:color w:val="auto"/>
        </w:rPr>
      </w:pPr>
    </w:p>
    <w:p>
      <w:pPr>
        <w:ind w:right="80" w:firstLine="391"/>
        <w:spacing w:after="0" w:line="259" w:lineRule="auto"/>
        <w:rPr>
          <w:sz w:val="20"/>
          <w:szCs w:val="20"/>
          <w:color w:val="auto"/>
        </w:rPr>
      </w:pPr>
      <w:r>
        <w:rPr>
          <w:rFonts w:ascii="Arial" w:cs="Arial" w:eastAsia="Arial" w:hAnsi="Arial"/>
          <w:sz w:val="18"/>
          <w:szCs w:val="18"/>
          <w:color w:val="auto"/>
        </w:rPr>
        <w:t>In addition to their rights as stockholders and rights under the Purchase Agreement, the Investors also own a significant portion of our debt securities. Any restructuring or amendment of our Term Loan or of the Inseego Notes will require the consent and/or participation of one or both of the Investors. There can be no assurance that we will be able to obtain favorable terms in connection with the restructuring of our debt arrangements or any recapitalization that requires the approval of such Investors.</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outstanding Series E Preferred Stock or future equity offerings could adversely affect the holders of our common stock in some circumstances.</w:t>
      </w:r>
    </w:p>
    <w:p>
      <w:pPr>
        <w:spacing w:after="0" w:line="26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There are currently 35,000 shares of Series E Fixed-Rate Cumulative Perpetual Preferred Stock, par value $0.001 per share (the “Series E Preferred Stock”) outstanding with an aggregate liquidation preference of $35 million. In addition, we may issue additional shares of Series E Preferred Stock to satisfy interest obligations under our Term Loan. The Series E Preferred Stock is senior to our shares of common stock in right of payment of dividends and other distributions.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(as defined below) plus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49" w:right="339" w:bottom="1440" w:gutter="0" w:footer="0" w:header="0"/>
        </w:sectPr>
      </w:pPr>
    </w:p>
    <w:bookmarkStart w:id="31" w:name="page32"/>
    <w:bookmarkEnd w:id="31"/>
    <w:p>
      <w:pPr>
        <w:ind w:right="200"/>
        <w:spacing w:after="0" w:line="275" w:lineRule="auto"/>
        <w:rPr>
          <w:sz w:val="20"/>
          <w:szCs w:val="20"/>
          <w:color w:val="auto"/>
        </w:rPr>
      </w:pPr>
      <w:r>
        <w:rPr>
          <w:rFonts w:ascii="Arial" w:cs="Arial" w:eastAsia="Arial" w:hAnsi="Arial"/>
          <w:sz w:val="17"/>
          <w:szCs w:val="17"/>
          <w:color w:val="auto"/>
        </w:rPr>
        <w:t>(without duplication) any accrued and unpaid dividends. In the future, we may offer additional shares of Series E Preferred Stock or other equity, equity-linked or debt securities, which may have rights, preferences or privileges senior to our common stock. Because our decision to issue debt or equity securities or incur other borrowings in the future will depend on market conditions and other factors beyond our control, the amount, timing, nature or success of our future capital raising efforts is uncertain. Thus, holders of our common stock bear the risk that our future issuances of debt or equity securities or our incurrence of other borrowings may negatively affect the market price of our common stock.</w:t>
      </w:r>
    </w:p>
    <w:p>
      <w:pPr>
        <w:spacing w:after="0" w:line="2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Our principal executive office is located in Alpharetta, Georgia. Our corporate offices are located in San Diego, California where we lease approximately 25,000 square feet under an arrangement that expires in July 2027 and approximately 12,000 square feet under an arrangement that expires in June 2020. We also currently lease approximately 14,000 square feet in Eugene, Oregon under a lease arrangement that expires in January 2023, and own property in Centurion, South Africa with approximately 28,000 square feet. We further lease space in various geographic locations abroad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3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83" w:lineRule="exact"/>
        <w:rPr>
          <w:sz w:val="20"/>
          <w:szCs w:val="20"/>
          <w:color w:val="auto"/>
        </w:rPr>
      </w:pPr>
    </w:p>
    <w:p>
      <w:pPr>
        <w:jc w:val="both"/>
        <w:ind w:right="380" w:firstLine="405"/>
        <w:spacing w:after="0" w:line="342" w:lineRule="auto"/>
        <w:rPr>
          <w:sz w:val="20"/>
          <w:szCs w:val="20"/>
          <w:color w:val="auto"/>
        </w:rPr>
      </w:pPr>
      <w:r>
        <w:rPr>
          <w:rFonts w:ascii="Arial" w:cs="Arial" w:eastAsia="Arial" w:hAnsi="Arial"/>
          <w:sz w:val="16"/>
          <w:szCs w:val="16"/>
          <w:color w:val="auto"/>
        </w:rPr>
        <w:t>We are engaged in legal actions that arise in the ordinary course of our business. In general, while there can be no assurance, we believe that the ultimate outcome of these legal actions will not have a material adverse effect on our business, results of operations, financial condition or cash flows.</w:t>
      </w:r>
    </w:p>
    <w:p>
      <w:pPr>
        <w:spacing w:after="0" w:line="23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The disclosure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consolidated financial statements includes a discussion of our legal proceedings and is incorporated herein by reference.</w:t>
      </w:r>
    </w:p>
    <w:p>
      <w:pPr>
        <w:spacing w:after="0" w:line="32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449" w:right="379" w:bottom="1440" w:gutter="0" w:footer="0" w:header="0"/>
        </w:sectPr>
      </w:pPr>
    </w:p>
    <w:bookmarkStart w:id="32" w:name="page33"/>
    <w:bookmarkEnd w:id="32"/>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Data</w:t>
      </w:r>
    </w:p>
    <w:p>
      <w:pPr>
        <w:spacing w:after="0" w:line="94" w:lineRule="exact"/>
        <w:rPr>
          <w:sz w:val="20"/>
          <w:szCs w:val="20"/>
          <w:color w:val="auto"/>
        </w:rPr>
      </w:pPr>
    </w:p>
    <w:p>
      <w:pPr>
        <w:ind w:right="1760" w:firstLine="432"/>
        <w:spacing w:after="0" w:line="391" w:lineRule="auto"/>
        <w:rPr>
          <w:sz w:val="20"/>
          <w:szCs w:val="20"/>
          <w:color w:val="auto"/>
        </w:rPr>
      </w:pPr>
      <w:r>
        <w:rPr>
          <w:rFonts w:ascii="Arial" w:cs="Arial" w:eastAsia="Arial" w:hAnsi="Arial"/>
          <w:sz w:val="18"/>
          <w:szCs w:val="18"/>
          <w:color w:val="auto"/>
        </w:rPr>
        <w:t xml:space="preserve">Shares of our common stock are currently quoted and traded on The Nasdaq Global Select Market under the symbol “INSG”. </w:t>
      </w:r>
      <w:r>
        <w:rPr>
          <w:rFonts w:ascii="Arial" w:cs="Arial" w:eastAsia="Arial" w:hAnsi="Arial"/>
          <w:sz w:val="18"/>
          <w:szCs w:val="18"/>
          <w:b w:val="1"/>
          <w:bCs w:val="1"/>
          <w:color w:val="auto"/>
        </w:rPr>
        <w:t>Number of Stockholders of Record</w:t>
      </w:r>
    </w:p>
    <w:p>
      <w:pPr>
        <w:spacing w:after="0" w:line="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As of March 9, 2020, there were approximately 31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40" w:firstLine="432"/>
        <w:spacing w:after="0" w:line="275" w:lineRule="auto"/>
        <w:rPr>
          <w:sz w:val="20"/>
          <w:szCs w:val="20"/>
          <w:color w:val="auto"/>
        </w:rPr>
      </w:pPr>
      <w:r>
        <w:rPr>
          <w:rFonts w:ascii="Arial" w:cs="Arial" w:eastAsia="Arial" w:hAnsi="Arial"/>
          <w:sz w:val="17"/>
          <w:szCs w:val="17"/>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 In addition, both the Credit Agreement and the Inseego Indenture contain covenants that limit the ability of the Company to pay cash dividends.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None, except as previously disclosed in the Company’s Quarterly Reports on Form 10-Q and Current Reports on Form 8-K, and except for the issuances of common stock upon the exercise of outstanding warrants described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5340" w:type="dxa"/>
            <w:vAlign w:val="bottom"/>
          </w:tcPr>
          <w:p>
            <w:pPr>
              <w:jc w:val="center"/>
              <w:ind w:left="2059"/>
              <w:spacing w:after="0"/>
              <w:rPr>
                <w:sz w:val="20"/>
                <w:szCs w:val="20"/>
                <w:color w:val="auto"/>
              </w:rPr>
            </w:pPr>
            <w:r>
              <w:rPr>
                <w:rFonts w:ascii="Arial" w:cs="Arial" w:eastAsia="Arial" w:hAnsi="Arial"/>
                <w:sz w:val="16"/>
                <w:szCs w:val="16"/>
                <w:b w:val="1"/>
                <w:bCs w:val="1"/>
                <w:color w:val="auto"/>
                <w:w w:val="89"/>
              </w:rPr>
              <w:t>Shares of Common Stock Issued upon</w:t>
            </w:r>
          </w:p>
        </w:tc>
        <w:tc>
          <w:tcPr>
            <w:tcW w:w="2160" w:type="dxa"/>
            <w:vAlign w:val="bottom"/>
          </w:tcPr>
          <w:p>
            <w:pPr>
              <w:spacing w:after="0"/>
              <w:rPr>
                <w:sz w:val="17"/>
                <w:szCs w:val="17"/>
                <w:color w:val="auto"/>
              </w:rPr>
            </w:pPr>
          </w:p>
        </w:tc>
      </w:tr>
      <w:tr>
        <w:trPr>
          <w:trHeight w:val="210"/>
        </w:trPr>
        <w:tc>
          <w:tcPr>
            <w:tcW w:w="3740" w:type="dxa"/>
            <w:vAlign w:val="bottom"/>
          </w:tcPr>
          <w:p>
            <w:pPr>
              <w:ind w:left="40"/>
              <w:spacing w:after="0"/>
              <w:rPr>
                <w:sz w:val="20"/>
                <w:szCs w:val="20"/>
                <w:color w:val="auto"/>
              </w:rPr>
            </w:pPr>
            <w:r>
              <w:rPr>
                <w:rFonts w:ascii="Arial" w:cs="Arial" w:eastAsia="Arial" w:hAnsi="Arial"/>
                <w:sz w:val="16"/>
                <w:szCs w:val="16"/>
                <w:b w:val="1"/>
                <w:bCs w:val="1"/>
                <w:color w:val="auto"/>
              </w:rPr>
              <w:t>Date</w:t>
            </w:r>
          </w:p>
        </w:tc>
        <w:tc>
          <w:tcPr>
            <w:tcW w:w="5340" w:type="dxa"/>
            <w:vAlign w:val="bottom"/>
          </w:tcPr>
          <w:p>
            <w:pPr>
              <w:jc w:val="center"/>
              <w:ind w:left="2059"/>
              <w:spacing w:after="0"/>
              <w:rPr>
                <w:sz w:val="20"/>
                <w:szCs w:val="20"/>
                <w:color w:val="auto"/>
              </w:rPr>
            </w:pPr>
            <w:r>
              <w:rPr>
                <w:rFonts w:ascii="Arial" w:cs="Arial" w:eastAsia="Arial" w:hAnsi="Arial"/>
                <w:sz w:val="16"/>
                <w:szCs w:val="16"/>
                <w:b w:val="1"/>
                <w:bCs w:val="1"/>
                <w:color w:val="auto"/>
                <w:w w:val="91"/>
              </w:rPr>
              <w:t>Exercise of Outstanding Warrants</w:t>
            </w:r>
          </w:p>
        </w:tc>
        <w:tc>
          <w:tcPr>
            <w:tcW w:w="2160" w:type="dxa"/>
            <w:vAlign w:val="bottom"/>
          </w:tcPr>
          <w:p>
            <w:pPr>
              <w:ind w:left="280"/>
              <w:spacing w:after="0"/>
              <w:rPr>
                <w:sz w:val="20"/>
                <w:szCs w:val="20"/>
                <w:color w:val="auto"/>
              </w:rPr>
            </w:pPr>
            <w:r>
              <w:rPr>
                <w:rFonts w:ascii="Arial" w:cs="Arial" w:eastAsia="Arial" w:hAnsi="Arial"/>
                <w:sz w:val="16"/>
                <w:szCs w:val="16"/>
                <w:b w:val="1"/>
                <w:bCs w:val="1"/>
                <w:color w:val="auto"/>
              </w:rPr>
              <w:t>Consideration Received</w:t>
            </w:r>
          </w:p>
        </w:tc>
      </w:tr>
      <w:tr>
        <w:trPr>
          <w:trHeight w:val="33"/>
        </w:trPr>
        <w:tc>
          <w:tcPr>
            <w:tcW w:w="374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9, 2019</w:t>
            </w:r>
          </w:p>
        </w:tc>
        <w:tc>
          <w:tcPr>
            <w:tcW w:w="5340" w:type="dxa"/>
            <w:vAlign w:val="bottom"/>
            <w:tcBorders>
              <w:bottom w:val="single" w:sz="8" w:color="CCEEFF"/>
            </w:tcBorders>
            <w:shd w:val="clear" w:color="auto" w:fill="CCEEFF"/>
          </w:tcPr>
          <w:p>
            <w:pPr>
              <w:jc w:val="center"/>
              <w:ind w:left="2059"/>
              <w:spacing w:after="0"/>
              <w:rPr>
                <w:sz w:val="20"/>
                <w:szCs w:val="20"/>
                <w:color w:val="auto"/>
              </w:rPr>
            </w:pPr>
            <w:r>
              <w:rPr>
                <w:rFonts w:ascii="Arial" w:cs="Arial" w:eastAsia="Arial" w:hAnsi="Arial"/>
                <w:sz w:val="16"/>
                <w:szCs w:val="16"/>
                <w:color w:val="auto"/>
                <w:w w:val="89"/>
              </w:rPr>
              <w:t>190,100</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$1,045,550</w:t>
            </w:r>
          </w:p>
        </w:tc>
      </w:tr>
      <w:tr>
        <w:trPr>
          <w:trHeight w:val="223"/>
        </w:trPr>
        <w:tc>
          <w:tcPr>
            <w:tcW w:w="3740" w:type="dxa"/>
            <w:vAlign w:val="bottom"/>
          </w:tcPr>
          <w:p>
            <w:pPr>
              <w:ind w:left="40"/>
              <w:spacing w:after="0"/>
              <w:rPr>
                <w:sz w:val="20"/>
                <w:szCs w:val="20"/>
                <w:color w:val="auto"/>
              </w:rPr>
            </w:pPr>
            <w:r>
              <w:rPr>
                <w:rFonts w:ascii="Arial" w:cs="Arial" w:eastAsia="Arial" w:hAnsi="Arial"/>
                <w:sz w:val="16"/>
                <w:szCs w:val="16"/>
                <w:color w:val="auto"/>
              </w:rPr>
              <w:t>December 10, 2019</w:t>
            </w:r>
          </w:p>
        </w:tc>
        <w:tc>
          <w:tcPr>
            <w:tcW w:w="5340" w:type="dxa"/>
            <w:vAlign w:val="bottom"/>
          </w:tcPr>
          <w:p>
            <w:pPr>
              <w:jc w:val="center"/>
              <w:ind w:left="2059"/>
              <w:spacing w:after="0"/>
              <w:rPr>
                <w:sz w:val="20"/>
                <w:szCs w:val="20"/>
                <w:color w:val="auto"/>
              </w:rPr>
            </w:pPr>
            <w:r>
              <w:rPr>
                <w:rFonts w:ascii="Arial" w:cs="Arial" w:eastAsia="Arial" w:hAnsi="Arial"/>
                <w:sz w:val="16"/>
                <w:szCs w:val="16"/>
                <w:color w:val="auto"/>
                <w:w w:val="89"/>
              </w:rPr>
              <w:t>102,000</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$561,000</w:t>
            </w:r>
          </w:p>
        </w:tc>
      </w:tr>
      <w:tr>
        <w:trPr>
          <w:trHeight w:val="33"/>
        </w:trPr>
        <w:tc>
          <w:tcPr>
            <w:tcW w:w="37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11, 2019</w:t>
            </w:r>
          </w:p>
        </w:tc>
        <w:tc>
          <w:tcPr>
            <w:tcW w:w="5340" w:type="dxa"/>
            <w:vAlign w:val="bottom"/>
            <w:tcBorders>
              <w:bottom w:val="single" w:sz="8" w:color="CCEEFF"/>
            </w:tcBorders>
            <w:shd w:val="clear" w:color="auto" w:fill="CCEEFF"/>
          </w:tcPr>
          <w:p>
            <w:pPr>
              <w:jc w:val="center"/>
              <w:ind w:left="2059"/>
              <w:spacing w:after="0"/>
              <w:rPr>
                <w:sz w:val="20"/>
                <w:szCs w:val="20"/>
                <w:color w:val="auto"/>
              </w:rPr>
            </w:pPr>
            <w:r>
              <w:rPr>
                <w:rFonts w:ascii="Arial" w:cs="Arial" w:eastAsia="Arial" w:hAnsi="Arial"/>
                <w:sz w:val="16"/>
                <w:szCs w:val="16"/>
                <w:color w:val="auto"/>
                <w:w w:val="89"/>
              </w:rPr>
              <w:t>351,483</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$1,880,434</w:t>
            </w:r>
          </w:p>
        </w:tc>
      </w:tr>
      <w:tr>
        <w:trPr>
          <w:trHeight w:val="224"/>
        </w:trPr>
        <w:tc>
          <w:tcPr>
            <w:tcW w:w="3740" w:type="dxa"/>
            <w:vAlign w:val="bottom"/>
          </w:tcPr>
          <w:p>
            <w:pPr>
              <w:ind w:left="40"/>
              <w:spacing w:after="0"/>
              <w:rPr>
                <w:sz w:val="20"/>
                <w:szCs w:val="20"/>
                <w:color w:val="auto"/>
              </w:rPr>
            </w:pPr>
            <w:r>
              <w:rPr>
                <w:rFonts w:ascii="Arial" w:cs="Arial" w:eastAsia="Arial" w:hAnsi="Arial"/>
                <w:sz w:val="16"/>
                <w:szCs w:val="16"/>
                <w:color w:val="auto"/>
              </w:rPr>
              <w:t>December 12, 2019</w:t>
            </w:r>
          </w:p>
        </w:tc>
        <w:tc>
          <w:tcPr>
            <w:tcW w:w="5340" w:type="dxa"/>
            <w:vAlign w:val="bottom"/>
          </w:tcPr>
          <w:p>
            <w:pPr>
              <w:jc w:val="center"/>
              <w:ind w:left="2059"/>
              <w:spacing w:after="0"/>
              <w:rPr>
                <w:sz w:val="20"/>
                <w:szCs w:val="20"/>
                <w:color w:val="auto"/>
              </w:rPr>
            </w:pPr>
            <w:r>
              <w:rPr>
                <w:rFonts w:ascii="Arial" w:cs="Arial" w:eastAsia="Arial" w:hAnsi="Arial"/>
                <w:sz w:val="16"/>
                <w:szCs w:val="16"/>
                <w:color w:val="auto"/>
                <w:w w:val="89"/>
              </w:rPr>
              <w:t>478,300</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$2,558,905</w:t>
            </w:r>
          </w:p>
        </w:tc>
      </w:tr>
      <w:tr>
        <w:trPr>
          <w:trHeight w:val="33"/>
        </w:trPr>
        <w:tc>
          <w:tcPr>
            <w:tcW w:w="37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13, 2019</w:t>
            </w:r>
          </w:p>
        </w:tc>
        <w:tc>
          <w:tcPr>
            <w:tcW w:w="5340" w:type="dxa"/>
            <w:vAlign w:val="bottom"/>
            <w:tcBorders>
              <w:bottom w:val="single" w:sz="8" w:color="CCEEFF"/>
            </w:tcBorders>
            <w:shd w:val="clear" w:color="auto" w:fill="CCEEFF"/>
          </w:tcPr>
          <w:p>
            <w:pPr>
              <w:jc w:val="center"/>
              <w:ind w:left="2059"/>
              <w:spacing w:after="0"/>
              <w:rPr>
                <w:sz w:val="20"/>
                <w:szCs w:val="20"/>
                <w:color w:val="auto"/>
              </w:rPr>
            </w:pPr>
            <w:r>
              <w:rPr>
                <w:rFonts w:ascii="Arial" w:cs="Arial" w:eastAsia="Arial" w:hAnsi="Arial"/>
                <w:sz w:val="16"/>
                <w:szCs w:val="16"/>
                <w:color w:val="auto"/>
                <w:w w:val="89"/>
              </w:rPr>
              <w:t>25,000</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$133,750</w:t>
            </w:r>
          </w:p>
        </w:tc>
      </w:tr>
      <w:tr>
        <w:trPr>
          <w:trHeight w:val="223"/>
        </w:trPr>
        <w:tc>
          <w:tcPr>
            <w:tcW w:w="3740" w:type="dxa"/>
            <w:vAlign w:val="bottom"/>
          </w:tcPr>
          <w:p>
            <w:pPr>
              <w:ind w:left="40"/>
              <w:spacing w:after="0"/>
              <w:rPr>
                <w:sz w:val="20"/>
                <w:szCs w:val="20"/>
                <w:color w:val="auto"/>
              </w:rPr>
            </w:pPr>
            <w:r>
              <w:rPr>
                <w:rFonts w:ascii="Arial" w:cs="Arial" w:eastAsia="Arial" w:hAnsi="Arial"/>
                <w:sz w:val="16"/>
                <w:szCs w:val="16"/>
                <w:color w:val="auto"/>
              </w:rPr>
              <w:t>December 18, 2019</w:t>
            </w:r>
          </w:p>
        </w:tc>
        <w:tc>
          <w:tcPr>
            <w:tcW w:w="5340" w:type="dxa"/>
            <w:vAlign w:val="bottom"/>
          </w:tcPr>
          <w:p>
            <w:pPr>
              <w:jc w:val="center"/>
              <w:ind w:left="2059"/>
              <w:spacing w:after="0"/>
              <w:rPr>
                <w:sz w:val="20"/>
                <w:szCs w:val="20"/>
                <w:color w:val="auto"/>
              </w:rPr>
            </w:pPr>
            <w:r>
              <w:rPr>
                <w:rFonts w:ascii="Arial" w:cs="Arial" w:eastAsia="Arial" w:hAnsi="Arial"/>
                <w:sz w:val="16"/>
                <w:szCs w:val="16"/>
                <w:color w:val="auto"/>
                <w:w w:val="89"/>
              </w:rPr>
              <w:t>11,700</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$62,595</w:t>
            </w:r>
          </w:p>
        </w:tc>
      </w:tr>
      <w:tr>
        <w:trPr>
          <w:trHeight w:val="33"/>
        </w:trPr>
        <w:tc>
          <w:tcPr>
            <w:tcW w:w="37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19, 2019</w:t>
            </w:r>
          </w:p>
        </w:tc>
        <w:tc>
          <w:tcPr>
            <w:tcW w:w="5340" w:type="dxa"/>
            <w:vAlign w:val="bottom"/>
            <w:tcBorders>
              <w:bottom w:val="single" w:sz="8" w:color="CCEEFF"/>
            </w:tcBorders>
            <w:shd w:val="clear" w:color="auto" w:fill="CCEEFF"/>
          </w:tcPr>
          <w:p>
            <w:pPr>
              <w:jc w:val="center"/>
              <w:ind w:left="2059"/>
              <w:spacing w:after="0"/>
              <w:rPr>
                <w:sz w:val="20"/>
                <w:szCs w:val="20"/>
                <w:color w:val="auto"/>
              </w:rPr>
            </w:pPr>
            <w:r>
              <w:rPr>
                <w:rFonts w:ascii="Arial" w:cs="Arial" w:eastAsia="Arial" w:hAnsi="Arial"/>
                <w:sz w:val="16"/>
                <w:szCs w:val="16"/>
                <w:color w:val="auto"/>
                <w:w w:val="89"/>
              </w:rPr>
              <w:t>8,200</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$43,870</w:t>
            </w:r>
          </w:p>
        </w:tc>
      </w:tr>
      <w:tr>
        <w:trPr>
          <w:trHeight w:val="223"/>
        </w:trPr>
        <w:tc>
          <w:tcPr>
            <w:tcW w:w="3740" w:type="dxa"/>
            <w:vAlign w:val="bottom"/>
          </w:tcPr>
          <w:p>
            <w:pPr>
              <w:ind w:left="40"/>
              <w:spacing w:after="0"/>
              <w:rPr>
                <w:sz w:val="20"/>
                <w:szCs w:val="20"/>
                <w:color w:val="auto"/>
              </w:rPr>
            </w:pPr>
            <w:r>
              <w:rPr>
                <w:rFonts w:ascii="Arial" w:cs="Arial" w:eastAsia="Arial" w:hAnsi="Arial"/>
                <w:sz w:val="16"/>
                <w:szCs w:val="16"/>
                <w:color w:val="auto"/>
              </w:rPr>
              <w:t>December 20, 2019</w:t>
            </w:r>
          </w:p>
        </w:tc>
        <w:tc>
          <w:tcPr>
            <w:tcW w:w="5340" w:type="dxa"/>
            <w:vAlign w:val="bottom"/>
          </w:tcPr>
          <w:p>
            <w:pPr>
              <w:jc w:val="center"/>
              <w:ind w:left="2059"/>
              <w:spacing w:after="0"/>
              <w:rPr>
                <w:sz w:val="20"/>
                <w:szCs w:val="20"/>
                <w:color w:val="auto"/>
              </w:rPr>
            </w:pPr>
            <w:r>
              <w:rPr>
                <w:rFonts w:ascii="Arial" w:cs="Arial" w:eastAsia="Arial" w:hAnsi="Arial"/>
                <w:sz w:val="16"/>
                <w:szCs w:val="16"/>
                <w:color w:val="auto"/>
                <w:w w:val="89"/>
              </w:rPr>
              <w:t>7,500</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$40,125</w:t>
            </w:r>
          </w:p>
        </w:tc>
      </w:tr>
      <w:tr>
        <w:trPr>
          <w:trHeight w:val="33"/>
        </w:trPr>
        <w:tc>
          <w:tcPr>
            <w:tcW w:w="37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4"/>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23, 2019</w:t>
            </w:r>
          </w:p>
        </w:tc>
        <w:tc>
          <w:tcPr>
            <w:tcW w:w="5340" w:type="dxa"/>
            <w:vAlign w:val="bottom"/>
            <w:shd w:val="clear" w:color="auto" w:fill="CCEEFF"/>
          </w:tcPr>
          <w:p>
            <w:pPr>
              <w:jc w:val="center"/>
              <w:ind w:left="2059"/>
              <w:spacing w:after="0"/>
              <w:rPr>
                <w:sz w:val="20"/>
                <w:szCs w:val="20"/>
                <w:color w:val="auto"/>
              </w:rPr>
            </w:pPr>
            <w:r>
              <w:rPr>
                <w:rFonts w:ascii="Arial" w:cs="Arial" w:eastAsia="Arial" w:hAnsi="Arial"/>
                <w:sz w:val="16"/>
                <w:szCs w:val="16"/>
                <w:color w:val="auto"/>
                <w:w w:val="89"/>
              </w:rPr>
              <w:t>80,846</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$432,526</w:t>
            </w:r>
          </w:p>
        </w:tc>
      </w:tr>
      <w:tr>
        <w:trPr>
          <w:trHeight w:val="33"/>
        </w:trPr>
        <w:tc>
          <w:tcPr>
            <w:tcW w:w="37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issuances of common stock described in the table above were exempt from the registration requirements of the Securities Act pursuant to the exemption for transactions by an issuer not involving any public offering under Section 4(a)(2) of the Securities Act.</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37" w:right="339" w:bottom="1440" w:gutter="0" w:footer="0" w:header="0"/>
        </w:sectPr>
      </w:pPr>
    </w:p>
    <w:bookmarkStart w:id="33" w:name="page34"/>
    <w:bookmarkEnd w:id="33"/>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Except as required by law, we assume no responsibility for updating any forward-looking statements, whether as a result of new information, future events or otherwise. For a discussion of the important risks related to our business and future operating performance, see the discussion under the caption “Item 1A. Risk Factors” and under the caption “Factors Which May Influence Future Results of Operations”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Background</w:t>
      </w:r>
    </w:p>
    <w:p>
      <w:pPr>
        <w:spacing w:after="0" w:line="283"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Inseego Corp. is a Delaware corporation formed in 2016 as the successor to Novatel Wireless, Inc., a Delaware corporation formed in 1996, resulting from an internal reorganization that was completed in November 2016. Our principal executive office is located at 12600 Deerfield Parkway, Suite 100, Alpharetta, GA 30004, our corporate offices are located at 9710 Scranton Road, Suite 200, San Diego, CA 92121 and our sales and engineering offices are located throughout the world. Inseego’s common stock trades on the NASDAQ Global Select Market under the trading symbol “INSG”.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Inseego Corp. is a leader in the design and development of fixed and mobile wireless solutions, advanced 4G and 5G NR, IIoT and cloud solutions for large enterprise verticals, service providers and small and medium-sized businesses around the globe. Our product portfolio consists of fixed and mobile device-to-cloud solutions that provide compelling, intelligent, reliable and secure end-to-end IoT services with deep business intelligence. Inseego’s products and solutions power mission critical applications with a “zero unscheduled downtime” mandate, such as our 5G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303"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We have been at the forefront of the ways in which the world stays connected and accesses information, and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Reporting</w:t>
      </w:r>
    </w:p>
    <w:p>
      <w:pPr>
        <w:spacing w:after="0" w:line="229"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We do not provide separate segment reporting for our various lines of business. Our Chief Executive Officer, who is also our Chief Operating Decision Maker, evaluates the business as a single entity and reviews financial information and makes business decisions based on the overall results of the business. As such, the Company’s operations constitute a single operating segment and one reportable segment.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by a number of factors including:</w:t>
      </w:r>
    </w:p>
    <w:p>
      <w:pPr>
        <w:spacing w:after="0" w:line="6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phase-out of earlier generation wireless technologies (such as 3G);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pricing; and</w:t>
      </w:r>
    </w:p>
    <w:p>
      <w:pPr>
        <w:sectPr>
          <w:pgSz w:w="11900" w:h="16838" w:orient="portrait"/>
          <w:cols w:equalWidth="0" w:num="1">
            <w:col w:w="11240"/>
          </w:cols>
          <w:pgMar w:left="320" w:top="499"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499" w:right="339" w:bottom="1440" w:gutter="0" w:footer="0" w:header="0"/>
          <w:type w:val="continuous"/>
        </w:sectPr>
      </w:pPr>
    </w:p>
    <w:bookmarkStart w:id="34" w:name="page35"/>
    <w:bookmarkEnd w:id="34"/>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We anticipate introducing additional products during the next twelve months, including SaaS telematics solutions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284"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Cost of net revenues includes all costs associated with our contract manufacturers, distribution, fulfillment and repair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including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26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administrative costs.</w:t>
      </w:r>
    </w:p>
    <w:p>
      <w:pPr>
        <w:spacing w:after="0" w:line="278"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54"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25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 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296"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exit-related costs, as well as discontinued operations, if any.</w:t>
      </w:r>
    </w:p>
    <w:p>
      <w:pPr>
        <w:spacing w:after="0" w:line="292"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39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our consolidated statements of operations expressed as a percentage of net revenues for the periods indicated.</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95250</wp:posOffset>
            </wp:positionV>
            <wp:extent cx="709803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IoT &amp; Mobile Solutions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Enterprise SaaS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net revenues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Cost of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IoT &amp; Mobile Solutions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Enterprise SaaS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Impairment of abandoned product line, net of recoveries</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cost of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Gross profit</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color w:val="auto"/>
        </w:rPr>
        <w:t>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purchased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Extinguishment of acquisition-related liabilities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Restructuring charges,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operating costs and expenses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Other income (expense):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Income tax provision</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4"/>
          <w:szCs w:val="14"/>
          <w:color w:val="auto"/>
        </w:rPr>
        <w:t>Less: Net loss (income) attributable to noncontrolling interests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Net loss attributable to Inseego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Preferred stock dividend</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color w:val="auto"/>
        </w:rPr>
        <w:t>Let loss attributable to common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7659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03" w:lineRule="exact"/>
        <w:rPr>
          <w:sz w:val="20"/>
          <w:szCs w:val="20"/>
          <w:color w:val="auto"/>
        </w:rPr>
      </w:pPr>
    </w:p>
    <w:p>
      <w:pPr>
        <w:ind w:left="520"/>
        <w:spacing w:after="0"/>
        <w:tabs>
          <w:tab w:leader="none" w:pos="19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7659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(as a percent of net revenues)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40" w:type="dxa"/>
            <w:vAlign w:val="bottom"/>
          </w:tcPr>
          <w:p>
            <w:pPr>
              <w:jc w:val="right"/>
              <w:spacing w:after="0"/>
              <w:rPr>
                <w:sz w:val="20"/>
                <w:szCs w:val="20"/>
                <w:color w:val="auto"/>
              </w:rPr>
            </w:pPr>
            <w:r>
              <w:rPr>
                <w:rFonts w:ascii="Arial" w:cs="Arial" w:eastAsia="Arial" w:hAnsi="Arial"/>
                <w:sz w:val="16"/>
                <w:szCs w:val="16"/>
                <w:color w:val="auto"/>
              </w:rPr>
              <w:t>70.2 %</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66.9 %</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3"/>
                <w:szCs w:val="23"/>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33.1</w:t>
            </w:r>
          </w:p>
        </w:tc>
      </w:tr>
      <w:tr>
        <w:trPr>
          <w:trHeight w:val="46"/>
        </w:trPr>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17"/>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100.0</w:t>
            </w:r>
          </w:p>
        </w:tc>
      </w:tr>
      <w:tr>
        <w:trPr>
          <w:trHeight w:val="527"/>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52.0</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3"/>
                <w:szCs w:val="23"/>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12.9</w:t>
            </w:r>
          </w:p>
        </w:tc>
      </w:tr>
    </w:tbl>
    <w:p>
      <w:pPr>
        <w:spacing w:after="0" w:line="6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17659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7"/>
                <w:szCs w:val="17"/>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65.1</w:t>
            </w:r>
          </w:p>
        </w:tc>
      </w:tr>
      <w:tr>
        <w:trPr>
          <w:trHeight w:val="33"/>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34.9</w:t>
            </w:r>
          </w:p>
        </w:tc>
      </w:tr>
      <w:tr>
        <w:trPr>
          <w:trHeight w:val="33"/>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87"/>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10.2</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3"/>
                <w:szCs w:val="23"/>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11.4</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3"/>
                <w:szCs w:val="23"/>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12.5</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1.8</w:t>
            </w:r>
          </w:p>
        </w:tc>
      </w:tr>
    </w:tbl>
    <w:p>
      <w:pPr>
        <w:spacing w:after="0" w:line="6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(8.5)</w:t>
      </w:r>
    </w:p>
    <w:p>
      <w:pPr>
        <w:spacing w:after="0" w:line="8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0.6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7"/>
                <w:szCs w:val="17"/>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27.9</w:t>
            </w:r>
          </w:p>
        </w:tc>
      </w:tr>
      <w:tr>
        <w:trPr>
          <w:trHeight w:val="33"/>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134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6.9</w:t>
            </w:r>
          </w:p>
        </w:tc>
      </w:tr>
      <w:tr>
        <w:trPr>
          <w:trHeight w:val="526"/>
        </w:trPr>
        <w:tc>
          <w:tcPr>
            <w:tcW w:w="1340" w:type="dxa"/>
            <w:vAlign w:val="bottom"/>
          </w:tcPr>
          <w:p>
            <w:pPr>
              <w:jc w:val="right"/>
              <w:ind w:right="7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4"/>
                <w:szCs w:val="24"/>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(10.1)</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(0.4)</w:t>
            </w:r>
          </w:p>
        </w:tc>
      </w:tr>
      <w:tr>
        <w:trPr>
          <w:trHeight w:val="47"/>
        </w:trPr>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17"/>
        </w:trPr>
        <w:tc>
          <w:tcPr>
            <w:tcW w:w="1340" w:type="dxa"/>
            <w:vAlign w:val="bottom"/>
          </w:tcPr>
          <w:p>
            <w:pPr>
              <w:jc w:val="right"/>
              <w:ind w:right="7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(3.6)</w:t>
            </w:r>
          </w:p>
        </w:tc>
      </w:tr>
      <w:tr>
        <w:trPr>
          <w:trHeight w:val="256"/>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0.4</w:t>
            </w:r>
          </w:p>
        </w:tc>
      </w:tr>
      <w:tr>
        <w:trPr>
          <w:trHeight w:val="47"/>
        </w:trPr>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17"/>
        </w:trPr>
        <w:tc>
          <w:tcPr>
            <w:tcW w:w="134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(4.0)</w:t>
            </w:r>
          </w:p>
        </w:tc>
      </w:tr>
      <w:tr>
        <w:trPr>
          <w:trHeight w:val="256"/>
        </w:trPr>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47"/>
        </w:trPr>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17"/>
        </w:trPr>
        <w:tc>
          <w:tcPr>
            <w:tcW w:w="134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57"/>
        </w:trPr>
        <w:tc>
          <w:tcPr>
            <w:tcW w:w="13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47"/>
        </w:trPr>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17"/>
        </w:trPr>
        <w:tc>
          <w:tcPr>
            <w:tcW w:w="134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40" w:space="720"/>
            <w:col w:w="2780"/>
          </w:cols>
          <w:pgMar w:left="320" w:top="553"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55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year ended December 31, 2019 were $219.5 million, an increase of $17.0 million, or 8.4%,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2018.</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r>
      <w:tr>
        <w:trPr>
          <w:trHeight w:val="26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Product Category</w:t>
            </w:r>
          </w:p>
        </w:tc>
        <w:tc>
          <w:tcPr>
            <w:tcW w:w="38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r>
      <w:tr>
        <w:trPr>
          <w:trHeight w:val="236"/>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IoT &amp; Mobile Solutions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154,167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135,349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18,818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13.9 %</w:t>
            </w:r>
          </w:p>
        </w:tc>
      </w:tr>
      <w:tr>
        <w:trPr>
          <w:trHeight w:val="223"/>
        </w:trPr>
        <w:tc>
          <w:tcPr>
            <w:tcW w:w="6600" w:type="dxa"/>
            <w:vAlign w:val="bottom"/>
            <w:gridSpan w:val="2"/>
          </w:tcPr>
          <w:p>
            <w:pPr>
              <w:ind w:left="40"/>
              <w:spacing w:after="0"/>
              <w:rPr>
                <w:sz w:val="20"/>
                <w:szCs w:val="20"/>
                <w:color w:val="auto"/>
              </w:rPr>
            </w:pPr>
            <w:r>
              <w:rPr>
                <w:rFonts w:ascii="Arial" w:cs="Arial" w:eastAsia="Arial" w:hAnsi="Arial"/>
                <w:sz w:val="16"/>
                <w:szCs w:val="16"/>
                <w:color w:val="auto"/>
              </w:rPr>
              <w:t>Enterprise SaaS Solutions</w:t>
            </w:r>
          </w:p>
        </w:tc>
        <w:tc>
          <w:tcPr>
            <w:tcW w:w="24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65,329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67,114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7"/>
        </w:trPr>
        <w:tc>
          <w:tcPr>
            <w:tcW w:w="2800" w:type="dxa"/>
            <w:vAlign w:val="bottom"/>
            <w:tcBorders>
              <w:bottom w:val="single" w:sz="8" w:color="CCEEFF"/>
            </w:tcBorders>
          </w:tcPr>
          <w:p>
            <w:pPr>
              <w:spacing w:after="0"/>
              <w:rPr>
                <w:sz w:val="4"/>
                <w:szCs w:val="4"/>
                <w:color w:val="auto"/>
              </w:rPr>
            </w:pPr>
          </w:p>
        </w:tc>
        <w:tc>
          <w:tcPr>
            <w:tcW w:w="38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r>
      <w:tr>
        <w:trPr>
          <w:trHeight w:val="255"/>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219,496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17,033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net revenues is primarily a result of increased sales in our LTE gigabit hotspots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introduction of our 5G hotspot related to our MiFi business, partially offset by a reduction in IoT sales.</w:t>
      </w:r>
    </w:p>
    <w:p>
      <w:pPr>
        <w:spacing w:after="0" w:line="27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net revenues were down slightly year-over-year due to the effect of strengthening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on international sales, partially offset by increased subscription revenues.</w:t>
      </w:r>
    </w:p>
    <w:p>
      <w:pPr>
        <w:spacing w:after="0" w:line="27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2019 was $155.5 million, or 70.9% of net revenues, compared to $131.9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65.1% of net revenues, for the same period in 2018.</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560" w:type="dxa"/>
            <w:vAlign w:val="bottom"/>
            <w:gridSpan w:val="2"/>
          </w:tcPr>
          <w:p>
            <w:pPr>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40" w:type="dxa"/>
            <w:vAlign w:val="bottom"/>
          </w:tcPr>
          <w:p>
            <w:pPr>
              <w:jc w:val="right"/>
              <w:ind w:right="32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jc w:val="right"/>
              <w:ind w:right="34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38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7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IoT &amp; Mobile Solutions</w:t>
            </w:r>
          </w:p>
        </w:tc>
        <w:tc>
          <w:tcPr>
            <w:tcW w:w="38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129,957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105,344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24,613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23.4 %</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25,568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26,167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155,525</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131,866</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23,659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i w:val="1"/>
          <w:iCs w:val="1"/>
          <w:color w:val="auto"/>
        </w:rPr>
        <w:t xml:space="preserve">IoT &amp; Mobile Solutions. </w:t>
      </w:r>
      <w:r>
        <w:rPr>
          <w:rFonts w:ascii="Arial" w:cs="Arial" w:eastAsia="Arial" w:hAnsi="Arial"/>
          <w:sz w:val="16"/>
          <w:szCs w:val="16"/>
          <w:color w:val="auto"/>
        </w:rPr>
        <w:t>The increase in IoT &amp; Mobile Solutions cost of net revenues is primarily a result of increased sales as well as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such as freight and royalties. In addition, the cost per unit is higher on the 5G hotspot as compared to the older generation of hotspot.</w:t>
      </w:r>
    </w:p>
    <w:p>
      <w:pPr>
        <w:spacing w:after="0" w:line="23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cost of net revenues decreased as a result of the effect of strengthening U.S. Dollar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rates on international costs, partially offset by costs to service the increase in revenues.</w:t>
      </w:r>
    </w:p>
    <w:p>
      <w:pPr>
        <w:spacing w:after="0" w:line="278"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i w:val="1"/>
          <w:iCs w:val="1"/>
          <w:color w:val="auto"/>
        </w:rPr>
        <w:t>Impairment of abandoned product line, net of recoveries</w:t>
      </w:r>
      <w:r>
        <w:rPr>
          <w:rFonts w:ascii="Arial" w:cs="Arial" w:eastAsia="Arial" w:hAnsi="Arial"/>
          <w:sz w:val="18"/>
          <w:szCs w:val="18"/>
          <w:color w:val="auto"/>
        </w:rPr>
        <w:t>. The impairment of abandoned product line in 2018 reflects the additional write down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inventory related to product lines which were abandoned during the fourth quarter of 2016, net of recoveries related to the subsequent sale of such abandoned products.</w:t>
      </w:r>
    </w:p>
    <w:p>
      <w:pPr>
        <w:spacing w:after="0" w:line="292"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for the year ended December 31, 2019 was $64.0 million, or a gross margin of 29.2%, compared to $70.6 million, or a gross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margin of 34.9%, for the same period in 2018. The decrease in gross profit was primarily attributable to a decline in MiFi gross margins.</w:t>
      </w:r>
    </w:p>
    <w:p>
      <w:pPr>
        <w:spacing w:after="0" w:line="25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2019 were $23.9 million, or 10.9%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$20.6 million, or 10.2% of net revenues, for the same period in 2018. The increase was primarily a result of increased spending related to 5G product programs, including additional headcount, partially offset by the Company starting to capitalize certain additional research and development costs beginning in 2019.</w:t>
      </w:r>
    </w:p>
    <w:p>
      <w:pPr>
        <w:spacing w:after="0" w:line="295"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b w:val="1"/>
          <w:bCs w:val="1"/>
          <w:i w:val="1"/>
          <w:iCs w:val="1"/>
          <w:color w:val="auto"/>
        </w:rPr>
        <w:t xml:space="preserve">Sales and marketing expenses. </w:t>
      </w:r>
      <w:r>
        <w:rPr>
          <w:rFonts w:ascii="Arial" w:cs="Arial" w:eastAsia="Arial" w:hAnsi="Arial"/>
          <w:sz w:val="17"/>
          <w:szCs w:val="17"/>
          <w:color w:val="auto"/>
        </w:rPr>
        <w:t>Sales and marketing expenses for the year ended December 31, 2019 were $28.9 million, or 13.2% of net revenues,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$23.0 million, or 11.4% of net revenues, for the same period in 2018. The increase was primarily a result of an increase in employment costs attributable to an increase in headcount and an increase in share-based compensation related to an equity bonus.</w:t>
      </w:r>
    </w:p>
    <w:p>
      <w:pPr>
        <w:spacing w:after="0" w:line="27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year ended December 31, 2019 were $27.3 million, or 12.4%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$25.3 million, or 12.5% of net revenues, for the same period in 2018. The</w:t>
      </w:r>
    </w:p>
    <w:p>
      <w:pPr>
        <w:sectPr>
          <w:pgSz w:w="11900" w:h="16838" w:orient="portrait"/>
          <w:cols w:equalWidth="0" w:num="1">
            <w:col w:w="11240"/>
          </w:cols>
          <w:pgMar w:left="320" w:top="499" w:right="339"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499" w:right="339" w:bottom="1440" w:gutter="0" w:footer="0" w:header="0"/>
          <w:type w:val="continuous"/>
        </w:sectPr>
      </w:pPr>
    </w:p>
    <w:bookmarkStart w:id="37" w:name="page38"/>
    <w:bookmarkEnd w:id="37"/>
    <w:p>
      <w:pPr>
        <w:ind w:right="400"/>
        <w:spacing w:after="0" w:line="277" w:lineRule="auto"/>
        <w:rPr>
          <w:sz w:val="20"/>
          <w:szCs w:val="20"/>
          <w:color w:val="auto"/>
        </w:rPr>
      </w:pPr>
      <w:r>
        <w:rPr>
          <w:rFonts w:ascii="Arial" w:cs="Arial" w:eastAsia="Arial" w:hAnsi="Arial"/>
          <w:sz w:val="18"/>
          <w:szCs w:val="18"/>
          <w:color w:val="auto"/>
        </w:rPr>
        <w:t>increase was primarily a result of an increase in employment costs attributable to an increase in headcount, non-recurring legal fees, and an increase in share-based compensation related to an equity bonus.</w:t>
      </w:r>
    </w:p>
    <w:p>
      <w:pPr>
        <w:spacing w:after="0" w:line="274" w:lineRule="exact"/>
        <w:rPr>
          <w:sz w:val="20"/>
          <w:szCs w:val="20"/>
          <w:color w:val="auto"/>
        </w:rPr>
      </w:pPr>
    </w:p>
    <w:p>
      <w:pPr>
        <w:ind w:right="14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years ended December 31, 2019 and 2018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$3.4 million and $3.6 million, respectively.</w:t>
      </w:r>
    </w:p>
    <w:p>
      <w:pPr>
        <w:spacing w:after="0" w:line="27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Extinguishment of acquisition-related liabilities. </w:t>
      </w:r>
      <w:r>
        <w:rPr>
          <w:rFonts w:ascii="Arial" w:cs="Arial" w:eastAsia="Arial" w:hAnsi="Arial"/>
          <w:sz w:val="18"/>
          <w:szCs w:val="18"/>
          <w:color w:val="auto"/>
        </w:rPr>
        <w:t>During the twelve months ended December 31, 2018, we recorded a gain of $17.2 million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extinguishment of certain acquisition-related liabilities resulting from the Settlement Agreement, as defined below. We did not have an extinguishment of acquisition-related liabilities during the same period in 2019.</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Restructuring charges, net of recoveries. </w:t>
      </w:r>
      <w:r>
        <w:rPr>
          <w:rFonts w:ascii="Arial" w:cs="Arial" w:eastAsia="Arial" w:hAnsi="Arial"/>
          <w:sz w:val="17"/>
          <w:szCs w:val="17"/>
          <w:color w:val="auto"/>
        </w:rPr>
        <w:t>Restructuring charges, net of recoveries, for the years ended December 31, 2019 and 2018 were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$0.1 million and $1.2 million, respectively, and primarily consisted of severance costs incurred in connection with the reduction of our workforce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facility exit related costs.</w:t>
      </w:r>
    </w:p>
    <w:p>
      <w:pPr>
        <w:spacing w:after="0" w:line="319"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each of the years ended December 31, 2019 and 2018 was $20.4 million. Interest expense is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the interest expense and amortization of the debt discount and debt issuance costs related to our Term Loan and Convertible Senior Notes.</w:t>
      </w:r>
    </w:p>
    <w:p>
      <w:pPr>
        <w:spacing w:after="0" w:line="232"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year ended December 31, 2019 was $0.4 million, which primarily related to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gains and losses, and gains on the sale of certain fixed assets. Other expense, net for the same period in 2018 was $0.9 million, which primarily consisted of foreign currency transaction gains and losses.</w:t>
      </w:r>
    </w:p>
    <w:p>
      <w:pPr>
        <w:spacing w:after="0" w:line="29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years ended December 31, 2019 and 2018 was $0.5 million and $0.8 million, respectively,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related to certain of our profitable entities in foreign jurisdictions.</w:t>
      </w:r>
    </w:p>
    <w:p>
      <w:pPr>
        <w:spacing w:after="0" w:line="27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effective tax rate for the year ended December 31, 2019 is different than the U.S. statutory rate primarily due to a valuation allowance recorded against additional tax assets generated during the year and certain profitable foreign subsidiaries.</w:t>
      </w:r>
    </w:p>
    <w:p>
      <w:pPr>
        <w:spacing w:after="0" w:line="278"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Series E preferred stock dividends. </w:t>
      </w:r>
      <w:r>
        <w:rPr>
          <w:rFonts w:ascii="Arial" w:cs="Arial" w:eastAsia="Arial" w:hAnsi="Arial"/>
          <w:sz w:val="18"/>
          <w:szCs w:val="18"/>
          <w:color w:val="auto"/>
        </w:rPr>
        <w:t>During the year ended December 31, 2019, we recorded $0.4 million of accrued Series E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We did not have Series E preferred stock dividends for the year ended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Our principal sources of liquidity are our existing cash and cash equivalents and cash generated from operations. As of December 31, 2019, we had cash and cash equivalents of $12.1 million compared with cash and cash equivalents of $31.0 million as of December 31, 2018.</w:t>
      </w:r>
    </w:p>
    <w:p>
      <w:pPr>
        <w:spacing w:after="0" w:line="254"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On August 6, 2018, the Company completed a private placement of 12,062,000 shares of common stock and warrants to purchase an additional 4,221,700 shares of common stock, for gross proceeds of $19.7 million in cash (the “2018 Private Placement”). In connection with the Private Placement, the Company incurred issuance costs of approximately $0.5 million.</w:t>
      </w:r>
    </w:p>
    <w:p>
      <w:pPr>
        <w:spacing w:after="0" w:line="238"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On August 9, 2019, we completed a private placement of 10,000 shares of Series E Preferred Stock, for an aggregate purchase price of $10.0 million in accordance with the terms and provisions of a Securities Purchase Agreement, dated August 9, 2019, by and among the Company and certain accredited investors. Each share of Series E Preferred Stock entitles the holder thereof to receive, when, as and if declared by the Company out of assets legally available therefor, cumulative cash dividends at an annual rate of 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 accrue and will be added to the Series E Base Amount. The Series E Preferred Stock has no voting rights unless otherwise required by law. The Series E Preferred Stock is perpetual and has no maturity date. However, we may, at our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our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w:t>
      </w:r>
    </w:p>
    <w:p>
      <w:pPr>
        <w:spacing w:after="0" w:line="6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During the fourth quarter of 2019, the Company received $6.9 million in net cash proceeds from the exercise of 1,255,129 of the Company’s common stock purchase warrants issued 2015.</w:t>
      </w:r>
    </w:p>
    <w:p>
      <w:pPr>
        <w:sectPr>
          <w:pgSz w:w="11900" w:h="16838" w:orient="portrait"/>
          <w:cols w:equalWidth="0" w:num="1">
            <w:col w:w="11240"/>
          </w:cols>
          <w:pgMar w:left="320" w:top="503"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503" w:right="339" w:bottom="1440" w:gutter="0" w:footer="0" w:header="0"/>
          <w:type w:val="continuous"/>
        </w:sectPr>
      </w:pPr>
    </w:p>
    <w:bookmarkStart w:id="38" w:name="page39"/>
    <w:bookmarkEnd w:id="38"/>
    <w:p>
      <w:pPr>
        <w:ind w:right="120" w:firstLine="405"/>
        <w:spacing w:after="0" w:line="263" w:lineRule="auto"/>
        <w:rPr>
          <w:sz w:val="20"/>
          <w:szCs w:val="20"/>
          <w:color w:val="auto"/>
        </w:rPr>
      </w:pPr>
      <w:r>
        <w:rPr>
          <w:rFonts w:ascii="Arial" w:cs="Arial" w:eastAsia="Arial" w:hAnsi="Arial"/>
          <w:sz w:val="18"/>
          <w:szCs w:val="18"/>
          <w:color w:val="auto"/>
        </w:rPr>
        <w:t>On March 6, 2020, the Company completed a private placement of 25,000 additional shares of Series E Preferred Stock, for an aggregate purchase price of $25.0 million in accordance with the terms and provisions of a Securities Purchase Agreement, dated March 6, 2020, by and among the Company and an accredited investor.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7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 August 23, 2017, we, and certain of our direct and indirect subsidiaries (the “Guarantors”), entered into a credit agreement (the “Credit Agreement”) with Cantor Fitzgerald Securities, as administrative agent and collateral agent, and certain lenders (the “Lenders”). Pursuant to the Credit Agreement, the Lenders provided us with a term loan in the principal amount of $48.0 million (the “Term Loan”) with a maturity date of August 23, 2020 (the “Maturity Date”). In conjunction with the closing of the Term Loan, we received proceeds of $46.9 million, $35.0 million of which was funded to us in cash on the closing date, net of approximately $1.1 million related to an original issue discount and commitment fee, and the remaining $11.9 million of which was funded through our repurchase and cancellation of approximately $14.9 million of our outstanding Inseego Notes pursuant to the terms of the Note Purchase Agreement (as defined below). Additionally, in conjunction with the closing of the Term Loan, we issued 2,000,000 shares of our common stock to the Lenders with a market value of approximately $2.3 million, accrued an exit fee of approximately $0.6 million and paid issuance costs of approximately $0.5 million.</w:t>
      </w:r>
    </w:p>
    <w:p>
      <w:pPr>
        <w:spacing w:after="0" w:line="304"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Term Loan is secured by a first priority lien on substantially all of the assets of the Company and the Guarantors, including equity interests in certain of our direct and indirect subsidiaries, in each case subject to certain customary exceptions and permitted liens. The Credit Agreement includes customary representations and warranties, a material adverse change clause, as well as customary reporting and financial covenants, including a restriction on the level of capital expenditures. The Company obtained waivers of the capital expenditure restriction from the lenders during the year ended December 31, 2019. As a result of the waivers, as of December 31, 2019, the Company was in compliance with all financial covenants under the Credit Agreement. On March 9, 2020, we entered into an amendment to the Credit Agreement, which among other things, amended certain financial covenants set forth therein and permits the use of our Series E Preferred Stock to make certain payments, including interest payments, due thereunder.</w:t>
      </w:r>
    </w:p>
    <w:p>
      <w:pPr>
        <w:spacing w:after="0" w:line="274" w:lineRule="exact"/>
        <w:rPr>
          <w:sz w:val="20"/>
          <w:szCs w:val="20"/>
          <w:color w:val="auto"/>
        </w:rPr>
      </w:pPr>
    </w:p>
    <w:p>
      <w:pPr>
        <w:ind w:firstLine="391"/>
        <w:spacing w:after="0" w:line="296" w:lineRule="auto"/>
        <w:rPr>
          <w:sz w:val="20"/>
          <w:szCs w:val="20"/>
          <w:color w:val="auto"/>
        </w:rPr>
      </w:pPr>
      <w:r>
        <w:rPr>
          <w:rFonts w:ascii="Arial" w:cs="Arial" w:eastAsia="Arial" w:hAnsi="Arial"/>
          <w:sz w:val="16"/>
          <w:szCs w:val="16"/>
          <w:color w:val="auto"/>
        </w:rPr>
        <w:t>On March 10, 2020, the Company entered into a letter agreement (the “Letter Agreement”) with South Ocean Funding, LLC (“South Ocean”), the Lender, holder of the aggregate principal amount currently outstanding under the Credit Agreement, which provides: (i) that the Company and South Ocean will work together, in good faith, to reach an agreement to amend or refinance the Credit Agreement in order to extend the maturity of the Credit Agreement until a date after March 15, 2021; and (ii) should an agreement not be reached to amend or refinance the Credit Agreement prior to August 23, 2020, upon request of the Company, the maturity date of the Credit Agreement will be extended to no earlier than March 15, 2021.</w:t>
      </w:r>
    </w:p>
    <w:p>
      <w:pPr>
        <w:spacing w:after="0" w:line="26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Term Loan bears interest at a rate per annum equal to the three-month LIBOR, but in no event less than 1.00%, plus 7.625% (9.535% at December 31, 2019). Interest on the Term Loan is payable on the last business day of each calendar month and on the Maturity Date. Principal on the Term Loan is payable on the Maturity Date. At December 31, 2019, four months of interest due to related parties, totaling $1.3 million was deferred and is included in accrued expenses and other current liabilities on the condensed consolidated balance sheet.</w:t>
      </w:r>
    </w:p>
    <w:p>
      <w:pPr>
        <w:spacing w:after="0" w:line="27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As required by the terms of the Credit Agreement, during the year ended December 31, 2019, the Company repaid $0.5 million of principal on the Term Loan in connection with the Settlement Agreement (as defined below).</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Related parties currently hold 100% of the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On June 10, 2015, Novatel Wireless issued $120.0 million of 5.50% convertible senior notes due 2020 (the “Novatel Wireless Notes”) which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our common stock, or a combination thereof, at our election, at an initial conversion price of $5.00 per share of our common stock.</w:t>
      </w:r>
    </w:p>
    <w:p>
      <w:pPr>
        <w:spacing w:after="0" w:line="11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January 9, 2017, in connection with the settlement of an exchange offer and consent solicitation with respect to the 5.50% convertible senior notes due 2020 (the “Novatel Wireless Notes”), the Company issued approximately $119.8 million aggregate principal amount of the 5.50% convertible senior notes due 2022 (the “Inseego Notes”). The Inseego Notes were issued in exchange for approximately $119.8 million aggregate principal amount of outstanding Novatel Wireless Notes that were validly tendered and accepted for exchange and subsequently canceled. The Inseego Notes are governed by the terms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557" w:right="359" w:bottom="1440" w:gutter="0" w:footer="0" w:header="0"/>
        </w:sectPr>
      </w:pPr>
    </w:p>
    <w:bookmarkStart w:id="39" w:name="page40"/>
    <w:bookmarkEnd w:id="39"/>
    <w:p>
      <w:pPr>
        <w:ind w:right="300"/>
        <w:spacing w:after="0" w:line="263" w:lineRule="auto"/>
        <w:rPr>
          <w:sz w:val="20"/>
          <w:szCs w:val="20"/>
          <w:color w:val="auto"/>
        </w:rPr>
      </w:pPr>
      <w:r>
        <w:rPr>
          <w:rFonts w:ascii="Arial" w:cs="Arial" w:eastAsia="Arial" w:hAnsi="Arial"/>
          <w:sz w:val="18"/>
          <w:szCs w:val="18"/>
          <w:color w:val="auto"/>
        </w:rPr>
        <w:t>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beginning on June 15, 2017.</w:t>
      </w:r>
    </w:p>
    <w:p>
      <w:pPr>
        <w:spacing w:after="0" w:line="76" w:lineRule="exact"/>
        <w:rPr>
          <w:sz w:val="20"/>
          <w:szCs w:val="20"/>
          <w:color w:val="auto"/>
        </w:rPr>
      </w:pPr>
    </w:p>
    <w:p>
      <w:pPr>
        <w:ind w:right="320" w:firstLine="405"/>
        <w:spacing w:after="0" w:line="311" w:lineRule="auto"/>
        <w:rPr>
          <w:sz w:val="20"/>
          <w:szCs w:val="20"/>
          <w:color w:val="auto"/>
        </w:rPr>
      </w:pPr>
      <w:r>
        <w:rPr>
          <w:rFonts w:ascii="Arial" w:cs="Arial" w:eastAsia="Arial" w:hAnsi="Arial"/>
          <w:sz w:val="16"/>
          <w:szCs w:val="16"/>
          <w:color w:val="auto"/>
        </w:rPr>
        <w:t>The exchange of the Novatel Wireless Notes for the Inseego Notes was treated as a debt modification in accordance with applicable Financial Accounting Standards Board (“FASB”) guidance and the Company recognized $3.6 million as an additional component of debt discount and additional paid-in capital attributed to the increase in the fair value of the embedded conversion feature of the Inseego Notes before and after modification.</w:t>
      </w:r>
    </w:p>
    <w:p>
      <w:pPr>
        <w:spacing w:after="0" w:line="20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Inseego Notes will mature on June 15, 2022, unless earlier converted, redeemed or repurchased. The Inseego Notes will be convertible into cash, shares of our common stock, or a combination thereof, at our election, at an initial conversion price of $4.70 per share of our common stock. Because the sale price condition included in the Inseego Indenture was satisfied during December 2019, the Inseego Notes are currently convertible and will remain convertible until March 31, 2020 at which time the convertibility will need to be reevaluated.</w:t>
      </w:r>
    </w:p>
    <w:p>
      <w:pPr>
        <w:spacing w:after="0" w:line="295" w:lineRule="exact"/>
        <w:rPr>
          <w:sz w:val="20"/>
          <w:szCs w:val="20"/>
          <w:color w:val="auto"/>
        </w:rPr>
      </w:pPr>
    </w:p>
    <w:p>
      <w:pPr>
        <w:ind w:right="360" w:firstLine="391"/>
        <w:spacing w:after="0" w:line="311" w:lineRule="auto"/>
        <w:rPr>
          <w:sz w:val="20"/>
          <w:szCs w:val="20"/>
          <w:color w:val="auto"/>
        </w:rPr>
      </w:pPr>
      <w:r>
        <w:rPr>
          <w:rFonts w:ascii="Arial" w:cs="Arial" w:eastAsia="Arial" w:hAnsi="Arial"/>
          <w:sz w:val="16"/>
          <w:szCs w:val="16"/>
          <w:color w:val="auto"/>
        </w:rPr>
        <w:t>On August 23, 2017, in connection with the Credit Agreement described above, we entered into a Note Purchase Agreement (the “Note Purchase Agreement”) with the Lenders pursuant to which we repurchased approximately $14.9 million of outstanding Inseego Notes from such Lenders in exchange for $11.9 million deemed to have been loaned to us pursuant to the Credit Agreement and the accrued and unpaid interest on such notes.</w:t>
      </w:r>
    </w:p>
    <w:p>
      <w:pPr>
        <w:spacing w:after="0" w:line="257" w:lineRule="exact"/>
        <w:rPr>
          <w:sz w:val="20"/>
          <w:szCs w:val="20"/>
          <w:color w:val="auto"/>
        </w:rPr>
      </w:pPr>
    </w:p>
    <w:p>
      <w:pPr>
        <w:ind w:right="160" w:firstLine="391"/>
        <w:spacing w:after="0" w:line="263" w:lineRule="auto"/>
        <w:rPr>
          <w:sz w:val="20"/>
          <w:szCs w:val="20"/>
          <w:color w:val="auto"/>
        </w:rPr>
      </w:pPr>
      <w:r>
        <w:rPr>
          <w:rFonts w:ascii="Arial" w:cs="Arial" w:eastAsia="Arial" w:hAnsi="Arial"/>
          <w:sz w:val="18"/>
          <w:szCs w:val="18"/>
          <w:color w:val="auto"/>
        </w:rPr>
        <w:t>The Inseego Notes are subject to repurchase by the Company at the option of the holders on June 15, 2020 unless earlier converted. On March 6, 2020, the holders of substantially all of the outstanding indebtedness under the Inseego Notes agreed to waive their optional right to require the Company to repurchase the Notes on June 15, 2020.</w:t>
      </w:r>
    </w:p>
    <w:p>
      <w:pPr>
        <w:spacing w:after="0" w:line="292" w:lineRule="exact"/>
        <w:rPr>
          <w:sz w:val="20"/>
          <w:szCs w:val="20"/>
          <w:color w:val="auto"/>
        </w:rPr>
      </w:pPr>
    </w:p>
    <w:p>
      <w:pPr>
        <w:ind w:right="480" w:firstLine="391"/>
        <w:spacing w:after="0" w:line="277" w:lineRule="auto"/>
        <w:rPr>
          <w:sz w:val="20"/>
          <w:szCs w:val="20"/>
          <w:color w:val="auto"/>
        </w:rPr>
      </w:pPr>
      <w:r>
        <w:rPr>
          <w:rFonts w:ascii="Arial" w:cs="Arial" w:eastAsia="Arial" w:hAnsi="Arial"/>
          <w:sz w:val="18"/>
          <w:szCs w:val="18"/>
          <w:color w:val="auto"/>
        </w:rPr>
        <w:t>On March 3, 2020 the Company and the Trustee entered into a First Supplemental Indenture which eliminated certain covenants prohibiting the incurrence of certain indebtedness and certain restricted payments.</w:t>
      </w:r>
    </w:p>
    <w:p>
      <w:pPr>
        <w:spacing w:after="0" w:line="278" w:lineRule="exact"/>
        <w:rPr>
          <w:sz w:val="20"/>
          <w:szCs w:val="20"/>
          <w:color w:val="auto"/>
        </w:rPr>
      </w:pPr>
    </w:p>
    <w:p>
      <w:pPr>
        <w:ind w:firstLine="391"/>
        <w:spacing w:after="0" w:line="263" w:lineRule="auto"/>
        <w:rPr>
          <w:sz w:val="20"/>
          <w:szCs w:val="20"/>
          <w:color w:val="auto"/>
        </w:rPr>
      </w:pPr>
      <w:r>
        <w:rPr>
          <w:rFonts w:ascii="Arial" w:cs="Arial" w:eastAsia="Arial" w:hAnsi="Arial"/>
          <w:sz w:val="18"/>
          <w:szCs w:val="18"/>
          <w:color w:val="auto"/>
        </w:rPr>
        <w:t>During the first quarter of 2020, we exchanged $59.9 million of outstanding Inseego Notes for 13,688,876 shares of common stock and $250,000 of outstanding Novatel Wireless Notes for 50,000 shares of common stock. As of the filing date of this report, there were $45.0 million of outstanding Inseego Notes and no outstanding Novatel Wireless Notes.</w:t>
      </w:r>
    </w:p>
    <w:p>
      <w:pPr>
        <w:spacing w:after="0" w:line="13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 xml:space="preserve">In connection with the exchanges of Inseego Notes described above, we issued 942,702 additional shares of our common stock. We will account for the debt conversion as an induced conversion under ASC 470, </w:t>
      </w:r>
      <w:r>
        <w:rPr>
          <w:rFonts w:ascii="Arial" w:cs="Arial" w:eastAsia="Arial" w:hAnsi="Arial"/>
          <w:sz w:val="18"/>
          <w:szCs w:val="18"/>
          <w:i w:val="1"/>
          <w:iCs w:val="1"/>
          <w:color w:val="auto"/>
        </w:rPr>
        <w:t>Debt</w:t>
      </w:r>
      <w:r>
        <w:rPr>
          <w:rFonts w:ascii="Arial" w:cs="Arial" w:eastAsia="Arial" w:hAnsi="Arial"/>
          <w:sz w:val="18"/>
          <w:szCs w:val="18"/>
          <w:color w:val="auto"/>
        </w:rPr>
        <w:t>, and as such, expect to record an expense on induced conversion of approximately $7.9 million during the first quarter of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Agreement</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Pursuant to the amended merger agreement with respect to our acquisition of R.E.R. Enterprises, Inc. (“RER”) and its wholly owned subsidiary and principal operating asset, Feeney Wireless, LLC (which has been renamed Inseego North America, LLC), the Company previously agreed to pay a total of $15.0 million in deferred purchase price in five cash installments over a four-year period, beginning in March 2016. The Company also agreed to provide earn-out consideration to the former stockholders of RER in the form of $6.1 million in cash over a four-year period, beginning in March 2016, and issuance of up to 2,920,000 shares of the Company’s common stock in three equal annual installments, beginning in March 2016, contingent upon retention of certain key personnel of RER.</w:t>
      </w:r>
    </w:p>
    <w:p>
      <w:pPr>
        <w:spacing w:after="0" w:line="138"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Our remaining liability under the Settlement Agreement at December 31, 2019 consists of approximately $1.0 million in current liabilities.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341"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Rights Agreement</w:t>
      </w:r>
    </w:p>
    <w:p>
      <w:pPr>
        <w:spacing w:after="0" w:line="225" w:lineRule="exact"/>
        <w:rPr>
          <w:sz w:val="20"/>
          <w:szCs w:val="20"/>
          <w:color w:val="auto"/>
        </w:rPr>
      </w:pPr>
    </w:p>
    <w:p>
      <w:pPr>
        <w:ind w:right="200" w:firstLine="391"/>
        <w:spacing w:after="0" w:line="257" w:lineRule="auto"/>
        <w:rPr>
          <w:sz w:val="20"/>
          <w:szCs w:val="20"/>
          <w:color w:val="auto"/>
        </w:rPr>
      </w:pPr>
      <w:r>
        <w:rPr>
          <w:rFonts w:ascii="Arial" w:cs="Arial" w:eastAsia="Arial" w:hAnsi="Arial"/>
          <w:sz w:val="18"/>
          <w:szCs w:val="18"/>
          <w:color w:val="auto"/>
        </w:rPr>
        <w:t>On January 22, 2018, the Company entered into the Rights Agreement and issued a Right to each of the stockholders of record of each share of the Company’s common stock outstanding on February 2, 2018. Each Right entitles the registered holder, under certain circumstances, to purchase from the Company one one-thousandth of a share of Series D Preferred Stock, par value $0.001 per share (the “Preferred Shares”), of the Company, at a price of $10.00 per one one-thousandth of a Preferred Share represented by a Right, subject to adjustment. The description and terms of the Rights are set forth in the Rights Agreement.</w:t>
      </w:r>
    </w:p>
    <w:p>
      <w:pPr>
        <w:spacing w:after="0" w:line="188" w:lineRule="exact"/>
        <w:rPr>
          <w:sz w:val="20"/>
          <w:szCs w:val="20"/>
          <w:color w:val="auto"/>
        </w:rPr>
      </w:pPr>
    </w:p>
    <w:p>
      <w:pPr>
        <w:ind w:right="20" w:firstLine="391"/>
        <w:spacing w:after="0" w:line="308" w:lineRule="auto"/>
        <w:rPr>
          <w:sz w:val="20"/>
          <w:szCs w:val="20"/>
          <w:color w:val="auto"/>
        </w:rPr>
      </w:pPr>
      <w:r>
        <w:rPr>
          <w:rFonts w:ascii="Arial" w:cs="Arial" w:eastAsia="Arial" w:hAnsi="Arial"/>
          <w:sz w:val="17"/>
          <w:szCs w:val="17"/>
          <w:color w:val="auto"/>
        </w:rPr>
        <w:t>The Rights are not exercisable until the Distribution Date (as defined in the Rights Agreement). The Rights will expire on the earlier of (i) the close of business on January 22, 2021, (ii) the time at which the Rights are redeemed and (iii) the time at which the Rights are exchanged.</w:t>
      </w:r>
    </w:p>
    <w:p>
      <w:pPr>
        <w:spacing w:after="0" w:line="146" w:lineRule="exact"/>
        <w:rPr>
          <w:sz w:val="20"/>
          <w:szCs w:val="20"/>
          <w:color w:val="auto"/>
        </w:rPr>
      </w:pPr>
    </w:p>
    <w:p>
      <w:pPr>
        <w:ind w:right="160" w:firstLine="391"/>
        <w:spacing w:after="0" w:line="277"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including, without limitation, the right to vote or to receive dividends.</w:t>
      </w:r>
    </w:p>
    <w:p>
      <w:pPr>
        <w:spacing w:after="0" w:line="62" w:lineRule="exact"/>
        <w:rPr>
          <w:sz w:val="20"/>
          <w:szCs w:val="20"/>
          <w:color w:val="auto"/>
        </w:rPr>
      </w:pPr>
    </w:p>
    <w:p>
      <w:pPr>
        <w:ind w:right="120" w:firstLine="391"/>
        <w:spacing w:after="0" w:line="259" w:lineRule="auto"/>
        <w:rPr>
          <w:sz w:val="20"/>
          <w:szCs w:val="20"/>
          <w:color w:val="auto"/>
        </w:rPr>
      </w:pPr>
      <w:r>
        <w:rPr>
          <w:rFonts w:ascii="Arial" w:cs="Arial" w:eastAsia="Arial" w:hAnsi="Arial"/>
          <w:sz w:val="18"/>
          <w:szCs w:val="18"/>
          <w:color w:val="auto"/>
        </w:rPr>
        <w:t>In connection with an issuance of warrants, on March 28, 2019, we entered into Amendment No. 3 to the Rights Agreement, dated January 22, 2018, as amended from time to time, between us and Computershare Trust Company, N.A., as rights agent, for the purpose of modifying the definition of “Acquiring Person” under the Rights Agreement to permit each of the Investors to remain a Grandfathered Stockholder (as defined in the Rights Agreement) and not be deemed an “Acquiring Person” under the Rights Agreement.</w:t>
      </w:r>
    </w:p>
    <w:p>
      <w:pPr>
        <w:spacing w:after="0" w:line="187" w:lineRule="exact"/>
        <w:rPr>
          <w:sz w:val="20"/>
          <w:szCs w:val="20"/>
          <w:color w:val="auto"/>
        </w:rPr>
      </w:pPr>
    </w:p>
    <w:p>
      <w:pPr>
        <w:ind w:right="100" w:firstLine="391"/>
        <w:spacing w:after="0" w:line="263" w:lineRule="auto"/>
        <w:rPr>
          <w:sz w:val="20"/>
          <w:szCs w:val="20"/>
          <w:color w:val="auto"/>
        </w:rPr>
      </w:pPr>
      <w:r>
        <w:rPr>
          <w:rFonts w:ascii="Arial" w:cs="Arial" w:eastAsia="Arial" w:hAnsi="Arial"/>
          <w:sz w:val="18"/>
          <w:szCs w:val="18"/>
          <w:color w:val="auto"/>
        </w:rPr>
        <w:t>The Investors will remain Grandfathered Stockholders as long as they do not acquire, after the date of the Third Amendment to Rights Agreement, beneficial ownership of our securities (other than as a result of any adjustment provision or the accrual of interest under any outstanding convertible notes) equal to more than 0.50% of the then-outstanding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Banking Facility</w:t>
      </w:r>
    </w:p>
    <w:p>
      <w:pPr>
        <w:spacing w:after="0" w:line="225"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DigiCore has a secured banking facility with Absa, which had a maximum borrowing capacity of $1.0 million at December 31, 2019. The facility bears interest at the South Africa prime interest rate less 0.10% (9.90% at December 31, 2019) and is subject to renewal annually. At December 31, 2019, $0.2 million remained outstanding under this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Overdraft Facility</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DigiCore has a secured overdraft facility with Grindrod Bank in South Africa, which had a maximum borrowing capacity of $0.3 million at December 31, 2019. The facility bears interest at the South Africa prime interest rate plus 1.00% (11.00% at December 31, 2019), requires monthly interest and, in certain instances, minimum principal payments. The facility is subject to renewal annually. At December 31, 2019, $21 thousand remained outstanding under this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86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(17,999)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(1,765)</w:t>
            </w:r>
          </w:p>
        </w:tc>
      </w:tr>
      <w:tr>
        <w:trPr>
          <w:trHeight w:val="223"/>
        </w:trPr>
        <w:tc>
          <w:tcPr>
            <w:tcW w:w="86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(28,213)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(4,234)</w:t>
            </w:r>
          </w:p>
        </w:tc>
      </w:tr>
      <w:tr>
        <w:trPr>
          <w:trHeight w:val="47"/>
        </w:trPr>
        <w:tc>
          <w:tcPr>
            <w:tcW w:w="8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27,469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17,667</w:t>
            </w:r>
          </w:p>
        </w:tc>
      </w:tr>
      <w:tr>
        <w:trPr>
          <w:trHeight w:val="223"/>
        </w:trPr>
        <w:tc>
          <w:tcPr>
            <w:tcW w:w="8660" w:type="dxa"/>
            <w:vAlign w:val="bottom"/>
          </w:tcPr>
          <w:p>
            <w:pPr>
              <w:ind w:left="4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(1,851)</w:t>
            </w:r>
          </w:p>
        </w:tc>
      </w:tr>
      <w:tr>
        <w:trPr>
          <w:trHeight w:val="47"/>
        </w:trPr>
        <w:tc>
          <w:tcPr>
            <w:tcW w:w="86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(19,002)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9,817</w:t>
            </w:r>
          </w:p>
        </w:tc>
      </w:tr>
      <w:tr>
        <w:trPr>
          <w:trHeight w:val="223"/>
        </w:trPr>
        <w:tc>
          <w:tcPr>
            <w:tcW w:w="866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31,076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21,259</w:t>
            </w:r>
          </w:p>
        </w:tc>
      </w:tr>
      <w:tr>
        <w:trPr>
          <w:trHeight w:val="47"/>
        </w:trPr>
        <w:tc>
          <w:tcPr>
            <w:tcW w:w="86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55"/>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31,076</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used in operating activities was $18.0 million for the year ended December 31, 2019 compared to $1.8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same period in 2018. Net cash used in operating activities for the year ended December 31, 2019 was primarily attributable to the net loss in the period and net cash used for working capital, partially offset by non-cash charges for depreciation and amortization, including the amortization of debt discount and debt issuance costs, and share-based compensation expense. Net cash used in operating activities for the year ended December 31, 2018 was primarily attributable to the net losses incurred during the period, partially offset by non-cash charges for depreciation and amortization, including the amortization of debt discount and debt issuance costs, loss on extinguishment of debt and share-based compensation expense.</w:t>
      </w:r>
    </w:p>
    <w:p>
      <w:pPr>
        <w:sectPr>
          <w:pgSz w:w="11900" w:h="16838" w:orient="portrait"/>
          <w:cols w:equalWidth="0" w:num="1">
            <w:col w:w="11240"/>
          </w:cols>
          <w:pgMar w:left="320" w:top="557" w:right="3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557" w:right="339" w:bottom="1440" w:gutter="0" w:footer="0" w:header="0"/>
          <w:type w:val="continuous"/>
        </w:sectPr>
      </w:pPr>
    </w:p>
    <w:bookmarkStart w:id="41" w:name="page42"/>
    <w:bookmarkEnd w:id="41"/>
    <w:p>
      <w:pPr>
        <w:ind w:right="100" w:firstLine="432"/>
        <w:spacing w:after="0" w:line="273"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in investing activities during the year ended December 31, 2019 was $28.2 million compared to $4.2 million 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investing activities for the same period in 2018. Cash used in investing activities during the year ended December 31, 2019 was primarily related to the purchases of property, plant and equipment and capitalization of certain costs related to the research and development of software to be sold in our products, in large part due to the increase in development in support of 5G products and services as well as certain internally developed software projects. Cash used in investing activities during the same period in 2018 was primarily attributable to the purchases of property, plant and equipment and the capitalization of certain costs related to the development of software to be sold in our solutions.</w:t>
      </w:r>
    </w:p>
    <w:p>
      <w:pPr>
        <w:spacing w:after="0" w:line="28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during the year ended December 31, 2019 was $27.5 million, compared to net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by financing activities of $17.7 million for the same period in 2018. Net cash provided by financing activities during the year ended December 31, 2019 was primarily related to proceeds received from the issuance and sale of Series E preferred stock and the exercise of warrants to purchase common stock, as well as proceeds received from stock option exercises and purchases made under the employee stock purchase plan, partially offset by net repayments of bank and overdraft facilities of DigiCore Holdings Limited, principal payments under finance lease obligations and taxes paid on vested restricted stock units. Net cash provided by financing activities during the year ended December 31, 2018 was primarily attributable to the net proceeds received from the 2018 Private Placement and proceeds received from stock option exercises and purchases made under the employee stock purchase plan, partially offset by net repayments of DigiCore bank and overdraft facilities, principal payments under capital lease obligations and the Term Loan and taxes paid on vested restricted stock units.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2019, we had available cash and cash equivalents totaling $12.1 million and working capital of $19.6 million.</w:t>
      </w:r>
    </w:p>
    <w:p>
      <w:pPr>
        <w:spacing w:after="0" w:line="171"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Under the terms of the indenture governing the Inseego Notes, each holder of the notes has the right to require the Company to repurchase its notes for cash on June 15, 2020 (“the Optional Repurchase Date”). On March 6, 2020, the holders of the outstanding indebtedness under the Inseego Notes agreed to waive their optional right to require the Company to repurchase the Notes on the Optional Repurchase Date.</w:t>
      </w:r>
    </w:p>
    <w:p>
      <w:pPr>
        <w:spacing w:after="0" w:line="165"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Company’s liquidity could be compromised if there is any interruption in its business operations, a material failure to satisfy its contractual commitments or a failure to generate revenue from new or existing products. Ultimately, the Company’s ability to attain profitability and to generate positive cash flow is dependent upon achieving a level of revenues adequate to support its evolving cost structure and increasing working capital needs. If events or circumstances occur such that the Company does not meet its operating plan as expected, the Company may be required to raise additional capital, reduce planned research and development activities, incur additional restructuring charges or reduce other operating expenses which could have an adverse impact on the Company’s ability to achieve its intended business objectives. There can be no assurance that any required or desired restructuring or financing will be available on terms favorable to the Company, or at all. In addition, in order to obtain additional borrowings, the Company must comply with certain requirements under the Credit Agreement and the Inseego Indenture.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the Company may be subject to additional limitations on its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expenses and disclosures of contingent assets and liabilities. Actual results could differ from these estimates.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171"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The Company generates revenue from a broad range of product sales including intelligent wireless hardware products for the worldwide mobile communications and IoT markets. The Company’s products principally include intelligent 4G and 5G mobile hotspots, wireless gateways and routers for IoT applications, 1 Gigabit speed 4G LTE hotspots and USB modems,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503" w:right="339" w:bottom="1440" w:gutter="0" w:footer="0" w:header="0"/>
        </w:sectPr>
      </w:pPr>
    </w:p>
    <w:bookmarkStart w:id="42" w:name="page43"/>
    <w:bookmarkEnd w:id="42"/>
    <w:p>
      <w:pPr>
        <w:ind w:right="80"/>
        <w:spacing w:after="0" w:line="277" w:lineRule="auto"/>
        <w:rPr>
          <w:sz w:val="20"/>
          <w:szCs w:val="20"/>
          <w:color w:val="auto"/>
        </w:rPr>
      </w:pPr>
      <w:r>
        <w:rPr>
          <w:rFonts w:ascii="Arial" w:cs="Arial" w:eastAsia="Arial" w:hAnsi="Arial"/>
          <w:sz w:val="18"/>
          <w:szCs w:val="18"/>
          <w:color w:val="auto"/>
        </w:rPr>
        <w:t>integrated telematics and mobile tracking hardware devices, which are supported by applications software and cloud services designed to enable customers to easily analyze data insights and configure and manage their hardware.</w:t>
      </w:r>
    </w:p>
    <w:p>
      <w:pPr>
        <w:spacing w:after="0" w:line="116" w:lineRule="exact"/>
        <w:rPr>
          <w:sz w:val="20"/>
          <w:szCs w:val="20"/>
          <w:color w:val="auto"/>
        </w:rPr>
      </w:pPr>
    </w:p>
    <w:p>
      <w:pPr>
        <w:ind w:right="240" w:firstLine="391"/>
        <w:spacing w:after="0" w:line="263"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by product grouping for the year ended December 31, 2019 and 2018 were as follows (in thousands):</w:t>
      </w:r>
    </w:p>
    <w:p>
      <w:pPr>
        <w:spacing w:after="0" w:line="163"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13335</wp:posOffset>
            </wp:positionV>
            <wp:extent cx="1491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r>
      <w:tr>
        <w:trPr>
          <w:trHeight w:val="236"/>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154,167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135,349</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65,329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67,114</w:t>
            </w:r>
          </w:p>
        </w:tc>
      </w:tr>
      <w:tr>
        <w:trPr>
          <w:trHeight w:val="46"/>
        </w:trPr>
        <w:tc>
          <w:tcPr>
            <w:tcW w:w="89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5"/>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219,496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202,463</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revenues by geographic region based on shipping destination for the year ended December 31, 2019 and 2018 were as follows (in thousands):</w:t>
      </w:r>
    </w:p>
    <w:p>
      <w:pPr>
        <w:spacing w:after="0" w:line="186"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13335</wp:posOffset>
            </wp:positionV>
            <wp:extent cx="149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r>
      <w:tr>
        <w:trPr>
          <w:trHeight w:val="236"/>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158,756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139,246</w:t>
            </w:r>
          </w:p>
        </w:tc>
      </w:tr>
      <w:tr>
        <w:trPr>
          <w:trHeight w:val="223"/>
        </w:trPr>
        <w:tc>
          <w:tcPr>
            <w:tcW w:w="890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35,001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38,608</w:t>
            </w:r>
          </w:p>
        </w:tc>
      </w:tr>
      <w:tr>
        <w:trPr>
          <w:trHeight w:val="47"/>
        </w:trPr>
        <w:tc>
          <w:tcPr>
            <w:tcW w:w="8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25,739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24,609</w:t>
            </w:r>
          </w:p>
        </w:tc>
      </w:tr>
      <w:tr>
        <w:trPr>
          <w:trHeight w:val="243"/>
        </w:trPr>
        <w:tc>
          <w:tcPr>
            <w:tcW w:w="890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219,496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202,463</w:t>
            </w:r>
          </w:p>
        </w:tc>
      </w:tr>
      <w:tr>
        <w:trPr>
          <w:trHeight w:val="20"/>
        </w:trPr>
        <w:tc>
          <w:tcPr>
            <w:tcW w:w="8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gateways, routers, modems, hotspots, HD quality VoLTE based wireless home phones, cloud management software and an advanced 5G portfolio of products (currently in various stages of development). The solutions are offered under the MiFi brands for consumer and business markets, and under the Skyus brand for industrial IoT markets.</w:t>
      </w:r>
    </w:p>
    <w:p>
      <w:pPr>
        <w:spacing w:after="0" w:line="29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i w:val="1"/>
          <w:iCs w:val="1"/>
          <w:color w:val="auto"/>
        </w:rPr>
        <w:t>Enterprise SaaS Solutions</w:t>
      </w:r>
      <w:r>
        <w:rPr>
          <w:rFonts w:ascii="Arial" w:cs="Arial" w:eastAsia="Arial" w:hAnsi="Arial"/>
          <w:sz w:val="18"/>
          <w:szCs w:val="18"/>
          <w:color w:val="auto"/>
        </w:rPr>
        <w:t>. The Enterprise SaaS Solutions consist of various subscription offerings to gain access to the Company’s Ctrack telematics</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which provide fleet vehicle, aviation ground vehicle and asset tracking and performance information, and other telematics applications, and the Company’s Device Management System (“DMS”), a hosted SaaS platform that helps organizations manage the selection, deployment and spend of their customers wireless assets, helping them save money on personnel and telecom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right="20" w:firstLine="391"/>
        <w:spacing w:after="0" w:line="275" w:lineRule="auto"/>
        <w:rPr>
          <w:sz w:val="20"/>
          <w:szCs w:val="20"/>
          <w:color w:val="auto"/>
        </w:rPr>
      </w:pPr>
      <w:r>
        <w:rPr>
          <w:rFonts w:ascii="Arial" w:cs="Arial" w:eastAsia="Arial" w:hAnsi="Arial"/>
          <w:sz w:val="17"/>
          <w:szCs w:val="17"/>
          <w:color w:val="auto"/>
        </w:rPr>
        <w:t xml:space="preserve">The Company adopted Accounting Standards Update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amended, “ASC 606”), effective January 1, 2018, using the modified retrospective method applied to those contracts which were not substantially completed as of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ASC 606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w:t>
      </w:r>
    </w:p>
    <w:p>
      <w:pPr>
        <w:spacing w:after="0" w:line="284" w:lineRule="exact"/>
        <w:rPr>
          <w:sz w:val="20"/>
          <w:szCs w:val="20"/>
          <w:color w:val="auto"/>
        </w:rPr>
      </w:pPr>
    </w:p>
    <w:p>
      <w:pPr>
        <w:ind w:right="40" w:firstLine="391"/>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17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ectPr>
          <w:pgSz w:w="11900" w:h="16838" w:orient="portrait"/>
          <w:cols w:equalWidth="0" w:num="1">
            <w:col w:w="11240"/>
          </w:cols>
          <w:pgMar w:left="320" w:top="341"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341" w:right="339" w:bottom="1440" w:gutter="0" w:footer="0" w:header="0"/>
          <w:type w:val="continuous"/>
        </w:sectPr>
      </w:pPr>
    </w:p>
    <w:bookmarkStart w:id="43" w:name="page44"/>
    <w:bookmarkEnd w:id="43"/>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ind w:right="80" w:firstLine="391"/>
        <w:spacing w:after="0" w:line="263"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92"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typically at the time when the product is delivered, shipped or installed at which time the title passes to the customer, and there are no further performance obligations with regards to the hardware device.</w:t>
      </w:r>
    </w:p>
    <w:p>
      <w:pPr>
        <w:spacing w:after="0" w:line="292"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i w:val="1"/>
          <w:iCs w:val="1"/>
          <w:color w:val="auto"/>
        </w:rPr>
        <w:t xml:space="preserve">SaaS and Other Services. </w:t>
      </w:r>
      <w:r>
        <w:rPr>
          <w:rFonts w:ascii="Arial" w:cs="Arial" w:eastAsia="Arial" w:hAnsi="Arial"/>
          <w:sz w:val="16"/>
          <w:szCs w:val="16"/>
          <w:color w:val="auto"/>
        </w:rPr>
        <w:t>SaaS subscription revenue is recognized over time on a ratable basis over the contract term beginning on the date that its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Prior to adoption of the Financial Accounting Standards Board (the “FASB”) Accounting Standards Codification (“ASC”) 842, Leases (“ASC 842”), on January 1, 2019, if the customer chose to lease the monitoring device, the Company accounted for the monitoring device lease as an operating lease, recognized the revenue for the monitoring device lease over the term of the contract and recorded such revenue in accordance with the previous lease accounting guidance in ASC 840, Leases. Under the new standard, because the Company’s rental asset lease contracts qualify as operating leases under ASC 842 and the contracts also include services to operate the underlying asset, and to maintain the asset, the Company has elected the practical expedient to combine the lease and the non-lease components because the service is the predominant element in the eyes of the customer and the pattern of service delivery is the same for both elements. The Company recognizes revenue over time on a ratable basis over the term of the contract.</w:t>
      </w:r>
    </w:p>
    <w:p>
      <w:pPr>
        <w:spacing w:after="0" w:line="276" w:lineRule="exact"/>
        <w:rPr>
          <w:sz w:val="20"/>
          <w:szCs w:val="20"/>
          <w:color w:val="auto"/>
        </w:rPr>
      </w:pPr>
    </w:p>
    <w:p>
      <w:pPr>
        <w:ind w:left="660" w:right="28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 priced warranty contracts that extend beyond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73"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right="60" w:firstLine="391"/>
        <w:spacing w:after="0" w:line="263"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17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Company’s contracts with customers may include commitments to transfer multiple products and services to a customer. Determining whether products and services are considered distinct performance obligations that should be accounted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41" w:right="339" w:bottom="1440" w:gutter="0" w:footer="0" w:header="0"/>
        </w:sectPr>
      </w:pPr>
    </w:p>
    <w:bookmarkStart w:id="44" w:name="page45"/>
    <w:bookmarkEnd w:id="44"/>
    <w:p>
      <w:pPr>
        <w:ind w:right="240"/>
        <w:spacing w:after="0" w:line="263" w:lineRule="auto"/>
        <w:rPr>
          <w:sz w:val="20"/>
          <w:szCs w:val="20"/>
          <w:color w:val="auto"/>
        </w:rPr>
      </w:pPr>
      <w:r>
        <w:rPr>
          <w:rFonts w:ascii="Arial" w:cs="Arial" w:eastAsia="Arial" w:hAnsi="Arial"/>
          <w:sz w:val="18"/>
          <w:szCs w:val="18"/>
          <w:color w:val="auto"/>
        </w:rPr>
        <w:t>for separately versus together may require significant judgment. When hardware, software and services are sold in various combinations, judgment is required to determine whether each performance obligation is considered distinct and accounted for separately, or not distinct and accounted for together with other performance obligations</w:t>
      </w:r>
    </w:p>
    <w:p>
      <w:pPr>
        <w:spacing w:after="0" w:line="184"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12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333" w:lineRule="exact"/>
        <w:rPr>
          <w:sz w:val="20"/>
          <w:szCs w:val="20"/>
          <w:color w:val="auto"/>
        </w:rPr>
      </w:pPr>
    </w:p>
    <w:p>
      <w:pPr>
        <w:ind w:right="60" w:firstLine="391"/>
        <w:spacing w:after="0" w:line="263"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3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December 31, 2019.</w:t>
      </w:r>
    </w:p>
    <w:p>
      <w:pPr>
        <w:spacing w:after="0" w:line="130" w:lineRule="exact"/>
        <w:rPr>
          <w:sz w:val="20"/>
          <w:szCs w:val="20"/>
          <w:color w:val="auto"/>
        </w:rPr>
      </w:pPr>
    </w:p>
    <w:p>
      <w:pPr>
        <w:jc w:val="both"/>
        <w:ind w:right="460" w:firstLine="405"/>
        <w:spacing w:after="0" w:line="263" w:lineRule="auto"/>
        <w:rPr>
          <w:sz w:val="20"/>
          <w:szCs w:val="20"/>
          <w:color w:val="auto"/>
        </w:rPr>
      </w:pPr>
      <w:r>
        <w:rPr>
          <w:rFonts w:ascii="Arial" w:cs="Arial" w:eastAsia="Arial" w:hAnsi="Arial"/>
          <w:sz w:val="18"/>
          <w:szCs w:val="18"/>
          <w:color w:val="auto"/>
        </w:rPr>
        <w:t>Applying the practical expedient in paragraph 40-25-4 of ASC 340,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266"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14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 Receivable</w:t>
      </w:r>
    </w:p>
    <w:p>
      <w:pPr>
        <w:spacing w:after="0" w:line="17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provide an allowance for our accounts receivable for estimated losses that may result from our 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uncollectible accounts,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4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Inventories and Provision for Excess and Obsolete Inventory</w:t>
      </w:r>
    </w:p>
    <w:p>
      <w:pPr>
        <w:spacing w:after="0" w:line="171"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color w:val="auto"/>
        </w:rPr>
        <w:t>Inventories are stated at the lower of cost (first-in, first-out method) or net realizable value. We review the components of our inventory and our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68"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252"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determining the fair value allocation for our acquisitions, we considered, among other factors, our intended uses of the acquired assets and the historical and estimated future demand for the acquired company’s products and services. The estimated fair value of intangible assets is determined using the income approach. The income approach relies on an estimation of the present value of the future monetary benefits expected to flow to the owner of an asset during its remaining economic life. This approach requires a projection of the cash flow that the asset is expected to generate in the future. The projected cash flow is discounted to its present value using a rate of return, or discount rate that accounts for the time value of money and the degree of risks inherent in the asset. The expected future cash flow that is projected should include all of the economic benefits attributable to the asset, including the tax savings associated with the amortization of the intangible asset value over the tax life of the asset. The income approach may take the form of a “relief from royalty” methodology, a cost savings methodology, a “with and without” methodology or excess earnings methodology, depending on the specific asset under consideration.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for External Use</w:t>
      </w:r>
    </w:p>
    <w:p>
      <w:pPr>
        <w:spacing w:after="0" w:line="11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Software development costs for external use are expensed as incurred until technological feasibility has been established, at which time those costs are capitalized as intangible assets until the software is implemented into products sold to customers. Capitalized software development costs are amortized on a straight-line basis over the estimated useful life. Costs incurred to enhance existing software or after the implementation of the software into a product are expensed in the period they are incurred and included in research and development expense in the consolidated statements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for Internal Use</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Costs incurred in the preliminary stages of development are expensed as incurred and included in research and development expense in the consolidated statements of operations. Once an application has reached the development stage, internal and external costs, if direct and incremental, are capitalized until the software is substantially complete and ready for its intended use.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recorded as part of intangible assets and are amortized on a straight-line basis over the estimated useful life of the software. The Company does not capitalize pilot projects and projects for which it believes that the future economic benefits are less than probable. The Company tests these assets for impairment whenever events or circumstances occur that could impact their recoverability.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We periodically evaluate the carrying value of the unamortized balances of our long-lived assets, including property, plant and equipment, rental assets and intangible assets, which requires us to make 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26"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Our assessment includes comparing the carrying amounts of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503" w:right="339" w:bottom="1440" w:gutter="0" w:footer="0" w:header="0"/>
        </w:sectPr>
      </w:pPr>
    </w:p>
    <w:bookmarkStart w:id="46" w:name="page47"/>
    <w:bookmarkEnd w:id="46"/>
    <w:p>
      <w:pPr>
        <w:ind w:right="140" w:firstLine="405"/>
        <w:spacing w:after="0" w:line="255" w:lineRule="auto"/>
        <w:rPr>
          <w:sz w:val="20"/>
          <w:szCs w:val="20"/>
          <w:color w:val="auto"/>
        </w:rPr>
      </w:pPr>
      <w:r>
        <w:rPr>
          <w:rFonts w:ascii="Arial" w:cs="Arial" w:eastAsia="Arial" w:hAnsi="Arial"/>
          <w:sz w:val="18"/>
          <w:szCs w:val="18"/>
          <w:color w:val="auto"/>
        </w:rPr>
        <w:t>The timing and frequency of our impairment test is based on an ongoing assessment of triggering events that could reduce the fair value of our long-lived assets below their carrying value. We monitor our long-lived asset balances and conduct formal tests on at least an annual basis or earlier when impairment indicators are present. We believe that the assumptions and estimates we used to value long-lived assets were appropriate based on the information available to management. The majority of our long-lived assets are being amortized or depreciated over approximately two to ten years. As most of these assets are associated with technology or trade conditions that may change rapidly, such changes could have an immediate impact on our impairment analysis.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Our goodwill resulted from our acquisitions of RER and DigiCore Holdings Limited during 2015. In accordance with the ASC 350,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Other</w:t>
      </w:r>
      <w:r>
        <w:rPr>
          <w:rFonts w:ascii="Arial" w:cs="Arial" w:eastAsia="Arial" w:hAnsi="Arial"/>
          <w:sz w:val="18"/>
          <w:szCs w:val="18"/>
          <w:color w:val="auto"/>
        </w:rPr>
        <w:t>, we review goodwill for impairment at least annually, typically at the beginning of the fourth quarter of each year, and more frequently</w:t>
      </w:r>
      <w:r>
        <w:rPr>
          <w:rFonts w:ascii="Arial" w:cs="Arial" w:eastAsia="Arial" w:hAnsi="Arial"/>
          <w:sz w:val="18"/>
          <w:szCs w:val="18"/>
          <w:i w:val="1"/>
          <w:iCs w:val="1"/>
          <w:color w:val="auto"/>
        </w:rPr>
        <w:t xml:space="preserve"> </w:t>
      </w:r>
      <w:r>
        <w:rPr>
          <w:rFonts w:ascii="Arial" w:cs="Arial" w:eastAsia="Arial" w:hAnsi="Arial"/>
          <w:sz w:val="18"/>
          <w:szCs w:val="18"/>
          <w:color w:val="auto"/>
        </w:rPr>
        <w:t>if events or changes in circumstances occur that indicate a potential reduction in the fair value of the reporting unit to which the goodwill has been assigned below its carrying value.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7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account for convertible debt instruments that are settleable in cash upon conversion (including partial cash settlement) by separating the liability and equity components of the instruments in a manner that reflects our nonconvertible debt borrowing rate. We determine the carrying amount of the liability component by measuring the fair value of similar debt instruments that do not have the conversion feature. If a similar debt instrument does not exist, we estimate the fair value by using assumptions that market participants would use in pricing a debt instrument, including market interest rates, credit standing, yield curves and volatilities. Determining the fair value of the debt component requires the use of accounting estimates and assumptions. These estimates and assumptions are judgmental in nature and could have a significant impact on the determination of the debt component and the associated non-cash interest expense.</w:t>
      </w:r>
    </w:p>
    <w:p>
      <w:pPr>
        <w:spacing w:after="0" w:line="195"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Upon issuance, we assign a value to the debt component equal to the estimated fair value of similar debt instruments without the conversion feature, which could result in our recording the debt instrument at a discount. If the debt instrument is recorded at a discount, we amortize the debt discount over the life of the debt instrument as additional non-cash interest expense utilizing the effective interest method.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We are, from time to time, party to various legal proceedings arising in the ordinary course of business. We will record a loss when we determine information available prior to the issuance of the financial statements indicates the loss is both probable and estimable. Where a liability is probable and there is a range of estimated loss with no best estimate in the range, we record the minimum estimated liability related to the claim. As additional information becomes available, we assess the potential liability related to our pending litigation and revise our estimates, if necessary. Our policy is to expense litigation costs as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have stock incentive plans under which stock options and restricted stock units have been granted to employees, non-employee consultants and non-employee members of our Board of Directors. We also have an employee stock purchase plan for all eligible employees. Share-based payments, including grants of stock options, restricted stock units and stock purchase rights, are recognized in the financial statements based upon their respective grant date fair values.</w:t>
      </w:r>
    </w:p>
    <w:p>
      <w:pPr>
        <w:spacing w:after="0" w:line="5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estimate the fair value of stock option awards and stock purchase rights on the date of grant using an option-pricing model. The value of the portion of the award that is ultimately expected to vest is principally recognized as expense ratably over the requisite service periods. We have estimated the fair value of stock options and stock purchase rights as of the date of grant or assumption using the Black-Scholes option-pricing model, which was developed for use in estimating the value of traded options that have no vesting restrictions and that are freely transferable. The Black-Scholes model considers, among other factors, the expected life of the award and the expected volatility of our stock price. We evaluate the assumptions used to value stock options and stock purchase rights on a quarterly basis. Although the Black-Scholes model is an acceptable model, the fair values generated by the model may not be indicative of the actual fair values of our equity awards, as it does not consider other factors important to those awards to recipients, such as continued service, periodic vesting requirements and limited transferability.</w:t>
      </w:r>
    </w:p>
    <w:p>
      <w:pPr>
        <w:spacing w:after="0" w:line="70"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our common stock on the date of the grant.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22" w:right="339" w:bottom="1440" w:gutter="0" w:footer="0" w:header="0"/>
        </w:sectPr>
      </w:pPr>
    </w:p>
    <w:bookmarkStart w:id="47" w:name="page48"/>
    <w:bookmarkEnd w:id="47"/>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consolidated financial statements and the Reports of Independent Registered Public Accounting Firms appear in Part IV of this report.</w:t>
      </w: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2019, the end of the period covered by this report. Based on the foregoing, our principal executive officer and principal financial and accounting officer concluded that our disclosure controls and procedures were effective as of December 31,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policies and procedures may deteriorate.</w:t>
      </w:r>
    </w:p>
    <w:p>
      <w:pPr>
        <w:spacing w:after="0" w:line="29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management concluded that our internal control over financial reporting was effective as of December 31, 2019.</w:t>
      </w:r>
    </w:p>
    <w:p>
      <w:pPr>
        <w:spacing w:after="0" w:line="296"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Marcum LLP, the independent registered public accounting firm that audited the consolidated financial statements included in this Annual Report on Form 10-K, has also audited our internal control over financial reporting as of December 31, 2019, as stated in their report which is included 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34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140"/>
          </w:cols>
          <w:pgMar w:left="320" w:top="553" w:right="4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40"/>
          </w:cols>
          <w:pgMar w:left="320" w:top="553" w:right="439" w:bottom="1440" w:gutter="0" w:footer="0" w:header="0"/>
          <w:type w:val="continuous"/>
        </w:sectPr>
      </w:pPr>
    </w:p>
    <w:bookmarkStart w:id="48" w:name="page49"/>
    <w:bookmarkEnd w:id="48"/>
    <w:p>
      <w:pPr>
        <w:jc w:val="center"/>
        <w:spacing w:after="0" w:line="269" w:lineRule="auto"/>
        <w:rPr>
          <w:sz w:val="20"/>
          <w:szCs w:val="20"/>
          <w:color w:val="auto"/>
        </w:rPr>
      </w:pPr>
      <w:r>
        <w:rPr>
          <w:rFonts w:ascii="Arial" w:cs="Arial" w:eastAsia="Arial" w:hAnsi="Arial"/>
          <w:sz w:val="22"/>
          <w:szCs w:val="22"/>
          <w:b w:val="1"/>
          <w:bCs w:val="1"/>
          <w:color w:val="auto"/>
        </w:rPr>
        <w:t>REPORT OF INDEPENDENT REGISTERED PUBLIC ACCOUNTING FIRM ON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Inseego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Inseego Corp.’s (the “Company”) internal control over financial reporting as of December 31, 2019, based on criteria established in </w:t>
      </w:r>
      <w:r>
        <w:rPr>
          <w:rFonts w:ascii="Arial" w:cs="Arial" w:eastAsia="Arial" w:hAnsi="Arial"/>
          <w:sz w:val="17"/>
          <w:szCs w:val="17"/>
          <w:i w:val="1"/>
          <w:iCs w:val="1"/>
          <w:color w:val="auto"/>
        </w:rPr>
        <w:t xml:space="preserve">Internal Control-Integrated Framework (2013) </w:t>
      </w:r>
      <w:r>
        <w:rPr>
          <w:rFonts w:ascii="Arial" w:cs="Arial" w:eastAsia="Arial" w:hAnsi="Arial"/>
          <w:sz w:val="17"/>
          <w:szCs w:val="17"/>
          <w:color w:val="auto"/>
        </w:rPr>
        <w:t>issued by the Committee of Sponsoring Organizations of the Treadway Commission. In our opinion,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balance sheets as of December 31, 2019 and 2018 and the related consolidated statements of operations, comprehensive loss, shareholders’ deficit, and cash flows and the related notes for each of the two years in the period ended December 31, 2019 of the Company, and our report dated March 13, 2020 expressed an unqualified opinion on those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42"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175" w:lineRule="exact"/>
        <w:rPr>
          <w:sz w:val="20"/>
          <w:szCs w:val="20"/>
          <w:color w:val="auto"/>
        </w:rPr>
      </w:pPr>
    </w:p>
    <w:p>
      <w:pPr>
        <w:jc w:val="both"/>
        <w:ind w:right="340" w:firstLine="405"/>
        <w:spacing w:after="0" w:line="263" w:lineRule="auto"/>
        <w:rPr>
          <w:sz w:val="20"/>
          <w:szCs w:val="20"/>
          <w:color w:val="auto"/>
        </w:rPr>
      </w:pPr>
      <w:r>
        <w:rPr>
          <w:rFonts w:ascii="Arial" w:cs="Arial" w:eastAsia="Arial" w:hAnsi="Arial"/>
          <w:sz w:val="18"/>
          <w:szCs w:val="18"/>
          <w:color w:val="auto"/>
        </w:rPr>
        <w:t>The information required by Items 10, 11, 12, 13 and 14 is incorporated by reference from the Company’s definitive proxy statement for the 2020 Annual Meeting of Stockholders, which the Company intends to file with the SEC within 120 days of the end of the fiscal year end to which this report relates.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4" w:lineRule="exact"/>
        <w:rPr>
          <w:sz w:val="20"/>
          <w:szCs w:val="20"/>
          <w:color w:val="auto"/>
        </w:rPr>
      </w:pPr>
    </w:p>
    <w:p>
      <w:pPr>
        <w:ind w:left="980" w:right="560" w:hanging="559"/>
        <w:spacing w:after="0" w:line="277" w:lineRule="auto"/>
        <w:tabs>
          <w:tab w:leader="none" w:pos="960" w:val="left"/>
        </w:tabs>
        <w:rPr>
          <w:sz w:val="20"/>
          <w:szCs w:val="20"/>
          <w:color w:val="auto"/>
        </w:rPr>
      </w:pPr>
      <w:r>
        <w:rPr>
          <w:rFonts w:ascii="Arial" w:cs="Arial" w:eastAsia="Arial" w:hAnsi="Arial"/>
          <w:sz w:val="18"/>
          <w:szCs w:val="18"/>
          <w:color w:val="auto"/>
        </w:rPr>
        <w:t>(a)(1)</w:t>
        <w:tab/>
        <w:t>The Company’s consolidated financial statements and report of the Marcum LLP, Independent Registered Public Accounting Firm, are included in Section IV of this report beginning on page F-1.</w:t>
      </w:r>
    </w:p>
    <w:p>
      <w:pPr>
        <w:spacing w:after="0" w:line="35" w:lineRule="exact"/>
        <w:rPr>
          <w:sz w:val="20"/>
          <w:szCs w:val="20"/>
          <w:color w:val="auto"/>
        </w:rPr>
      </w:pPr>
    </w:p>
    <w:p>
      <w:pPr>
        <w:ind w:left="980" w:right="80" w:hanging="559"/>
        <w:spacing w:after="0" w:line="277" w:lineRule="auto"/>
        <w:tabs>
          <w:tab w:leader="none" w:pos="960" w:val="left"/>
        </w:tabs>
        <w:rPr>
          <w:sz w:val="20"/>
          <w:szCs w:val="20"/>
          <w:color w:val="auto"/>
        </w:rPr>
      </w:pPr>
      <w:r>
        <w:rPr>
          <w:rFonts w:ascii="Arial" w:cs="Arial" w:eastAsia="Arial" w:hAnsi="Arial"/>
          <w:sz w:val="18"/>
          <w:szCs w:val="18"/>
          <w:color w:val="auto"/>
        </w:rPr>
        <w:t>(a)(2)</w:t>
        <w:tab/>
        <w:t>Schedules have been omitted because they are not applicable or are not required or the information required to be set forth therein is included in the consolidated financial statements or related notes thereto.</w:t>
      </w:r>
    </w:p>
    <w:p>
      <w:pPr>
        <w:spacing w:after="0" w:line="62" w:lineRule="exact"/>
        <w:rPr>
          <w:sz w:val="20"/>
          <w:szCs w:val="20"/>
          <w:color w:val="auto"/>
        </w:rPr>
      </w:pPr>
    </w:p>
    <w:p>
      <w:pPr>
        <w:ind w:left="980" w:hanging="567"/>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 No.</w:t>
            </w:r>
          </w:p>
        </w:tc>
        <w:tc>
          <w:tcPr>
            <w:tcW w:w="40" w:type="dxa"/>
            <w:vAlign w:val="bottom"/>
          </w:tcPr>
          <w:p>
            <w:pPr>
              <w:spacing w:after="0"/>
              <w:rPr>
                <w:sz w:val="18"/>
                <w:szCs w:val="18"/>
                <w:color w:val="auto"/>
              </w:rPr>
            </w:pPr>
          </w:p>
        </w:tc>
        <w:tc>
          <w:tcPr>
            <w:tcW w:w="9960" w:type="dxa"/>
            <w:vAlign w:val="bottom"/>
            <w:gridSpan w:val="24"/>
          </w:tcPr>
          <w:p>
            <w:pPr>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318"/>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0" w:type="dxa"/>
            <w:vAlign w:val="bottom"/>
            <w:tcBorders>
              <w:bottom w:val="single" w:sz="8" w:color="0000FF"/>
            </w:tcBorders>
            <w:gridSpan w:val="20"/>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Amended and Restated Certificate of Incorporation (incorporated by reference to Exhibit 3.1 to the Company’s Current Report on Form</w:t>
              </w:r>
            </w:hyperlink>
          </w:p>
        </w:tc>
        <w:tc>
          <w:tcPr>
            <w:tcW w:w="16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8-K, filed November 9, 2016).</w:t>
              </w:r>
            </w:hyperlink>
          </w:p>
        </w:tc>
        <w:tc>
          <w:tcPr>
            <w:tcW w:w="7760" w:type="dxa"/>
            <w:vAlign w:val="bottom"/>
            <w:gridSpan w:val="22"/>
          </w:tcPr>
          <w:p>
            <w:pPr>
              <w:spacing w:after="0"/>
              <w:rPr>
                <w:sz w:val="17"/>
                <w:szCs w:val="17"/>
                <w:color w:val="auto"/>
              </w:rPr>
            </w:pPr>
          </w:p>
        </w:tc>
      </w:tr>
      <w:tr>
        <w:trPr>
          <w:trHeight w:val="371"/>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0" w:type="dxa"/>
            <w:vAlign w:val="bottom"/>
            <w:tcBorders>
              <w:bottom w:val="single" w:sz="8" w:color="0000FF"/>
            </w:tcBorders>
            <w:gridSpan w:val="20"/>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Amended and Restated Bylaws of Inseego Corp. (incorporated by reference to Exhibit 3.2 to the Company’s Current Report on Form 8-</w:t>
              </w:r>
            </w:hyperlink>
          </w:p>
        </w:tc>
        <w:tc>
          <w:tcPr>
            <w:tcW w:w="16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K, filed November 9, 2016).</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80" w:type="dxa"/>
            <w:vAlign w:val="bottom"/>
            <w:tcBorders>
              <w:bottom w:val="single" w:sz="8" w:color="0000FF"/>
            </w:tcBorders>
            <w:gridSpan w:val="19"/>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Certificate of Designation of Series D Junior Participating Preferred Stock of Inseego Corp. (incorporated by reference to Exhibit 3.1 to</w:t>
              </w:r>
            </w:hyperlink>
          </w:p>
        </w:tc>
        <w:tc>
          <w:tcPr>
            <w:tcW w:w="18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the Company’s Current Report on Form 8-K, filed January 22, 2018).</w:t>
              </w:r>
            </w:hyperlink>
          </w:p>
        </w:tc>
        <w:tc>
          <w:tcPr>
            <w:tcW w:w="4960" w:type="dxa"/>
            <w:vAlign w:val="bottom"/>
            <w:gridSpan w:val="19"/>
          </w:tcPr>
          <w:p>
            <w:pPr>
              <w:spacing w:after="0"/>
              <w:rPr>
                <w:sz w:val="17"/>
                <w:szCs w:val="17"/>
                <w:color w:val="auto"/>
              </w:rPr>
            </w:pPr>
          </w:p>
        </w:tc>
      </w:tr>
      <w:tr>
        <w:trPr>
          <w:trHeight w:val="37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60" w:type="dxa"/>
            <w:vAlign w:val="bottom"/>
            <w:tcBorders>
              <w:bottom w:val="single" w:sz="8" w:color="0000FF"/>
            </w:tcBorders>
            <w:gridSpan w:val="18"/>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Certificate of Designation of Series E Fixed-Rate Cumulative Perpetual Preferred Stock (incorporated by reference to Exhibit 3.1 to the</w:t>
              </w:r>
            </w:hyperlink>
          </w:p>
        </w:tc>
        <w:tc>
          <w:tcPr>
            <w:tcW w:w="20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Company’s Current Report on Form 8-K, filed August 13, 2019).</w:t>
              </w:r>
            </w:hyperlink>
          </w:p>
        </w:tc>
        <w:tc>
          <w:tcPr>
            <w:tcW w:w="5260" w:type="dxa"/>
            <w:vAlign w:val="bottom"/>
            <w:gridSpan w:val="20"/>
          </w:tcPr>
          <w:p>
            <w:pPr>
              <w:spacing w:after="0"/>
              <w:rPr>
                <w:sz w:val="17"/>
                <w:szCs w:val="17"/>
                <w:color w:val="auto"/>
              </w:rPr>
            </w:pPr>
          </w:p>
        </w:tc>
      </w:tr>
      <w:tr>
        <w:trPr>
          <w:trHeight w:val="371"/>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00" w:type="dxa"/>
            <w:vAlign w:val="bottom"/>
            <w:tcBorders>
              <w:bottom w:val="single" w:sz="8" w:color="0000FF"/>
            </w:tcBorders>
            <w:gridSpan w:val="17"/>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Certificate of Amendment to Certificate of Designation of Series E Fixed-Rate Cumulative Perpetual Preferred Stock (incorporated by</w:t>
              </w:r>
            </w:hyperlink>
          </w:p>
        </w:tc>
        <w:tc>
          <w:tcPr>
            <w:tcW w:w="26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reference to Exhibit 3.1 to the Company’s Current Report on Form 8-K, filed March 10, 2020).</w:t>
              </w:r>
            </w:hyperlink>
          </w:p>
        </w:tc>
        <w:tc>
          <w:tcPr>
            <w:tcW w:w="3120" w:type="dxa"/>
            <w:vAlign w:val="bottom"/>
            <w:gridSpan w:val="17"/>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00" w:type="dxa"/>
            <w:vAlign w:val="bottom"/>
            <w:tcBorders>
              <w:bottom w:val="single" w:sz="8" w:color="0000FF"/>
            </w:tcBorders>
            <w:gridSpan w:val="22"/>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Form of Inseego Corp. Common Stock Certificate (incorporated by reference to Exhibit 4.1 to the Company’s Current Report on Form 8-</w:t>
              </w:r>
            </w:hyperlink>
          </w:p>
        </w:tc>
        <w:tc>
          <w:tcPr>
            <w:tcW w:w="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Borders>
              <w:bottom w:val="single" w:sz="8" w:color="0000FF"/>
            </w:tcBorders>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K filed November 9, 2016).</w:t>
              </w:r>
            </w:hyperlink>
          </w:p>
        </w:tc>
        <w:tc>
          <w:tcPr>
            <w:tcW w:w="7920" w:type="dxa"/>
            <w:vAlign w:val="bottom"/>
            <w:gridSpan w:val="23"/>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6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91">
              <w:r>
                <w:rPr>
                  <w:rFonts w:ascii="Arial" w:cs="Arial" w:eastAsia="Arial" w:hAnsi="Arial"/>
                  <w:sz w:val="18"/>
                  <w:szCs w:val="18"/>
                  <w:color w:val="0000FF"/>
                  <w:w w:val="90"/>
                </w:rPr>
                <w:t>Description of Equity Securities Registered under Section 12 of the Exchange Act.</w:t>
              </w:r>
            </w:hyperlink>
          </w:p>
        </w:tc>
        <w:tc>
          <w:tcPr>
            <w:tcW w:w="4000" w:type="dxa"/>
            <w:vAlign w:val="bottom"/>
            <w:gridSpan w:val="18"/>
          </w:tcPr>
          <w:p>
            <w:pPr>
              <w:spacing w:after="0"/>
              <w:rPr>
                <w:sz w:val="24"/>
                <w:szCs w:val="24"/>
                <w:color w:val="auto"/>
              </w:rPr>
            </w:pPr>
          </w:p>
        </w:tc>
      </w:tr>
      <w:tr>
        <w:trPr>
          <w:trHeight w:val="371"/>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Borders>
              <w:bottom w:val="single" w:sz="8" w:color="0000FF"/>
            </w:tcBorders>
            <w:gridSpan w:val="14"/>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Indenture, dated January 9, 2017, between Inseego Corp. and Wilmington Trust, National Association, as Trustee (incorporated by</w:t>
              </w:r>
            </w:hyperlink>
          </w:p>
        </w:tc>
        <w:tc>
          <w:tcPr>
            <w:tcW w:w="56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reference to Exhibit 4.2 to the Company’s Current Report on Form 8-K, filed January 10, 2017).</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80" w:type="dxa"/>
            <w:vAlign w:val="bottom"/>
            <w:tcBorders>
              <w:bottom w:val="single" w:sz="8" w:color="0000FF"/>
            </w:tcBorders>
            <w:gridSpan w:val="16"/>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Form of Inseego Corp.’s 5.50% Convertible Senior Note due 2022 (incorporated by reference to Exhibit 4.2 to the Company’s Current</w:t>
              </w:r>
            </w:hyperlink>
          </w:p>
        </w:tc>
        <w:tc>
          <w:tcPr>
            <w:tcW w:w="28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Report on Form 8-K, filed January 10, 2017).</w:t>
              </w:r>
            </w:hyperlink>
          </w:p>
        </w:tc>
        <w:tc>
          <w:tcPr>
            <w:tcW w:w="6680" w:type="dxa"/>
            <w:vAlign w:val="bottom"/>
            <w:gridSpan w:val="21"/>
          </w:tcPr>
          <w:p>
            <w:pPr>
              <w:spacing w:after="0"/>
              <w:rPr>
                <w:sz w:val="17"/>
                <w:szCs w:val="17"/>
                <w:color w:val="auto"/>
              </w:rPr>
            </w:pPr>
          </w:p>
        </w:tc>
      </w:tr>
      <w:tr>
        <w:trPr>
          <w:trHeight w:val="37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FF"/>
                <w:w w:val="96"/>
              </w:rPr>
            </w:pPr>
            <w:hyperlink r:id="rId34">
              <w:r>
                <w:rPr>
                  <w:rFonts w:ascii="Arial" w:cs="Arial" w:eastAsia="Arial" w:hAnsi="Arial"/>
                  <w:sz w:val="18"/>
                  <w:szCs w:val="18"/>
                  <w:color w:val="0000FF"/>
                  <w:w w:val="96"/>
                </w:rPr>
                <w:t>First Supplemental Indenture, dated March 3, 2020, among Inseego Corp. and Wilmington Trust, National Association, as Trustee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(incorporated by reference to Exhibit 10.1 to the Company’s Current Report on Form 8-K, filed March 9, 2020).</w:t>
              </w:r>
            </w:hyperlink>
          </w:p>
        </w:tc>
        <w:tc>
          <w:tcPr>
            <w:tcW w:w="1280" w:type="dxa"/>
            <w:vAlign w:val="bottom"/>
            <w:tcBorders>
              <w:top w:val="single" w:sz="8" w:color="0000FF"/>
            </w:tcBorders>
            <w:gridSpan w:val="3"/>
          </w:tcPr>
          <w:p>
            <w:pPr>
              <w:spacing w:after="0"/>
              <w:rPr>
                <w:sz w:val="17"/>
                <w:szCs w:val="17"/>
                <w:color w:val="auto"/>
              </w:rPr>
            </w:pPr>
          </w:p>
        </w:tc>
        <w:tc>
          <w:tcPr>
            <w:tcW w:w="600" w:type="dxa"/>
            <w:vAlign w:val="bottom"/>
            <w:gridSpan w:val="11"/>
          </w:tcPr>
          <w:p>
            <w:pPr>
              <w:spacing w:after="0"/>
              <w:rPr>
                <w:sz w:val="17"/>
                <w:szCs w:val="17"/>
                <w:color w:val="auto"/>
              </w:rPr>
            </w:pPr>
          </w:p>
        </w:tc>
      </w:tr>
      <w:tr>
        <w:trPr>
          <w:trHeight w:val="37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Form of Waiver Agreement between Inseego Corp. and holders of Inseego Corp. 5.50% Convertible Senior Notes due 2022 (incorporated</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by reference to Exhibit 10.2 to the Company’s Current Report on Form 8-K, filed March 9, 2020).</w:t>
              </w:r>
            </w:hyperlink>
          </w:p>
        </w:tc>
        <w:tc>
          <w:tcPr>
            <w:tcW w:w="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60" w:type="dxa"/>
            <w:vAlign w:val="bottom"/>
            <w:gridSpan w:val="9"/>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7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Rights Agreement, dated as of January 22, 2018, between Inseego Corp. and Computershare Trust Company, N.A., as Rights Agent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(incorporated by reference to Exhibit 4.1 to the Company’s Current Report on Form 8-K, filed January 22, 2018).</w:t>
              </w:r>
            </w:hyperlink>
          </w:p>
        </w:tc>
        <w:tc>
          <w:tcPr>
            <w:tcW w:w="480" w:type="dxa"/>
            <w:vAlign w:val="bottom"/>
            <w:gridSpan w:val="9"/>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160" w:type="dxa"/>
            <w:vAlign w:val="bottom"/>
            <w:gridSpan w:val="11"/>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71"/>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Amendment No. 1 to Rights Agreement, dated August 6, 2018, by and between Inseego Corp. and Computershare Trust Company, N.A.,</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top w:val="single" w:sz="8" w:color="0000FF"/>
            </w:tcBorders>
            <w:gridSpan w:val="21"/>
          </w:tcPr>
          <w:p>
            <w:pPr>
              <w:spacing w:after="0" w:line="196" w:lineRule="exact"/>
              <w:rPr>
                <w:rFonts w:ascii="Arial" w:cs="Arial" w:eastAsia="Arial" w:hAnsi="Arial"/>
                <w:sz w:val="18"/>
                <w:szCs w:val="18"/>
                <w:color w:val="0000FF"/>
                <w:w w:val="98"/>
              </w:rPr>
            </w:pPr>
            <w:hyperlink r:id="rId37">
              <w:r>
                <w:rPr>
                  <w:rFonts w:ascii="Arial" w:cs="Arial" w:eastAsia="Arial" w:hAnsi="Arial"/>
                  <w:sz w:val="18"/>
                  <w:szCs w:val="18"/>
                  <w:color w:val="0000FF"/>
                  <w:w w:val="98"/>
                </w:rPr>
                <w:t>as rights agent (incorporated by reference to Exhibit 4.5 to the Company’s Current Report on Form 8-K, filed August 7, 2018).</w:t>
              </w:r>
            </w:hyperlink>
          </w:p>
        </w:tc>
        <w:tc>
          <w:tcPr>
            <w:tcW w:w="100" w:type="dxa"/>
            <w:vAlign w:val="bottom"/>
            <w:gridSpan w:val="3"/>
          </w:tcPr>
          <w:p>
            <w:pPr>
              <w:spacing w:after="0"/>
              <w:rPr>
                <w:sz w:val="17"/>
                <w:szCs w:val="17"/>
                <w:color w:val="auto"/>
              </w:rPr>
            </w:pPr>
          </w:p>
        </w:tc>
      </w:tr>
      <w:tr>
        <w:trPr>
          <w:trHeight w:val="601"/>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tcBorders>
              <w:top w:val="single" w:sz="8" w:color="0000FF"/>
            </w:tcBorders>
            <w:gridSpan w:val="4"/>
          </w:tcPr>
          <w:p>
            <w:pPr>
              <w:ind w:left="4260"/>
              <w:spacing w:after="0"/>
              <w:rPr>
                <w:sz w:val="20"/>
                <w:szCs w:val="20"/>
                <w:color w:val="auto"/>
              </w:rPr>
            </w:pPr>
            <w:r>
              <w:rPr>
                <w:rFonts w:ascii="Arial" w:cs="Arial" w:eastAsia="Arial" w:hAnsi="Arial"/>
                <w:sz w:val="18"/>
                <w:szCs w:val="18"/>
                <w:color w:val="auto"/>
              </w:rPr>
              <w:t>50</w:t>
            </w:r>
          </w:p>
        </w:tc>
        <w:tc>
          <w:tcPr>
            <w:tcW w:w="30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0" w:name="page51"/>
    <w:bookmarkEnd w:id="50"/>
    <w:p>
      <w:pPr>
        <w:spacing w:after="0"/>
        <w:tabs>
          <w:tab w:leader="none" w:pos="108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37465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p>
      <w:pPr>
        <w:ind w:left="1100" w:right="20" w:hanging="813"/>
        <w:spacing w:after="0" w:line="342" w:lineRule="auto"/>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4.9</w:t>
      </w:r>
      <w:r>
        <w:rPr>
          <w:sz w:val="20"/>
          <w:szCs w:val="20"/>
          <w:color w:val="auto"/>
        </w:rPr>
        <w:tab/>
      </w:r>
      <w:hyperlink r:id="rId39">
        <w:r>
          <w:rPr>
            <w:rFonts w:ascii="Arial" w:cs="Arial" w:eastAsia="Arial" w:hAnsi="Arial"/>
            <w:sz w:val="16"/>
            <w:szCs w:val="16"/>
            <w:u w:val="single" w:color="auto"/>
            <w:color w:val="0000FF"/>
          </w:rPr>
          <w:t>Amendment No. 2 to Rights Agreement, dated December 4, 2018, by and between Inseego Corp. and Computershare Trust Company,</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N.A., as rights agent (incorporated by reference to Exhibit 4.1 to the Company’s Current Report on Form 8-K, filed December 10, 2018).</w:t>
        </w:r>
      </w:hyperlink>
    </w:p>
    <w:p>
      <w:pPr>
        <w:spacing w:after="0" w:line="83" w:lineRule="exact"/>
        <w:rPr>
          <w:sz w:val="20"/>
          <w:szCs w:val="20"/>
          <w:color w:val="auto"/>
        </w:rPr>
      </w:pPr>
    </w:p>
    <w:p>
      <w:pPr>
        <w:ind w:left="1100" w:hanging="858"/>
        <w:spacing w:after="0" w:line="342" w:lineRule="auto"/>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4.10</w:t>
      </w:r>
      <w:r>
        <w:rPr>
          <w:sz w:val="20"/>
          <w:szCs w:val="20"/>
          <w:color w:val="auto"/>
        </w:rPr>
        <w:tab/>
      </w:r>
      <w:hyperlink r:id="rId40">
        <w:r>
          <w:rPr>
            <w:rFonts w:ascii="Arial" w:cs="Arial" w:eastAsia="Arial" w:hAnsi="Arial"/>
            <w:sz w:val="16"/>
            <w:szCs w:val="16"/>
            <w:u w:val="single" w:color="auto"/>
            <w:color w:val="0000FF"/>
          </w:rPr>
          <w:t>Amendment No. 3 to Rights Agreement, dated March 28, 2019, by and between Inseego Corp. and Computershare Trust Company, N.A.,</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as rights agent (incorporated by reference to Exhibit 4.3 to the Company’s Current Report on Form 8-K, filed March 29, 2019).</w:t>
        </w:r>
      </w:hyperlink>
    </w:p>
    <w:p>
      <w:pPr>
        <w:spacing w:after="0" w:line="83" w:lineRule="exact"/>
        <w:rPr>
          <w:sz w:val="20"/>
          <w:szCs w:val="20"/>
          <w:color w:val="auto"/>
        </w:rPr>
      </w:pPr>
    </w:p>
    <w:p>
      <w:pPr>
        <w:ind w:left="1100" w:right="180" w:hanging="855"/>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hyperlink r:id="rId41">
        <w:r>
          <w:rPr>
            <w:rFonts w:ascii="Arial" w:cs="Arial" w:eastAsia="Arial" w:hAnsi="Arial"/>
            <w:sz w:val="18"/>
            <w:szCs w:val="18"/>
            <w:u w:val="single" w:color="auto"/>
            <w:color w:val="0000FF"/>
          </w:rPr>
          <w:t>Common Stock Purchase Warrant issued to Golden Harbor Ltd., dated March 28, 2019, by Inseego Corp. (incorporated by reference to</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Exhibit 4.1 to the Company’s Current Report on Form 8-K, filed March 29, 2019).</w:t>
        </w:r>
      </w:hyperlink>
    </w:p>
    <w:p>
      <w:pPr>
        <w:spacing w:after="0" w:line="130" w:lineRule="exact"/>
        <w:rPr>
          <w:sz w:val="20"/>
          <w:szCs w:val="20"/>
          <w:color w:val="auto"/>
        </w:rPr>
      </w:pPr>
    </w:p>
    <w:p>
      <w:pPr>
        <w:ind w:left="1100" w:right="600" w:hanging="858"/>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hyperlink r:id="rId42">
        <w:r>
          <w:rPr>
            <w:rFonts w:ascii="Arial" w:cs="Arial" w:eastAsia="Arial" w:hAnsi="Arial"/>
            <w:sz w:val="18"/>
            <w:szCs w:val="18"/>
            <w:u w:val="single" w:color="auto"/>
            <w:color w:val="0000FF"/>
          </w:rPr>
          <w:t>Common Stock Purchase Warrant issued to North Sound Trading, L.P., dated March 28, 2019, by Inseego Corp. (incorporated by</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reference to Exhibit 4.2 to the Company’s Current Report on Form 8-K, filed March 29, 2019).</w:t>
        </w:r>
      </w:hyperlink>
    </w:p>
    <w:p>
      <w:pPr>
        <w:spacing w:after="0" w:line="130" w:lineRule="exact"/>
        <w:rPr>
          <w:sz w:val="20"/>
          <w:szCs w:val="20"/>
          <w:color w:val="auto"/>
        </w:rPr>
      </w:pPr>
    </w:p>
    <w:p>
      <w:pPr>
        <w:ind w:left="1100" w:right="80" w:hanging="858"/>
        <w:spacing w:after="0" w:line="263"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4.13</w:t>
      </w:r>
      <w:r>
        <w:rPr>
          <w:sz w:val="20"/>
          <w:szCs w:val="20"/>
          <w:color w:val="auto"/>
        </w:rPr>
        <w:tab/>
      </w:r>
      <w:hyperlink r:id="rId43">
        <w:r>
          <w:rPr>
            <w:rFonts w:ascii="Arial" w:cs="Arial" w:eastAsia="Arial" w:hAnsi="Arial"/>
            <w:sz w:val="18"/>
            <w:szCs w:val="18"/>
            <w:u w:val="single" w:color="auto"/>
            <w:color w:val="0000FF"/>
          </w:rPr>
          <w:t>Registration Rights Agreement, dated August 6, 2018, by and among Inseego Corp. and the Investors identified on Exhibit A to the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Securities Purchase Agreement (incorporated by reference to Exhibit 4.3 to the Company’s Current Report on Form 8-K, filed August 7,</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2018).</w:t>
        </w:r>
      </w:hyperlink>
    </w:p>
    <w:p>
      <w:pPr>
        <w:spacing w:after="0" w:line="143" w:lineRule="exact"/>
        <w:rPr>
          <w:rFonts w:ascii="Arial" w:cs="Arial" w:eastAsia="Arial" w:hAnsi="Arial"/>
          <w:sz w:val="18"/>
          <w:szCs w:val="18"/>
          <w:u w:val="single" w:color="auto"/>
          <w:color w:val="0000FF"/>
        </w:rPr>
      </w:pPr>
    </w:p>
    <w:p>
      <w:pPr>
        <w:ind w:left="1100" w:right="100" w:hanging="904"/>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44">
        <w:r>
          <w:rPr>
            <w:rFonts w:ascii="Arial" w:cs="Arial" w:eastAsia="Arial" w:hAnsi="Arial"/>
            <w:sz w:val="18"/>
            <w:szCs w:val="18"/>
            <w:u w:val="single" w:color="auto"/>
            <w:color w:val="0000FF"/>
          </w:rPr>
          <w:t>Amended and Restated Inseego Corp. 2000 Employee Stock Purchase Plan (incorporated by reference to Exhibit 10.2 to the Company’s</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Current Report on Form 8-K, filed July 18, 2018).</w:t>
        </w:r>
      </w:hyperlink>
    </w:p>
    <w:p>
      <w:pPr>
        <w:spacing w:after="0" w:line="130" w:lineRule="exact"/>
        <w:rPr>
          <w:sz w:val="20"/>
          <w:szCs w:val="20"/>
          <w:color w:val="auto"/>
        </w:rPr>
      </w:pPr>
    </w:p>
    <w:p>
      <w:pPr>
        <w:ind w:left="1100" w:right="40" w:hanging="904"/>
        <w:spacing w:after="0" w:line="308" w:lineRule="auto"/>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10.2*</w:t>
      </w:r>
      <w:r>
        <w:rPr>
          <w:sz w:val="20"/>
          <w:szCs w:val="20"/>
          <w:color w:val="auto"/>
        </w:rPr>
        <w:tab/>
      </w:r>
      <w:hyperlink r:id="rId45">
        <w:r>
          <w:rPr>
            <w:rFonts w:ascii="Arial" w:cs="Arial" w:eastAsia="Arial" w:hAnsi="Arial"/>
            <w:sz w:val="17"/>
            <w:szCs w:val="17"/>
            <w:u w:val="single" w:color="auto"/>
            <w:color w:val="0000FF"/>
          </w:rPr>
          <w:t>Offer Letter, dated August 11, 2017, by and between the Company and Stephen Smith with an employment start date of August 21, 2017</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(incorporated by reference to Exhibit 10.1 to the Company’s Current Report on Form 8-K, filed August 21, 2017).</w:t>
        </w:r>
      </w:hyperlink>
    </w:p>
    <w:p>
      <w:pPr>
        <w:spacing w:after="0" w:line="106" w:lineRule="exact"/>
        <w:rPr>
          <w:sz w:val="20"/>
          <w:szCs w:val="20"/>
          <w:color w:val="auto"/>
        </w:rPr>
      </w:pPr>
    </w:p>
    <w:p>
      <w:pPr>
        <w:ind w:left="1100" w:right="40" w:hanging="904"/>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46">
        <w:r>
          <w:rPr>
            <w:rFonts w:ascii="Arial" w:cs="Arial" w:eastAsia="Arial" w:hAnsi="Arial"/>
            <w:sz w:val="18"/>
            <w:szCs w:val="18"/>
            <w:u w:val="single" w:color="auto"/>
            <w:color w:val="0000FF"/>
          </w:rPr>
          <w:t>Change in Control and Severance Agreement, effective August 21, 2017, by and between the Company and Stephen Smith (incorporated</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by reference to Exhibit 10.2 to the Company’s Current Report on Form 8-K, filed August 21, 2017).</w:t>
        </w:r>
      </w:hyperlink>
    </w:p>
    <w:p>
      <w:pPr>
        <w:spacing w:after="0" w:line="130" w:lineRule="exact"/>
        <w:rPr>
          <w:sz w:val="20"/>
          <w:szCs w:val="20"/>
          <w:color w:val="auto"/>
        </w:rPr>
      </w:pPr>
    </w:p>
    <w:p>
      <w:pPr>
        <w:ind w:left="20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47">
        <w:r>
          <w:rPr>
            <w:rFonts w:ascii="Arial" w:cs="Arial" w:eastAsia="Arial" w:hAnsi="Arial"/>
            <w:sz w:val="16"/>
            <w:szCs w:val="16"/>
            <w:u w:val="single" w:color="auto"/>
            <w:color w:val="0000FF"/>
          </w:rPr>
          <w:t>Form of Indemnification (incorporated by reference to Exhibit 10.3 to the Company’s Current Report on Form 8-K, filed August 21,</w:t>
        </w:r>
      </w:hyperlink>
    </w:p>
    <w:p>
      <w:pPr>
        <w:spacing w:after="0" w:line="23" w:lineRule="exact"/>
        <w:rPr>
          <w:sz w:val="20"/>
          <w:szCs w:val="20"/>
          <w:color w:val="auto"/>
        </w:rPr>
      </w:pPr>
    </w:p>
    <w:p>
      <w:pPr>
        <w:ind w:left="1100"/>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2017).</w:t>
        </w:r>
      </w:hyperlink>
    </w:p>
    <w:p>
      <w:pPr>
        <w:spacing w:after="0" w:line="170" w:lineRule="exact"/>
        <w:rPr>
          <w:sz w:val="20"/>
          <w:szCs w:val="20"/>
          <w:color w:val="auto"/>
        </w:rPr>
      </w:pPr>
    </w:p>
    <w:p>
      <w:pPr>
        <w:ind w:left="1100" w:right="100" w:hanging="904"/>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48">
        <w:r>
          <w:rPr>
            <w:rFonts w:ascii="Arial" w:cs="Arial" w:eastAsia="Arial" w:hAnsi="Arial"/>
            <w:sz w:val="18"/>
            <w:szCs w:val="18"/>
            <w:u w:val="single" w:color="auto"/>
            <w:color w:val="0000FF"/>
          </w:rPr>
          <w:t>Employment Offer Letter, dated June 6, 2017, between Inseego Corp. and Dan Mondor (incorporated by reference to Exhibit 10.1 to the</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Company’s Current Report on Form 8-K, filed June 9, 2017).</w:t>
        </w:r>
      </w:hyperlink>
    </w:p>
    <w:p>
      <w:pPr>
        <w:spacing w:after="0" w:line="130" w:lineRule="exact"/>
        <w:rPr>
          <w:sz w:val="20"/>
          <w:szCs w:val="20"/>
          <w:color w:val="auto"/>
        </w:rPr>
      </w:pPr>
    </w:p>
    <w:p>
      <w:pPr>
        <w:ind w:left="1100" w:right="40" w:hanging="904"/>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9">
        <w:r>
          <w:rPr>
            <w:rFonts w:ascii="Arial" w:cs="Arial" w:eastAsia="Arial" w:hAnsi="Arial"/>
            <w:sz w:val="18"/>
            <w:szCs w:val="18"/>
            <w:u w:val="single" w:color="auto"/>
            <w:color w:val="0000FF"/>
          </w:rPr>
          <w:t>Change in Control and Severance Agreement, dated June 6, 2018, between Inseego Corp. and Dan Mondor (incorporated by reference to</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Exhibit 10.1 to the Company’s Current Report on Form 8-K, filed June 8, 2018).</w:t>
        </w:r>
      </w:hyperlink>
    </w:p>
    <w:p>
      <w:pPr>
        <w:spacing w:after="0" w:line="130" w:lineRule="exact"/>
        <w:rPr>
          <w:sz w:val="20"/>
          <w:szCs w:val="20"/>
          <w:color w:val="auto"/>
        </w:rPr>
      </w:pPr>
    </w:p>
    <w:p>
      <w:pPr>
        <w:ind w:left="1100" w:right="200" w:hanging="904"/>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50">
        <w:r>
          <w:rPr>
            <w:rFonts w:ascii="Arial" w:cs="Arial" w:eastAsia="Arial" w:hAnsi="Arial"/>
            <w:sz w:val="18"/>
            <w:szCs w:val="18"/>
            <w:u w:val="single" w:color="auto"/>
            <w:color w:val="0000FF"/>
          </w:rPr>
          <w:t>Indemnification Agreement, dated June 6, 2017, between Inseego Corp. and Dan Mondor (incorporated by reference to Exhibit 10.3 to</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the Company’s Current Report on Form 8-K, filed June 9, 2017).</w:t>
        </w:r>
      </w:hyperlink>
    </w:p>
    <w:p>
      <w:pPr>
        <w:spacing w:after="0" w:line="130" w:lineRule="exact"/>
        <w:rPr>
          <w:sz w:val="20"/>
          <w:szCs w:val="20"/>
          <w:color w:val="auto"/>
        </w:rPr>
      </w:pPr>
    </w:p>
    <w:p>
      <w:pPr>
        <w:ind w:left="1100" w:right="520" w:hanging="904"/>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51">
        <w:r>
          <w:rPr>
            <w:rFonts w:ascii="Arial" w:cs="Arial" w:eastAsia="Arial" w:hAnsi="Arial"/>
            <w:sz w:val="18"/>
            <w:szCs w:val="18"/>
            <w:u w:val="single" w:color="auto"/>
            <w:color w:val="0000FF"/>
          </w:rPr>
          <w:t>Amendment to Offer Letter, dated October 26, 2017, by and between the Company and Dan Mondor (incorporated by reference to</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Exhibit 10.8 to the Company’s Quarterly Report on Form 10-Q, filed on November 7, 2017).</w:t>
        </w:r>
      </w:hyperlink>
    </w:p>
    <w:p>
      <w:pPr>
        <w:spacing w:after="0" w:line="130" w:lineRule="exact"/>
        <w:rPr>
          <w:sz w:val="20"/>
          <w:szCs w:val="20"/>
          <w:color w:val="auto"/>
        </w:rPr>
      </w:pPr>
    </w:p>
    <w:p>
      <w:pPr>
        <w:ind w:left="20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52">
        <w:r>
          <w:rPr>
            <w:rFonts w:ascii="Arial" w:cs="Arial" w:eastAsia="Arial" w:hAnsi="Arial"/>
            <w:sz w:val="16"/>
            <w:szCs w:val="16"/>
            <w:u w:val="single" w:color="auto"/>
            <w:color w:val="0000FF"/>
          </w:rPr>
          <w:t>Inseego Corp. 2015 Incentive Compensation Plan (incorporated by reference to Exhibit 10.26 to the Company’s Annual Report on Form</w:t>
        </w:r>
      </w:hyperlink>
    </w:p>
    <w:p>
      <w:pPr>
        <w:spacing w:after="0" w:line="23" w:lineRule="exact"/>
        <w:rPr>
          <w:sz w:val="20"/>
          <w:szCs w:val="20"/>
          <w:color w:val="auto"/>
        </w:rPr>
      </w:pPr>
    </w:p>
    <w:p>
      <w:pPr>
        <w:ind w:left="1100"/>
        <w:spacing w:after="0"/>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10-K, filed on March 16, 2018).</w:t>
        </w:r>
      </w:hyperlink>
    </w:p>
    <w:p>
      <w:pPr>
        <w:spacing w:after="0" w:line="170" w:lineRule="exact"/>
        <w:rPr>
          <w:sz w:val="20"/>
          <w:szCs w:val="20"/>
          <w:color w:val="auto"/>
        </w:rPr>
      </w:pPr>
    </w:p>
    <w:p>
      <w:pPr>
        <w:ind w:left="1100" w:hanging="948"/>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53">
        <w:r>
          <w:rPr>
            <w:rFonts w:ascii="Arial" w:cs="Arial" w:eastAsia="Arial" w:hAnsi="Arial"/>
            <w:sz w:val="18"/>
            <w:szCs w:val="18"/>
            <w:u w:val="single" w:color="auto"/>
            <w:color w:val="0000FF"/>
          </w:rPr>
          <w:t>Form of Nonstatutory Stock Option Agreement under the Inseego Corp. 2015 Incentive Compensation Plan (incorporated by reference to</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Exhibit 10.27 to the Company’s Annual Report on Form 10-K, filed on March 16, 2018).</w:t>
        </w:r>
      </w:hyperlink>
    </w:p>
    <w:p>
      <w:pPr>
        <w:spacing w:after="0" w:line="130" w:lineRule="exact"/>
        <w:rPr>
          <w:sz w:val="20"/>
          <w:szCs w:val="20"/>
          <w:color w:val="auto"/>
        </w:rPr>
      </w:pPr>
    </w:p>
    <w:p>
      <w:pPr>
        <w:ind w:left="1100" w:right="100" w:hanging="945"/>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54">
        <w:r>
          <w:rPr>
            <w:rFonts w:ascii="Arial" w:cs="Arial" w:eastAsia="Arial" w:hAnsi="Arial"/>
            <w:sz w:val="18"/>
            <w:szCs w:val="18"/>
            <w:u w:val="single" w:color="auto"/>
            <w:color w:val="0000FF"/>
          </w:rPr>
          <w:t>Inseego Corp. 2018 Omnibus Incentive Compensation Plan (incorporated by reference to Exhibit 10.1 to the Company’s Current Report</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on Form 8-K, filed July 18, 2018).</w:t>
        </w:r>
      </w:hyperlink>
    </w:p>
    <w:p>
      <w:pPr>
        <w:spacing w:after="0" w:line="130" w:lineRule="exact"/>
        <w:rPr>
          <w:sz w:val="20"/>
          <w:szCs w:val="20"/>
          <w:color w:val="auto"/>
        </w:rPr>
      </w:pPr>
    </w:p>
    <w:p>
      <w:pPr>
        <w:ind w:left="1100" w:right="440" w:hanging="904"/>
        <w:spacing w:after="0" w:line="263"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55">
        <w:r>
          <w:rPr>
            <w:rFonts w:ascii="Arial" w:cs="Arial" w:eastAsia="Arial" w:hAnsi="Arial"/>
            <w:sz w:val="18"/>
            <w:szCs w:val="18"/>
            <w:u w:val="single" w:color="auto"/>
            <w:color w:val="0000FF"/>
          </w:rPr>
          <w:t>Security and Pledge Agreement, dated as of August 23, 2017, by and among Inseego Corp and certain of its direct and indirect</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subsidiaries, as Guarantors, and Cantor Fitzgerald Securities, as Agent (incorporated by reference to Exhibit 10.2 to the Company’s</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Quarterly Report on Form 10-Q, filed on November 7, 2017).</w:t>
        </w:r>
      </w:hyperlink>
    </w:p>
    <w:p>
      <w:pPr>
        <w:spacing w:after="0" w:line="143" w:lineRule="exact"/>
        <w:rPr>
          <w:rFonts w:ascii="Arial" w:cs="Arial" w:eastAsia="Arial" w:hAnsi="Arial"/>
          <w:sz w:val="18"/>
          <w:szCs w:val="18"/>
          <w:u w:val="single" w:color="auto"/>
          <w:color w:val="0000FF"/>
        </w:rPr>
      </w:pPr>
    </w:p>
    <w:p>
      <w:pPr>
        <w:jc w:val="both"/>
        <w:ind w:left="1100" w:right="260" w:hanging="904"/>
        <w:spacing w:after="0" w:line="311" w:lineRule="auto"/>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56">
        <w:r>
          <w:rPr>
            <w:rFonts w:ascii="Arial" w:cs="Arial" w:eastAsia="Arial" w:hAnsi="Arial"/>
            <w:sz w:val="16"/>
            <w:szCs w:val="16"/>
            <w:u w:val="single" w:color="auto"/>
            <w:color w:val="0000FF"/>
          </w:rPr>
          <w:t>First Amendment to Credit Agreement, dated as of August 9, 2019, by and among Inseego Corp. and certain of its direct and indirect</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subsidiaries, Cantor Fitzgerald Securities, as Agent, and certain funds managed by Highbridge Capital Management, LLC, as Lenders</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(incorporated by reference to Exhibit 10.2 to the Company’s Quarterly Report on Form 10-Q, filed on November 12, 2019).</w:t>
        </w:r>
      </w:hyperlink>
    </w:p>
    <w:p>
      <w:pPr>
        <w:spacing w:after="0" w:line="108" w:lineRule="exact"/>
        <w:rPr>
          <w:rFonts w:ascii="Arial" w:cs="Arial" w:eastAsia="Arial" w:hAnsi="Arial"/>
          <w:sz w:val="16"/>
          <w:szCs w:val="16"/>
          <w:u w:val="single" w:color="auto"/>
          <w:color w:val="0000FF"/>
        </w:rPr>
      </w:pPr>
    </w:p>
    <w:p>
      <w:pPr>
        <w:ind w:left="1100" w:right="520" w:hanging="904"/>
        <w:spacing w:after="0" w:line="263"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57">
        <w:r>
          <w:rPr>
            <w:rFonts w:ascii="Arial" w:cs="Arial" w:eastAsia="Arial" w:hAnsi="Arial"/>
            <w:sz w:val="18"/>
            <w:szCs w:val="18"/>
            <w:u w:val="single" w:color="auto"/>
            <w:color w:val="0000FF"/>
          </w:rPr>
          <w:t>Second Amendment to Credit Agreement dated March 9, 2020, by and among Inseego Corp. and certain of its direct and indirect</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subsidiaries, Cantor Fitzgerald Securities, as Agent, and the lenders party thereto. (incorporated by reference to Exhibit 10.1 to the</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Company’s Current Report on Form 8-K, filed on March 11, 2020).</w:t>
        </w:r>
      </w:hyperlink>
    </w:p>
    <w:p>
      <w:pPr>
        <w:sectPr>
          <w:pgSz w:w="11900" w:h="16838" w:orient="portrait"/>
          <w:cols w:equalWidth="0" w:num="1">
            <w:col w:w="11000"/>
          </w:cols>
          <w:pgMar w:left="500" w:top="517" w:right="399" w:bottom="1440" w:gutter="0" w:footer="0" w:header="0"/>
        </w:sectPr>
      </w:pPr>
    </w:p>
    <w:p>
      <w:pPr>
        <w:spacing w:after="0" w:line="332" w:lineRule="exact"/>
        <w:rPr>
          <w:rFonts w:ascii="Arial" w:cs="Arial" w:eastAsia="Arial" w:hAnsi="Arial"/>
          <w:sz w:val="18"/>
          <w:szCs w:val="18"/>
          <w:u w:val="single" w:color="auto"/>
          <w:color w:val="0000FF"/>
        </w:rPr>
      </w:pPr>
    </w:p>
    <w:p>
      <w:pPr>
        <w:jc w:val="center"/>
        <w:ind w:right="10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000"/>
          </w:cols>
          <w:pgMar w:left="500" w:top="517" w:right="39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10"/>
        </w:trPr>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Exhibit No.</w:t>
            </w:r>
          </w:p>
        </w:tc>
        <w:tc>
          <w:tcPr>
            <w:tcW w:w="40" w:type="dxa"/>
            <w:vAlign w:val="bottom"/>
          </w:tcPr>
          <w:p>
            <w:pPr>
              <w:spacing w:after="0"/>
              <w:rPr>
                <w:sz w:val="18"/>
                <w:szCs w:val="18"/>
                <w:color w:val="auto"/>
              </w:rPr>
            </w:pPr>
          </w:p>
        </w:tc>
        <w:tc>
          <w:tcPr>
            <w:tcW w:w="9940" w:type="dxa"/>
            <w:vAlign w:val="bottom"/>
            <w:gridSpan w:val="25"/>
          </w:tcPr>
          <w:p>
            <w:pPr>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gridSpan w:val="25"/>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Letter Agreement dated March 10, 2020, by and between Inseego Corp. and South Ocean Funding, LLC (incorporated by reference to</w:t>
              </w:r>
            </w:hyperlink>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Exhibit 10.2 to the Company’s Current Report on Form 8-K, filed on March 11, 2020).</w:t>
              </w:r>
            </w:hyperlink>
          </w:p>
        </w:tc>
        <w:tc>
          <w:tcPr>
            <w:tcW w:w="30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gridSpan w:val="25"/>
          </w:tcPr>
          <w:p>
            <w:pPr>
              <w:spacing w:after="0"/>
              <w:rPr>
                <w:rFonts w:ascii="Arial" w:cs="Arial" w:eastAsia="Arial" w:hAnsi="Arial"/>
                <w:sz w:val="18"/>
                <w:szCs w:val="18"/>
                <w:color w:val="0000FF"/>
                <w:w w:val="98"/>
              </w:rPr>
            </w:pPr>
            <w:hyperlink r:id="rId55">
              <w:r>
                <w:rPr>
                  <w:rFonts w:ascii="Arial" w:cs="Arial" w:eastAsia="Arial" w:hAnsi="Arial"/>
                  <w:sz w:val="18"/>
                  <w:szCs w:val="18"/>
                  <w:color w:val="0000FF"/>
                  <w:w w:val="98"/>
                </w:rPr>
                <w:t>Security and Pledge Agreement, dated as of August 23, 2017, by and among Inseego Corp and certain of its direct and indirect</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subsidiaries, as Guarantors, and Cantor Fitzgerald Securities, as Agent (incorporated by reference to Exhibit 10.2 to the Company’s</w:t>
              </w:r>
            </w:hyperlink>
          </w:p>
        </w:tc>
        <w:tc>
          <w:tcPr>
            <w:tcW w:w="48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gridSpan w:val="25"/>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Quarterly Report on Form 10-Q, filed on November 7, 2017).</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tcBorders>
              <w:bottom w:val="single" w:sz="8" w:color="0000FF"/>
            </w:tcBorders>
            <w:gridSpan w:val="23"/>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Mutual General Release and Settlement Agreement, dated July 26, 2018, between Inseego Corp., successor to Novatel Wireless, Inc., on</w:t>
              </w:r>
            </w:hyperlink>
          </w:p>
        </w:tc>
        <w:tc>
          <w:tcPr>
            <w:tcW w:w="12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bottom w:val="single" w:sz="8" w:color="0000FF"/>
            </w:tcBorders>
            <w:gridSpan w:val="24"/>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the one hand, and Robert E. Ralston and Ethan B. Ralston, on the other hand (incorporated by reference to Exhibit 10.1 to the Company’s</w:t>
              </w:r>
            </w:hyperlink>
          </w:p>
        </w:tc>
        <w:tc>
          <w:tcPr>
            <w:tcW w:w="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gridSpan w:val="25"/>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Current Report on Form 8-K, filed July 31, 2018).</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tcBorders>
              <w:bottom w:val="single" w:sz="8" w:color="0000FF"/>
            </w:tcBorders>
            <w:gridSpan w:val="22"/>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Note Purchase Agreement, dated as of August 23, 2017, by and among Inseego Corp., 1992 MSF International LTD. and 1992 Tactical</w:t>
              </w:r>
            </w:hyperlink>
          </w:p>
        </w:tc>
        <w:tc>
          <w:tcPr>
            <w:tcW w:w="22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gridSpan w:val="25"/>
          </w:tcPr>
          <w:p>
            <w:pPr>
              <w:spacing w:after="0" w:line="196" w:lineRule="exact"/>
              <w:rPr>
                <w:rFonts w:ascii="Arial" w:cs="Arial" w:eastAsia="Arial" w:hAnsi="Arial"/>
                <w:sz w:val="18"/>
                <w:szCs w:val="18"/>
                <w:color w:val="0000FF"/>
                <w:w w:val="99"/>
              </w:rPr>
            </w:pPr>
            <w:hyperlink r:id="rId60">
              <w:r>
                <w:rPr>
                  <w:rFonts w:ascii="Arial" w:cs="Arial" w:eastAsia="Arial" w:hAnsi="Arial"/>
                  <w:sz w:val="18"/>
                  <w:szCs w:val="18"/>
                  <w:color w:val="0000FF"/>
                  <w:w w:val="99"/>
                </w:rPr>
                <w:t>Credit Master Fund, L.P. (incorporated by reference to Exhibit 10.3 to the Company’s Quarterly Report on Form 10-Q, filed on</w:t>
              </w:r>
            </w:hyperlink>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60">
              <w:r>
                <w:rPr>
                  <w:rFonts w:ascii="Arial" w:cs="Arial" w:eastAsia="Arial" w:hAnsi="Arial"/>
                  <w:sz w:val="18"/>
                  <w:szCs w:val="18"/>
                  <w:color w:val="0000FF"/>
                  <w:w w:val="89"/>
                </w:rPr>
                <w:t>November 7, 2017).</w:t>
              </w:r>
            </w:hyperlink>
          </w:p>
        </w:tc>
        <w:tc>
          <w:tcPr>
            <w:tcW w:w="7700" w:type="dxa"/>
            <w:vAlign w:val="bottom"/>
            <w:tcBorders>
              <w:top w:val="single" w:sz="8" w:color="0000FF"/>
            </w:tcBorders>
            <w:gridSpan w:val="12"/>
          </w:tcPr>
          <w:p>
            <w:pPr>
              <w:spacing w:after="0"/>
              <w:rPr>
                <w:sz w:val="17"/>
                <w:szCs w:val="17"/>
                <w:color w:val="auto"/>
              </w:rPr>
            </w:pPr>
          </w:p>
        </w:tc>
        <w:tc>
          <w:tcPr>
            <w:tcW w:w="800" w:type="dxa"/>
            <w:vAlign w:val="bottom"/>
            <w:gridSpan w:val="10"/>
          </w:tcPr>
          <w:p>
            <w:pPr>
              <w:spacing w:after="0"/>
              <w:rPr>
                <w:sz w:val="17"/>
                <w:szCs w:val="17"/>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tcBorders>
              <w:bottom w:val="single" w:sz="8" w:color="0000FF"/>
            </w:tcBorders>
            <w:gridSpan w:val="20"/>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Securities Purchase Agreement, dated August 6, 2018, by and among Inseego Corp. and the Investors identified on Exhibit A thereto</w:t>
              </w:r>
            </w:hyperlink>
          </w:p>
        </w:tc>
        <w:tc>
          <w:tcPr>
            <w:tcW w:w="38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4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(incorporated by reference to Exhibit 4.1 to the Company’s Current Report on Form 8-K, filed August 7, 2018).</w:t>
              </w:r>
            </w:hyperlink>
          </w:p>
        </w:tc>
        <w:tc>
          <w:tcPr>
            <w:tcW w:w="1900" w:type="dxa"/>
            <w:vAlign w:val="bottom"/>
            <w:gridSpan w:val="15"/>
          </w:tcPr>
          <w:p>
            <w:pPr>
              <w:spacing w:after="0"/>
              <w:rPr>
                <w:sz w:val="17"/>
                <w:szCs w:val="17"/>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tcBorders>
              <w:bottom w:val="single" w:sz="8" w:color="0000FF"/>
            </w:tcBorders>
            <w:gridSpan w:val="20"/>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Securities Purchase Agreement, dated August 9, 2019, by and among Inseego Corp. and the Investors identified on Exhibit A thereto</w:t>
              </w:r>
            </w:hyperlink>
          </w:p>
        </w:tc>
        <w:tc>
          <w:tcPr>
            <w:tcW w:w="38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(incorporated by reference to Exhibit 10.1 to the Company’s Current Report on Form 8-K, filed August 13, 2019).</w:t>
              </w:r>
            </w:hyperlink>
          </w:p>
        </w:tc>
        <w:tc>
          <w:tcPr>
            <w:tcW w:w="1720" w:type="dxa"/>
            <w:vAlign w:val="bottom"/>
            <w:gridSpan w:val="14"/>
          </w:tcPr>
          <w:p>
            <w:pPr>
              <w:spacing w:after="0"/>
              <w:rPr>
                <w:sz w:val="17"/>
                <w:szCs w:val="17"/>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40" w:type="dxa"/>
            <w:vAlign w:val="bottom"/>
            <w:tcBorders>
              <w:bottom w:val="single" w:sz="8" w:color="0000FF"/>
            </w:tcBorders>
            <w:gridSpan w:val="16"/>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Securities Purchase Agreement, dated March 6, 2020, by and among Inseego Corp. and the Investor identified on Exhibit A thereto</w:t>
              </w:r>
            </w:hyperlink>
          </w:p>
        </w:tc>
        <w:tc>
          <w:tcPr>
            <w:tcW w:w="500" w:type="dxa"/>
            <w:vAlign w:val="bottom"/>
            <w:gridSpan w:val="9"/>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gridSpan w:val="25"/>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(incorporated by reference to Exhibit 10.1 to the Company’s Current Report on Form 8-K, filed on March 10, 2020).</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Form of Exchange Agreement, by and among Inseego Corp. and certain investors holding the Company’s 5.50% Convertible Senior</w:t>
              </w:r>
            </w:hyperlink>
          </w:p>
        </w:tc>
        <w:tc>
          <w:tcPr>
            <w:tcW w:w="42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gridSpan w:val="25"/>
          </w:tcPr>
          <w:p>
            <w:pPr>
              <w:spacing w:after="0" w:line="196" w:lineRule="exact"/>
              <w:rPr>
                <w:rFonts w:ascii="Arial" w:cs="Arial" w:eastAsia="Arial" w:hAnsi="Arial"/>
                <w:sz w:val="18"/>
                <w:szCs w:val="18"/>
                <w:color w:val="0000FF"/>
              </w:rPr>
            </w:pPr>
            <w:hyperlink w:anchor="page94">
              <w:r>
                <w:rPr>
                  <w:rFonts w:ascii="Arial" w:cs="Arial" w:eastAsia="Arial" w:hAnsi="Arial"/>
                  <w:sz w:val="18"/>
                  <w:szCs w:val="18"/>
                  <w:color w:val="0000FF"/>
                </w:rPr>
                <w:t>Notes due 2022.</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gridSpan w:val="25"/>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Consulting Agreement between the Company and Robert Pons, effective as of September 30, 2019 (incorporated by reference to Exhibit</w:t>
              </w:r>
            </w:hyperlink>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r>
                <w:rPr>
                  <w:rFonts w:ascii="Arial" w:cs="Arial" w:eastAsia="Arial" w:hAnsi="Arial"/>
                  <w:sz w:val="18"/>
                  <w:szCs w:val="18"/>
                  <w:color w:val="0000FF"/>
                  <w:w w:val="91"/>
                </w:rPr>
                <w:t xml:space="preserve"> to the Company’s Quarterly Report on Form 10-Q, filed on November 12, 2019).</w:t>
              </w:r>
            </w:hyperlink>
          </w:p>
        </w:tc>
        <w:tc>
          <w:tcPr>
            <w:tcW w:w="3580" w:type="dxa"/>
            <w:vAlign w:val="bottom"/>
            <w:tcBorders>
              <w:top w:val="single" w:sz="8" w:color="0000FF"/>
            </w:tcBorders>
            <w:gridSpan w:val="14"/>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100">
              <w:r>
                <w:rPr>
                  <w:rFonts w:ascii="Arial" w:cs="Arial" w:eastAsia="Arial" w:hAnsi="Arial"/>
                  <w:sz w:val="18"/>
                  <w:szCs w:val="18"/>
                  <w:color w:val="0000FF"/>
                  <w:w w:val="88"/>
                </w:rPr>
                <w:t>Subsidiaries of Inseego Corp.</w:t>
              </w:r>
            </w:hyperlink>
          </w:p>
        </w:tc>
        <w:tc>
          <w:tcPr>
            <w:tcW w:w="7820" w:type="dxa"/>
            <w:vAlign w:val="bottom"/>
            <w:gridSpan w:val="21"/>
          </w:tcPr>
          <w:p>
            <w:pPr>
              <w:spacing w:after="0"/>
              <w:rPr>
                <w:sz w:val="24"/>
                <w:szCs w:val="24"/>
                <w:color w:val="auto"/>
              </w:rPr>
            </w:pPr>
          </w:p>
        </w:tc>
      </w:tr>
      <w:tr>
        <w:trPr>
          <w:trHeight w:val="371"/>
        </w:trPr>
        <w:tc>
          <w:tcPr>
            <w:tcW w:w="1120" w:type="dxa"/>
            <w:vAlign w:val="bottom"/>
          </w:tcPr>
          <w:p>
            <w:pPr>
              <w:jc w:val="center"/>
              <w:spacing w:after="0"/>
              <w:rPr>
                <w:sz w:val="20"/>
                <w:szCs w:val="20"/>
                <w:color w:val="auto"/>
              </w:rPr>
            </w:pPr>
            <w:r>
              <w:rPr>
                <w:rFonts w:ascii="Arial" w:cs="Arial" w:eastAsia="Arial" w:hAnsi="Arial"/>
                <w:sz w:val="18"/>
                <w:szCs w:val="18"/>
                <w:color w:val="auto"/>
                <w:w w:val="97"/>
              </w:rPr>
              <w:t>23.1**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0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01">
              <w:r>
                <w:rPr>
                  <w:rFonts w:ascii="Arial" w:cs="Arial" w:eastAsia="Arial" w:hAnsi="Arial"/>
                  <w:sz w:val="18"/>
                  <w:szCs w:val="18"/>
                  <w:color w:val="0000FF"/>
                  <w:w w:val="91"/>
                </w:rPr>
                <w:t>Consent of Independent Registered Public Accounting Firm (Marcum LLP).</w:t>
              </w:r>
            </w:hyperlink>
          </w:p>
        </w:tc>
        <w:tc>
          <w:tcPr>
            <w:tcW w:w="4440" w:type="dxa"/>
            <w:vAlign w:val="bottom"/>
            <w:gridSpan w:val="17"/>
          </w:tcPr>
          <w:p>
            <w:pPr>
              <w:spacing w:after="0"/>
              <w:rPr>
                <w:sz w:val="24"/>
                <w:szCs w:val="24"/>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gridSpan w:val="2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Power of Attorney (See signature page).</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371"/>
        </w:trPr>
        <w:tc>
          <w:tcPr>
            <w:tcW w:w="1120" w:type="dxa"/>
            <w:vAlign w:val="bottom"/>
          </w:tcPr>
          <w:p>
            <w:pPr>
              <w:jc w:val="center"/>
              <w:spacing w:after="0"/>
              <w:rPr>
                <w:sz w:val="20"/>
                <w:szCs w:val="20"/>
                <w:color w:val="auto"/>
              </w:rPr>
            </w:pPr>
            <w:r>
              <w:rPr>
                <w:rFonts w:ascii="Arial" w:cs="Arial" w:eastAsia="Arial" w:hAnsi="Arial"/>
                <w:sz w:val="18"/>
                <w:szCs w:val="18"/>
                <w:color w:val="auto"/>
                <w:w w:val="97"/>
              </w:rPr>
              <w:t>31.1**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gridSpan w:val="25"/>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Certification of our Principal Executive Officer adopted pursuant to Section 302 of the Sarbanes-Oxley Act of 2002.</w:t>
              </w:r>
            </w:hyperlink>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97"/>
              </w:rPr>
              <w:t>31.2**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1"/>
              </w:rPr>
            </w:pPr>
            <w:hyperlink w:anchor="page103">
              <w:r>
                <w:rPr>
                  <w:rFonts w:ascii="Arial" w:cs="Arial" w:eastAsia="Arial" w:hAnsi="Arial"/>
                  <w:sz w:val="18"/>
                  <w:szCs w:val="18"/>
                  <w:color w:val="0000FF"/>
                  <w:w w:val="91"/>
                </w:rPr>
                <w:t>Certification of our Principal Financial Officer adopted pursuant to Section 302 of the Sarbanes-Oxley Act of 2002.</w:t>
              </w:r>
            </w:hyperlink>
          </w:p>
        </w:tc>
        <w:tc>
          <w:tcPr>
            <w:tcW w:w="60" w:type="dxa"/>
            <w:vAlign w:val="bottom"/>
            <w:tcBorders>
              <w:top w:val="single" w:sz="8" w:color="0000FF"/>
            </w:tcBorders>
          </w:tcPr>
          <w:p>
            <w:pPr>
              <w:spacing w:after="0"/>
              <w:rPr>
                <w:sz w:val="24"/>
                <w:szCs w:val="24"/>
                <w:color w:val="auto"/>
              </w:rPr>
            </w:pPr>
          </w:p>
        </w:tc>
        <w:tc>
          <w:tcPr>
            <w:tcW w:w="1560" w:type="dxa"/>
            <w:vAlign w:val="bottom"/>
            <w:gridSpan w:val="12"/>
          </w:tcPr>
          <w:p>
            <w:pPr>
              <w:spacing w:after="0"/>
              <w:rPr>
                <w:sz w:val="24"/>
                <w:szCs w:val="24"/>
                <w:color w:val="auto"/>
              </w:rPr>
            </w:pPr>
          </w:p>
        </w:tc>
      </w:tr>
      <w:tr>
        <w:trPr>
          <w:trHeight w:val="371"/>
        </w:trPr>
        <w:tc>
          <w:tcPr>
            <w:tcW w:w="11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gridSpan w:val="25"/>
          </w:tcPr>
          <w:p>
            <w:pPr>
              <w:spacing w:after="0"/>
              <w:rPr>
                <w:rFonts w:ascii="Arial" w:cs="Arial" w:eastAsia="Arial" w:hAnsi="Arial"/>
                <w:sz w:val="18"/>
                <w:szCs w:val="18"/>
                <w:color w:val="0000FF"/>
                <w:w w:val="94"/>
              </w:rPr>
            </w:pPr>
            <w:hyperlink w:anchor="page104">
              <w:r>
                <w:rPr>
                  <w:rFonts w:ascii="Arial" w:cs="Arial" w:eastAsia="Arial" w:hAnsi="Arial"/>
                  <w:sz w:val="18"/>
                  <w:szCs w:val="18"/>
                  <w:color w:val="0000FF"/>
                  <w:w w:val="94"/>
                </w:rPr>
                <w:t>Certification of Principal Executive Officer pursuant to 18 U.S.C. Section 1350, as adopted pursuant to Section 906 of the Sarbanes-</w:t>
              </w:r>
            </w:hyperlink>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w:anchor="page104">
              <w:r>
                <w:rPr>
                  <w:rFonts w:ascii="Arial" w:cs="Arial" w:eastAsia="Arial" w:hAnsi="Arial"/>
                  <w:sz w:val="18"/>
                  <w:szCs w:val="18"/>
                  <w:color w:val="0000FF"/>
                  <w:w w:val="92"/>
                </w:rPr>
                <w:t>Oxley Act of 2002.</w:t>
              </w:r>
            </w:hyperlink>
          </w:p>
        </w:tc>
        <w:tc>
          <w:tcPr>
            <w:tcW w:w="8140" w:type="dxa"/>
            <w:vAlign w:val="bottom"/>
            <w:tcBorders>
              <w:top w:val="single" w:sz="8" w:color="0000FF"/>
            </w:tcBorders>
            <w:gridSpan w:val="17"/>
          </w:tcPr>
          <w:p>
            <w:pPr>
              <w:spacing w:after="0"/>
              <w:rPr>
                <w:sz w:val="17"/>
                <w:szCs w:val="17"/>
                <w:color w:val="auto"/>
              </w:rPr>
            </w:pPr>
          </w:p>
        </w:tc>
        <w:tc>
          <w:tcPr>
            <w:tcW w:w="420" w:type="dxa"/>
            <w:vAlign w:val="bottom"/>
            <w:gridSpan w:val="6"/>
          </w:tcPr>
          <w:p>
            <w:pPr>
              <w:spacing w:after="0"/>
              <w:rPr>
                <w:sz w:val="17"/>
                <w:szCs w:val="17"/>
                <w:color w:val="auto"/>
              </w:rPr>
            </w:pPr>
          </w:p>
        </w:tc>
      </w:tr>
      <w:tr>
        <w:trPr>
          <w:trHeight w:val="371"/>
        </w:trPr>
        <w:tc>
          <w:tcPr>
            <w:tcW w:w="11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105">
              <w:r>
                <w:rPr>
                  <w:rFonts w:ascii="Arial" w:cs="Arial" w:eastAsia="Arial" w:hAnsi="Arial"/>
                  <w:sz w:val="18"/>
                  <w:szCs w:val="18"/>
                  <w:color w:val="0000FF"/>
                  <w:w w:val="90"/>
                </w:rPr>
                <w:t>Certification of Principal Financial Officer pursuant to 18 U.S.C. Section 1350, as adopted pursuant to Section 906 of the Sarbanes-</w:t>
              </w:r>
            </w:hyperlink>
          </w:p>
        </w:tc>
        <w:tc>
          <w:tcPr>
            <w:tcW w:w="46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105">
              <w:r>
                <w:rPr>
                  <w:rFonts w:ascii="Arial" w:cs="Arial" w:eastAsia="Arial" w:hAnsi="Arial"/>
                  <w:sz w:val="18"/>
                  <w:szCs w:val="18"/>
                  <w:color w:val="0000FF"/>
                  <w:w w:val="92"/>
                </w:rPr>
                <w:t>Oxley Act of 2002.</w:t>
              </w:r>
            </w:hyperlink>
          </w:p>
        </w:tc>
        <w:tc>
          <w:tcPr>
            <w:tcW w:w="8560" w:type="dxa"/>
            <w:vAlign w:val="bottom"/>
            <w:gridSpan w:val="23"/>
          </w:tcPr>
          <w:p>
            <w:pPr>
              <w:spacing w:after="0"/>
              <w:rPr>
                <w:sz w:val="17"/>
                <w:szCs w:val="17"/>
                <w:color w:val="auto"/>
              </w:rPr>
            </w:pPr>
          </w:p>
        </w:tc>
      </w:tr>
      <w:tr>
        <w:trPr>
          <w:trHeight w:val="398"/>
        </w:trPr>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101.INS</w:t>
            </w:r>
          </w:p>
        </w:tc>
        <w:tc>
          <w:tcPr>
            <w:tcW w:w="40" w:type="dxa"/>
            <w:vAlign w:val="bottom"/>
          </w:tcPr>
          <w:p>
            <w:pPr>
              <w:spacing w:after="0"/>
              <w:rPr>
                <w:sz w:val="24"/>
                <w:szCs w:val="24"/>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 embedded</w:t>
            </w: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within the Inline XBRL document.</w:t>
            </w:r>
          </w:p>
        </w:tc>
      </w:tr>
      <w:tr>
        <w:trPr>
          <w:trHeight w:val="392"/>
        </w:trPr>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101.SCH</w:t>
            </w:r>
          </w:p>
        </w:tc>
        <w:tc>
          <w:tcPr>
            <w:tcW w:w="40" w:type="dxa"/>
            <w:vAlign w:val="bottom"/>
          </w:tcPr>
          <w:p>
            <w:pPr>
              <w:spacing w:after="0"/>
              <w:rPr>
                <w:sz w:val="24"/>
                <w:szCs w:val="24"/>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1"/>
        </w:trPr>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4"/>
                <w:szCs w:val="24"/>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101.DEF</w:t>
            </w:r>
          </w:p>
        </w:tc>
        <w:tc>
          <w:tcPr>
            <w:tcW w:w="40" w:type="dxa"/>
            <w:vAlign w:val="bottom"/>
          </w:tcPr>
          <w:p>
            <w:pPr>
              <w:spacing w:after="0"/>
              <w:rPr>
                <w:sz w:val="24"/>
                <w:szCs w:val="24"/>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1"/>
        </w:trPr>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4"/>
                <w:szCs w:val="24"/>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1"/>
        </w:trPr>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4"/>
                <w:szCs w:val="24"/>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40" w:lineRule="exact"/>
        <w:rPr>
          <w:sz w:val="20"/>
          <w:szCs w:val="20"/>
          <w:color w:val="auto"/>
        </w:rPr>
      </w:pPr>
    </w:p>
    <w:p>
      <w:pPr>
        <w:ind w:left="1300" w:hanging="783"/>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63" w:lineRule="exact"/>
        <w:rPr>
          <w:sz w:val="20"/>
          <w:szCs w:val="20"/>
          <w:color w:val="auto"/>
        </w:rPr>
      </w:pPr>
    </w:p>
    <w:p>
      <w:pPr>
        <w:ind w:left="1300" w:hanging="829"/>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240"/>
          </w:cols>
          <w:pgMar w:left="320" w:top="517" w:right="3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517" w:right="339" w:bottom="1440" w:gutter="0" w:footer="0" w:header="0"/>
          <w:type w:val="continuous"/>
        </w:sectPr>
      </w:pPr>
    </w:p>
    <w:bookmarkStart w:id="52" w:name="page53"/>
    <w:bookmarkEnd w:id="52"/>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139"/>
          </w:cols>
          <w:pgMar w:left="320" w:top="553" w:right="1440"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40"/>
        <w:spacing w:after="0"/>
        <w:tabs>
          <w:tab w:leader="none" w:pos="6560" w:val="left"/>
        </w:tabs>
        <w:rPr>
          <w:sz w:val="20"/>
          <w:szCs w:val="20"/>
          <w:color w:val="auto"/>
        </w:rPr>
      </w:pPr>
      <w:r>
        <w:rPr>
          <w:rFonts w:ascii="Arial" w:cs="Arial" w:eastAsia="Arial" w:hAnsi="Arial"/>
          <w:sz w:val="18"/>
          <w:szCs w:val="18"/>
          <w:color w:val="auto"/>
        </w:rPr>
        <w:t>Date: March 13, 2020</w:t>
      </w:r>
      <w:r>
        <w:rPr>
          <w:sz w:val="20"/>
          <w:szCs w:val="20"/>
          <w:color w:val="auto"/>
        </w:rPr>
        <w:tab/>
      </w:r>
      <w:r>
        <w:rPr>
          <w:rFonts w:ascii="Arial" w:cs="Arial" w:eastAsia="Arial" w:hAnsi="Arial"/>
          <w:sz w:val="16"/>
          <w:szCs w:val="16"/>
          <w:color w:val="auto"/>
        </w:rPr>
        <w:t>INSEEGO CORP.</w:t>
      </w:r>
    </w:p>
    <w:p>
      <w:pPr>
        <w:spacing w:after="0" w:line="185" w:lineRule="exact"/>
        <w:rPr>
          <w:sz w:val="20"/>
          <w:szCs w:val="20"/>
          <w:color w:val="auto"/>
        </w:rPr>
      </w:pPr>
    </w:p>
    <w:p>
      <w:pPr>
        <w:ind w:left="6580"/>
        <w:spacing w:after="0"/>
        <w:tabs>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520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48"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Dan Mondor</w:t>
      </w:r>
    </w:p>
    <w:p>
      <w:pPr>
        <w:spacing w:after="0" w:line="96"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Chief Executive Officer</w:t>
      </w:r>
    </w:p>
    <w:p>
      <w:pPr>
        <w:spacing w:after="0" w:line="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(Principal Executive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Dan Mondor and Stephen Smith, or either of them, as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w:t>
      </w:r>
    </w:p>
    <w:p>
      <w:pPr>
        <w:spacing w:after="0" w:line="14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200" w:type="dxa"/>
            <w:vAlign w:val="bottom"/>
          </w:tcPr>
          <w:p>
            <w:pPr>
              <w:spacing w:after="0"/>
              <w:rPr>
                <w:sz w:val="14"/>
                <w:szCs w:val="14"/>
                <w:color w:val="auto"/>
              </w:rPr>
            </w:pPr>
          </w:p>
        </w:tc>
        <w:tc>
          <w:tcPr>
            <w:tcW w:w="2320" w:type="dxa"/>
            <w:vAlign w:val="bottom"/>
            <w:gridSpan w:val="3"/>
          </w:tcPr>
          <w:p>
            <w:pPr>
              <w:jc w:val="center"/>
              <w:ind w:left="1073"/>
              <w:spacing w:after="0"/>
              <w:rPr>
                <w:sz w:val="20"/>
                <w:szCs w:val="20"/>
                <w:color w:val="auto"/>
              </w:rPr>
            </w:pPr>
            <w:r>
              <w:rPr>
                <w:rFonts w:ascii="Arial" w:cs="Arial" w:eastAsia="Arial" w:hAnsi="Arial"/>
                <w:sz w:val="14"/>
                <w:szCs w:val="14"/>
                <w:b w:val="1"/>
                <w:bCs w:val="1"/>
                <w:color w:val="auto"/>
                <w:w w:val="92"/>
              </w:rPr>
              <w:t>Date</w:t>
            </w:r>
          </w:p>
        </w:tc>
      </w:tr>
      <w:tr>
        <w:trPr>
          <w:trHeight w:val="249"/>
        </w:trPr>
        <w:tc>
          <w:tcPr>
            <w:tcW w:w="10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3180" w:type="dxa"/>
            <w:vAlign w:val="bottom"/>
          </w:tcPr>
          <w:p>
            <w:pPr>
              <w:ind w:left="1280"/>
              <w:spacing w:after="0"/>
              <w:rPr>
                <w:sz w:val="20"/>
                <w:szCs w:val="20"/>
                <w:color w:val="auto"/>
              </w:rPr>
            </w:pPr>
            <w:r>
              <w:rPr>
                <w:rFonts w:ascii="Arial" w:cs="Arial" w:eastAsia="Arial" w:hAnsi="Arial"/>
                <w:sz w:val="18"/>
                <w:szCs w:val="18"/>
                <w:color w:val="auto"/>
              </w:rPr>
              <w:t>Chief Executive Officer</w:t>
            </w:r>
          </w:p>
        </w:tc>
        <w:tc>
          <w:tcPr>
            <w:tcW w:w="300" w:type="dxa"/>
            <w:vAlign w:val="bottom"/>
            <w:tcBorders>
              <w:top w:val="single" w:sz="8" w:color="auto"/>
            </w:tcBorders>
          </w:tcPr>
          <w:p>
            <w:pPr>
              <w:spacing w:after="0"/>
              <w:rPr>
                <w:sz w:val="21"/>
                <w:szCs w:val="21"/>
                <w:color w:val="auto"/>
              </w:rPr>
            </w:pPr>
          </w:p>
        </w:tc>
        <w:tc>
          <w:tcPr>
            <w:tcW w:w="2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r>
      <w:tr>
        <w:trPr>
          <w:trHeight w:val="230"/>
        </w:trPr>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2"/>
              </w:rPr>
              <w:t>/s/ Dan Mondor</w:t>
            </w:r>
          </w:p>
        </w:tc>
        <w:tc>
          <w:tcPr>
            <w:tcW w:w="5680" w:type="dxa"/>
            <w:vAlign w:val="bottom"/>
            <w:gridSpan w:val="3"/>
          </w:tcPr>
          <w:p>
            <w:pPr>
              <w:ind w:left="1280"/>
              <w:spacing w:after="0"/>
              <w:rPr>
                <w:sz w:val="20"/>
                <w:szCs w:val="20"/>
                <w:color w:val="auto"/>
              </w:rPr>
            </w:pPr>
            <w:r>
              <w:rPr>
                <w:rFonts w:ascii="Arial" w:cs="Arial" w:eastAsia="Arial" w:hAnsi="Arial"/>
                <w:sz w:val="18"/>
                <w:szCs w:val="18"/>
                <w:color w:val="auto"/>
              </w:rPr>
              <w:t>(Principal Executive Officer and Director)</w:t>
            </w:r>
          </w:p>
        </w:tc>
        <w:tc>
          <w:tcPr>
            <w:tcW w:w="2320" w:type="dxa"/>
            <w:vAlign w:val="bottom"/>
            <w:gridSpan w:val="3"/>
          </w:tcPr>
          <w:p>
            <w:pPr>
              <w:jc w:val="center"/>
              <w:ind w:left="1073"/>
              <w:spacing w:after="0"/>
              <w:rPr>
                <w:sz w:val="20"/>
                <w:szCs w:val="20"/>
                <w:color w:val="auto"/>
              </w:rPr>
            </w:pPr>
            <w:r>
              <w:rPr>
                <w:rFonts w:ascii="Arial" w:cs="Arial" w:eastAsia="Arial" w:hAnsi="Arial"/>
                <w:sz w:val="18"/>
                <w:szCs w:val="18"/>
                <w:color w:val="auto"/>
                <w:w w:val="92"/>
              </w:rPr>
              <w:t>March 13, 2020</w:t>
            </w:r>
          </w:p>
        </w:tc>
      </w:tr>
      <w:tr>
        <w:trPr>
          <w:trHeight w:val="27"/>
        </w:trPr>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84"/>
        </w:trPr>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Dan Mondor</w:t>
            </w: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524"/>
        </w:trPr>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80" w:type="dxa"/>
            <w:vAlign w:val="bottom"/>
            <w:gridSpan w:val="3"/>
          </w:tcPr>
          <w:p>
            <w:pPr>
              <w:ind w:left="1280"/>
              <w:spacing w:after="0"/>
              <w:rPr>
                <w:sz w:val="20"/>
                <w:szCs w:val="20"/>
                <w:color w:val="auto"/>
              </w:rPr>
            </w:pPr>
            <w:r>
              <w:rPr>
                <w:rFonts w:ascii="Arial" w:cs="Arial" w:eastAsia="Arial" w:hAnsi="Arial"/>
                <w:sz w:val="18"/>
                <w:szCs w:val="18"/>
                <w:color w:val="auto"/>
              </w:rPr>
              <w:t>Chief Financial Officer</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0"/>
              </w:rPr>
              <w:t>/s/ Stephen Smith</w:t>
            </w:r>
          </w:p>
        </w:tc>
        <w:tc>
          <w:tcPr>
            <w:tcW w:w="5680" w:type="dxa"/>
            <w:vAlign w:val="bottom"/>
            <w:gridSpan w:val="3"/>
          </w:tcPr>
          <w:p>
            <w:pPr>
              <w:ind w:left="1280"/>
              <w:spacing w:after="0"/>
              <w:rPr>
                <w:sz w:val="20"/>
                <w:szCs w:val="20"/>
                <w:color w:val="auto"/>
              </w:rPr>
            </w:pPr>
            <w:r>
              <w:rPr>
                <w:rFonts w:ascii="Arial" w:cs="Arial" w:eastAsia="Arial" w:hAnsi="Arial"/>
                <w:sz w:val="18"/>
                <w:szCs w:val="18"/>
                <w:color w:val="auto"/>
              </w:rPr>
              <w:t>(Principal Financial and Accounting Officer)</w:t>
            </w:r>
          </w:p>
        </w:tc>
        <w:tc>
          <w:tcPr>
            <w:tcW w:w="2320" w:type="dxa"/>
            <w:vAlign w:val="bottom"/>
            <w:gridSpan w:val="3"/>
          </w:tcPr>
          <w:p>
            <w:pPr>
              <w:jc w:val="center"/>
              <w:ind w:left="1073"/>
              <w:spacing w:after="0"/>
              <w:rPr>
                <w:sz w:val="20"/>
                <w:szCs w:val="20"/>
                <w:color w:val="auto"/>
              </w:rPr>
            </w:pPr>
            <w:r>
              <w:rPr>
                <w:rFonts w:ascii="Arial" w:cs="Arial" w:eastAsia="Arial" w:hAnsi="Arial"/>
                <w:sz w:val="18"/>
                <w:szCs w:val="18"/>
                <w:color w:val="auto"/>
                <w:w w:val="92"/>
              </w:rPr>
              <w:t>March 13, 2020</w:t>
            </w:r>
          </w:p>
        </w:tc>
      </w:tr>
      <w:tr>
        <w:trPr>
          <w:trHeight w:val="27"/>
        </w:trPr>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84"/>
        </w:trPr>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Stephen Smith</w:t>
            </w: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539"/>
        </w:trPr>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2"/>
              </w:rPr>
              <w:t>/s/ Chris Harland</w:t>
            </w:r>
          </w:p>
        </w:tc>
        <w:tc>
          <w:tcPr>
            <w:tcW w:w="56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320" w:type="dxa"/>
            <w:vAlign w:val="bottom"/>
            <w:gridSpan w:val="3"/>
          </w:tcPr>
          <w:p>
            <w:pPr>
              <w:jc w:val="center"/>
              <w:ind w:left="1073"/>
              <w:spacing w:after="0"/>
              <w:rPr>
                <w:sz w:val="20"/>
                <w:szCs w:val="20"/>
                <w:color w:val="auto"/>
              </w:rPr>
            </w:pPr>
            <w:r>
              <w:rPr>
                <w:rFonts w:ascii="Arial" w:cs="Arial" w:eastAsia="Arial" w:hAnsi="Arial"/>
                <w:sz w:val="18"/>
                <w:szCs w:val="18"/>
                <w:color w:val="auto"/>
                <w:w w:val="92"/>
              </w:rPr>
              <w:t>March 13, 2020</w:t>
            </w:r>
          </w:p>
        </w:tc>
      </w:tr>
      <w:tr>
        <w:trPr>
          <w:trHeight w:val="27"/>
        </w:trPr>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84"/>
        </w:trPr>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Chris Harland</w:t>
            </w: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538"/>
        </w:trPr>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0"/>
              </w:rPr>
              <w:t>/s/ Jeffrey Tuder</w:t>
            </w:r>
          </w:p>
        </w:tc>
        <w:tc>
          <w:tcPr>
            <w:tcW w:w="56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320" w:type="dxa"/>
            <w:vAlign w:val="bottom"/>
            <w:gridSpan w:val="3"/>
          </w:tcPr>
          <w:p>
            <w:pPr>
              <w:jc w:val="center"/>
              <w:ind w:left="1073"/>
              <w:spacing w:after="0"/>
              <w:rPr>
                <w:sz w:val="20"/>
                <w:szCs w:val="20"/>
                <w:color w:val="auto"/>
              </w:rPr>
            </w:pPr>
            <w:r>
              <w:rPr>
                <w:rFonts w:ascii="Arial" w:cs="Arial" w:eastAsia="Arial" w:hAnsi="Arial"/>
                <w:sz w:val="18"/>
                <w:szCs w:val="18"/>
                <w:color w:val="auto"/>
                <w:w w:val="92"/>
              </w:rPr>
              <w:t>March 13, 2020</w:t>
            </w:r>
          </w:p>
        </w:tc>
      </w:tr>
      <w:tr>
        <w:trPr>
          <w:trHeight w:val="27"/>
        </w:trPr>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84"/>
        </w:trPr>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Jeffrey Tuder</w:t>
            </w: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538"/>
        </w:trPr>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0"/>
              </w:rPr>
              <w:t>/s/ James B. Avery</w:t>
            </w:r>
          </w:p>
        </w:tc>
        <w:tc>
          <w:tcPr>
            <w:tcW w:w="56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320" w:type="dxa"/>
            <w:vAlign w:val="bottom"/>
            <w:gridSpan w:val="3"/>
          </w:tcPr>
          <w:p>
            <w:pPr>
              <w:jc w:val="center"/>
              <w:ind w:left="1073"/>
              <w:spacing w:after="0"/>
              <w:rPr>
                <w:sz w:val="20"/>
                <w:szCs w:val="20"/>
                <w:color w:val="auto"/>
              </w:rPr>
            </w:pPr>
            <w:r>
              <w:rPr>
                <w:rFonts w:ascii="Arial" w:cs="Arial" w:eastAsia="Arial" w:hAnsi="Arial"/>
                <w:sz w:val="18"/>
                <w:szCs w:val="18"/>
                <w:color w:val="auto"/>
                <w:w w:val="92"/>
              </w:rPr>
              <w:t>March 13, 2020</w:t>
            </w:r>
          </w:p>
        </w:tc>
      </w:tr>
      <w:tr>
        <w:trPr>
          <w:trHeight w:val="27"/>
        </w:trPr>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84"/>
        </w:trPr>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James B. Avery</w:t>
            </w: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539"/>
        </w:trPr>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8"/>
              </w:rPr>
              <w:t>/s/ Brian Miller</w:t>
            </w:r>
          </w:p>
        </w:tc>
        <w:tc>
          <w:tcPr>
            <w:tcW w:w="56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320" w:type="dxa"/>
            <w:vAlign w:val="bottom"/>
            <w:gridSpan w:val="3"/>
          </w:tcPr>
          <w:p>
            <w:pPr>
              <w:jc w:val="center"/>
              <w:ind w:left="1073"/>
              <w:spacing w:after="0"/>
              <w:rPr>
                <w:sz w:val="20"/>
                <w:szCs w:val="20"/>
                <w:color w:val="auto"/>
              </w:rPr>
            </w:pPr>
            <w:r>
              <w:rPr>
                <w:rFonts w:ascii="Arial" w:cs="Arial" w:eastAsia="Arial" w:hAnsi="Arial"/>
                <w:sz w:val="18"/>
                <w:szCs w:val="18"/>
                <w:color w:val="auto"/>
                <w:w w:val="92"/>
              </w:rPr>
              <w:t>March 13, 2020</w:t>
            </w:r>
          </w:p>
        </w:tc>
      </w:tr>
      <w:tr>
        <w:trPr>
          <w:trHeight w:val="27"/>
        </w:trPr>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84"/>
        </w:trPr>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Brian Miller</w:t>
            </w: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728"/>
        </w:trPr>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80" w:type="dxa"/>
            <w:vAlign w:val="bottom"/>
          </w:tcPr>
          <w:p>
            <w:pPr>
              <w:ind w:left="284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200"/>
          </w:cols>
          <w:pgMar w:left="320" w:top="337" w:right="37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Report of Independent Registered Public Accounting Firm</w:t>
              </w:r>
            </w:hyperlink>
          </w:p>
        </w:tc>
        <w:tc>
          <w:tcPr>
            <w:tcW w:w="620" w:type="dxa"/>
            <w:vAlign w:val="bottom"/>
            <w:tcBorders>
              <w:bottom w:val="single" w:sz="8" w:color="CCEEFF"/>
            </w:tcBorders>
            <w:shd w:val="clear" w:color="auto" w:fill="CCEEFF"/>
          </w:tcPr>
          <w:p>
            <w:pPr>
              <w:spacing w:after="0"/>
              <w:rPr>
                <w:sz w:val="22"/>
                <w:szCs w:val="22"/>
                <w:color w:val="auto"/>
              </w:rPr>
            </w:pPr>
          </w:p>
        </w:tc>
        <w:tc>
          <w:tcPr>
            <w:tcW w:w="56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F-2</w:t>
              </w:r>
            </w:hyperlink>
          </w:p>
        </w:tc>
        <w:tc>
          <w:tcPr>
            <w:tcW w:w="500" w:type="dxa"/>
            <w:vAlign w:val="bottom"/>
            <w:tcBorders>
              <w:bottom w:val="single" w:sz="8" w:color="CCEEFF"/>
            </w:tcBorders>
            <w:shd w:val="clear" w:color="auto" w:fill="CCEEFF"/>
          </w:tcPr>
          <w:p>
            <w:pPr>
              <w:spacing w:after="0"/>
              <w:rPr>
                <w:sz w:val="22"/>
                <w:szCs w:val="22"/>
                <w:color w:val="auto"/>
              </w:rPr>
            </w:pPr>
          </w:p>
        </w:tc>
      </w:tr>
      <w:tr>
        <w:trPr>
          <w:trHeight w:val="202"/>
        </w:trPr>
        <w:tc>
          <w:tcPr>
            <w:tcW w:w="40" w:type="dxa"/>
            <w:vAlign w:val="bottom"/>
          </w:tcPr>
          <w:p>
            <w:pPr>
              <w:spacing w:after="0"/>
              <w:rPr>
                <w:sz w:val="17"/>
                <w:szCs w:val="17"/>
                <w:color w:val="auto"/>
              </w:rPr>
            </w:pPr>
          </w:p>
        </w:tc>
        <w:tc>
          <w:tcPr>
            <w:tcW w:w="4840" w:type="dxa"/>
            <w:vAlign w:val="bottom"/>
            <w:gridSpan w:val="8"/>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Balance Sheets</w:t>
              </w:r>
            </w:hyperlink>
          </w:p>
        </w:tc>
        <w:tc>
          <w:tcPr>
            <w:tcW w:w="5600" w:type="dxa"/>
            <w:vAlign w:val="bottom"/>
          </w:tcPr>
          <w:p>
            <w:pPr>
              <w:spacing w:after="0"/>
              <w:rPr>
                <w:sz w:val="17"/>
                <w:szCs w:val="17"/>
                <w:color w:val="auto"/>
              </w:rPr>
            </w:pPr>
          </w:p>
        </w:tc>
        <w:tc>
          <w:tcPr>
            <w:tcW w:w="760" w:type="dxa"/>
            <w:vAlign w:val="bottom"/>
            <w:gridSpan w:val="2"/>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F-3</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840" w:type="dxa"/>
            <w:vAlign w:val="bottom"/>
            <w:gridSpan w:val="8"/>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Operations</w:t>
              </w:r>
            </w:hyperlink>
          </w:p>
        </w:tc>
        <w:tc>
          <w:tcPr>
            <w:tcW w:w="56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F-4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5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840" w:type="dxa"/>
            <w:vAlign w:val="bottom"/>
            <w:gridSpan w:val="8"/>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Comprehensive Loss</w:t>
              </w:r>
            </w:hyperlink>
          </w:p>
        </w:tc>
        <w:tc>
          <w:tcPr>
            <w:tcW w:w="5600" w:type="dxa"/>
            <w:vAlign w:val="bottom"/>
          </w:tcPr>
          <w:p>
            <w:pPr>
              <w:spacing w:after="0"/>
              <w:rPr>
                <w:sz w:val="17"/>
                <w:szCs w:val="17"/>
                <w:color w:val="auto"/>
              </w:rPr>
            </w:pPr>
          </w:p>
        </w:tc>
        <w:tc>
          <w:tcPr>
            <w:tcW w:w="760" w:type="dxa"/>
            <w:vAlign w:val="bottom"/>
            <w:gridSpan w:val="2"/>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F-5</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840" w:type="dxa"/>
            <w:vAlign w:val="bottom"/>
            <w:gridSpan w:val="8"/>
            <w:shd w:val="clear" w:color="auto" w:fill="CCEEFF"/>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Stockholders’ Deficit</w:t>
              </w:r>
            </w:hyperlink>
          </w:p>
        </w:tc>
        <w:tc>
          <w:tcPr>
            <w:tcW w:w="56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F-6</w:t>
              </w:r>
            </w:hyperlink>
          </w:p>
        </w:tc>
      </w:tr>
      <w:tr>
        <w:trPr>
          <w:trHeight w:val="203"/>
        </w:trPr>
        <w:tc>
          <w:tcPr>
            <w:tcW w:w="40" w:type="dxa"/>
            <w:vAlign w:val="bottom"/>
            <w:tcBorders>
              <w:top w:val="single" w:sz="8" w:color="CCEEFF"/>
            </w:tcBorders>
          </w:tcPr>
          <w:p>
            <w:pPr>
              <w:spacing w:after="0"/>
              <w:rPr>
                <w:sz w:val="17"/>
                <w:szCs w:val="17"/>
                <w:color w:val="auto"/>
              </w:rPr>
            </w:pPr>
          </w:p>
        </w:tc>
        <w:tc>
          <w:tcPr>
            <w:tcW w:w="3560" w:type="dxa"/>
            <w:vAlign w:val="bottom"/>
            <w:tcBorders>
              <w:top w:val="single" w:sz="8" w:color="0000EE"/>
            </w:tcBorders>
            <w:gridSpan w:val="6"/>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Cash Flows</w:t>
              </w:r>
            </w:hyperlink>
          </w:p>
        </w:tc>
        <w:tc>
          <w:tcPr>
            <w:tcW w:w="1280" w:type="dxa"/>
            <w:vAlign w:val="bottom"/>
            <w:tcBorders>
              <w:top w:val="single" w:sz="8" w:color="CCEEFF"/>
            </w:tcBorders>
            <w:gridSpan w:val="2"/>
          </w:tcPr>
          <w:p>
            <w:pPr>
              <w:spacing w:after="0"/>
              <w:rPr>
                <w:sz w:val="17"/>
                <w:szCs w:val="17"/>
                <w:color w:val="auto"/>
              </w:rPr>
            </w:pPr>
          </w:p>
        </w:tc>
        <w:tc>
          <w:tcPr>
            <w:tcW w:w="5600" w:type="dxa"/>
            <w:vAlign w:val="bottom"/>
            <w:tcBorders>
              <w:top w:val="single" w:sz="8" w:color="CCEEFF"/>
            </w:tcBorders>
          </w:tcPr>
          <w:p>
            <w:pPr>
              <w:spacing w:after="0"/>
              <w:rPr>
                <w:sz w:val="17"/>
                <w:szCs w:val="17"/>
                <w:color w:val="auto"/>
              </w:rPr>
            </w:pPr>
          </w:p>
        </w:tc>
        <w:tc>
          <w:tcPr>
            <w:tcW w:w="260" w:type="dxa"/>
            <w:vAlign w:val="bottom"/>
            <w:tcBorders>
              <w:top w:val="single" w:sz="8" w:color="0000EE"/>
            </w:tcBorders>
          </w:tcPr>
          <w:p>
            <w:pPr>
              <w:spacing w:after="0" w:line="202"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F-7</w:t>
              </w:r>
            </w:hyperlink>
          </w:p>
        </w:tc>
        <w:tc>
          <w:tcPr>
            <w:tcW w:w="50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840" w:type="dxa"/>
            <w:vAlign w:val="bottom"/>
            <w:gridSpan w:val="8"/>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Notes to Consolidated Financial Statements</w:t>
              </w:r>
            </w:hyperlink>
          </w:p>
        </w:tc>
        <w:tc>
          <w:tcPr>
            <w:tcW w:w="56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F-8</w:t>
              </w:r>
            </w:hyperlink>
          </w:p>
        </w:tc>
      </w:tr>
      <w:tr>
        <w:trPr>
          <w:trHeight w:val="432"/>
        </w:trPr>
        <w:tc>
          <w:tcPr>
            <w:tcW w:w="40" w:type="dxa"/>
            <w:vAlign w:val="bottom"/>
            <w:tcBorders>
              <w:top w:val="single" w:sz="8" w:color="CCEEFF"/>
            </w:tcBorders>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5600" w:type="dxa"/>
            <w:vAlign w:val="bottom"/>
            <w:tcBorders>
              <w:top w:val="single" w:sz="8" w:color="CCEEFF"/>
            </w:tcBorders>
          </w:tcPr>
          <w:p>
            <w:pPr>
              <w:ind w:left="620"/>
              <w:spacing w:after="0"/>
              <w:rPr>
                <w:sz w:val="20"/>
                <w:szCs w:val="20"/>
                <w:color w:val="auto"/>
              </w:rPr>
            </w:pPr>
            <w:r>
              <w:rPr>
                <w:rFonts w:ascii="Arial" w:cs="Arial" w:eastAsia="Arial" w:hAnsi="Arial"/>
                <w:sz w:val="18"/>
                <w:szCs w:val="18"/>
                <w:color w:val="auto"/>
              </w:rPr>
              <w:t>F-1</w:t>
            </w: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5" w:name="page56"/>
    <w:bookmarkEnd w:id="55"/>
    <w:p>
      <w:pPr>
        <w:ind w:left="2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Inseego Corp.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8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Inseego Corp. (the “Company”) as of December 31, 2019 and 2018, the related consolidated statements of operations, comprehensive loss,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 - Integrated Framework issued by the Committee of Sponsoring Organizations of the Treadway Commission (COSO) in 2013 and our report dated March 13, 2020</w:t>
      </w:r>
      <w:r>
        <w:rPr>
          <w:rFonts w:ascii="Arial" w:cs="Arial" w:eastAsia="Arial" w:hAnsi="Arial"/>
          <w:sz w:val="18"/>
          <w:szCs w:val="18"/>
          <w:i w:val="1"/>
          <w:iCs w:val="1"/>
          <w:color w:val="auto"/>
        </w:rPr>
        <w:t>,</w:t>
      </w:r>
      <w:r>
        <w:rPr>
          <w:rFonts w:ascii="Arial" w:cs="Arial" w:eastAsia="Arial" w:hAnsi="Arial"/>
          <w:sz w:val="18"/>
          <w:szCs w:val="18"/>
          <w:color w:val="auto"/>
        </w:rPr>
        <w:t xml:space="preserve"> expressed an unqualified opinion on the effectiveness of the Company’s internal control over financial reporting.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Marcum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333"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220" w:type="dxa"/>
            <w:vAlign w:val="bottom"/>
            <w:vMerge w:val="restart"/>
          </w:tcPr>
          <w:p>
            <w:pPr>
              <w:ind w:left="3820"/>
              <w:spacing w:after="0"/>
              <w:rPr>
                <w:sz w:val="20"/>
                <w:szCs w:val="20"/>
                <w:color w:val="auto"/>
              </w:rPr>
            </w:pPr>
            <w:r>
              <w:rPr>
                <w:rFonts w:ascii="Arial" w:cs="Arial" w:eastAsia="Arial" w:hAnsi="Arial"/>
                <w:sz w:val="16"/>
                <w:szCs w:val="16"/>
                <w:b w:val="1"/>
                <w:bCs w:val="1"/>
                <w:color w:val="auto"/>
              </w:rPr>
              <w:t>ASSETS</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2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2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12,074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31,015</w:t>
            </w:r>
          </w:p>
        </w:tc>
        <w:tc>
          <w:tcPr>
            <w:tcW w:w="0" w:type="dxa"/>
            <w:vAlign w:val="bottom"/>
          </w:tcPr>
          <w:p>
            <w:pPr>
              <w:spacing w:after="0"/>
              <w:rPr>
                <w:sz w:val="1"/>
                <w:szCs w:val="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9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 for doubtful accounts of $2,133 and $1,841, respectively</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19,656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20,633</w:t>
            </w:r>
          </w:p>
        </w:tc>
        <w:tc>
          <w:tcPr>
            <w:tcW w:w="0" w:type="dxa"/>
            <w:vAlign w:val="bottom"/>
          </w:tcPr>
          <w:p>
            <w:pPr>
              <w:spacing w:after="0"/>
              <w:rPr>
                <w:sz w:val="1"/>
                <w:szCs w:val="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25,290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26,431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6,212</w:t>
            </w:r>
          </w:p>
        </w:tc>
        <w:tc>
          <w:tcPr>
            <w:tcW w:w="0" w:type="dxa"/>
            <w:vAlign w:val="bottom"/>
          </w:tcPr>
          <w:p>
            <w:pPr>
              <w:spacing w:after="0"/>
              <w:rPr>
                <w:sz w:val="1"/>
                <w:szCs w:val="1"/>
                <w:color w:val="auto"/>
              </w:rPr>
            </w:pPr>
          </w:p>
        </w:tc>
      </w:tr>
      <w:tr>
        <w:trPr>
          <w:trHeight w:val="217"/>
        </w:trPr>
        <w:tc>
          <w:tcPr>
            <w:tcW w:w="82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64,137</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84,352</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10,756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6,698</w:t>
            </w:r>
          </w:p>
        </w:tc>
        <w:tc>
          <w:tcPr>
            <w:tcW w:w="0" w:type="dxa"/>
            <w:vAlign w:val="bottom"/>
          </w:tcPr>
          <w:p>
            <w:pPr>
              <w:spacing w:after="0"/>
              <w:rPr>
                <w:sz w:val="1"/>
                <w:szCs w:val="1"/>
                <w:color w:val="auto"/>
              </w:rPr>
            </w:pPr>
          </w:p>
        </w:tc>
      </w:tr>
      <w:tr>
        <w:trPr>
          <w:trHeight w:val="33"/>
        </w:trPr>
        <w:tc>
          <w:tcPr>
            <w:tcW w:w="8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ectPr>
          <w:pgSz w:w="11900" w:h="16838" w:orient="portrait"/>
          <w:cols w:equalWidth="0" w:num="1">
            <w:col w:w="11240"/>
          </w:cols>
          <w:pgMar w:left="320" w:top="337" w:right="339" w:bottom="1440" w:gutter="0" w:footer="0" w:header="0"/>
        </w:sectPr>
      </w:pPr>
    </w:p>
    <w:p>
      <w:pPr>
        <w:ind w:left="40"/>
        <w:spacing w:after="0"/>
        <w:rPr>
          <w:sz w:val="20"/>
          <w:szCs w:val="20"/>
          <w:color w:val="auto"/>
        </w:rPr>
      </w:pPr>
      <w:r>
        <w:rPr>
          <w:rFonts w:ascii="Arial" w:cs="Arial" w:eastAsia="Arial" w:hAnsi="Arial"/>
          <w:sz w:val="16"/>
          <w:szCs w:val="16"/>
          <w:color w:val="auto"/>
        </w:rPr>
        <w:t>Rental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Right-of-use assets,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880" w:type="dxa"/>
        <w:tblCellMar>
          <w:top w:w="0" w:type="dxa"/>
          <w:left w:w="0" w:type="dxa"/>
          <w:bottom w:w="0" w:type="dxa"/>
          <w:right w:w="0" w:type="dxa"/>
        </w:tblCellMar>
      </w:tblPr>
      <w:tr>
        <w:trPr>
          <w:trHeight w:val="206"/>
        </w:trPr>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5,385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5,769</w:t>
            </w:r>
          </w:p>
        </w:tc>
      </w:tr>
      <w:tr>
        <w:trPr>
          <w:trHeight w:val="270"/>
        </w:trPr>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44,392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31,985</w:t>
            </w:r>
          </w:p>
        </w:tc>
      </w:tr>
      <w:tr>
        <w:trPr>
          <w:trHeight w:val="270"/>
        </w:trPr>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33,659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32,942</w:t>
            </w:r>
          </w:p>
        </w:tc>
      </w:tr>
      <w:tr>
        <w:trPr>
          <w:trHeight w:val="270"/>
        </w:trPr>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2,657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510</w:t>
            </w:r>
          </w:p>
        </w:tc>
      </w:tr>
      <w:tr>
        <w:trPr>
          <w:trHeight w:val="33"/>
        </w:trPr>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161,373</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162,256</w:t>
            </w:r>
          </w:p>
        </w:tc>
      </w:tr>
      <w:tr>
        <w:trPr>
          <w:trHeight w:val="33"/>
        </w:trPr>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-882650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-539750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-196850</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37465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1620" w:space="720"/>
            <w:col w:w="8900"/>
          </w:cols>
          <w:pgMar w:left="320" w:top="337"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4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26,482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39,245</w:t>
            </w:r>
          </w:p>
        </w:tc>
      </w:tr>
      <w:tr>
        <w:trPr>
          <w:trHeight w:val="33"/>
        </w:trPr>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13,024</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DigiCore bank facilities</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1,412</w:t>
            </w:r>
          </w:p>
        </w:tc>
      </w:tr>
      <w:tr>
        <w:trPr>
          <w:trHeight w:val="33"/>
        </w:trPr>
        <w:tc>
          <w:tcPr>
            <w:tcW w:w="8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53,681</w:t>
            </w:r>
          </w:p>
        </w:tc>
      </w:tr>
      <w:tr>
        <w:trPr>
          <w:trHeight w:val="230"/>
        </w:trPr>
        <w:tc>
          <w:tcPr>
            <w:tcW w:w="822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Convertible senior notes, net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101,334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93,054</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Term loan, net</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46,538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45,046</w:t>
            </w:r>
          </w:p>
        </w:tc>
      </w:tr>
      <w:tr>
        <w:trPr>
          <w:trHeight w:val="33"/>
        </w:trPr>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 liabilities, net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4,457</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Other long-term liabilities</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2,380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2,543</w:t>
            </w:r>
          </w:p>
        </w:tc>
      </w:tr>
      <w:tr>
        <w:trPr>
          <w:trHeight w:val="33"/>
        </w:trPr>
        <w:tc>
          <w:tcPr>
            <w:tcW w:w="8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198,731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198,781</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33"/>
        </w:trPr>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deficit: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Preferred stock, par value $0.001; 2,000,000 shares authorized:</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822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3"/>
              </w:rPr>
              <w:t>Series E Preferred stock, par value $0.001; 10,000 shares designated, 10,000 and 0 shares issued and outstanding,</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8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respectively, liquidation preference of $1,000 per share</w:t>
            </w:r>
          </w:p>
        </w:tc>
        <w:tc>
          <w:tcPr>
            <w:tcW w:w="4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220" w:type="dxa"/>
            <w:vAlign w:val="bottom"/>
          </w:tcPr>
          <w:p>
            <w:pPr>
              <w:ind w:left="280"/>
              <w:spacing w:after="0"/>
              <w:rPr>
                <w:sz w:val="20"/>
                <w:szCs w:val="20"/>
                <w:color w:val="auto"/>
              </w:rPr>
            </w:pPr>
            <w:r>
              <w:rPr>
                <w:rFonts w:ascii="Arial" w:cs="Arial" w:eastAsia="Arial" w:hAnsi="Arial"/>
                <w:sz w:val="16"/>
                <w:szCs w:val="16"/>
                <w:color w:val="auto"/>
                <w:w w:val="98"/>
              </w:rPr>
              <w:t>Common stock, par value $0.001; 150,000,000 shares authorized, 81,974,051 and 73,979,882 shares issued and</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8220" w:type="dxa"/>
            <w:vAlign w:val="bottom"/>
          </w:tcPr>
          <w:p>
            <w:pPr>
              <w:ind w:left="600"/>
              <w:spacing w:after="0"/>
              <w:rPr>
                <w:sz w:val="20"/>
                <w:szCs w:val="20"/>
                <w:color w:val="auto"/>
              </w:rPr>
            </w:pPr>
            <w:r>
              <w:rPr>
                <w:rFonts w:ascii="Arial" w:cs="Arial" w:eastAsia="Arial" w:hAnsi="Arial"/>
                <w:sz w:val="16"/>
                <w:szCs w:val="16"/>
                <w:color w:val="auto"/>
              </w:rPr>
              <w:t>outstanding, respectively</w:t>
            </w:r>
          </w:p>
        </w:tc>
        <w:tc>
          <w:tcPr>
            <w:tcW w:w="4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584,862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546,230</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(4,877)</w:t>
            </w:r>
          </w:p>
        </w:tc>
      </w:tr>
      <w:tr>
        <w:trPr>
          <w:trHeight w:val="33"/>
        </w:trPr>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(618,303)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(577,817)</w:t>
            </w:r>
          </w:p>
        </w:tc>
      </w:tr>
      <w:tr>
        <w:trPr>
          <w:trHeight w:val="217"/>
        </w:trPr>
        <w:tc>
          <w:tcPr>
            <w:tcW w:w="8220" w:type="dxa"/>
            <w:vAlign w:val="bottom"/>
          </w:tcPr>
          <w:p>
            <w:pPr>
              <w:ind w:left="720"/>
              <w:spacing w:after="0"/>
              <w:rPr>
                <w:sz w:val="20"/>
                <w:szCs w:val="20"/>
                <w:color w:val="auto"/>
              </w:rPr>
            </w:pPr>
            <w:r>
              <w:rPr>
                <w:rFonts w:ascii="Arial" w:cs="Arial" w:eastAsia="Arial" w:hAnsi="Arial"/>
                <w:sz w:val="16"/>
                <w:szCs w:val="16"/>
                <w:color w:val="auto"/>
              </w:rPr>
              <w:t>Total stockholders’ deficit attributable to Inseego Corp.</w:t>
            </w: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(37,238)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(36,390)</w:t>
            </w:r>
          </w:p>
        </w:tc>
      </w:tr>
      <w:tr>
        <w:trPr>
          <w:trHeight w:val="33"/>
        </w:trPr>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7"/>
        </w:trPr>
        <w:tc>
          <w:tcPr>
            <w:tcW w:w="8220" w:type="dxa"/>
            <w:vAlign w:val="bottom"/>
          </w:tcPr>
          <w:p>
            <w:pPr>
              <w:ind w:left="720"/>
              <w:spacing w:after="0"/>
              <w:rPr>
                <w:sz w:val="20"/>
                <w:szCs w:val="20"/>
                <w:color w:val="auto"/>
              </w:rPr>
            </w:pPr>
            <w:r>
              <w:rPr>
                <w:rFonts w:ascii="Arial" w:cs="Arial" w:eastAsia="Arial" w:hAnsi="Arial"/>
                <w:sz w:val="16"/>
                <w:szCs w:val="16"/>
                <w:color w:val="auto"/>
              </w:rPr>
              <w:t>Total stockholders’ deficit</w:t>
            </w: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(37,358)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(36,525)</w:t>
            </w:r>
          </w:p>
        </w:tc>
      </w:tr>
      <w:tr>
        <w:trPr>
          <w:trHeight w:val="33"/>
        </w:trPr>
        <w:tc>
          <w:tcPr>
            <w:tcW w:w="8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liabilities and stockholders’ deficit</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161,373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162,256</w:t>
            </w:r>
          </w:p>
        </w:tc>
      </w:tr>
      <w:tr>
        <w:trPr>
          <w:trHeight w:val="20"/>
        </w:trPr>
        <w:tc>
          <w:tcPr>
            <w:tcW w:w="8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337" w:right="3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3"/>
        </w:trPr>
        <w:tc>
          <w:tcPr>
            <w:tcW w:w="8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135,349</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65,329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67,114</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219,496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202,463</w:t>
            </w:r>
          </w:p>
        </w:tc>
        <w:tc>
          <w:tcPr>
            <w:tcW w:w="0" w:type="dxa"/>
            <w:vAlign w:val="bottom"/>
          </w:tcPr>
          <w:p>
            <w:pPr>
              <w:spacing w:after="0"/>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129,957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105,344</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25,568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26,167</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7"/>
        </w:trPr>
        <w:tc>
          <w:tcPr>
            <w:tcW w:w="8660" w:type="dxa"/>
            <w:vAlign w:val="bottom"/>
          </w:tcPr>
          <w:p>
            <w:pPr>
              <w:ind w:left="500"/>
              <w:spacing w:after="0"/>
              <w:rPr>
                <w:sz w:val="20"/>
                <w:szCs w:val="20"/>
                <w:color w:val="auto"/>
              </w:rPr>
            </w:pPr>
            <w:r>
              <w:rPr>
                <w:rFonts w:ascii="Arial" w:cs="Arial" w:eastAsia="Arial" w:hAnsi="Arial"/>
                <w:sz w:val="16"/>
                <w:szCs w:val="16"/>
                <w:color w:val="auto"/>
              </w:rPr>
              <w:t>Total cost of net revenues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155,525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131,866</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70,597</w:t>
            </w:r>
          </w:p>
        </w:tc>
        <w:tc>
          <w:tcPr>
            <w:tcW w:w="0" w:type="dxa"/>
            <w:vAlign w:val="bottom"/>
          </w:tcPr>
          <w:p>
            <w:pPr>
              <w:spacing w:after="0"/>
              <w:rPr>
                <w:sz w:val="1"/>
                <w:szCs w:val="1"/>
                <w:color w:val="auto"/>
              </w:rPr>
            </w:pPr>
          </w:p>
        </w:tc>
      </w:tr>
      <w:tr>
        <w:trPr>
          <w:trHeight w:val="231"/>
        </w:trPr>
        <w:tc>
          <w:tcPr>
            <w:tcW w:w="866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20,593</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28,914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23,027</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25,325</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3,624</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Extinguishment of acquisition-related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(17,174)</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56,586</w:t>
            </w:r>
          </w:p>
        </w:tc>
        <w:tc>
          <w:tcPr>
            <w:tcW w:w="0" w:type="dxa"/>
            <w:vAlign w:val="bottom"/>
          </w:tcPr>
          <w:p>
            <w:pPr>
              <w:spacing w:after="0"/>
              <w:rPr>
                <w:sz w:val="1"/>
                <w:szCs w:val="1"/>
                <w:color w:val="auto"/>
              </w:rPr>
            </w:pP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(19,544)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14,011</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(20,444)</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(39,574)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(7,328)</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(40,110)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(8,143)</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Net loss attributable to Inseego Corp.</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(40,125)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(8,058)</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Series E preferred stock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common stockholders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(40,486)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(8,058)</w:t>
            </w: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share data:</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Net loss per common share: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78,322,496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66,104,376</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33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6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(40,110)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(8,143)</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Pr>
          <w:p>
            <w:pPr>
              <w:spacing w:after="0"/>
              <w:rPr>
                <w:sz w:val="20"/>
                <w:szCs w:val="20"/>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(9,481)</w:t>
            </w: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(17,624)</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337"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1620" w:type="dxa"/>
            <w:vAlign w:val="bottom"/>
            <w:gridSpan w:val="5"/>
            <w:vMerge w:val="restart"/>
          </w:tcPr>
          <w:p>
            <w:pPr>
              <w:ind w:left="340"/>
              <w:spacing w:after="0"/>
              <w:rPr>
                <w:sz w:val="20"/>
                <w:szCs w:val="20"/>
                <w:color w:val="auto"/>
              </w:rPr>
            </w:pPr>
            <w:r>
              <w:rPr>
                <w:rFonts w:ascii="Arial" w:cs="Arial" w:eastAsia="Arial" w:hAnsi="Arial"/>
                <w:sz w:val="13"/>
                <w:szCs w:val="13"/>
                <w:b w:val="1"/>
                <w:bCs w:val="1"/>
                <w:color w:val="auto"/>
              </w:rPr>
              <w:t>Preferred Stock</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0"/>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25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9"/>
                <w:szCs w:val="9"/>
                <w:color w:val="auto"/>
              </w:rPr>
            </w:pPr>
          </w:p>
        </w:tc>
        <w:tc>
          <w:tcPr>
            <w:tcW w:w="9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118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1"/>
              </w:rPr>
              <w:t>Comprehensive</w:t>
            </w:r>
          </w:p>
        </w:tc>
        <w:tc>
          <w:tcPr>
            <w:tcW w:w="140" w:type="dxa"/>
            <w:vAlign w:val="bottom"/>
          </w:tcPr>
          <w:p>
            <w:pPr>
              <w:spacing w:after="0"/>
              <w:rPr>
                <w:sz w:val="9"/>
                <w:szCs w:val="9"/>
                <w:color w:val="auto"/>
              </w:rPr>
            </w:pPr>
          </w:p>
        </w:tc>
        <w:tc>
          <w:tcPr>
            <w:tcW w:w="10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9"/>
                <w:szCs w:val="9"/>
                <w:color w:val="auto"/>
              </w:rPr>
            </w:pPr>
          </w:p>
        </w:tc>
        <w:tc>
          <w:tcPr>
            <w:tcW w:w="880" w:type="dxa"/>
            <w:vAlign w:val="bottom"/>
          </w:tcPr>
          <w:p>
            <w:pPr>
              <w:jc w:val="center"/>
              <w:ind w:right="50"/>
              <w:spacing w:after="0" w:line="110" w:lineRule="exact"/>
              <w:rPr>
                <w:sz w:val="20"/>
                <w:szCs w:val="20"/>
                <w:color w:val="auto"/>
              </w:rPr>
            </w:pPr>
            <w:r>
              <w:rPr>
                <w:rFonts w:ascii="Arial" w:cs="Arial" w:eastAsia="Arial" w:hAnsi="Arial"/>
                <w:sz w:val="12"/>
                <w:szCs w:val="12"/>
                <w:b w:val="1"/>
                <w:bCs w:val="1"/>
                <w:color w:val="auto"/>
                <w:w w:val="95"/>
              </w:rPr>
              <w:t>Stockholders’</w:t>
            </w:r>
          </w:p>
        </w:tc>
        <w:tc>
          <w:tcPr>
            <w:tcW w:w="0" w:type="dxa"/>
            <w:vAlign w:val="bottom"/>
          </w:tcPr>
          <w:p>
            <w:pPr>
              <w:spacing w:after="0"/>
              <w:rPr>
                <w:sz w:val="1"/>
                <w:szCs w:val="1"/>
                <w:color w:val="auto"/>
              </w:rPr>
            </w:pPr>
          </w:p>
        </w:tc>
      </w:tr>
      <w:tr>
        <w:trPr>
          <w:trHeight w:val="174"/>
        </w:trPr>
        <w:tc>
          <w:tcPr>
            <w:tcW w:w="25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2017</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58,645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519,531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(569,759)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(45,615)</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(8,143)</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Foreign currency translation adjustment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(9,481)</w:t>
            </w:r>
          </w:p>
        </w:tc>
        <w:tc>
          <w:tcPr>
            <w:tcW w:w="0" w:type="dxa"/>
            <w:vAlign w:val="bottom"/>
          </w:tcPr>
          <w:p>
            <w:pPr>
              <w:spacing w:after="0"/>
              <w:rPr>
                <w:sz w:val="1"/>
                <w:szCs w:val="1"/>
                <w:color w:val="auto"/>
              </w:rPr>
            </w:pPr>
          </w:p>
        </w:tc>
      </w:tr>
      <w:tr>
        <w:trPr>
          <w:trHeight w:val="157"/>
        </w:trPr>
        <w:tc>
          <w:tcPr>
            <w:tcW w:w="2500" w:type="dxa"/>
            <w:vAlign w:val="bottom"/>
          </w:tcPr>
          <w:p>
            <w:pPr>
              <w:ind w:left="40"/>
              <w:spacing w:after="0" w:line="157" w:lineRule="exact"/>
              <w:rPr>
                <w:sz w:val="20"/>
                <w:szCs w:val="20"/>
                <w:color w:val="auto"/>
              </w:rPr>
            </w:pPr>
            <w:r>
              <w:rPr>
                <w:rFonts w:ascii="Arial" w:cs="Arial" w:eastAsia="Arial" w:hAnsi="Arial"/>
                <w:sz w:val="14"/>
                <w:szCs w:val="14"/>
                <w:color w:val="auto"/>
              </w:rPr>
              <w:t>Exercise of stock options, vesting of</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200"/>
              <w:spacing w:after="0" w:line="149" w:lineRule="exact"/>
              <w:rPr>
                <w:sz w:val="20"/>
                <w:szCs w:val="20"/>
                <w:color w:val="auto"/>
              </w:rPr>
            </w:pPr>
            <w:r>
              <w:rPr>
                <w:rFonts w:ascii="Arial" w:cs="Arial" w:eastAsia="Arial" w:hAnsi="Arial"/>
                <w:sz w:val="14"/>
                <w:szCs w:val="14"/>
                <w:color w:val="auto"/>
                <w:w w:val="96"/>
              </w:rPr>
              <w:t>restricted stock units and stock issued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200"/>
              <w:spacing w:after="0"/>
              <w:rPr>
                <w:sz w:val="20"/>
                <w:szCs w:val="20"/>
                <w:color w:val="auto"/>
              </w:rPr>
            </w:pPr>
            <w:r>
              <w:rPr>
                <w:rFonts w:ascii="Arial" w:cs="Arial" w:eastAsia="Arial" w:hAnsi="Arial"/>
                <w:sz w:val="14"/>
                <w:szCs w:val="14"/>
                <w:color w:val="auto"/>
                <w:w w:val="99"/>
              </w:rPr>
              <w:t>under employee stock purchase plan</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2,645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2,405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Taxes withheld on net settled vesting of</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 units</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Issuance of common shares</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12,690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20,074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20,086</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4,876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4,876</w:t>
            </w:r>
          </w:p>
        </w:tc>
        <w:tc>
          <w:tcPr>
            <w:tcW w:w="0" w:type="dxa"/>
            <w:vAlign w:val="bottom"/>
          </w:tcPr>
          <w:p>
            <w:pPr>
              <w:spacing w:after="0"/>
              <w:rPr>
                <w:sz w:val="1"/>
                <w:szCs w:val="1"/>
                <w:color w:val="auto"/>
              </w:rPr>
            </w:pPr>
          </w:p>
        </w:tc>
      </w:tr>
      <w:tr>
        <w:trPr>
          <w:trHeight w:val="250"/>
        </w:trPr>
        <w:tc>
          <w:tcPr>
            <w:tcW w:w="2500" w:type="dxa"/>
            <w:vAlign w:val="bottom"/>
          </w:tcPr>
          <w:p>
            <w:pPr>
              <w:ind w:left="40"/>
              <w:spacing w:after="0"/>
              <w:rPr>
                <w:sz w:val="20"/>
                <w:szCs w:val="20"/>
                <w:color w:val="auto"/>
              </w:rPr>
            </w:pPr>
            <w:r>
              <w:rPr>
                <w:rFonts w:ascii="Arial" w:cs="Arial" w:eastAsia="Arial" w:hAnsi="Arial"/>
                <w:sz w:val="14"/>
                <w:szCs w:val="14"/>
                <w:color w:val="auto"/>
              </w:rPr>
              <w:t>Balance, December 31, 2018</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73,980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546,230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(577,817)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(36,525)</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(40,110)</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w w:val="99"/>
              </w:rPr>
              <w:t>Foreign currency translation adjustment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 vesting of</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restricted stock units and stock issued</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9"/>
              </w:rPr>
              <w:t>under employee stock purchase plan</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3,265</w:t>
            </w:r>
          </w:p>
        </w:tc>
        <w:tc>
          <w:tcPr>
            <w:tcW w:w="0" w:type="dxa"/>
            <w:vAlign w:val="bottom"/>
          </w:tcPr>
          <w:p>
            <w:pPr>
              <w:spacing w:after="0"/>
              <w:rPr>
                <w:sz w:val="1"/>
                <w:szCs w:val="1"/>
                <w:color w:val="auto"/>
              </w:rPr>
            </w:pPr>
          </w:p>
        </w:tc>
      </w:tr>
      <w:tr>
        <w:trPr>
          <w:trHeight w:val="157"/>
        </w:trPr>
        <w:tc>
          <w:tcPr>
            <w:tcW w:w="2500" w:type="dxa"/>
            <w:vAlign w:val="bottom"/>
          </w:tcPr>
          <w:p>
            <w:pPr>
              <w:ind w:left="40"/>
              <w:spacing w:after="0" w:line="157" w:lineRule="exact"/>
              <w:rPr>
                <w:sz w:val="20"/>
                <w:szCs w:val="20"/>
                <w:color w:val="auto"/>
              </w:rPr>
            </w:pPr>
            <w:r>
              <w:rPr>
                <w:rFonts w:ascii="Arial" w:cs="Arial" w:eastAsia="Arial" w:hAnsi="Arial"/>
                <w:sz w:val="14"/>
                <w:szCs w:val="14"/>
                <w:color w:val="auto"/>
                <w:w w:val="99"/>
              </w:rPr>
              <w:t>Taxes withheld on net settled vesting of</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200"/>
              <w:spacing w:after="0"/>
              <w:rPr>
                <w:sz w:val="20"/>
                <w:szCs w:val="20"/>
                <w:color w:val="auto"/>
              </w:rPr>
            </w:pPr>
            <w:r>
              <w:rPr>
                <w:rFonts w:ascii="Arial" w:cs="Arial" w:eastAsia="Arial" w:hAnsi="Arial"/>
                <w:sz w:val="14"/>
                <w:szCs w:val="14"/>
                <w:color w:val="auto"/>
              </w:rPr>
              <w:t>restricted stock units</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Series E preferred shares</w:t>
            </w:r>
          </w:p>
        </w:tc>
        <w:tc>
          <w:tcPr>
            <w:tcW w:w="6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Issuance of common shares</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warrants</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17,536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17,542</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7,302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7,302</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Series E preferred stock dividends</w:t>
            </w: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4"/>
                <w:szCs w:val="14"/>
                <w:color w:val="auto"/>
              </w:rPr>
              <w:t>Balance, December 31, 2019</w:t>
            </w:r>
          </w:p>
        </w:tc>
        <w:tc>
          <w:tcPr>
            <w:tcW w:w="680" w:type="dxa"/>
            <w:vAlign w:val="bottom"/>
          </w:tcPr>
          <w:p>
            <w:pPr>
              <w:ind w:left="42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81,974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584,862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(618,303)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(3,879)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(37,358)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823"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INSEEGO CORP.</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79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7"/>
        </w:trPr>
        <w:tc>
          <w:tcPr>
            <w:tcW w:w="8660" w:type="dxa"/>
            <w:vAlign w:val="bottom"/>
            <w:gridSpan w:val="2"/>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0"/>
                <w:shd w:val="clear" w:color="auto" w:fill="CCEEFF"/>
              </w:rPr>
              <w:t>Net loss</w:t>
            </w:r>
          </w:p>
        </w:tc>
        <w:tc>
          <w:tcPr>
            <w:tcW w:w="79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(8,143)</w:t>
            </w:r>
          </w:p>
        </w:tc>
        <w:tc>
          <w:tcPr>
            <w:tcW w:w="0" w:type="dxa"/>
            <w:vAlign w:val="bottom"/>
          </w:tcPr>
          <w:p>
            <w:pPr>
              <w:spacing w:after="0"/>
              <w:rPr>
                <w:sz w:val="1"/>
                <w:szCs w:val="1"/>
                <w:color w:val="auto"/>
              </w:rPr>
            </w:pPr>
          </w:p>
        </w:tc>
      </w:tr>
      <w:tr>
        <w:trPr>
          <w:trHeight w:val="68"/>
        </w:trPr>
        <w:tc>
          <w:tcPr>
            <w:tcW w:w="760" w:type="dxa"/>
            <w:vAlign w:val="bottom"/>
            <w:shd w:val="clear" w:color="auto" w:fill="CCEEFF"/>
          </w:tcPr>
          <w:p>
            <w:pPr>
              <w:spacing w:after="0"/>
              <w:rPr>
                <w:sz w:val="5"/>
                <w:szCs w:val="5"/>
                <w:color w:val="auto"/>
              </w:rPr>
            </w:pPr>
          </w:p>
        </w:tc>
        <w:tc>
          <w:tcPr>
            <w:tcW w:w="79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660" w:type="dxa"/>
            <w:vAlign w:val="bottom"/>
            <w:gridSpan w:val="2"/>
          </w:tcPr>
          <w:p>
            <w:pPr>
              <w:ind w:left="2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13,733</w:t>
            </w:r>
          </w:p>
        </w:tc>
        <w:tc>
          <w:tcPr>
            <w:tcW w:w="0" w:type="dxa"/>
            <w:vAlign w:val="bottom"/>
          </w:tcPr>
          <w:p>
            <w:pPr>
              <w:spacing w:after="0"/>
              <w:rPr>
                <w:sz w:val="1"/>
                <w:szCs w:val="1"/>
                <w:color w:val="auto"/>
              </w:rPr>
            </w:pPr>
          </w:p>
        </w:tc>
      </w:tr>
      <w:tr>
        <w:trPr>
          <w:trHeight w:val="217"/>
        </w:trPr>
        <w:tc>
          <w:tcPr>
            <w:tcW w:w="8660" w:type="dxa"/>
            <w:vAlign w:val="bottom"/>
            <w:gridSpan w:val="2"/>
          </w:tcPr>
          <w:p>
            <w:pPr>
              <w:ind w:left="500"/>
              <w:spacing w:after="0"/>
              <w:rPr>
                <w:sz w:val="20"/>
                <w:szCs w:val="20"/>
                <w:color w:val="auto"/>
              </w:rPr>
            </w:pPr>
            <w:r>
              <w:rPr>
                <w:rFonts w:ascii="Arial" w:cs="Arial" w:eastAsia="Arial" w:hAnsi="Arial"/>
                <w:sz w:val="14"/>
                <w:szCs w:val="14"/>
                <w:color w:val="auto"/>
              </w:rPr>
              <w:t>Provision for bad debts, net of recoveries</w:t>
            </w: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Provision for excess and obsolete inventory,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217"/>
        </w:trPr>
        <w:tc>
          <w:tcPr>
            <w:tcW w:w="8660" w:type="dxa"/>
            <w:vAlign w:val="bottom"/>
            <w:gridSpan w:val="2"/>
          </w:tcPr>
          <w:p>
            <w:pPr>
              <w:ind w:left="50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7,302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4,876</w:t>
            </w: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Amortization of debt discount and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9,772</w:t>
            </w:r>
          </w:p>
        </w:tc>
        <w:tc>
          <w:tcPr>
            <w:tcW w:w="0" w:type="dxa"/>
            <w:vAlign w:val="bottom"/>
          </w:tcPr>
          <w:p>
            <w:pPr>
              <w:spacing w:after="0"/>
              <w:rPr>
                <w:sz w:val="1"/>
                <w:szCs w:val="1"/>
                <w:color w:val="auto"/>
              </w:rPr>
            </w:pPr>
          </w:p>
        </w:tc>
      </w:tr>
      <w:tr>
        <w:trPr>
          <w:trHeight w:val="217"/>
        </w:trPr>
        <w:tc>
          <w:tcPr>
            <w:tcW w:w="8660" w:type="dxa"/>
            <w:vAlign w:val="bottom"/>
            <w:gridSpan w:val="2"/>
          </w:tcPr>
          <w:p>
            <w:pPr>
              <w:ind w:left="50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Non-cash gain on extinguishment of acquisition-related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(17,174)</w:t>
            </w:r>
          </w:p>
        </w:tc>
        <w:tc>
          <w:tcPr>
            <w:tcW w:w="0" w:type="dxa"/>
            <w:vAlign w:val="bottom"/>
          </w:tcPr>
          <w:p>
            <w:pPr>
              <w:spacing w:after="0"/>
              <w:rPr>
                <w:sz w:val="1"/>
                <w:szCs w:val="1"/>
                <w:color w:val="auto"/>
              </w:rPr>
            </w:pPr>
          </w:p>
        </w:tc>
      </w:tr>
      <w:tr>
        <w:trPr>
          <w:trHeight w:val="217"/>
        </w:trPr>
        <w:tc>
          <w:tcPr>
            <w:tcW w:w="8660" w:type="dxa"/>
            <w:vAlign w:val="bottom"/>
            <w:gridSpan w:val="2"/>
          </w:tcPr>
          <w:p>
            <w:pPr>
              <w:ind w:left="50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660" w:type="dxa"/>
            <w:vAlign w:val="bottom"/>
            <w:gridSpan w:val="2"/>
          </w:tcPr>
          <w:p>
            <w:pPr>
              <w:ind w:left="72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(6,883)</w:t>
            </w: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(11,437)</w:t>
            </w:r>
          </w:p>
        </w:tc>
        <w:tc>
          <w:tcPr>
            <w:tcW w:w="0" w:type="dxa"/>
            <w:vAlign w:val="bottom"/>
          </w:tcPr>
          <w:p>
            <w:pPr>
              <w:spacing w:after="0"/>
              <w:rPr>
                <w:sz w:val="1"/>
                <w:szCs w:val="1"/>
                <w:color w:val="auto"/>
              </w:rPr>
            </w:pPr>
          </w:p>
        </w:tc>
      </w:tr>
      <w:tr>
        <w:trPr>
          <w:trHeight w:val="217"/>
        </w:trPr>
        <w:tc>
          <w:tcPr>
            <w:tcW w:w="8660" w:type="dxa"/>
            <w:vAlign w:val="bottom"/>
            <w:gridSpan w:val="2"/>
          </w:tcPr>
          <w:p>
            <w:pPr>
              <w:ind w:left="7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3,251</w:t>
            </w: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(12,996)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9,646</w:t>
            </w:r>
          </w:p>
        </w:tc>
        <w:tc>
          <w:tcPr>
            <w:tcW w:w="0" w:type="dxa"/>
            <w:vAlign w:val="bottom"/>
          </w:tcPr>
          <w:p>
            <w:pPr>
              <w:spacing w:after="0"/>
              <w:rPr>
                <w:sz w:val="1"/>
                <w:szCs w:val="1"/>
                <w:color w:val="auto"/>
              </w:rPr>
            </w:pPr>
          </w:p>
        </w:tc>
      </w:tr>
      <w:tr>
        <w:trPr>
          <w:trHeight w:val="218"/>
        </w:trPr>
        <w:tc>
          <w:tcPr>
            <w:tcW w:w="8660" w:type="dxa"/>
            <w:vAlign w:val="bottom"/>
            <w:gridSpan w:val="2"/>
          </w:tcPr>
          <w:p>
            <w:pPr>
              <w:ind w:left="720"/>
              <w:spacing w:after="0"/>
              <w:rPr>
                <w:sz w:val="20"/>
                <w:szCs w:val="20"/>
                <w:color w:val="auto"/>
              </w:rPr>
            </w:pPr>
            <w:r>
              <w:rPr>
                <w:rFonts w:ascii="Arial" w:cs="Arial" w:eastAsia="Arial" w:hAnsi="Arial"/>
                <w:sz w:val="14"/>
                <w:szCs w:val="14"/>
                <w:color w:val="auto"/>
              </w:rPr>
              <w:t>Accrued expenses, income taxes, and other</w:t>
            </w: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(3,037)</w:t>
            </w:r>
          </w:p>
        </w:tc>
        <w:tc>
          <w:tcPr>
            <w:tcW w:w="0" w:type="dxa"/>
            <w:vAlign w:val="bottom"/>
          </w:tcPr>
          <w:p>
            <w:pPr>
              <w:spacing w:after="0"/>
              <w:rPr>
                <w:sz w:val="1"/>
                <w:szCs w:val="1"/>
                <w:color w:val="auto"/>
              </w:rPr>
            </w:pPr>
          </w:p>
        </w:tc>
      </w:tr>
      <w:tr>
        <w:trPr>
          <w:trHeight w:val="53"/>
        </w:trPr>
        <w:tc>
          <w:tcPr>
            <w:tcW w:w="760" w:type="dxa"/>
            <w:vAlign w:val="bottom"/>
            <w:tcBorders>
              <w:bottom w:val="single" w:sz="8" w:color="CCEEFF"/>
            </w:tcBorders>
          </w:tcPr>
          <w:p>
            <w:pPr>
              <w:spacing w:after="0"/>
              <w:rPr>
                <w:sz w:val="4"/>
                <w:szCs w:val="4"/>
                <w:color w:val="auto"/>
              </w:rPr>
            </w:pPr>
          </w:p>
        </w:tc>
        <w:tc>
          <w:tcPr>
            <w:tcW w:w="79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211"/>
        </w:trPr>
        <w:tc>
          <w:tcPr>
            <w:tcW w:w="866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0" w:type="dxa"/>
            <w:vAlign w:val="bottom"/>
          </w:tcPr>
          <w:p>
            <w:pPr>
              <w:spacing w:after="0"/>
              <w:rPr>
                <w:sz w:val="1"/>
                <w:szCs w:val="1"/>
                <w:color w:val="auto"/>
              </w:rPr>
            </w:pPr>
          </w:p>
        </w:tc>
      </w:tr>
      <w:tr>
        <w:trPr>
          <w:trHeight w:val="218"/>
        </w:trPr>
        <w:tc>
          <w:tcPr>
            <w:tcW w:w="8660" w:type="dxa"/>
            <w:vAlign w:val="bottom"/>
            <w:gridSpan w:val="2"/>
          </w:tcPr>
          <w:p>
            <w:pPr>
              <w:ind w:left="280"/>
              <w:spacing w:after="0"/>
              <w:rPr>
                <w:sz w:val="20"/>
                <w:szCs w:val="20"/>
                <w:color w:val="auto"/>
              </w:rPr>
            </w:pPr>
            <w:r>
              <w:rPr>
                <w:rFonts w:ascii="Arial" w:cs="Arial" w:eastAsia="Arial" w:hAnsi="Arial"/>
                <w:sz w:val="14"/>
                <w:szCs w:val="14"/>
                <w:color w:val="auto"/>
              </w:rPr>
              <w:t>Proceeds from the sale of property, plant and equipment</w:t>
            </w: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Additions to capitalized software development costs and purchases of 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(22,109)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(3,040)</w:t>
            </w: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(28,213)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(4,234)</w:t>
            </w:r>
          </w:p>
        </w:tc>
        <w:tc>
          <w:tcPr>
            <w:tcW w:w="0" w:type="dxa"/>
            <w:vAlign w:val="bottom"/>
          </w:tcPr>
          <w:p>
            <w:pPr>
              <w:spacing w:after="0"/>
              <w:rPr>
                <w:sz w:val="1"/>
                <w:szCs w:val="1"/>
                <w:color w:val="auto"/>
              </w:rPr>
            </w:pPr>
          </w:p>
        </w:tc>
      </w:tr>
      <w:tr>
        <w:trPr>
          <w:trHeight w:val="39"/>
        </w:trPr>
        <w:tc>
          <w:tcPr>
            <w:tcW w:w="760" w:type="dxa"/>
            <w:vAlign w:val="bottom"/>
            <w:tcBorders>
              <w:bottom w:val="single" w:sz="8" w:color="CCEEFF"/>
            </w:tcBorders>
          </w:tcPr>
          <w:p>
            <w:pPr>
              <w:spacing w:after="0"/>
              <w:rPr>
                <w:sz w:val="3"/>
                <w:szCs w:val="3"/>
                <w:color w:val="auto"/>
              </w:rPr>
            </w:pPr>
          </w:p>
        </w:tc>
        <w:tc>
          <w:tcPr>
            <w:tcW w:w="79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660" w:type="dxa"/>
            <w:vAlign w:val="bottom"/>
            <w:gridSpan w:val="2"/>
          </w:tcPr>
          <w:p>
            <w:pPr>
              <w:ind w:left="280"/>
              <w:spacing w:after="0"/>
              <w:rPr>
                <w:sz w:val="20"/>
                <w:szCs w:val="20"/>
                <w:color w:val="auto"/>
              </w:rPr>
            </w:pPr>
            <w:r>
              <w:rPr>
                <w:rFonts w:ascii="Arial" w:cs="Arial" w:eastAsia="Arial" w:hAnsi="Arial"/>
                <w:sz w:val="14"/>
                <w:szCs w:val="14"/>
                <w:color w:val="auto"/>
              </w:rPr>
              <w:t>Gross proceeds received from issuance of Series E preferred stock</w:t>
            </w: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Gross proceeds received from private placement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19,661</w:t>
            </w:r>
          </w:p>
        </w:tc>
        <w:tc>
          <w:tcPr>
            <w:tcW w:w="0" w:type="dxa"/>
            <w:vAlign w:val="bottom"/>
          </w:tcPr>
          <w:p>
            <w:pPr>
              <w:spacing w:after="0"/>
              <w:rPr>
                <w:sz w:val="1"/>
                <w:szCs w:val="1"/>
                <w:color w:val="auto"/>
              </w:rPr>
            </w:pPr>
          </w:p>
        </w:tc>
      </w:tr>
      <w:tr>
        <w:trPr>
          <w:trHeight w:val="218"/>
        </w:trPr>
        <w:tc>
          <w:tcPr>
            <w:tcW w:w="8660" w:type="dxa"/>
            <w:vAlign w:val="bottom"/>
            <w:gridSpan w:val="2"/>
          </w:tcPr>
          <w:p>
            <w:pPr>
              <w:ind w:left="280"/>
              <w:spacing w:after="0"/>
              <w:rPr>
                <w:sz w:val="20"/>
                <w:szCs w:val="20"/>
                <w:color w:val="auto"/>
              </w:rPr>
            </w:pPr>
            <w:r>
              <w:rPr>
                <w:rFonts w:ascii="Arial" w:cs="Arial" w:eastAsia="Arial" w:hAnsi="Arial"/>
                <w:sz w:val="14"/>
                <w:szCs w:val="14"/>
                <w:color w:val="auto"/>
              </w:rPr>
              <w:t>Payment of issuance costs related to private placement</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Principal payments on term loans</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15"/>
        </w:trPr>
        <w:tc>
          <w:tcPr>
            <w:tcW w:w="8660" w:type="dxa"/>
            <w:vAlign w:val="bottom"/>
            <w:gridSpan w:val="2"/>
          </w:tcPr>
          <w:p>
            <w:pPr>
              <w:ind w:left="280"/>
              <w:spacing w:after="0"/>
              <w:rPr>
                <w:sz w:val="20"/>
                <w:szCs w:val="20"/>
                <w:color w:val="auto"/>
              </w:rPr>
            </w:pPr>
            <w:r>
              <w:rPr>
                <w:rFonts w:ascii="Arial" w:cs="Arial" w:eastAsia="Arial" w:hAnsi="Arial"/>
                <w:sz w:val="13"/>
                <w:szCs w:val="13"/>
                <w:color w:val="auto"/>
              </w:rPr>
              <w:t>Proceeds from the exercise of warrants to purchase common stock</w:t>
            </w: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3"/>
                <w:szCs w:val="13"/>
                <w:color w:val="auto"/>
              </w:rPr>
              <w:t>17,542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5"/>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Net repayment of DigiCore bank and overdraft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0" w:type="dxa"/>
            <w:vAlign w:val="bottom"/>
          </w:tcPr>
          <w:p>
            <w:pPr>
              <w:spacing w:after="0"/>
              <w:rPr>
                <w:sz w:val="1"/>
                <w:szCs w:val="1"/>
                <w:color w:val="auto"/>
              </w:rPr>
            </w:pPr>
          </w:p>
        </w:tc>
      </w:tr>
      <w:tr>
        <w:trPr>
          <w:trHeight w:val="218"/>
        </w:trPr>
        <w:tc>
          <w:tcPr>
            <w:tcW w:w="8660" w:type="dxa"/>
            <w:vAlign w:val="bottom"/>
            <w:gridSpan w:val="2"/>
          </w:tcPr>
          <w:p>
            <w:pPr>
              <w:ind w:left="280"/>
              <w:spacing w:after="0"/>
              <w:rPr>
                <w:sz w:val="20"/>
                <w:szCs w:val="20"/>
                <w:color w:val="auto"/>
              </w:rPr>
            </w:pPr>
            <w:r>
              <w:rPr>
                <w:rFonts w:ascii="Arial" w:cs="Arial" w:eastAsia="Arial" w:hAnsi="Arial"/>
                <w:sz w:val="14"/>
                <w:szCs w:val="14"/>
                <w:color w:val="auto"/>
              </w:rPr>
              <w:t>Principal payments under finance lease obligations</w:t>
            </w:r>
          </w:p>
        </w:tc>
        <w:tc>
          <w:tcPr>
            <w:tcW w:w="30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Principal payments on mortgage bond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18"/>
        </w:trPr>
        <w:tc>
          <w:tcPr>
            <w:tcW w:w="8660" w:type="dxa"/>
            <w:vAlign w:val="bottom"/>
            <w:gridSpan w:val="2"/>
          </w:tcPr>
          <w:p>
            <w:pPr>
              <w:ind w:left="280"/>
              <w:spacing w:after="0"/>
              <w:rPr>
                <w:sz w:val="20"/>
                <w:szCs w:val="20"/>
                <w:color w:val="auto"/>
              </w:rPr>
            </w:pPr>
            <w:r>
              <w:rPr>
                <w:rFonts w:ascii="Arial" w:cs="Arial" w:eastAsia="Arial" w:hAnsi="Arial"/>
                <w:sz w:val="14"/>
                <w:szCs w:val="14"/>
                <w:color w:val="auto"/>
              </w:rPr>
              <w:t>Proceeds from stock option exercises and employee stock purchase plan, net of taxes paid on vested restricted stock units</w:t>
            </w: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53"/>
        </w:trPr>
        <w:tc>
          <w:tcPr>
            <w:tcW w:w="760" w:type="dxa"/>
            <w:vAlign w:val="bottom"/>
            <w:tcBorders>
              <w:bottom w:val="single" w:sz="8" w:color="CCEEFF"/>
            </w:tcBorders>
          </w:tcPr>
          <w:p>
            <w:pPr>
              <w:spacing w:after="0"/>
              <w:rPr>
                <w:sz w:val="4"/>
                <w:szCs w:val="4"/>
                <w:color w:val="auto"/>
              </w:rPr>
            </w:pPr>
          </w:p>
        </w:tc>
        <w:tc>
          <w:tcPr>
            <w:tcW w:w="79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6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27,469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17,667</w:t>
            </w:r>
          </w:p>
        </w:tc>
        <w:tc>
          <w:tcPr>
            <w:tcW w:w="0" w:type="dxa"/>
            <w:vAlign w:val="bottom"/>
          </w:tcPr>
          <w:p>
            <w:pPr>
              <w:spacing w:after="0"/>
              <w:rPr>
                <w:sz w:val="1"/>
                <w:szCs w:val="1"/>
                <w:color w:val="auto"/>
              </w:rPr>
            </w:pPr>
          </w:p>
        </w:tc>
      </w:tr>
      <w:tr>
        <w:trPr>
          <w:trHeight w:val="218"/>
        </w:trPr>
        <w:tc>
          <w:tcPr>
            <w:tcW w:w="8660" w:type="dxa"/>
            <w:vAlign w:val="bottom"/>
            <w:gridSpan w:val="2"/>
          </w:tcPr>
          <w:p>
            <w:pPr>
              <w:ind w:left="40"/>
              <w:spacing w:after="0"/>
              <w:rPr>
                <w:sz w:val="20"/>
                <w:szCs w:val="20"/>
                <w:color w:val="auto"/>
              </w:rPr>
            </w:pPr>
            <w:r>
              <w:rPr>
                <w:rFonts w:ascii="Arial" w:cs="Arial" w:eastAsia="Arial" w:hAnsi="Arial"/>
                <w:sz w:val="14"/>
                <w:szCs w:val="14"/>
                <w:color w:val="auto"/>
              </w:rPr>
              <w:t>Effect of exchange rates on cash</w:t>
            </w:r>
          </w:p>
        </w:tc>
        <w:tc>
          <w:tcPr>
            <w:tcW w:w="30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53"/>
        </w:trPr>
        <w:tc>
          <w:tcPr>
            <w:tcW w:w="760" w:type="dxa"/>
            <w:vAlign w:val="bottom"/>
            <w:tcBorders>
              <w:bottom w:val="single" w:sz="8" w:color="CCEEFF"/>
            </w:tcBorders>
          </w:tcPr>
          <w:p>
            <w:pPr>
              <w:spacing w:after="0"/>
              <w:rPr>
                <w:sz w:val="4"/>
                <w:szCs w:val="4"/>
                <w:color w:val="auto"/>
              </w:rPr>
            </w:pPr>
          </w:p>
        </w:tc>
        <w:tc>
          <w:tcPr>
            <w:tcW w:w="79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6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(19,002)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9,817</w:t>
            </w:r>
          </w:p>
        </w:tc>
        <w:tc>
          <w:tcPr>
            <w:tcW w:w="0" w:type="dxa"/>
            <w:vAlign w:val="bottom"/>
          </w:tcPr>
          <w:p>
            <w:pPr>
              <w:spacing w:after="0"/>
              <w:rPr>
                <w:sz w:val="1"/>
                <w:szCs w:val="1"/>
                <w:color w:val="auto"/>
              </w:rPr>
            </w:pPr>
          </w:p>
        </w:tc>
      </w:tr>
      <w:tr>
        <w:trPr>
          <w:trHeight w:val="218"/>
        </w:trPr>
        <w:tc>
          <w:tcPr>
            <w:tcW w:w="866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 beginning of period</w:t>
            </w: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31,076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21,259</w:t>
            </w:r>
          </w:p>
        </w:tc>
        <w:tc>
          <w:tcPr>
            <w:tcW w:w="0" w:type="dxa"/>
            <w:vAlign w:val="bottom"/>
          </w:tcPr>
          <w:p>
            <w:pPr>
              <w:spacing w:after="0"/>
              <w:rPr>
                <w:sz w:val="1"/>
                <w:szCs w:val="1"/>
                <w:color w:val="auto"/>
              </w:rPr>
            </w:pPr>
          </w:p>
        </w:tc>
      </w:tr>
      <w:tr>
        <w:trPr>
          <w:trHeight w:val="52"/>
        </w:trPr>
        <w:tc>
          <w:tcPr>
            <w:tcW w:w="760" w:type="dxa"/>
            <w:vAlign w:val="bottom"/>
            <w:tcBorders>
              <w:bottom w:val="single" w:sz="8" w:color="CCEEFF"/>
            </w:tcBorders>
          </w:tcPr>
          <w:p>
            <w:pPr>
              <w:spacing w:after="0"/>
              <w:rPr>
                <w:sz w:val="4"/>
                <w:szCs w:val="4"/>
                <w:color w:val="auto"/>
              </w:rPr>
            </w:pPr>
          </w:p>
        </w:tc>
        <w:tc>
          <w:tcPr>
            <w:tcW w:w="79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end of period</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12,074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31,076</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60" w:type="dxa"/>
            <w:vAlign w:val="bottom"/>
          </w:tcPr>
          <w:p>
            <w:pPr>
              <w:spacing w:after="0"/>
              <w:rPr>
                <w:sz w:val="5"/>
                <w:szCs w:val="5"/>
                <w:color w:val="auto"/>
              </w:rPr>
            </w:pPr>
          </w:p>
        </w:tc>
        <w:tc>
          <w:tcPr>
            <w:tcW w:w="7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Cash paid during the year for: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8660" w:type="dxa"/>
            <w:vAlign w:val="bottom"/>
            <w:gridSpan w:val="2"/>
          </w:tcPr>
          <w:p>
            <w:pPr>
              <w:ind w:left="500"/>
              <w:spacing w:after="0"/>
              <w:rPr>
                <w:sz w:val="20"/>
                <w:szCs w:val="20"/>
                <w:color w:val="auto"/>
              </w:rPr>
            </w:pPr>
            <w:r>
              <w:rPr>
                <w:rFonts w:ascii="Arial" w:cs="Arial" w:eastAsia="Arial" w:hAnsi="Arial"/>
                <w:sz w:val="14"/>
                <w:szCs w:val="14"/>
                <w:color w:val="auto"/>
              </w:rPr>
              <w:t>Interest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9,296</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10,642</w:t>
            </w: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Income taxes, net of tax refunds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218"/>
        </w:trPr>
        <w:tc>
          <w:tcPr>
            <w:tcW w:w="8660" w:type="dxa"/>
            <w:vAlign w:val="bottom"/>
            <w:gridSpan w:val="2"/>
          </w:tcPr>
          <w:p>
            <w:pPr>
              <w:ind w:left="40"/>
              <w:spacing w:after="0"/>
              <w:rPr>
                <w:sz w:val="20"/>
                <w:szCs w:val="20"/>
                <w:color w:val="auto"/>
              </w:rPr>
            </w:pPr>
            <w:r>
              <w:rPr>
                <w:rFonts w:ascii="Arial" w:cs="Arial" w:eastAsia="Arial" w:hAnsi="Arial"/>
                <w:sz w:val="14"/>
                <w:szCs w:val="14"/>
                <w:color w:val="auto"/>
              </w:rPr>
              <w:t>Supplemental disclosures of non-cash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Transfer of inventories to rental assets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3,973</w:t>
            </w:r>
          </w:p>
        </w:tc>
        <w:tc>
          <w:tcPr>
            <w:tcW w:w="0" w:type="dxa"/>
            <w:vAlign w:val="bottom"/>
          </w:tcPr>
          <w:p>
            <w:pPr>
              <w:spacing w:after="0"/>
              <w:rPr>
                <w:sz w:val="1"/>
                <w:szCs w:val="1"/>
                <w:color w:val="auto"/>
              </w:rPr>
            </w:pPr>
          </w:p>
        </w:tc>
      </w:tr>
      <w:tr>
        <w:trPr>
          <w:trHeight w:val="218"/>
        </w:trPr>
        <w:tc>
          <w:tcPr>
            <w:tcW w:w="8660" w:type="dxa"/>
            <w:vAlign w:val="bottom"/>
            <w:gridSpan w:val="2"/>
          </w:tcPr>
          <w:p>
            <w:pPr>
              <w:ind w:left="280"/>
              <w:spacing w:after="0"/>
              <w:rPr>
                <w:sz w:val="20"/>
                <w:szCs w:val="20"/>
                <w:color w:val="auto"/>
              </w:rPr>
            </w:pPr>
            <w:r>
              <w:rPr>
                <w:rFonts w:ascii="Arial" w:cs="Arial" w:eastAsia="Arial" w:hAnsi="Arial"/>
                <w:sz w:val="14"/>
                <w:szCs w:val="14"/>
                <w:color w:val="auto"/>
              </w:rPr>
              <w:t>Purchases of property, plant and equipment under capital lease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1,341</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Right-of-use assets obtained in exchange for operating leases liabilities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8660" w:type="dxa"/>
            <w:vAlign w:val="bottom"/>
            <w:gridSpan w:val="2"/>
          </w:tcPr>
          <w:p>
            <w:pPr>
              <w:ind w:left="280"/>
              <w:spacing w:after="0"/>
              <w:rPr>
                <w:sz w:val="20"/>
                <w:szCs w:val="20"/>
                <w:color w:val="auto"/>
              </w:rPr>
            </w:pPr>
            <w:r>
              <w:rPr>
                <w:rFonts w:ascii="Arial" w:cs="Arial" w:eastAsia="Arial" w:hAnsi="Arial"/>
                <w:sz w:val="14"/>
                <w:szCs w:val="14"/>
                <w:color w:val="auto"/>
              </w:rPr>
              <w:t>Capital expenditures financed through accounts payable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2,926</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8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Issuance of common stock under settlement agreement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53"/>
        </w:trPr>
        <w:tc>
          <w:tcPr>
            <w:tcW w:w="760" w:type="dxa"/>
            <w:vAlign w:val="bottom"/>
            <w:shd w:val="clear" w:color="auto" w:fill="CCEEFF"/>
          </w:tcPr>
          <w:p>
            <w:pPr>
              <w:spacing w:after="0"/>
              <w:rPr>
                <w:sz w:val="4"/>
                <w:szCs w:val="4"/>
                <w:color w:val="auto"/>
              </w:rPr>
            </w:pPr>
          </w:p>
        </w:tc>
        <w:tc>
          <w:tcPr>
            <w:tcW w:w="79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820" w:right="339" w:bottom="254"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Significant Accounting Policies</w:t>
      </w:r>
    </w:p>
    <w:p>
      <w:pPr>
        <w:spacing w:after="0" w:line="22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Inseego Corp. (the “Company” or “Inseego”) is a leader in the design and development of mobile (advanced 4G and 5G New Radio (“5G NR”)), Internet of Things (“IoT”) and cloud solutions for large enterprise verticals, service providers and small and medium-sized businesses around the globe. Inseego’s product portfolio consists of fixed and mobile device-to-cloud solutions that produce compelling, intelligent, reliable and secure end-to-end IoT services with deep business intelligence. Inseego’s products and solutions power mission critical applications with a “zero unscheduled downtime” mandate, such as 5G fixed wireless access gateway solutions, 4G and 5G mobile broadband, industrial IoT, SD WAN failover management, asset tracking and fleet management services. Inseego’s solutions are powered by its key innovations in mobile technologies, including a suite of products employing the 5G NR standards, and purpose-built SaaS cloud platforms.</w:t>
      </w:r>
    </w:p>
    <w:p>
      <w:pPr>
        <w:spacing w:after="0" w:line="23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Inseego is a Delaware corporation formed in 2016 and is the successor to Novatel Wireless, Inc., a Delaware corporation formed in 1996 (“Novatel Wireless”), as a result of an internal reorganization that was completed in November 2016. The Company’s principal executive office is located at 12600 Deerfield Parkway, Suite 100, Alpharetta, GA 30004, its corporate offices are located at 9710 Scranton Road, Suite 200, San Diego CA 92121 and its sales and engineering offices are located throughout the world. Inseego’s common stock trades on The NASDAQ Global Select Market under the trading symbol “INSG”.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had a net loss attributable to Inseego Corp. of $40.5 million during the year ended December 31, 2019. As of December 31, 2019, the Company had available cash and cash equivalents totaling $12.1 million and working capital of $19.6 million. The Company has a history of operating and net losses and overall usage of cash from operating and investing activities.</w:t>
      </w:r>
    </w:p>
    <w:p>
      <w:pPr>
        <w:spacing w:after="0" w:line="29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 xml:space="preserve">In order to make continued investments in its growth plan, on August 9, 2019, the Company issued and sold 10,000 shares of Fixed-Rate Cumulative Perpetual Preferred Stock, Series E, par value $0.001 per share (the “Series E Preferred Stock”), for an aggregate purchase price of $10.0 million. For additional information see Note 7, </w:t>
      </w:r>
      <w:r>
        <w:rPr>
          <w:rFonts w:ascii="Arial" w:cs="Arial" w:eastAsia="Arial" w:hAnsi="Arial"/>
          <w:sz w:val="18"/>
          <w:szCs w:val="18"/>
          <w:i w:val="1"/>
          <w:iCs w:val="1"/>
          <w:color w:val="auto"/>
        </w:rPr>
        <w:t>Stockholders Equity</w:t>
      </w:r>
      <w:r>
        <w:rPr>
          <w:rFonts w:ascii="Arial" w:cs="Arial" w:eastAsia="Arial" w:hAnsi="Arial"/>
          <w:sz w:val="18"/>
          <w:szCs w:val="18"/>
          <w:color w:val="auto"/>
        </w:rPr>
        <w:t>.</w:t>
      </w:r>
    </w:p>
    <w:p>
      <w:pPr>
        <w:spacing w:after="0" w:line="13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On March 6, 2020, the Company issued and sold an additional 25,000 shares of Series E Preferred Stock, for an aggregate purchase price of $25.0 million.</w:t>
      </w:r>
    </w:p>
    <w:p>
      <w:pPr>
        <w:spacing w:after="0" w:line="116"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Under the terms of the indenture governing the Inseego Notes (as defined below), both the Company and the holders have rights with respect to conversion or redemption based on the value of the underlying stock. In the first quarter of 2020, $59.9 million of the notes were exchanged for common stock.</w:t>
      </w:r>
    </w:p>
    <w:p>
      <w:pPr>
        <w:spacing w:after="0" w:line="292"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Under the terms of the indenture governing the Inseego Notes (as defined below), each holder of the notes has the right to require the Company to repurchase its notes for cash on June 15, 2020 (the “Optional Repurchase Date”). In March 2020, all of the remaining Inseego Note holders have waived this right.</w:t>
      </w:r>
    </w:p>
    <w:p>
      <w:pPr>
        <w:spacing w:after="0" w:line="292"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Under the terms of the Senior Credit Agreement, interest is paid based on the three-month LIBOR plus 7.65 percent, payable in cash. In the first quarter of 2020 the Credit Agreement was amended such that any interest payment due will be made in shares of Series E Preferred Stock. On March 10, 2020, the Company entered into a letter agreement (the “Letter Agreement”) with South Ocean Funding, LLC (“South Ocean”), the Lender, holder of the aggregate principal amount currently outstanding under the Credit Agreement, which provides: (i) that the Company and South Ocean will work together, in good faith, to reach an agreement to amend or refinance the Credit Agreement in order to extend the maturity of the Credit Agreement until a date after March 15, 2021; and (ii) should an agreement not be reached to amend or refinance the Credit Agreement prior to August 23, 2020, upon request of the Company, the maturity date of the Credit Agreement will be extended to no earlier than March 15, 2021.</w:t>
      </w:r>
    </w:p>
    <w:p>
      <w:pPr>
        <w:spacing w:after="0" w:line="274"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The Company’s management believes that its cash and cash equivalents, together with anticipated cash flows from operations, will be sufficient to meet its working capital needs for the next twelve months following the filing date of this report. The Company’s ability to transition to more profitable operations is dependent upon achieving a level of revenue adequate to support its evolving cost structure.</w:t>
      </w:r>
    </w:p>
    <w:p>
      <w:pPr>
        <w:spacing w:after="0" w:line="292"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Company’s liquidity could be impaired if there is any interruption in its business operations, a material failure to satisfy its contractual commitments or a failure to generate revenue from new or existing products. Ultimately, the Company’s ability to attain profitability and to generate positive cash flow is dependent upon achieving a level of revenues adequate to support its evolving cost structure and increasing working capital needs. If events or circumstances occur such that the</w:t>
      </w:r>
    </w:p>
    <w:p>
      <w:pPr>
        <w:sectPr>
          <w:pgSz w:w="11900" w:h="16838" w:orient="portrait"/>
          <w:cols w:equalWidth="0" w:num="1">
            <w:col w:w="11200"/>
          </w:cols>
          <w:pgMar w:left="320" w:top="553" w:right="379" w:bottom="1440" w:gutter="0" w:footer="0" w:header="0"/>
        </w:sect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200"/>
          </w:cols>
          <w:pgMar w:left="320" w:top="553" w:right="379" w:bottom="144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Company does not meet its operating plan as expected, the Company may be required to raise additional capital, reduce planned research and development activities, incur additional restructuring charges or reduce other operating expenses which could have an adverse impact on its ability to achieve its intended business objectives. There can be no assurance that any required or desired restructuring or financing will be available on terms favorable to the Company, or at all. In addition, in order to obtain additional borrowings, the Company must comply with certain requirements under the Credit Agreement and the Inseego Indenture (as defined below).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the Company may be subject to additional limitations on its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transactions and balances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revenue recognition, capitalized software costs, allowance for doubtful accounts receivable, provision for excess and obsolete inventory, valuation of intangible and long-lived assets, valuation of goodwill, royalty costs, accruals relating to litigation and restructuring, income taxes, share-based compensation expense and the Company’s ability to continue as a going concern.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8"/>
          <w:szCs w:val="18"/>
          <w:color w:val="auto"/>
        </w:rPr>
        <w:t>Cash and cash equivalents include highly liquid investments with original maturities of three months or less. Cash and cash equivalents are recorded at market value, which approximates cost. Gains and losses associated with the Company’s foreign currency denominated demand deposits are recorded as a component of other income (expense), net, in the consolidated statements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 Receivable</w:t>
      </w:r>
    </w:p>
    <w:p>
      <w:pPr>
        <w:spacing w:after="0" w:line="11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Company provides an allowance for its accounts receivable for estimated losses that may result from its customers’ inability to pay. The Company determines the amount of the allowance by analyzing known uncollectible accounts, aged receivables, economic conditions, historical losses, and changes in customer payment cycles and its customers’ creditworthiness. Amounts later determined and specifically identified to be uncollectible are charged or written off against this allowance. To minimize the likelihood of uncollectibility, the Company reviews its customers’ creditworthiness periodically based on credit scores generated by independent credit reporting services, its experience with its customers and the economic condition of its customers’ industries. Material differences may result in the amount and timing of expense for any period if the Company were to make different judgments or utilize different estimates.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and Provision for Excess and Obsolete Inventory</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Inventories are stated at the lower of cost (first-in, first-out method) or net realizable value.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23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w:t>
      </w:r>
    </w:p>
    <w:p>
      <w:pPr>
        <w:sectPr>
          <w:pgSz w:w="11900" w:h="16838" w:orient="portrait"/>
          <w:cols w:equalWidth="0" w:num="1">
            <w:col w:w="11240"/>
          </w:cols>
          <w:pgMar w:left="320" w:top="553" w:right="3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1240"/>
          </w:cols>
          <w:pgMar w:left="320" w:top="553" w:right="3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than its estimates, inventory write-downs may be required, which could have a material adverse effect on its consolidated financial statements.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Property, plant and equipment are initially stated at cost and depreciated using the straight-line method. Test equipment, computer equipment, purchased software, furniture and fixtures, product tooling and vehicles are depreciated over lives ranging from thirteen months to six years. Leasehold improvements are depreciated over the shorter of the related remaining lease period or useful life. Buildings are depreciated over 50 years. Land is not depreciated. Amortization of equipment under capital leases is included in depreciation expense.</w:t>
      </w:r>
    </w:p>
    <w:p>
      <w:pPr>
        <w:spacing w:after="0" w:line="63"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plant and equipment are capitalized and depreciated. Upon retirement or disposition of property, plant and equipment, any resulting gain or loss is recognized in other income (expense), net, in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Assets</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cost of rental assets, which represents fleet management and vehicle tracking hardware installed in customers’ vehicles where such hardware is provided as part of a fixed term contract with the customer, is capitalized and disclosed separately in the consolidated balance sheets. The Company depreciates rental assets to costs of net revenues on a straight-line basis over the term of the contract, generally three to four years, commencing on installation of the rental asset.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for External Use</w:t>
      </w:r>
    </w:p>
    <w:p>
      <w:pPr>
        <w:spacing w:after="0" w:line="11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Software development costs for external use are expensed as incurred until technological feasibility has been established, at which time those costs are capitalized as intangible assets until the software is implemented into products sold to customers. Capitalized software development costs are amortized on a straight-line basis over the estimated useful life. Costs incurred to enhance existing software or after the implementation of the software into a product are expensed in the period they are incurred and included in research and development expense in the consolidated statements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for Internal Use</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Costs incurred in the preliminary stages of development are expensed as incurred and included in research and development expense in the consolidated statements of operations. Once an application has reached the development stage, internal and external costs, if direct and incremental, are capitalized until the software is substantially complete and ready for its intended use.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recorded as part of intangible assets and are amortized on a straight-line basis over the estimated useful life of the software. The Company does not capitalize pilot projects and projects for which it believes that the future economic benefits are less than probable. The Company tests these assets for impairment whenever events or circumstances occur that could impact their recoverability.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 xml:space="preserve">Intangible assets include purchased finite-lived and indefinite-lived intangible assets resulting from the acquisitions of DigiCore Holdings Limited (“DigiCore” or “Ctrack”) and R.E.R. Enterprises, Inc. (“RER”) and its wholly owned subsidiary and principal operating asset, Feeney Wireless, LLC (which was renamed Inseego North America, LLC) (“INA”), along with the costs of non-exclusive and perpetual worldwide software technology licenses and capitalized software developments costs for both internal and external use. Finite-lived intangible assets are amortized on a straight-line basis over the estimated useful lives of the assets (see Note 3,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w:t>
      </w:r>
    </w:p>
    <w:p>
      <w:pPr>
        <w:spacing w:after="0" w:line="6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Indefinite-lived assets, including goodwill and in-process capitalized software development costs, are not amortized; however, they are tested for impairment annually, and between annual tests, if certain events occur indicating that the carrying amounts may be impaired. The Company tests goodwill for impairment by comparing the fair value of each reporting unit with its carrying amount and an impairment charge is recorded for the amount, if any, by which the carrying value exceeds the reporting unit’s fair value. For the years ended December 31, 2019 and 2018 the Company recorded no impairment loss related to indefinite-lived intangible assets.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553"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The Company periodically evaluates the carrying value of the unamortized balances of its long-lived assets, including property, plant and equipment, rental assets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6"/>
          <w:szCs w:val="16"/>
          <w:i w:val="1"/>
          <w:iCs w:val="1"/>
          <w:color w:val="auto"/>
        </w:rPr>
        <w:t>.</w:t>
      </w:r>
      <w:r>
        <w:rPr>
          <w:rFonts w:ascii="Arial" w:cs="Arial" w:eastAsia="Arial" w:hAnsi="Arial"/>
          <w:sz w:val="16"/>
          <w:szCs w:val="16"/>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the impairment is expensed as a part of continuing operations. For the year ended December 31, 2018, the Company recorded an impairment loss related to long-lived assets of approximately $0.7 million, which is included in other income (expense), net, in the consolidated statements of operations. For the year ended December 31, 2019, the Company had no impairment loss related to long-lived assets.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 xml:space="preserve">The Company accounts for facility exit costs in accordance with the Financial Accounting Standards Board (“FASB”) Accounting Standards Codification (“ASC”) 420,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the Company does not intend to sublease the facilities.</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is required to estimate future sublease income and future net operating expenses of the facilities, among other expenses. The most significant of these estimates relate to the timing and extent of future sublease income which reduce lease obligations, and the probability that such sublease income will be realized. The Company bases its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current estimates. Exit costs recorded by the Company under these provisions are neither associated with, nor do they benefit, continuing activities.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Company accounts for its convertible debt instruments that are settleable in cash upon conversion (including partial cash settlement) by separating the liability and equity components of the instruments in a manner that reflects the Company’s nonconvertible debt borrowing rate. The Company determines the carrying amount of the liability component by measuring the fair value of similar debt instruments that do not have the conversion feature. If a similar debt instrument does not exist, the Company estimates the fair value by using assumptions that market participants would use in pricing a debt instrument, including market interest rates, credit standing, yield curves and volatilities. Determining the fair value of the debt component requires the use of accounting estimates and assumptions. These estimates and assumptions are judgmental in nature and could have a significant impact on the determination of the debt component and the associated non-cash interest expense.</w:t>
      </w:r>
    </w:p>
    <w:p>
      <w:pPr>
        <w:spacing w:after="0" w:line="231" w:lineRule="exact"/>
        <w:rPr>
          <w:sz w:val="20"/>
          <w:szCs w:val="20"/>
          <w:color w:val="auto"/>
        </w:rPr>
      </w:pPr>
    </w:p>
    <w:p>
      <w:pPr>
        <w:ind w:right="340" w:firstLine="405"/>
        <w:spacing w:after="0" w:line="311" w:lineRule="auto"/>
        <w:rPr>
          <w:sz w:val="20"/>
          <w:szCs w:val="20"/>
          <w:color w:val="auto"/>
        </w:rPr>
      </w:pPr>
      <w:r>
        <w:rPr>
          <w:rFonts w:ascii="Arial" w:cs="Arial" w:eastAsia="Arial" w:hAnsi="Arial"/>
          <w:sz w:val="16"/>
          <w:szCs w:val="16"/>
          <w:color w:val="auto"/>
        </w:rPr>
        <w:t>Upon issuance, the Company assigns a value to the debt component equal to the estimated fair value of similar debt instruments without the conversion feature, which could result in the Company recording the debt instrument at a discount. If the debt instrument is recorded at a discount, the Company amortizes the debt discount over the life of the debt instrument as additional non-cash interest expense utilizing the effective interest method.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Company generates revenue from a broad range of product sales including intelligent wireless hardware products for the worldwide mobile communications and industrial IoT markets. The Company’s products principally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279" w:lineRule="exact"/>
        <w:rPr>
          <w:sz w:val="20"/>
          <w:szCs w:val="20"/>
          <w:color w:val="auto"/>
        </w:rPr>
      </w:pPr>
    </w:p>
    <w:p>
      <w:pPr>
        <w:ind w:right="240" w:firstLine="391"/>
        <w:spacing w:after="0" w:line="263"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553"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by product grouping for the years ended December 31, 2019 and 2018 were as follows (in thousands):</w:t>
      </w:r>
    </w:p>
    <w:p>
      <w:pPr>
        <w:spacing w:after="0" w:line="163"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13335</wp:posOffset>
            </wp:positionV>
            <wp:extent cx="1491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r>
      <w:tr>
        <w:trPr>
          <w:trHeight w:val="236"/>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154,167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135,349</w:t>
            </w:r>
          </w:p>
        </w:tc>
      </w:tr>
      <w:tr>
        <w:trPr>
          <w:trHeight w:val="223"/>
        </w:trPr>
        <w:tc>
          <w:tcPr>
            <w:tcW w:w="890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65,329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67,114</w:t>
            </w:r>
          </w:p>
        </w:tc>
      </w:tr>
      <w:tr>
        <w:trPr>
          <w:trHeight w:val="47"/>
        </w:trPr>
        <w:tc>
          <w:tcPr>
            <w:tcW w:w="89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5"/>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219,496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202,463</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geographic disaggregation information in Note 12, </w:t>
      </w:r>
      <w:r>
        <w:rPr>
          <w:rFonts w:ascii="Arial" w:cs="Arial" w:eastAsia="Arial" w:hAnsi="Arial"/>
          <w:sz w:val="18"/>
          <w:szCs w:val="18"/>
          <w:i w:val="1"/>
          <w:iCs w:val="1"/>
          <w:color w:val="auto"/>
        </w:rPr>
        <w:t>Geographic Information and Concentrations of Risk</w:t>
      </w:r>
      <w:r>
        <w:rPr>
          <w:rFonts w:ascii="Arial" w:cs="Arial" w:eastAsia="Arial" w:hAnsi="Arial"/>
          <w:sz w:val="18"/>
          <w:szCs w:val="18"/>
          <w:color w:val="auto"/>
        </w:rPr>
        <w:t>.</w:t>
      </w:r>
    </w:p>
    <w:p>
      <w:pPr>
        <w:spacing w:after="0" w:line="333" w:lineRule="exact"/>
        <w:rPr>
          <w:sz w:val="20"/>
          <w:szCs w:val="20"/>
          <w:color w:val="auto"/>
        </w:rPr>
      </w:pPr>
    </w:p>
    <w:p>
      <w:pPr>
        <w:ind w:right="180" w:firstLine="405"/>
        <w:spacing w:after="0" w:line="232"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gateways, routers, modems, hotspots, HD quality VoLTE based wireless home phones, cloud management software and an advanced 5G portfolio of products (currently in various stages of development). The solutions are offered under the MiFi and MiFi</w:t>
      </w:r>
      <w:r>
        <w:rPr>
          <w:rFonts w:ascii="Arial" w:cs="Arial" w:eastAsia="Arial" w:hAnsi="Arial"/>
          <w:sz w:val="25"/>
          <w:szCs w:val="25"/>
          <w:color w:val="auto"/>
          <w:vertAlign w:val="superscript"/>
        </w:rPr>
        <w:t>iQ</w:t>
      </w:r>
      <w:r>
        <w:rPr>
          <w:rFonts w:ascii="Arial" w:cs="Arial" w:eastAsia="Arial" w:hAnsi="Arial"/>
          <w:sz w:val="18"/>
          <w:szCs w:val="18"/>
          <w:color w:val="auto"/>
        </w:rPr>
        <w:t xml:space="preserve"> brands for consumer and business markets, and under the Skyus brand for industrial IoT markets.</w:t>
      </w:r>
    </w:p>
    <w:p>
      <w:pPr>
        <w:spacing w:after="0" w:line="310"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i w:val="1"/>
          <w:iCs w:val="1"/>
          <w:color w:val="auto"/>
        </w:rPr>
        <w:t>Enterprise SaaS Solutions</w:t>
      </w:r>
      <w:r>
        <w:rPr>
          <w:rFonts w:ascii="Arial" w:cs="Arial" w:eastAsia="Arial" w:hAnsi="Arial"/>
          <w:sz w:val="17"/>
          <w:szCs w:val="17"/>
          <w:color w:val="auto"/>
        </w:rPr>
        <w:t>. The Enterprise SaaS Solutions consist of various subscription offerings to gain access to the Company’s Ctrack telematics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which provide fleet vehicle, aviation ground vehicle and asset tracking and performance information, and other telematics applications, and the Company’s Device Management System (“DMS”), a hosted software-as-a-service (“SaaS”) platform that helps organizations manage the selection, deployment and spend of their customer’s wireless assets, helping them save money on personnel and telecom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right="20" w:firstLine="391"/>
        <w:spacing w:after="0" w:line="275" w:lineRule="auto"/>
        <w:rPr>
          <w:sz w:val="20"/>
          <w:szCs w:val="20"/>
          <w:color w:val="auto"/>
        </w:rPr>
      </w:pPr>
      <w:r>
        <w:rPr>
          <w:rFonts w:ascii="Arial" w:cs="Arial" w:eastAsia="Arial" w:hAnsi="Arial"/>
          <w:sz w:val="17"/>
          <w:szCs w:val="17"/>
          <w:color w:val="auto"/>
        </w:rPr>
        <w:t xml:space="preserve">The Company adopted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amended, “ASC 606”), effective January 1, 2018, using the modified retrospective method applied to those contracts which were not substantially completed as of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ASC 606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w:t>
      </w:r>
    </w:p>
    <w:p>
      <w:pPr>
        <w:spacing w:after="0" w:line="284" w:lineRule="exact"/>
        <w:rPr>
          <w:sz w:val="20"/>
          <w:szCs w:val="20"/>
          <w:color w:val="auto"/>
        </w:rPr>
      </w:pPr>
    </w:p>
    <w:p>
      <w:pPr>
        <w:ind w:right="180" w:firstLine="391"/>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63"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ectPr>
          <w:pgSz w:w="11900" w:h="16838" w:orient="portrait"/>
          <w:cols w:equalWidth="0" w:num="1">
            <w:col w:w="11240"/>
          </w:cols>
          <w:pgMar w:left="320" w:top="553"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40"/>
          </w:cols>
          <w:pgMar w:left="320" w:top="553" w:right="339" w:bottom="1440" w:gutter="0" w:footer="0" w:header="0"/>
          <w:type w:val="continuous"/>
        </w:sectPr>
      </w:pPr>
    </w:p>
    <w:bookmarkStart w:id="66" w:name="page67"/>
    <w:bookmarkEnd w:id="66"/>
    <w:p>
      <w:pPr>
        <w:jc w:val="center"/>
        <w:ind w:right="-5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ind w:right="40" w:firstLine="391"/>
        <w:spacing w:after="0" w:line="263"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9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typically at the time when the product is delivered, shipped or installed at which time the title passes to the customer, and there are no further performance obligations with regards to the hardware device.</w:t>
      </w:r>
    </w:p>
    <w:p>
      <w:pPr>
        <w:spacing w:after="0" w:line="292"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i w:val="1"/>
          <w:iCs w:val="1"/>
          <w:color w:val="auto"/>
        </w:rPr>
        <w:t xml:space="preserve">SaaS and Other Services. </w:t>
      </w:r>
      <w:r>
        <w:rPr>
          <w:rFonts w:ascii="Arial" w:cs="Arial" w:eastAsia="Arial" w:hAnsi="Arial"/>
          <w:sz w:val="16"/>
          <w:szCs w:val="16"/>
          <w:color w:val="auto"/>
        </w:rPr>
        <w:t>SaaS subscription revenue is recognized over time on a ratable basis over the contract term beginning on the date that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Prior to adoption of FASB ASC,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on January 1, 2019, if the customer chose to lease the monitoring device, the Company accounted for the monitoring device lease as an operating lease, recognized the revenue for the monitoring device lease over the term of the contract and recorded such revenue in accordance with the previous lease accounting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Under the new standard, because the Company’s rental asset lease contracts qualify as operating leases under ASC 842 and the contracts also include services to operate the underlying asset, and to maintain the asset, the Company has elected the practical expedient to combine the lease and the non-lease components because the service is the predominant element in the eyes of the customer and the pattern of service delivery is the same for both elements. The Company recognizes revenue over time on a ratable basis over the term of the contract.</w:t>
      </w:r>
    </w:p>
    <w:p>
      <w:pPr>
        <w:spacing w:after="0" w:line="280" w:lineRule="exact"/>
        <w:rPr>
          <w:sz w:val="20"/>
          <w:szCs w:val="20"/>
          <w:color w:val="auto"/>
        </w:rPr>
      </w:pPr>
    </w:p>
    <w:p>
      <w:pPr>
        <w:ind w:left="660" w:right="24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separately-priced warranty contracts that extend beyond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73"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right="20" w:firstLine="391"/>
        <w:spacing w:after="0" w:line="263"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333" w:lineRule="exact"/>
        <w:rPr>
          <w:sz w:val="20"/>
          <w:szCs w:val="20"/>
          <w:color w:val="auto"/>
        </w:rPr>
      </w:pPr>
    </w:p>
    <w:p>
      <w:pPr>
        <w:ind w:right="140" w:firstLine="391"/>
        <w:spacing w:after="0" w:line="257" w:lineRule="auto"/>
        <w:rPr>
          <w:sz w:val="20"/>
          <w:szCs w:val="20"/>
          <w:color w:val="auto"/>
        </w:rPr>
      </w:pPr>
      <w:r>
        <w:rPr>
          <w:rFonts w:ascii="Arial" w:cs="Arial" w:eastAsia="Arial" w:hAnsi="Arial"/>
          <w:sz w:val="18"/>
          <w:szCs w:val="18"/>
          <w:color w:val="auto"/>
        </w:rPr>
        <w:t>The Company’s contracts with customers may include commitments to transfer multiple products and services to a customer. When hardware, software and services are sold in various combinations, judgment is required to determine whether each performance obligation is considered distinct and accounted for separately, or not distinct and accounted for together with other performance obligations.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296" w:lineRule="exact"/>
        <w:rPr>
          <w:sz w:val="20"/>
          <w:szCs w:val="20"/>
          <w:color w:val="auto"/>
        </w:rPr>
      </w:pPr>
    </w:p>
    <w:p>
      <w:pPr>
        <w:ind w:right="120" w:firstLine="391"/>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232" w:lineRule="exact"/>
        <w:rPr>
          <w:sz w:val="20"/>
          <w:szCs w:val="20"/>
          <w:color w:val="auto"/>
        </w:rPr>
      </w:pPr>
    </w:p>
    <w:p>
      <w:pPr>
        <w:ind w:right="100" w:firstLine="391"/>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ectPr>
          <w:pgSz w:w="11900" w:h="16838" w:orient="portrait"/>
          <w:cols w:equalWidth="0" w:num="1">
            <w:col w:w="11200"/>
          </w:cols>
          <w:pgMar w:left="320" w:top="553" w:right="379" w:bottom="1440" w:gutter="0" w:footer="0" w:header="0"/>
        </w:sect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200"/>
          </w:cols>
          <w:pgMar w:left="320" w:top="553" w:right="379" w:bottom="1440"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ind w:right="60" w:firstLine="391"/>
        <w:spacing w:after="0" w:line="263"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December 31, 2019.</w:t>
      </w:r>
    </w:p>
    <w:p>
      <w:pPr>
        <w:spacing w:after="0" w:line="130" w:lineRule="exact"/>
        <w:rPr>
          <w:sz w:val="20"/>
          <w:szCs w:val="20"/>
          <w:color w:val="auto"/>
        </w:rPr>
      </w:pPr>
    </w:p>
    <w:p>
      <w:pPr>
        <w:jc w:val="both"/>
        <w:ind w:right="460" w:firstLine="405"/>
        <w:spacing w:after="0" w:line="263" w:lineRule="auto"/>
        <w:rPr>
          <w:sz w:val="20"/>
          <w:szCs w:val="20"/>
          <w:color w:val="auto"/>
        </w:rPr>
      </w:pPr>
      <w:r>
        <w:rPr>
          <w:rFonts w:ascii="Arial" w:cs="Arial" w:eastAsia="Arial" w:hAnsi="Arial"/>
          <w:sz w:val="18"/>
          <w:szCs w:val="18"/>
          <w:color w:val="auto"/>
        </w:rPr>
        <w:t>Applying the practical expedient in paragraph 40-25-4 of ASC 340,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333"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25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33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w:t>
      </w:r>
    </w:p>
    <w:p>
      <w:pPr>
        <w:spacing w:after="0" w:line="33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Taxes collected on the value of transaction revenue are excluded from product and services revenues and cost of sales and are accrued in current liabilities until remitted to governmental authorities.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ind w:right="200" w:firstLine="405"/>
        <w:spacing w:after="0" w:line="271" w:lineRule="auto"/>
        <w:rPr>
          <w:sz w:val="20"/>
          <w:szCs w:val="20"/>
          <w:color w:val="auto"/>
        </w:rPr>
      </w:pPr>
      <w:r>
        <w:rPr>
          <w:rFonts w:ascii="Arial" w:cs="Arial" w:eastAsia="Arial" w:hAnsi="Arial"/>
          <w:sz w:val="17"/>
          <w:szCs w:val="17"/>
          <w:color w:val="auto"/>
        </w:rPr>
        <w:t>Foreign currency transactions are transactions denominated in a currency other than a subsidiary’s functional currency. A change in the exchange rates between a subsidiary’s functional currency and the currency in which a transaction is denominated increases or decreases the expected amount of functional currency cash flows upon settlement of the transaction. That increase or decrease in expected functional currency cash flows is reported by the Company as a foreign currency transaction gain (loss). The primary component of the Company’s foreign currency transaction gain (loss) is due to agreements in place with certain subsidiaries in foreign countries regarding intercompany transactions. Based upon historical experience, the Company anticipates repayment of these transactions in the foreseeable future, and recognizes the realized and unrealized gains (losses) on these transactions that result from foreign currency changes in the period in which they occur as foreign currency transaction gain (loss), which is recorded as other income (expense), net, in the consolidated statements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Assets and liabilities of the Company’s international subsidiaries in which the local currency is the functional currency are translated into U.S. Dollars at period-end exchange rates. Income and expenses are translated into U.S. Dollars at the average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553"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exchange rates during the period. The resulting translation adjustments are included in the Company’s consolidated balance sheets as a component of accumulated other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380" w:firstLine="432"/>
        <w:spacing w:after="0" w:line="301"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spacing w:after="0" w:line="211"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249"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60" w:firstLine="432"/>
        <w:spacing w:after="0" w:line="301"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The Company records a loss when information indicates that a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 expenses litigation costs as incurred.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Company has granted stock options and restricted stock units (“RSUs”) to employees, non-employee consultants and non-employee members of our Board of Directors. The Company also has an employee stock purchase plan (“ESPP”) for eligible employees. The Company measures the compensation cost associated with all share-based payments based on grant date fair values. The fair value of each stock option and stock purchase right is estimated on the date of grant using an option pricing model that meets certain requirements. The Company generally uses the Black-Scholes option pricing model to estimate the fair value of its stock options and stock purchase rights. The Black-Scholes model is considered an acceptable model but the fair values generated by it may not be indicative of the actual fair values of the Company’s equity awards as it does not consider certain factors important to those awards to recipients, such as continued service and periodic vesting requirements, as well as limited transferability. The determination of the fair value of share-based payment awards utilizing the Black-Scholes model is affected by the Company’s stock price and a number of assumptions, including expected volatility, expected term, risk-free interest rate and expected dividends.</w:t>
      </w:r>
    </w:p>
    <w:p>
      <w:pPr>
        <w:spacing w:after="0" w:line="127" w:lineRule="exact"/>
        <w:rPr>
          <w:sz w:val="20"/>
          <w:szCs w:val="20"/>
          <w:color w:val="auto"/>
        </w:rPr>
      </w:pPr>
    </w:p>
    <w:p>
      <w:pPr>
        <w:ind w:right="140" w:firstLine="432"/>
        <w:spacing w:after="0" w:line="296" w:lineRule="auto"/>
        <w:rPr>
          <w:sz w:val="20"/>
          <w:szCs w:val="20"/>
          <w:color w:val="auto"/>
        </w:rPr>
      </w:pPr>
      <w:r>
        <w:rPr>
          <w:rFonts w:ascii="Arial" w:cs="Arial" w:eastAsia="Arial" w:hAnsi="Arial"/>
          <w:sz w:val="16"/>
          <w:szCs w:val="16"/>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the implied volatility is representative of expected future volatility, the historical volatility over the expected term of the award is also an indicator of expected future volatility. Due to the short duration of stock purchase rights under the Company’s ESPP, the Company utilizes historical volatility in order to estimate the expected volatility assumption of the Black-Scholes model.</w:t>
      </w:r>
    </w:p>
    <w:p>
      <w:pPr>
        <w:spacing w:after="0" w:line="215"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The expected term of stock options granted is estimated using historical experience. The risk-free interest rate assumption is based on observed interest rates appropriate for the expected terms of the Company’s stock options and stock purchase rights. The dividend yield assumption is based on the Company’s history and expectation of no dividend payouts. The Company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553" w:right="3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estimates forfeitures at the time of grant and revises these estimates, if necessary, in subsequent periods if actual forfeitures differ from those estimates. The Company estimates its forfeiture rate assumption for all types of share-based compensation awards based on historical forfeiture rates related to each category of award.</w:t>
      </w:r>
    </w:p>
    <w:p>
      <w:pPr>
        <w:spacing w:after="0" w:line="23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common stock on the date of grant.</w:t>
      </w:r>
    </w:p>
    <w:p>
      <w:pPr>
        <w:spacing w:after="0" w:line="224"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 Company recognizes share-based compensation expense over the requisite service period of each individual award, which generally equals the vesting period, using the straight-line method for awards that contain only service conditions. For awards that contain performance conditions, the Company recognizes the share-based compensation expense on a straight-line basis for each vesting tranche.</w:t>
      </w:r>
    </w:p>
    <w:p>
      <w:pPr>
        <w:spacing w:after="0" w:line="219"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Inseego Corp.</w:t>
      </w:r>
    </w:p>
    <w:p>
      <w:pPr>
        <w:spacing w:after="0" w:line="117" w:lineRule="exact"/>
        <w:rPr>
          <w:sz w:val="20"/>
          <w:szCs w:val="20"/>
          <w:color w:val="auto"/>
        </w:rPr>
      </w:pPr>
    </w:p>
    <w:p>
      <w:pPr>
        <w:ind w:right="380" w:firstLine="432"/>
        <w:spacing w:after="0" w:line="257" w:lineRule="auto"/>
        <w:rPr>
          <w:sz w:val="20"/>
          <w:szCs w:val="20"/>
          <w:color w:val="auto"/>
        </w:rPr>
      </w:pPr>
      <w:r>
        <w:rPr>
          <w:rFonts w:ascii="Arial" w:cs="Arial" w:eastAsia="Arial" w:hAnsi="Arial"/>
          <w:sz w:val="18"/>
          <w:szCs w:val="18"/>
          <w:color w:val="auto"/>
        </w:rPr>
        <w:t>The Company computes basic and diluted per share data for all periods for which a statement of operations is presented. Basic net loss per share excludes dilution and is computed by dividing the net loss by the weighted-average number of shares that were outstanding during the period. Diluted earnings per share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right="600" w:firstLine="432"/>
        <w:spacing w:after="0" w:line="311" w:lineRule="auto"/>
        <w:rPr>
          <w:sz w:val="20"/>
          <w:szCs w:val="20"/>
          <w:color w:val="auto"/>
        </w:rPr>
      </w:pPr>
      <w:r>
        <w:rPr>
          <w:rFonts w:ascii="Arial" w:cs="Arial" w:eastAsia="Arial" w:hAnsi="Arial"/>
          <w:sz w:val="16"/>
          <w:szCs w:val="16"/>
          <w:color w:val="auto"/>
        </w:rPr>
        <w:t>The Company’s fair value measurements relate to its cash equivalents and money market funds, which are classified pursuant to authoritative guidance for fair value measurements. The Company places its cash equivalents in instruments that meet credit quality standards, as specified in its investment policy guidelines. These guidelines also limit the amount of credit exposure to any one issue, issuer or type of instrument.</w:t>
      </w:r>
    </w:p>
    <w:p>
      <w:pPr>
        <w:spacing w:after="0" w:line="203"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Company’s financial instruments consist principally of long-term debt. From time to time, the Company may utilize foreign exchange forward contracts. These contracts are valued using pricing models that take into account the currency rates as of the balance sheet 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loss consists of net earnings and foreign currency translation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amounts in prior periods have been reclassified to conform with current period presentation.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From time to time, new accounting pronouncements are issued by the FASB, which are adopted by the Company as of the specified date.</w:t>
      </w:r>
    </w:p>
    <w:p>
      <w:pPr>
        <w:spacing w:after="0" w:line="12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which is intended to simplify the accounting for income taxes. The amendment eliminates certain exceptions related to the approach for intraperiod tax allocation, the methodology for calculating income taxes in an interim period, and the recognition of deferred tax liabilities for outside basis differences. The amendment also clarifies existing guidance related to the recognition of franchise tax, the evaluation of a step up in the tax basis of goodwill, and the effects of enacted changes in tax laws or rates in the effective tax rate computation, among other clarifications. The guidance is effective for fiscal years, and interim periods within those fiscal years, beginning after December 15, 2020. The Company early adopted the pronouncement effective for the fourth quarter 2019, the impact of which was not material to the 2019 consolidated financial statements.</w:t>
      </w:r>
    </w:p>
    <w:p>
      <w:pPr>
        <w:spacing w:after="0" w:line="6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In June 2016, the FASB issued Accounting Standard Update (“ASU”) 2016-13, </w:t>
      </w:r>
      <w:r>
        <w:rPr>
          <w:rFonts w:ascii="Arial" w:cs="Arial" w:eastAsia="Arial" w:hAnsi="Arial"/>
          <w:sz w:val="18"/>
          <w:szCs w:val="18"/>
          <w:i w:val="1"/>
          <w:iCs w:val="1"/>
          <w:color w:val="auto"/>
        </w:rPr>
        <w:t>Financial Instruments</w:t>
      </w:r>
      <w:r>
        <w:rPr>
          <w:rFonts w:ascii="Arial" w:cs="Arial" w:eastAsia="Arial" w:hAnsi="Arial"/>
          <w:sz w:val="18"/>
          <w:szCs w:val="18"/>
          <w:i w:val="1"/>
          <w:iCs w:val="1"/>
          <w:color w:val="252525"/>
        </w:rPr>
        <w:t>—</w:t>
      </w:r>
      <w:r>
        <w:rPr>
          <w:rFonts w:ascii="Arial" w:cs="Arial" w:eastAsia="Arial" w:hAnsi="Arial"/>
          <w:sz w:val="18"/>
          <w:szCs w:val="18"/>
          <w:i w:val="1"/>
          <w:iCs w:val="1"/>
          <w:color w:val="auto"/>
        </w:rPr>
        <w:t>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 which requires measurement and recognition of expected credit losses for financial assets held. This guidance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interim and annual periods beginning after December 15, 2019. Early adoption is permitted. The Company is currently assessing the impact of this guidance.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553" w:right="35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financing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are accounted for similar to previous guidance for operating leases. The new standard requires lessors to account for leases using an approach that is substantially equivalent to previous guidance for sales-type leases, direct financing leases and operating leases. The Company adopted the standard on January 1, 2019, the date it became effective for public companies, using the modified retrospective approach whereby the cumulative effect of adoption was recognized on the adoption date and prior periods were not restated. There was no net cumulative effect adjustment to retained earnings as of January 1, 2019 as a result of this adoption. Upon adoption, the Company elected the package of practical expedients permitted within the standard, which among other things, allows for the carryforward of historical lease classification. The Company also elected the practical expedient provided in a subsequent amendment to the standard that removed the requirement to separate lease and non-lease components, provided certain conditions were met. Refer to Note 10,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 the impact of the adoption of this guidance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263"/>
        </w:trPr>
        <w:tc>
          <w:tcPr>
            <w:tcW w:w="86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21,229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14,797</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300" w:type="dxa"/>
            <w:vAlign w:val="bottom"/>
          </w:tcPr>
          <w:p>
            <w:pPr>
              <w:spacing w:after="0"/>
              <w:rPr>
                <w:sz w:val="20"/>
                <w:szCs w:val="20"/>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4,061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11,634</w:t>
            </w: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8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25,290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26,431</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263"/>
        </w:trPr>
        <w:tc>
          <w:tcPr>
            <w:tcW w:w="86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Buildings</w:t>
            </w: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2,247</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Test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14,444</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Computer equipment and purchased software</w:t>
            </w: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6,911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4,889</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tooling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504</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1,535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677</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1,990</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136</w:t>
            </w: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26,773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25,134</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Less—accumulated depreciation and amortization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(18,436)</w:t>
            </w: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8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6,698</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580" w:firstLine="432"/>
        <w:spacing w:after="0" w:line="263" w:lineRule="auto"/>
        <w:rPr>
          <w:sz w:val="20"/>
          <w:szCs w:val="20"/>
          <w:color w:val="auto"/>
        </w:rPr>
      </w:pPr>
      <w:r>
        <w:rPr>
          <w:rFonts w:ascii="Arial" w:cs="Arial" w:eastAsia="Arial" w:hAnsi="Arial"/>
          <w:sz w:val="18"/>
          <w:szCs w:val="18"/>
          <w:color w:val="auto"/>
        </w:rPr>
        <w:t>At December 31, 2019, the Company had vehicles and equipment under capital leases with an aggregate carrying value of $2.1 million, net of accumulated amortization of $2.6 million. At December 31, 2018, the Company had vehicles and equipment under capital leases with an aggregate carrying value of $1.9 million, net of accumulated amortization of $2.0 million.</w:t>
      </w:r>
    </w:p>
    <w:p>
      <w:pPr>
        <w:sectPr>
          <w:pgSz w:w="11900" w:h="16838" w:orient="portrait"/>
          <w:cols w:equalWidth="0" w:num="1">
            <w:col w:w="11240"/>
          </w:cols>
          <w:pgMar w:left="320" w:top="553"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240"/>
          </w:cols>
          <w:pgMar w:left="320" w:top="553" w:right="3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Assets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assets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264"/>
        </w:trPr>
        <w:tc>
          <w:tcPr>
            <w:tcW w:w="86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18,176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16,648</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Less—accumulated depreciation</w:t>
            </w:r>
          </w:p>
        </w:tc>
        <w:tc>
          <w:tcPr>
            <w:tcW w:w="3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(12,791)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(10,879)</w:t>
            </w: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8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5,385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5,769</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equipment under capital leases, and rental assets was $8.8 million and $7.0 million for the years ended December 31, 2019 and 2018,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264"/>
        </w:trPr>
        <w:tc>
          <w:tcPr>
            <w:tcW w:w="86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1,727</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2,716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2,415</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514</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1,543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239</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2,048</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7,368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5,081</w:t>
            </w: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8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13,024</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3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264"/>
        </w:trPr>
        <w:tc>
          <w:tcPr>
            <w:tcW w:w="86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23"/>
        </w:trPr>
        <w:tc>
          <w:tcPr>
            <w:tcW w:w="86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12,074</w:t>
            </w:r>
          </w:p>
        </w:tc>
        <w:tc>
          <w:tcPr>
            <w:tcW w:w="10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31,015</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w:t>
            </w:r>
          </w:p>
        </w:tc>
      </w:tr>
      <w:tr>
        <w:trPr>
          <w:trHeight w:val="244"/>
        </w:trPr>
        <w:tc>
          <w:tcPr>
            <w:tcW w:w="8660" w:type="dxa"/>
            <w:vAlign w:val="bottom"/>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12,074</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31,076</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activity in goodwill is presented below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37,681</w:t>
            </w:r>
          </w:p>
        </w:tc>
      </w:tr>
      <w:tr>
        <w:trPr>
          <w:trHeight w:val="223"/>
        </w:trPr>
        <w:tc>
          <w:tcPr>
            <w:tcW w:w="9980" w:type="dxa"/>
            <w:vAlign w:val="bottom"/>
          </w:tcPr>
          <w:p>
            <w:pPr>
              <w:ind w:left="280"/>
              <w:spacing w:after="0"/>
              <w:rPr>
                <w:sz w:val="20"/>
                <w:szCs w:val="20"/>
                <w:color w:val="auto"/>
              </w:rPr>
            </w:pPr>
            <w:r>
              <w:rPr>
                <w:rFonts w:ascii="Arial" w:cs="Arial" w:eastAsia="Arial" w:hAnsi="Arial"/>
                <w:sz w:val="16"/>
                <w:szCs w:val="16"/>
                <w:color w:val="auto"/>
              </w:rPr>
              <w:t>Effect of change in foreign currency exchange rates</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(4,739)</w:t>
            </w:r>
          </w:p>
        </w:tc>
      </w:tr>
      <w:tr>
        <w:trPr>
          <w:trHeight w:val="33"/>
        </w:trPr>
        <w:tc>
          <w:tcPr>
            <w:tcW w:w="9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32,942</w:t>
            </w:r>
          </w:p>
        </w:tc>
      </w:tr>
      <w:tr>
        <w:trPr>
          <w:trHeight w:val="223"/>
        </w:trPr>
        <w:tc>
          <w:tcPr>
            <w:tcW w:w="9980" w:type="dxa"/>
            <w:vAlign w:val="bottom"/>
          </w:tcPr>
          <w:p>
            <w:pPr>
              <w:ind w:left="280"/>
              <w:spacing w:after="0"/>
              <w:rPr>
                <w:sz w:val="20"/>
                <w:szCs w:val="20"/>
                <w:color w:val="auto"/>
              </w:rPr>
            </w:pPr>
            <w:r>
              <w:rPr>
                <w:rFonts w:ascii="Arial" w:cs="Arial" w:eastAsia="Arial" w:hAnsi="Arial"/>
                <w:sz w:val="16"/>
                <w:szCs w:val="16"/>
                <w:color w:val="auto"/>
              </w:rPr>
              <w:t>Effect of change in foreign currency exchange rates</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717</w:t>
            </w:r>
          </w:p>
        </w:tc>
      </w:tr>
      <w:tr>
        <w:trPr>
          <w:trHeight w:val="33"/>
        </w:trPr>
        <w:tc>
          <w:tcPr>
            <w:tcW w:w="9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33,659</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240"/>
          </w:cols>
          <w:pgMar w:left="320" w:top="553" w:right="339" w:bottom="144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intangible assets are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5940" w:type="dxa"/>
            <w:vAlign w:val="bottom"/>
          </w:tcPr>
          <w:p>
            <w:pPr>
              <w:ind w:left="40"/>
              <w:spacing w:after="0"/>
              <w:rPr>
                <w:sz w:val="20"/>
                <w:szCs w:val="20"/>
                <w:color w:val="auto"/>
              </w:rPr>
            </w:pPr>
            <w:r>
              <w:rPr>
                <w:rFonts w:ascii="Arial" w:cs="Arial" w:eastAsia="Arial" w:hAnsi="Arial"/>
                <w:sz w:val="16"/>
                <w:szCs w:val="16"/>
                <w:color w:val="auto"/>
              </w:rPr>
              <w:t>Finite-lived intangible assets:</w:t>
            </w: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9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Developed technologies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6.0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13,076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224"/>
        </w:trPr>
        <w:tc>
          <w:tcPr>
            <w:tcW w:w="5940" w:type="dxa"/>
            <w:vAlign w:val="bottom"/>
          </w:tcPr>
          <w:p>
            <w:pPr>
              <w:ind w:left="280"/>
              <w:spacing w:after="0"/>
              <w:rPr>
                <w:sz w:val="20"/>
                <w:szCs w:val="20"/>
                <w:color w:val="auto"/>
              </w:rPr>
            </w:pPr>
            <w:r>
              <w:rPr>
                <w:rFonts w:ascii="Arial" w:cs="Arial" w:eastAsia="Arial" w:hAnsi="Arial"/>
                <w:sz w:val="16"/>
                <w:szCs w:val="16"/>
                <w:color w:val="auto"/>
              </w:rPr>
              <w:t>Trademarks and trade names</w:t>
            </w:r>
          </w:p>
        </w:tc>
        <w:tc>
          <w:tcPr>
            <w:tcW w:w="1240" w:type="dxa"/>
            <w:vAlign w:val="bottom"/>
          </w:tcPr>
          <w:p>
            <w:pPr>
              <w:jc w:val="center"/>
              <w:spacing w:after="0"/>
              <w:rPr>
                <w:sz w:val="20"/>
                <w:szCs w:val="20"/>
                <w:color w:val="auto"/>
              </w:rPr>
            </w:pPr>
            <w:r>
              <w:rPr>
                <w:rFonts w:ascii="Arial" w:cs="Arial" w:eastAsia="Arial" w:hAnsi="Arial"/>
                <w:sz w:val="16"/>
                <w:szCs w:val="16"/>
                <w:color w:val="auto"/>
                <w:w w:val="96"/>
              </w:rPr>
              <w:t>10.0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18,352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10,312</w:t>
            </w:r>
          </w:p>
        </w:tc>
        <w:tc>
          <w:tcPr>
            <w:tcW w:w="0" w:type="dxa"/>
            <w:vAlign w:val="bottom"/>
          </w:tcPr>
          <w:p>
            <w:pPr>
              <w:spacing w:after="0"/>
              <w:rPr>
                <w:sz w:val="1"/>
                <w:szCs w:val="1"/>
                <w:color w:val="auto"/>
              </w:rPr>
            </w:pPr>
          </w:p>
        </w:tc>
      </w:tr>
      <w:tr>
        <w:trPr>
          <w:trHeight w:val="46"/>
        </w:trPr>
        <w:tc>
          <w:tcPr>
            <w:tcW w:w="59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Customer relationships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8.4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5,047</w:t>
            </w:r>
          </w:p>
        </w:tc>
        <w:tc>
          <w:tcPr>
            <w:tcW w:w="0" w:type="dxa"/>
            <w:vAlign w:val="bottom"/>
          </w:tcPr>
          <w:p>
            <w:pPr>
              <w:spacing w:after="0"/>
              <w:rPr>
                <w:sz w:val="1"/>
                <w:szCs w:val="1"/>
                <w:color w:val="auto"/>
              </w:rPr>
            </w:pPr>
          </w:p>
        </w:tc>
      </w:tr>
      <w:tr>
        <w:trPr>
          <w:trHeight w:val="224"/>
        </w:trPr>
        <w:tc>
          <w:tcPr>
            <w:tcW w:w="5940" w:type="dxa"/>
            <w:vAlign w:val="bottom"/>
          </w:tcPr>
          <w:p>
            <w:pPr>
              <w:ind w:left="280"/>
              <w:spacing w:after="0"/>
              <w:rPr>
                <w:sz w:val="20"/>
                <w:szCs w:val="20"/>
                <w:color w:val="auto"/>
              </w:rPr>
            </w:pPr>
            <w:r>
              <w:rPr>
                <w:rFonts w:ascii="Arial" w:cs="Arial" w:eastAsia="Arial" w:hAnsi="Arial"/>
                <w:sz w:val="16"/>
                <w:szCs w:val="16"/>
                <w:color w:val="auto"/>
              </w:rPr>
              <w:t>Capitalized software development costs</w:t>
            </w: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19,375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12,805</w:t>
            </w:r>
          </w:p>
        </w:tc>
        <w:tc>
          <w:tcPr>
            <w:tcW w:w="0" w:type="dxa"/>
            <w:vAlign w:val="bottom"/>
          </w:tcPr>
          <w:p>
            <w:pPr>
              <w:spacing w:after="0"/>
              <w:rPr>
                <w:sz w:val="1"/>
                <w:szCs w:val="1"/>
                <w:color w:val="auto"/>
              </w:rPr>
            </w:pPr>
          </w:p>
        </w:tc>
      </w:tr>
      <w:tr>
        <w:trPr>
          <w:trHeight w:val="46"/>
        </w:trPr>
        <w:tc>
          <w:tcPr>
            <w:tcW w:w="59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2.4</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17"/>
        </w:trPr>
        <w:tc>
          <w:tcPr>
            <w:tcW w:w="5940" w:type="dxa"/>
            <w:vAlign w:val="bottom"/>
          </w:tcPr>
          <w:p>
            <w:pPr>
              <w:ind w:left="500"/>
              <w:spacing w:after="0"/>
              <w:rPr>
                <w:sz w:val="20"/>
                <w:szCs w:val="20"/>
                <w:color w:val="auto"/>
              </w:rPr>
            </w:pPr>
            <w:r>
              <w:rPr>
                <w:rFonts w:ascii="Arial" w:cs="Arial" w:eastAsia="Arial" w:hAnsi="Arial"/>
                <w:sz w:val="16"/>
                <w:szCs w:val="16"/>
                <w:color w:val="auto"/>
              </w:rPr>
              <w:t>Total finite-lived intangible assets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66,249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(33,011)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33,238</w:t>
            </w:r>
          </w:p>
        </w:tc>
        <w:tc>
          <w:tcPr>
            <w:tcW w:w="0" w:type="dxa"/>
            <w:vAlign w:val="bottom"/>
          </w:tcPr>
          <w:p>
            <w:pPr>
              <w:spacing w:after="0"/>
              <w:rPr>
                <w:sz w:val="1"/>
                <w:szCs w:val="1"/>
                <w:color w:val="auto"/>
              </w:rPr>
            </w:pPr>
          </w:p>
        </w:tc>
      </w:tr>
      <w:tr>
        <w:trPr>
          <w:trHeight w:val="73"/>
        </w:trPr>
        <w:tc>
          <w:tcPr>
            <w:tcW w:w="5940" w:type="dxa"/>
            <w:vAlign w:val="bottom"/>
            <w:tcBorders>
              <w:bottom w:val="single" w:sz="8" w:color="CCEEFF"/>
            </w:tcBorders>
          </w:tcPr>
          <w:p>
            <w:pPr>
              <w:spacing w:after="0"/>
              <w:rPr>
                <w:sz w:val="6"/>
                <w:szCs w:val="6"/>
                <w:color w:val="auto"/>
              </w:rPr>
            </w:pPr>
          </w:p>
        </w:tc>
        <w:tc>
          <w:tcPr>
            <w:tcW w:w="12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940" w:type="dxa"/>
            <w:vAlign w:val="bottom"/>
          </w:tcPr>
          <w:p>
            <w:pPr>
              <w:ind w:left="280"/>
              <w:spacing w:after="0"/>
              <w:rPr>
                <w:sz w:val="20"/>
                <w:szCs w:val="20"/>
                <w:color w:val="auto"/>
              </w:rPr>
            </w:pPr>
            <w:r>
              <w:rPr>
                <w:rFonts w:ascii="Arial" w:cs="Arial" w:eastAsia="Arial" w:hAnsi="Arial"/>
                <w:sz w:val="16"/>
                <w:szCs w:val="16"/>
                <w:color w:val="auto"/>
              </w:rPr>
              <w:t>In-process capitalized software development costs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11,154</w:t>
            </w:r>
          </w:p>
        </w:tc>
        <w:tc>
          <w:tcPr>
            <w:tcW w:w="0" w:type="dxa"/>
            <w:vAlign w:val="bottom"/>
          </w:tcPr>
          <w:p>
            <w:pPr>
              <w:spacing w:after="0"/>
              <w:rPr>
                <w:sz w:val="1"/>
                <w:szCs w:val="1"/>
                <w:color w:val="auto"/>
              </w:rPr>
            </w:pPr>
          </w:p>
        </w:tc>
      </w:tr>
      <w:tr>
        <w:trPr>
          <w:trHeight w:val="46"/>
        </w:trPr>
        <w:tc>
          <w:tcPr>
            <w:tcW w:w="594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44,392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gridSpan w:val="5"/>
            <w:vMerge w:val="restart"/>
          </w:tcPr>
          <w:p>
            <w:pPr>
              <w:ind w:left="5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9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940" w:type="dxa"/>
            <w:vAlign w:val="bottom"/>
          </w:tcPr>
          <w:p>
            <w:pPr>
              <w:ind w:left="40"/>
              <w:spacing w:after="0"/>
              <w:rPr>
                <w:sz w:val="20"/>
                <w:szCs w:val="20"/>
                <w:color w:val="auto"/>
              </w:rPr>
            </w:pPr>
            <w:r>
              <w:rPr>
                <w:rFonts w:ascii="Arial" w:cs="Arial" w:eastAsia="Arial" w:hAnsi="Arial"/>
                <w:sz w:val="16"/>
                <w:szCs w:val="16"/>
                <w:color w:val="auto"/>
              </w:rPr>
              <w:t>Finite-lived intangible assets:</w:t>
            </w: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9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Developed technologies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6.0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12,846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5,812</w:t>
            </w:r>
          </w:p>
        </w:tc>
        <w:tc>
          <w:tcPr>
            <w:tcW w:w="0" w:type="dxa"/>
            <w:vAlign w:val="bottom"/>
          </w:tcPr>
          <w:p>
            <w:pPr>
              <w:spacing w:after="0"/>
              <w:rPr>
                <w:sz w:val="1"/>
                <w:szCs w:val="1"/>
                <w:color w:val="auto"/>
              </w:rPr>
            </w:pPr>
          </w:p>
        </w:tc>
      </w:tr>
      <w:tr>
        <w:trPr>
          <w:trHeight w:val="223"/>
        </w:trPr>
        <w:tc>
          <w:tcPr>
            <w:tcW w:w="5940" w:type="dxa"/>
            <w:vAlign w:val="bottom"/>
          </w:tcPr>
          <w:p>
            <w:pPr>
              <w:ind w:left="280"/>
              <w:spacing w:after="0"/>
              <w:rPr>
                <w:sz w:val="20"/>
                <w:szCs w:val="20"/>
                <w:color w:val="auto"/>
              </w:rPr>
            </w:pPr>
            <w:r>
              <w:rPr>
                <w:rFonts w:ascii="Arial" w:cs="Arial" w:eastAsia="Arial" w:hAnsi="Arial"/>
                <w:sz w:val="16"/>
                <w:szCs w:val="16"/>
                <w:color w:val="auto"/>
              </w:rPr>
              <w:t>Trademarks and trade names</w:t>
            </w:r>
          </w:p>
        </w:tc>
        <w:tc>
          <w:tcPr>
            <w:tcW w:w="1240" w:type="dxa"/>
            <w:vAlign w:val="bottom"/>
          </w:tcPr>
          <w:p>
            <w:pPr>
              <w:jc w:val="center"/>
              <w:spacing w:after="0"/>
              <w:rPr>
                <w:sz w:val="20"/>
                <w:szCs w:val="20"/>
                <w:color w:val="auto"/>
              </w:rPr>
            </w:pPr>
            <w:r>
              <w:rPr>
                <w:rFonts w:ascii="Arial" w:cs="Arial" w:eastAsia="Arial" w:hAnsi="Arial"/>
                <w:sz w:val="16"/>
                <w:szCs w:val="16"/>
                <w:color w:val="auto"/>
                <w:w w:val="96"/>
              </w:rPr>
              <w:t>10.0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18,034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11,931</w:t>
            </w:r>
          </w:p>
        </w:tc>
        <w:tc>
          <w:tcPr>
            <w:tcW w:w="0" w:type="dxa"/>
            <w:vAlign w:val="bottom"/>
          </w:tcPr>
          <w:p>
            <w:pPr>
              <w:spacing w:after="0"/>
              <w:rPr>
                <w:sz w:val="1"/>
                <w:szCs w:val="1"/>
                <w:color w:val="auto"/>
              </w:rPr>
            </w:pPr>
          </w:p>
        </w:tc>
      </w:tr>
      <w:tr>
        <w:trPr>
          <w:trHeight w:val="47"/>
        </w:trPr>
        <w:tc>
          <w:tcPr>
            <w:tcW w:w="59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Customer relationships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8.4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6,657</w:t>
            </w:r>
          </w:p>
        </w:tc>
        <w:tc>
          <w:tcPr>
            <w:tcW w:w="0" w:type="dxa"/>
            <w:vAlign w:val="bottom"/>
          </w:tcPr>
          <w:p>
            <w:pPr>
              <w:spacing w:after="0"/>
              <w:rPr>
                <w:sz w:val="1"/>
                <w:szCs w:val="1"/>
                <w:color w:val="auto"/>
              </w:rPr>
            </w:pPr>
          </w:p>
        </w:tc>
      </w:tr>
      <w:tr>
        <w:trPr>
          <w:trHeight w:val="223"/>
        </w:trPr>
        <w:tc>
          <w:tcPr>
            <w:tcW w:w="5940" w:type="dxa"/>
            <w:vAlign w:val="bottom"/>
          </w:tcPr>
          <w:p>
            <w:pPr>
              <w:ind w:left="280"/>
              <w:spacing w:after="0"/>
              <w:rPr>
                <w:sz w:val="20"/>
                <w:szCs w:val="20"/>
                <w:color w:val="auto"/>
              </w:rPr>
            </w:pPr>
            <w:r>
              <w:rPr>
                <w:rFonts w:ascii="Arial" w:cs="Arial" w:eastAsia="Arial" w:hAnsi="Arial"/>
                <w:sz w:val="16"/>
                <w:szCs w:val="16"/>
                <w:color w:val="auto"/>
              </w:rPr>
              <w:t>Capitalized software development costs</w:t>
            </w: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7,221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4,815</w:t>
            </w:r>
          </w:p>
        </w:tc>
        <w:tc>
          <w:tcPr>
            <w:tcW w:w="0" w:type="dxa"/>
            <w:vAlign w:val="bottom"/>
          </w:tcPr>
          <w:p>
            <w:pPr>
              <w:spacing w:after="0"/>
              <w:rPr>
                <w:sz w:val="1"/>
                <w:szCs w:val="1"/>
                <w:color w:val="auto"/>
              </w:rPr>
            </w:pPr>
          </w:p>
        </w:tc>
      </w:tr>
      <w:tr>
        <w:trPr>
          <w:trHeight w:val="46"/>
        </w:trPr>
        <w:tc>
          <w:tcPr>
            <w:tcW w:w="59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2.3</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17"/>
        </w:trPr>
        <w:tc>
          <w:tcPr>
            <w:tcW w:w="5940" w:type="dxa"/>
            <w:vAlign w:val="bottom"/>
          </w:tcPr>
          <w:p>
            <w:pPr>
              <w:ind w:left="500"/>
              <w:spacing w:after="0"/>
              <w:rPr>
                <w:sz w:val="20"/>
                <w:szCs w:val="20"/>
                <w:color w:val="auto"/>
              </w:rPr>
            </w:pPr>
            <w:r>
              <w:rPr>
                <w:rFonts w:ascii="Arial" w:cs="Arial" w:eastAsia="Arial" w:hAnsi="Arial"/>
                <w:sz w:val="16"/>
                <w:szCs w:val="16"/>
                <w:color w:val="auto"/>
              </w:rPr>
              <w:t>Total finite-lived intangible assets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52,944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(22,101)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30,843</w:t>
            </w:r>
          </w:p>
        </w:tc>
        <w:tc>
          <w:tcPr>
            <w:tcW w:w="0" w:type="dxa"/>
            <w:vAlign w:val="bottom"/>
          </w:tcPr>
          <w:p>
            <w:pPr>
              <w:spacing w:after="0"/>
              <w:rPr>
                <w:sz w:val="1"/>
                <w:szCs w:val="1"/>
                <w:color w:val="auto"/>
              </w:rPr>
            </w:pPr>
          </w:p>
        </w:tc>
      </w:tr>
      <w:tr>
        <w:trPr>
          <w:trHeight w:val="73"/>
        </w:trPr>
        <w:tc>
          <w:tcPr>
            <w:tcW w:w="5940" w:type="dxa"/>
            <w:vAlign w:val="bottom"/>
            <w:tcBorders>
              <w:bottom w:val="single" w:sz="8" w:color="CCEEFF"/>
            </w:tcBorders>
          </w:tcPr>
          <w:p>
            <w:pPr>
              <w:spacing w:after="0"/>
              <w:rPr>
                <w:sz w:val="6"/>
                <w:szCs w:val="6"/>
                <w:color w:val="auto"/>
              </w:rPr>
            </w:pPr>
          </w:p>
        </w:tc>
        <w:tc>
          <w:tcPr>
            <w:tcW w:w="12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9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80"/>
              <w:spacing w:after="0"/>
              <w:rPr>
                <w:sz w:val="20"/>
                <w:szCs w:val="20"/>
                <w:color w:val="auto"/>
              </w:rPr>
            </w:pPr>
            <w:r>
              <w:rPr>
                <w:rFonts w:ascii="Arial" w:cs="Arial" w:eastAsia="Arial" w:hAnsi="Arial"/>
                <w:sz w:val="16"/>
                <w:szCs w:val="16"/>
                <w:color w:val="auto"/>
              </w:rPr>
              <w:t>In-process capitalized software development costs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46"/>
        </w:trPr>
        <w:tc>
          <w:tcPr>
            <w:tcW w:w="594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31,985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Amortization expense for the years ended December 31, 2019 and 2018 was approximately $9.7 million and $6.7 million, respectively, including approximately $4.1 million and $1.4 million related to capitalized software development costs for the years ended December 31, 2019 and 2018, respectively.</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recorded no impairment losses on intangible assets during the years ended December 31, 2019 and December 31, 2018.</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represents details of the amortization of finite-lived intangible assets that is estimated to be expensed in the future (in thousands):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process)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12,477</w:t>
            </w:r>
          </w:p>
        </w:tc>
      </w:tr>
      <w:tr>
        <w:trPr>
          <w:trHeight w:val="224"/>
        </w:trPr>
        <w:tc>
          <w:tcPr>
            <w:tcW w:w="9980" w:type="dxa"/>
            <w:vAlign w:val="bottom"/>
          </w:tcPr>
          <w:p>
            <w:pPr>
              <w:ind w:left="40"/>
              <w:spacing w:after="0"/>
              <w:rPr>
                <w:sz w:val="20"/>
                <w:szCs w:val="20"/>
                <w:color w:val="auto"/>
              </w:rPr>
            </w:pPr>
            <w:r>
              <w:rPr>
                <w:rFonts w:ascii="Arial" w:cs="Arial" w:eastAsia="Arial" w:hAnsi="Arial"/>
                <w:sz w:val="16"/>
                <w:szCs w:val="16"/>
                <w:color w:val="auto"/>
              </w:rPr>
              <w:t>2021</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7,119</w:t>
            </w:r>
          </w:p>
        </w:tc>
      </w:tr>
      <w:tr>
        <w:trPr>
          <w:trHeight w:val="33"/>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4,419</w:t>
            </w:r>
          </w:p>
        </w:tc>
      </w:tr>
      <w:tr>
        <w:trPr>
          <w:trHeight w:val="223"/>
        </w:trPr>
        <w:tc>
          <w:tcPr>
            <w:tcW w:w="9980" w:type="dxa"/>
            <w:vAlign w:val="bottom"/>
          </w:tcPr>
          <w:p>
            <w:pPr>
              <w:ind w:left="40"/>
              <w:spacing w:after="0"/>
              <w:rPr>
                <w:sz w:val="20"/>
                <w:szCs w:val="20"/>
                <w:color w:val="auto"/>
              </w:rPr>
            </w:pPr>
            <w:r>
              <w:rPr>
                <w:rFonts w:ascii="Arial" w:cs="Arial" w:eastAsia="Arial" w:hAnsi="Arial"/>
                <w:sz w:val="16"/>
                <w:szCs w:val="16"/>
                <w:color w:val="auto"/>
              </w:rPr>
              <w:t>2023</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4,309</w:t>
            </w:r>
          </w:p>
        </w:tc>
      </w:tr>
      <w:tr>
        <w:trPr>
          <w:trHeight w:val="33"/>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3,557</w:t>
            </w:r>
          </w:p>
        </w:tc>
      </w:tr>
      <w:tr>
        <w:trPr>
          <w:trHeight w:val="223"/>
        </w:trPr>
        <w:tc>
          <w:tcPr>
            <w:tcW w:w="99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1,357</w:t>
            </w:r>
          </w:p>
        </w:tc>
      </w:tr>
      <w:tr>
        <w:trPr>
          <w:trHeight w:val="33"/>
        </w:trPr>
        <w:tc>
          <w:tcPr>
            <w:tcW w:w="9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9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33,238</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 of Assets and Liabilities</w:t>
      </w:r>
    </w:p>
    <w:p>
      <w:pPr>
        <w:spacing w:after="0" w:line="202"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553" w:right="35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3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ind w:left="1060" w:right="180" w:hanging="647"/>
        <w:spacing w:after="0" w:line="263"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are those in which transactions for the asset or liability occur in sufficient frequency and volume to provide pricing information on an ongoing basis.</w:t>
      </w:r>
    </w:p>
    <w:p>
      <w:pPr>
        <w:spacing w:after="0" w:line="184" w:lineRule="exact"/>
        <w:rPr>
          <w:sz w:val="20"/>
          <w:szCs w:val="20"/>
          <w:color w:val="auto"/>
        </w:rPr>
      </w:pPr>
    </w:p>
    <w:p>
      <w:pPr>
        <w:ind w:left="1060" w:right="10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1060" w:right="940" w:hanging="647"/>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Pricing inputs include significant inputs that are generally less observable from objective sources, including the Company’s own</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w:t>
      </w:r>
    </w:p>
    <w:p>
      <w:pPr>
        <w:spacing w:after="0" w:line="143" w:lineRule="exact"/>
        <w:rPr>
          <w:sz w:val="20"/>
          <w:szCs w:val="20"/>
          <w:color w:val="auto"/>
        </w:rPr>
      </w:pPr>
    </w:p>
    <w:p>
      <w:pPr>
        <w:ind w:right="360" w:firstLine="432"/>
        <w:spacing w:after="0" w:line="263"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year ended December 31, 2019.</w:t>
      </w:r>
    </w:p>
    <w:p>
      <w:pPr>
        <w:spacing w:after="0" w:line="13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2019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2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2019</w:t>
            </w: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8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7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7"/>
        </w:trPr>
        <w:tc>
          <w:tcPr>
            <w:tcW w:w="7880" w:type="dxa"/>
            <w:vAlign w:val="bottom"/>
          </w:tcPr>
          <w:p>
            <w:pPr>
              <w:ind w:left="380"/>
              <w:spacing w:after="0"/>
              <w:rPr>
                <w:sz w:val="20"/>
                <w:szCs w:val="20"/>
                <w:color w:val="auto"/>
              </w:rPr>
            </w:pPr>
            <w:r>
              <w:rPr>
                <w:rFonts w:ascii="Arial" w:cs="Arial" w:eastAsia="Arial" w:hAnsi="Arial"/>
                <w:sz w:val="16"/>
                <w:szCs w:val="16"/>
                <w:color w:val="auto"/>
              </w:rPr>
              <w:t>Total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2018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2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2018</w:t>
            </w: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8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7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10,085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10,085</w:t>
            </w:r>
          </w:p>
        </w:tc>
        <w:tc>
          <w:tcPr>
            <w:tcW w:w="0" w:type="dxa"/>
            <w:vAlign w:val="bottom"/>
          </w:tcPr>
          <w:p>
            <w:pPr>
              <w:spacing w:after="0"/>
              <w:rPr>
                <w:sz w:val="1"/>
                <w:szCs w:val="1"/>
                <w:color w:val="auto"/>
              </w:rPr>
            </w:pPr>
          </w:p>
        </w:tc>
      </w:tr>
      <w:tr>
        <w:trPr>
          <w:trHeight w:val="217"/>
        </w:trPr>
        <w:tc>
          <w:tcPr>
            <w:tcW w:w="7880" w:type="dxa"/>
            <w:vAlign w:val="bottom"/>
          </w:tcPr>
          <w:p>
            <w:pPr>
              <w:ind w:left="380"/>
              <w:spacing w:after="0"/>
              <w:rPr>
                <w:sz w:val="20"/>
                <w:szCs w:val="20"/>
                <w:color w:val="auto"/>
              </w:rPr>
            </w:pPr>
            <w:r>
              <w:rPr>
                <w:rFonts w:ascii="Arial" w:cs="Arial" w:eastAsia="Arial" w:hAnsi="Arial"/>
                <w:sz w:val="16"/>
                <w:szCs w:val="16"/>
                <w:color w:val="auto"/>
              </w:rPr>
              <w:t>Total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10,085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10,085</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2019 and 2018, the Company had no outstanding foreign currency exchange forward contracts.</w:t>
      </w:r>
    </w:p>
    <w:p>
      <w:pPr>
        <w:spacing w:after="0" w:line="117"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During the years ended December 31, 2019 and 2018, the Company recorded net foreign currency transaction losses of approximately $0.3 million and $0.4 million, respectively, primarily related to outstanding intercompany loans that Ctrack has with certain of its subsidiaries, which are remeasured at each reporting period and payable upon demand.</w:t>
      </w:r>
    </w:p>
    <w:p>
      <w:pPr>
        <w:spacing w:after="0" w:line="76"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All recorded gains and losses on foreign currency transactions are recorded in other income (expense), net, in the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$105.1 million in Convertible Notes (as defined below) (see Note 5, </w:t>
      </w:r>
      <w:r>
        <w:rPr>
          <w:rFonts w:ascii="Arial" w:cs="Arial" w:eastAsia="Arial" w:hAnsi="Arial"/>
          <w:sz w:val="18"/>
          <w:szCs w:val="18"/>
          <w:i w:val="1"/>
          <w:iCs w:val="1"/>
          <w:color w:val="auto"/>
        </w:rPr>
        <w:t>Debt</w:t>
      </w:r>
      <w:r>
        <w:rPr>
          <w:rFonts w:ascii="Arial" w:cs="Arial" w:eastAsia="Arial" w:hAnsi="Arial"/>
          <w:sz w:val="18"/>
          <w:szCs w:val="18"/>
          <w:color w:val="auto"/>
        </w:rPr>
        <w:t>). The Company carries its Convertible Notes at amortized cost. The debt and equity components of the Convertible Notes were initially measured using Level 3 inputs and are not measured on a recurring basis. It is not practicable</w:t>
      </w:r>
    </w:p>
    <w:p>
      <w:pPr>
        <w:sectPr>
          <w:pgSz w:w="11900" w:h="16838" w:orient="portrait"/>
          <w:cols w:equalWidth="0" w:num="1">
            <w:col w:w="11240"/>
          </w:cols>
          <w:pgMar w:left="320" w:top="553"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240"/>
          </w:cols>
          <w:pgMar w:left="320" w:top="553" w:right="339"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to determine the fair value of the Convertible Notes due to the lack of information available to calculate the fair value of such notes. The carrying value of the liability component of the Convertible Notes was $101.3 million and $93.1 million as of December 31, 2019 and 2018,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Borrowings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Banking Facility</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DigiCore has a secured banking facility with Absa Bank Limited in South Africa (“Absa”), which had a maximum borrowing capacity of $1.0 million at December 31, 2019. The facility bears interest at the South Africa prime interest rate less 0.10% (9.90% at December 31, 2019) and is subject to renewal annually. At December 31, 2019 and 2018, $0.2 million and $1.0 million, respectively, was outstanding under this facility.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Overdraft Facility</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DigiCore has a secured overdraft facility with Grindrod Bank Limited in South Africa, which had a maximum borrowing capacity of $0.3 million at December 31, 2019. The facility bears interest at the South Africa prime interest rate plus 1.00% (11.00% at December 31, 2019), requires monthly interest and, in certain instances, minimum principal payments. The facility is subject to renewal annually. At December 31, 2019 and 2018, $21.0 thousand and $0.4 million, respectively, was outstanding under this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33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August 23, 2017, the Company and certain of its direct and indirect subsidiaries (the “Guarantors”) entered into a credit agreement (the “Credit Agreement”) with Cantor Fitzgerald Securities, as administrative agent and collateral agent, and certain lenders (the “Lenders”). Pursuant to the Credit Agreement, the Lenders provided the Company with a term loan in the principal amount of $48.0 million (the “Term Loan”) with a maturity date of August 23, 2020 (the “Maturity Date”). 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 $14.9 million of its outstanding Inseego Notes (as defined below) pursuant to the terms of the Note Purchase Agreement (as defined below).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28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Term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 material adverse change clause, as well as customary reporting and financial covenants, including a restriction on the level of capital expenditures. The Company obtained waivers of the capital expenditure restriction from the lenders during the year ended December 31, 2019. As a result of the waivers, as of December 31, 2019, the Company was in compliance with all financial covenants under the Credit Agreement. On March 9, 2020, the Company entered into an amendment to the Credit Agreement, which among other things, amended certain financial covenants set forth therein and permits the use of the Company’s Series E Preferred Stock to make certain payments, including interest payments, due thereunder.</w:t>
      </w:r>
    </w:p>
    <w:p>
      <w:pPr>
        <w:spacing w:after="0" w:line="300"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The Term Loan bears interest at a rate per annum equal to the three-month LIBOR, but in no event less than 1.00%, plus 7.625% (9.535% at December 31, 2019). Interest on the Term Loan is payable on the last business day of each calendar month and on the Maturity Date. Principal on the Term Loan is payable on the Maturity Date. At December 31, 2019, interest due to related parties, totaling $1.3 million, was deferred and is included in accrued expenses and other current liabilities on the condensed consolidated balance sheet. This amount will convert to Series E Preferred Stock based on the amendment noted above. Principal on the Term Loan is payable on the Maturity Date.</w:t>
      </w:r>
    </w:p>
    <w:p>
      <w:pPr>
        <w:spacing w:after="0" w:line="284"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 xml:space="preserve">As required by the terms of the Credit Agreement, during the year ended December 31, 2018, the Company repaid $0.5 million of principal on the Term Loan in connection with the Settlement Agreement, as defined below (see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320" w:top="553" w:right="3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Related parties currently hold 100% of the principal amount. On March 10, 2020, the Company entered into a letter agreement (the “Letter Agreement”) with South Ocean Funding, LLC (“South Ocean”), the Lender, holder of the aggregate principal amount currently outstanding under the Credit Agreement, which provides: (i) that the Company and South Ocean will work together, in good faith, to reach an agreement to amend or refinance the Credit Agreement in order to extend the maturity of the Credit Agreement until a date after March 15, 2021; and (ii) should an agreement not be reached to amend or refinance the Credit Agreement prior to August 23, 2020, upon request of the Company, the maturity date of the Credit Agreement will be extended to no earlier than March 15, 2021.</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264"/>
        </w:trPr>
        <w:tc>
          <w:tcPr>
            <w:tcW w:w="86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47,500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47,500</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Less: unamortized debt discount and debt issuance costs</w:t>
            </w:r>
          </w:p>
        </w:tc>
        <w:tc>
          <w:tcPr>
            <w:tcW w:w="3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(2,454)</w:t>
            </w: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46,538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45,046</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effective interest rate on the Term Loan was 13.50% for the year ended December 31, 2019. The following table sets forth total interest expense recognized related to the Term Loan during the years ended December 31, 2019 and 2018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86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4,684</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30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1,331</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160</w:t>
            </w:r>
          </w:p>
        </w:tc>
      </w:tr>
      <w:tr>
        <w:trPr>
          <w:trHeight w:val="244"/>
        </w:trPr>
        <w:tc>
          <w:tcPr>
            <w:tcW w:w="866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6,281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6,175</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Novatel Wireless Notes</w:t>
      </w:r>
    </w:p>
    <w:p>
      <w:pPr>
        <w:spacing w:after="0" w:line="1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June 10, 2015, Novatel Wireless issued $120.0 million of 5.50% convertible senior notes due 2020 (the “Novatel Wireless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3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Novatel Wireless Notes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the Company’s common stock, or a combination thereof, at the election of the Company, at an initial conversion price of $5.00 per share of the Company’s common stock.</w:t>
      </w:r>
    </w:p>
    <w:p>
      <w:pPr>
        <w:spacing w:after="0" w:line="300" w:lineRule="exact"/>
        <w:rPr>
          <w:sz w:val="20"/>
          <w:szCs w:val="20"/>
          <w:color w:val="auto"/>
        </w:rPr>
      </w:pPr>
    </w:p>
    <w:p>
      <w:pPr>
        <w:ind w:right="60" w:firstLine="391"/>
        <w:spacing w:after="0" w:line="254" w:lineRule="auto"/>
        <w:rPr>
          <w:sz w:val="20"/>
          <w:szCs w:val="20"/>
          <w:color w:val="auto"/>
        </w:rPr>
      </w:pPr>
      <w:r>
        <w:rPr>
          <w:rFonts w:ascii="Arial" w:cs="Arial" w:eastAsia="Arial" w:hAnsi="Arial"/>
          <w:sz w:val="18"/>
          <w:szCs w:val="18"/>
          <w:color w:val="auto"/>
        </w:rPr>
        <w:t>Following the settlement of the exchange offer and consent solicitation described below, approximately $0.2 million aggregate principal amount of Novatel Wireless Notes remain outstanding. In connection with the exchange offer and consent solicitation, the Novatel Wireless Notes and its related indenture were amended to, among other things, eliminate certain events of default and substantially all of the restrictive covenants in the Novatel Wireless Notes and its related indenture, including the merger covenant, which sets forth certain requirements that must be met for Novatel Wireless to consolidate, merge or sell all or substantially all of its assets, and the reporting covenant, which requires Novatel Wireless to provide certain periodic reports to noteholders. The Novatel Wireless Notes’ related indenture, as amended, also provides that the form of settlement of any conversions of the Novatel Wireless Notes will be elected by the Company.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Inseego Notes</w:t>
      </w:r>
    </w:p>
    <w:p>
      <w:pPr>
        <w:spacing w:after="0" w:line="333"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On January 9, 2017, in connection with the settlement of an exchange offer and consent solicitation with respect to the Novatel Wireless Notes, the Company issued approximately $119.8 million of 5.50% convertible senior notes due 2022 (the “Inseego Notes” and collectively with Novatel Wireless Notes, the “Convertible Notes”). The Inseego Notes were issued in</w:t>
      </w:r>
    </w:p>
    <w:p>
      <w:pPr>
        <w:sectPr>
          <w:pgSz w:w="11900" w:h="16838" w:orient="portrait"/>
          <w:cols w:equalWidth="0" w:num="1">
            <w:col w:w="11240"/>
          </w:cols>
          <w:pgMar w:left="320" w:top="553"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240"/>
          </w:cols>
          <w:pgMar w:left="320" w:top="553" w:right="339" w:bottom="1440"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exchange for approximately $119.8 million aggregate principal amount of outstanding Novatel Wireless Notes that were validly tendered and accepted for exchange and subsequently canceled.</w:t>
      </w:r>
    </w:p>
    <w:p>
      <w:pPr>
        <w:spacing w:after="0" w:line="278"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Inseego Notes are governed by the terms of an indenture, dated January 9, 2017 (the “Inseego Indenture”), between the Company, as issuer, and Wilmington Trust, National Association, as trustee (the “Trustee”). The Inseego Notes are senior unsecured obligations of the Company and bear interest from, and including, December 15, 2016, at a rate of 5.50% per year, payable semi-annually in arrears on June 15 and December 15 of each year, beginning on June 15, 2017. The Inseego Notes will mature on June 15, 2022, unless earlier converted, redeemed or repurchased.</w:t>
      </w:r>
    </w:p>
    <w:p>
      <w:pPr>
        <w:spacing w:after="0" w:line="2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Inseego Notes will be convertible into cash, shares of the Company’s common stock, or a combination thereof, at the election of the Company, at an initial conversion rate of 212.7660 shares of common stock per $1,000 principal amount of the Inseego Notes, which corresponds to an initial conversion price of $4.70 per share of the Company’s common stock. The conversion rate is subject to adjustment from time to time upon the occurrence of certain events, including, but not limited to, the issuance of stock dividends and payment of cash dividends. Because the sale price condition included in the Inseego Indenture was satisfied during December 2019, the Inseego Notes are currently convertible and will remain convertible until March 31, 2020, at which time the convertibility will be reevaluated.</w:t>
      </w:r>
    </w:p>
    <w:p>
      <w:pPr>
        <w:spacing w:after="0" w:line="30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At any time prior to the close of business on the business day immediately preceding December 15, 2021, holders may convert their Inseego Notes at their option only under the following circumstances:</w:t>
      </w:r>
    </w:p>
    <w:p>
      <w:pPr>
        <w:spacing w:after="0" w:line="224" w:lineRule="exact"/>
        <w:rPr>
          <w:sz w:val="20"/>
          <w:szCs w:val="20"/>
          <w:color w:val="auto"/>
        </w:rPr>
      </w:pPr>
    </w:p>
    <w:p>
      <w:pPr>
        <w:ind w:left="580" w:right="200" w:hanging="329"/>
        <w:spacing w:after="0" w:line="263"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equals or exceeds 130% of the conversion price on such trading day;</w:t>
      </w:r>
    </w:p>
    <w:p>
      <w:pPr>
        <w:spacing w:after="0" w:line="183" w:lineRule="exact"/>
        <w:rPr>
          <w:rFonts w:ascii="Arial" w:cs="Arial" w:eastAsia="Arial" w:hAnsi="Arial"/>
          <w:sz w:val="18"/>
          <w:szCs w:val="18"/>
          <w:color w:val="auto"/>
        </w:rPr>
      </w:pPr>
    </w:p>
    <w:p>
      <w:pPr>
        <w:jc w:val="both"/>
        <w:ind w:left="580" w:right="20" w:hanging="329"/>
        <w:spacing w:after="0" w:line="286" w:lineRule="auto"/>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after any five consecutive trading day period (the “Measurement Period”) in which the trading price per $1,000 principal amount of the Inseego Notes for each trading day of the Measurement Period was less than 98% of the product of the last reported sale price per share of the Company’s common stock and the conversion rate on each such trading day;</w:t>
      </w:r>
    </w:p>
    <w:p>
      <w:pPr>
        <w:spacing w:after="0" w:line="165" w:lineRule="exact"/>
        <w:rPr>
          <w:rFonts w:ascii="Arial" w:cs="Arial" w:eastAsia="Arial" w:hAnsi="Arial"/>
          <w:sz w:val="17"/>
          <w:szCs w:val="17"/>
          <w:color w:val="auto"/>
        </w:rPr>
      </w:pPr>
    </w:p>
    <w:p>
      <w:pPr>
        <w:ind w:left="580" w:hanging="329"/>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the occurrence of certain corporate events specified in the Inseego Indenture; or</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Company has called the Inseego Notes for redemption.</w:t>
      </w:r>
    </w:p>
    <w:p>
      <w:pPr>
        <w:spacing w:after="0" w:line="279"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On or after December 15, 2021, the holders may convert any of their Inseego Notes at any time prior to the close of business on the business day immediately preceding the maturity date.</w:t>
      </w:r>
    </w:p>
    <w:p>
      <w:pPr>
        <w:spacing w:after="0" w:line="27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Company may redeem all or a portion of the Inseego Notes at its option if the last reported sale price per share of the Company’s common stock equals or exceeds 140% of the conversion price for each of at least 20 trading days (whether or not consecutive) during the 30 consecutive trading days ending on, and including, the trading day immediately prior to the date on which the Company provides written notice of redemption, at a redemption price equal to 100% of the principal amount of the Inseego Notes to be redeemed, plus any accrued and unpaid interest on such Inseego Notes, subject to the right of holders as of the close of business on an interest record date to receive the related interest. In addition, if the Company calls the Inseego Notes for redemption, a “make-whole fundamental change” (as defined in the Inseego Indenture) will be deemed to occur. As a result, the Company will, in certain circumstances, increase the conversion rate for holders who convert their Inseego Notes in connection with such redemption.</w:t>
      </w:r>
    </w:p>
    <w:p>
      <w:pPr>
        <w:spacing w:after="0" w:line="27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Inseego Notes are subject to repurchase by the Company at the Optional Repurchase Date at a repurchase price in cash equal to 100% of the principal amount of the Inseego Notes to be repurchased, plus accrued and unpaid interest to, but excluding, the Optional Repurchase Date, subject to the right of holders of the Inseego Notes on a record date to receive interest through the corresponding interest payment date. On March 6, 2020, the holders of substantially all of the outstanding indebtedness under the notes agreed to waive their optional right to require the Company to repurchase the notes on June 15, 2020.</w:t>
      </w:r>
    </w:p>
    <w:p>
      <w:pPr>
        <w:spacing w:after="0" w:line="296" w:lineRule="exact"/>
        <w:rPr>
          <w:sz w:val="20"/>
          <w:szCs w:val="20"/>
          <w:color w:val="auto"/>
        </w:rPr>
      </w:pPr>
    </w:p>
    <w:p>
      <w:pPr>
        <w:ind w:right="200" w:firstLine="405"/>
        <w:spacing w:after="0" w:line="296" w:lineRule="auto"/>
        <w:rPr>
          <w:sz w:val="20"/>
          <w:szCs w:val="20"/>
          <w:color w:val="auto"/>
        </w:rPr>
      </w:pPr>
      <w:r>
        <w:rPr>
          <w:rFonts w:ascii="Arial" w:cs="Arial" w:eastAsia="Arial" w:hAnsi="Arial"/>
          <w:sz w:val="16"/>
          <w:szCs w:val="16"/>
          <w:color w:val="auto"/>
        </w:rPr>
        <w:t>No “sinking fund” is provided for the Inseego Notes, which means that the Company is not required to periodically redeem or retire the Inseego Notes. If the Company undergoes a “fundamental change” (as defined in the Inseego Indenture), subject to certain conditions, holders may require the Company to repurchase for cash all or part of their Inseego Notes in principal amounts of $1,000, or an integral multiple of $1,000 in excess thereof. The fundamental change repurchase price will be equal to 100% of the principal amount of the Inseego Notes to be repurchased, plus accrued and unpaid interest to, but excluding, the fundamental change repurchase date, subject to the right of holders as of the close of business on an interest</w:t>
      </w:r>
    </w:p>
    <w:p>
      <w:pPr>
        <w:sectPr>
          <w:pgSz w:w="11900" w:h="16838" w:orient="portrait"/>
          <w:cols w:equalWidth="0" w:num="1">
            <w:col w:w="11240"/>
          </w:cols>
          <w:pgMar w:left="320" w:top="553"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553"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record date to receive the related interest. In addition, every fundamental change is a make-whole fundamental change. As a result, the Company will, in certain circumstances, increase the conversion rate for holders who convert their Inseego Notes in connection with such fundamental change.</w:t>
      </w:r>
    </w:p>
    <w:p>
      <w:pPr>
        <w:spacing w:after="0" w:line="232" w:lineRule="exact"/>
        <w:rPr>
          <w:sz w:val="20"/>
          <w:szCs w:val="20"/>
          <w:color w:val="auto"/>
        </w:rPr>
      </w:pPr>
    </w:p>
    <w:p>
      <w:pPr>
        <w:ind w:right="340" w:firstLine="391"/>
        <w:spacing w:after="0" w:line="263" w:lineRule="auto"/>
        <w:rPr>
          <w:sz w:val="20"/>
          <w:szCs w:val="20"/>
          <w:color w:val="auto"/>
        </w:rPr>
      </w:pPr>
      <w:r>
        <w:rPr>
          <w:rFonts w:ascii="Arial" w:cs="Arial" w:eastAsia="Arial" w:hAnsi="Arial"/>
          <w:sz w:val="18"/>
          <w:szCs w:val="18"/>
          <w:color w:val="auto"/>
        </w:rPr>
        <w:t>The Inseego Indenture contains certain covenants, effective until June 15, 2020, that limit the amount of debt, including secured debt, that may be incurred by the Company or its subsidiaries, and that limit the ability of the Company to pay dividends, repurchase its equity securities or make other restricted payments. The Company was in compliance with such covenants at December 31, 2019.</w:t>
      </w:r>
    </w:p>
    <w:p>
      <w:pPr>
        <w:spacing w:after="0" w:line="292"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The Inseego Indenture also provides for customary events of default. If an event of default (other than certain events of bankruptcy, insolvency or reorganization involving the Company) occurs and is continuing, the Trustee, by notice to the Company, or the holders of at least 25% in principal amount of the outstanding Inseego Notes, by notice to the Company and the Trustee, may declare the principal and accrued and unpaid interest on the outstanding Inseego Notes to be immediately due and payable. Upon the occurrence of certain events of bankruptcy, insolvency or reorganization involving the Company, 100% of the principal and accrued and unpaid interest of the Inseego Notes will automatically become immediately due and payable. Notwithstanding the foregoing, the Inseego Indenture provides that, to the extent the Company elects and for up to 60 days, the sole remedy for an event of default relating to certain failures by the Company to comply with certain reporting covenants consists exclusively of the right to receive special interest on the Inseego Notes at a rate equal to 0.50% per annum on the principal amount of the outstanding Inseego Notes.</w:t>
      </w:r>
    </w:p>
    <w:p>
      <w:pPr>
        <w:spacing w:after="0" w:line="273"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December 31, 2019, approximately $44.8 million of the Inseego Notes were held by related parties.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Convertible Notes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263"/>
        </w:trPr>
        <w:tc>
          <w:tcPr>
            <w:tcW w:w="86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105,125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105,125</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Less: unamortized debt discount and debt issuance costs</w:t>
            </w:r>
          </w:p>
        </w:tc>
        <w:tc>
          <w:tcPr>
            <w:tcW w:w="3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(3,791)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(12,071)</w:t>
            </w: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101,334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93,054</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41,905</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41,905</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In connection with the issuance of the Convertible Notes, the Company incurred approximately $3.9 million of issuance costs, which primarily consisted of underwriting, legal and other professional fees, and allocated the costs to the liability and equity components based on the allocation of the proceeds. Of the approximately $3.9 million of issuance costs, approximately $1.3 million were allocated to the equity component and recorded as a reduction to additional paid-in capital and $2.6 million were allocated to the liability component and recorded as a decrease to the carrying amount of the liability component on the consolidated balance sheet. The portion allocated to the liability component is being amortized to interest expense using the effective interest method through June 2020.</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553"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The effective interest rate on the liability component of the Convertible Notes was 13.88% for the year ended December 31, 2019. The following table sets forth total interest expense recognized related to the Convertible Notes during the years ended December 31, 2019 and 2018 (in thousands):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36"/>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5,782</w:t>
            </w:r>
          </w:p>
        </w:tc>
      </w:tr>
      <w:tr>
        <w:trPr>
          <w:trHeight w:val="237"/>
        </w:trPr>
        <w:tc>
          <w:tcPr>
            <w:tcW w:w="864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3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7,821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7,822</w:t>
            </w: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459</w:t>
            </w:r>
          </w:p>
        </w:tc>
      </w:tr>
      <w:tr>
        <w:trPr>
          <w:trHeight w:val="243"/>
        </w:trPr>
        <w:tc>
          <w:tcPr>
            <w:tcW w:w="864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14,062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14,063</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At December 31, 2019, the minimum calendar year principal payments and maturities of long-term debt were as follows, assuming no repurchases or conversions of the Novatel Wireless Notes prior to June 15, 2020, the maturity date, or the Inseego Notes prior to June 15, 2022, the maturity date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47,750</w:t>
            </w:r>
          </w:p>
        </w:tc>
      </w:tr>
      <w:tr>
        <w:trPr>
          <w:trHeight w:val="224"/>
        </w:trPr>
        <w:tc>
          <w:tcPr>
            <w:tcW w:w="9980" w:type="dxa"/>
            <w:vAlign w:val="bottom"/>
          </w:tcPr>
          <w:p>
            <w:pPr>
              <w:ind w:left="40"/>
              <w:spacing w:after="0"/>
              <w:rPr>
                <w:sz w:val="20"/>
                <w:szCs w:val="20"/>
                <w:color w:val="auto"/>
              </w:rPr>
            </w:pPr>
            <w:r>
              <w:rPr>
                <w:rFonts w:ascii="Arial" w:cs="Arial" w:eastAsia="Arial" w:hAnsi="Arial"/>
                <w:sz w:val="16"/>
                <w:szCs w:val="16"/>
                <w:color w:val="auto"/>
              </w:rPr>
              <w:t>2021</w:t>
            </w:r>
          </w:p>
        </w:tc>
        <w:tc>
          <w:tcPr>
            <w:tcW w:w="3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104,875</w:t>
            </w:r>
          </w:p>
        </w:tc>
      </w:tr>
      <w:tr>
        <w:trPr>
          <w:trHeight w:val="223"/>
        </w:trPr>
        <w:tc>
          <w:tcPr>
            <w:tcW w:w="9980" w:type="dxa"/>
            <w:vAlign w:val="bottom"/>
          </w:tcPr>
          <w:p>
            <w:pPr>
              <w:ind w:left="40"/>
              <w:spacing w:after="0"/>
              <w:rPr>
                <w:sz w:val="20"/>
                <w:szCs w:val="20"/>
                <w:color w:val="auto"/>
              </w:rPr>
            </w:pPr>
            <w:r>
              <w:rPr>
                <w:rFonts w:ascii="Arial" w:cs="Arial" w:eastAsia="Arial" w:hAnsi="Arial"/>
                <w:sz w:val="16"/>
                <w:szCs w:val="16"/>
                <w:color w:val="auto"/>
              </w:rPr>
              <w:t>2023</w:t>
            </w:r>
          </w:p>
        </w:tc>
        <w:tc>
          <w:tcPr>
            <w:tcW w:w="3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99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9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152,625</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Shares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first quarter of 2020, the Company entered into privately-negotiated exchange agreements with certain investors holding the Inseego Notes. Pursuant to the exchange agreements, the investors exchanged $59.9 million in aggregate principal amount of outstanding Inseego Notes for 13,688,876 shares of the Company’s common stock, par value $0.001 per share. The investors agreed to waive any accrued but unpaid interest on the exchanged Inseego Notes.</w:t>
      </w:r>
    </w:p>
    <w:p>
      <w:pPr>
        <w:spacing w:after="0" w:line="18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connection with the above Exchange Shares, the Company issued 942,702 additional shares of the Company’s common stock. The Company will account for the debt conversion as an induced conversion under ASC 470 -“</w:t>
      </w:r>
      <w:r>
        <w:rPr>
          <w:rFonts w:ascii="Arial" w:cs="Arial" w:eastAsia="Arial" w:hAnsi="Arial"/>
          <w:sz w:val="18"/>
          <w:szCs w:val="18"/>
          <w:i w:val="1"/>
          <w:iCs w:val="1"/>
          <w:color w:val="auto"/>
        </w:rPr>
        <w:t>Debt</w:t>
      </w:r>
      <w:r>
        <w:rPr>
          <w:rFonts w:ascii="Arial" w:cs="Arial" w:eastAsia="Arial" w:hAnsi="Arial"/>
          <w:sz w:val="18"/>
          <w:szCs w:val="18"/>
          <w:color w:val="auto"/>
        </w:rPr>
        <w:t>”, and as such, expects to record a loss on induced conversion of approximately $7.9 million as other expense during the first quarter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loss before income taxes for the years ended December 31, 2019 and 2018 is comprised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6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(39,187)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(7,335)</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Foreign</w:t>
            </w:r>
          </w:p>
        </w:tc>
        <w:tc>
          <w:tcPr>
            <w:tcW w:w="3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7</w:t>
            </w: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(39,574)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(7,328)</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553"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for the years ended December 31, 2019 and 2018 is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86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r>
      <w:tr>
        <w:trPr>
          <w:trHeight w:val="210"/>
        </w:trPr>
        <w:tc>
          <w:tcPr>
            <w:tcW w:w="8660" w:type="dxa"/>
            <w:vAlign w:val="bottom"/>
          </w:tcPr>
          <w:p>
            <w:pPr>
              <w:ind w:left="40"/>
              <w:spacing w:after="0"/>
              <w:rPr>
                <w:sz w:val="20"/>
                <w:szCs w:val="20"/>
                <w:color w:val="auto"/>
              </w:rPr>
            </w:pPr>
            <w:r>
              <w:rPr>
                <w:rFonts w:ascii="Arial" w:cs="Arial" w:eastAsia="Arial" w:hAnsi="Arial"/>
                <w:sz w:val="16"/>
                <w:szCs w:val="16"/>
                <w:color w:val="auto"/>
              </w:rPr>
              <w:t>Current: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60"/>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Federal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State</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35</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766</w:t>
            </w: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Total current</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801</w:t>
            </w: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Federal</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Foreign</w:t>
            </w:r>
          </w:p>
        </w:tc>
        <w:tc>
          <w:tcPr>
            <w:tcW w:w="30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815</w:t>
            </w:r>
          </w:p>
        </w:tc>
      </w:tr>
      <w:tr>
        <w:trPr>
          <w:trHeight w:val="33"/>
        </w:trPr>
        <w:tc>
          <w:tcPr>
            <w:tcW w:w="8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net deferred tax liabilities consist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263"/>
        </w:trPr>
        <w:tc>
          <w:tcPr>
            <w:tcW w:w="8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2018</w:t>
            </w:r>
          </w:p>
        </w:tc>
      </w:tr>
      <w:tr>
        <w:trPr>
          <w:trHeight w:val="237"/>
        </w:trPr>
        <w:tc>
          <w:tcPr>
            <w:tcW w:w="864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excess and obsolete inventory</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2,710</w:t>
            </w:r>
          </w:p>
        </w:tc>
      </w:tr>
      <w:tr>
        <w:trPr>
          <w:trHeight w:val="237"/>
        </w:trPr>
        <w:tc>
          <w:tcPr>
            <w:tcW w:w="86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1,426</w:t>
            </w: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limitation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2,769</w:t>
            </w:r>
          </w:p>
        </w:tc>
      </w:tr>
      <w:tr>
        <w:trPr>
          <w:trHeight w:val="237"/>
        </w:trPr>
        <w:tc>
          <w:tcPr>
            <w:tcW w:w="8640" w:type="dxa"/>
            <w:vAlign w:val="bottom"/>
          </w:tcPr>
          <w:p>
            <w:pPr>
              <w:ind w:left="280"/>
              <w:spacing w:after="0"/>
              <w:rPr>
                <w:sz w:val="20"/>
                <w:szCs w:val="20"/>
                <w:color w:val="auto"/>
              </w:rPr>
            </w:pPr>
            <w:r>
              <w:rPr>
                <w:rFonts w:ascii="Arial" w:cs="Arial" w:eastAsia="Arial" w:hAnsi="Arial"/>
                <w:sz w:val="16"/>
                <w:szCs w:val="16"/>
                <w:color w:val="auto"/>
              </w:rPr>
              <w:t>Net operating loss and tax credit carryforwards</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95,258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86,385</w:t>
            </w: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1,218</w:t>
            </w:r>
          </w:p>
        </w:tc>
      </w:tr>
      <w:tr>
        <w:trPr>
          <w:trHeight w:val="237"/>
        </w:trPr>
        <w:tc>
          <w:tcPr>
            <w:tcW w:w="8640" w:type="dxa"/>
            <w:vAlign w:val="bottom"/>
          </w:tcPr>
          <w:p>
            <w:pPr>
              <w:ind w:left="280"/>
              <w:spacing w:after="0"/>
              <w:rPr>
                <w:sz w:val="20"/>
                <w:szCs w:val="20"/>
                <w:color w:val="auto"/>
              </w:rPr>
            </w:pPr>
            <w:r>
              <w:rPr>
                <w:rFonts w:ascii="Arial" w:cs="Arial" w:eastAsia="Arial" w:hAnsi="Arial"/>
                <w:sz w:val="16"/>
                <w:szCs w:val="16"/>
                <w:color w:val="auto"/>
              </w:rPr>
              <w:t>Right-of-use-asset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1,163</w:t>
            </w:r>
          </w:p>
        </w:tc>
      </w:tr>
      <w:tr>
        <w:trPr>
          <w:trHeight w:val="217"/>
        </w:trPr>
        <w:tc>
          <w:tcPr>
            <w:tcW w:w="8640" w:type="dxa"/>
            <w:vAlign w:val="bottom"/>
          </w:tcPr>
          <w:p>
            <w:pPr>
              <w:ind w:left="500"/>
              <w:spacing w:after="0"/>
              <w:rPr>
                <w:sz w:val="20"/>
                <w:szCs w:val="20"/>
                <w:color w:val="auto"/>
              </w:rPr>
            </w:pPr>
            <w:r>
              <w:rPr>
                <w:rFonts w:ascii="Arial" w:cs="Arial" w:eastAsia="Arial" w:hAnsi="Arial"/>
                <w:sz w:val="16"/>
                <w:szCs w:val="16"/>
                <w:color w:val="auto"/>
              </w:rPr>
              <w:t>Deferred tax assets</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105,987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95,671</w:t>
            </w: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8640" w:type="dxa"/>
            <w:vAlign w:val="bottom"/>
          </w:tcPr>
          <w:p>
            <w:pPr>
              <w:ind w:left="280"/>
              <w:spacing w:after="0"/>
              <w:rPr>
                <w:sz w:val="20"/>
                <w:szCs w:val="20"/>
                <w:color w:val="auto"/>
              </w:rPr>
            </w:pPr>
            <w:r>
              <w:rPr>
                <w:rFonts w:ascii="Arial" w:cs="Arial" w:eastAsia="Arial" w:hAnsi="Arial"/>
                <w:sz w:val="16"/>
                <w:szCs w:val="16"/>
                <w:color w:val="auto"/>
              </w:rPr>
              <w:t>Operating lease liability</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(4,485)</w:t>
            </w:r>
          </w:p>
        </w:tc>
      </w:tr>
      <w:tr>
        <w:trPr>
          <w:trHeight w:val="237"/>
        </w:trPr>
        <w:tc>
          <w:tcPr>
            <w:tcW w:w="86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w:t>
            </w:r>
          </w:p>
        </w:tc>
      </w:tr>
      <w:tr>
        <w:trPr>
          <w:trHeight w:val="217"/>
        </w:trPr>
        <w:tc>
          <w:tcPr>
            <w:tcW w:w="8640" w:type="dxa"/>
            <w:vAlign w:val="bottom"/>
          </w:tcPr>
          <w:p>
            <w:pPr>
              <w:ind w:left="500"/>
              <w:spacing w:after="0"/>
              <w:rPr>
                <w:sz w:val="20"/>
                <w:szCs w:val="20"/>
                <w:color w:val="auto"/>
              </w:rPr>
            </w:pPr>
            <w:r>
              <w:rPr>
                <w:rFonts w:ascii="Arial" w:cs="Arial" w:eastAsia="Arial" w:hAnsi="Arial"/>
                <w:sz w:val="16"/>
                <w:szCs w:val="16"/>
                <w:color w:val="auto"/>
              </w:rPr>
              <w:t>Deferred tax liabilities</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(6,234)</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(6,284)</w:t>
            </w: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(103,702)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(93,844)</w:t>
            </w:r>
          </w:p>
        </w:tc>
      </w:tr>
      <w:tr>
        <w:trPr>
          <w:trHeight w:val="243"/>
        </w:trPr>
        <w:tc>
          <w:tcPr>
            <w:tcW w:w="8640" w:type="dxa"/>
            <w:vAlign w:val="bottom"/>
          </w:tcPr>
          <w:p>
            <w:pPr>
              <w:ind w:left="40"/>
              <w:spacing w:after="0"/>
              <w:rPr>
                <w:sz w:val="20"/>
                <w:szCs w:val="20"/>
                <w:color w:val="auto"/>
              </w:rPr>
            </w:pPr>
            <w:r>
              <w:rPr>
                <w:rFonts w:ascii="Arial" w:cs="Arial" w:eastAsia="Arial" w:hAnsi="Arial"/>
                <w:sz w:val="16"/>
                <w:szCs w:val="16"/>
                <w:color w:val="auto"/>
              </w:rPr>
              <w:t>Net deferred tax liabilities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(3,949)</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(4,457)</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279"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ectPr>
          <w:pgSz w:w="11900" w:h="16838" w:orient="portrait"/>
          <w:cols w:equalWidth="0" w:num="1">
            <w:col w:w="11240"/>
          </w:cols>
          <w:pgMar w:left="320" w:top="553" w:right="339"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40"/>
          </w:cols>
          <w:pgMar w:left="320" w:top="553"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At December 31, 2019 and 2018, the Company recognized valuation allowances of $9.2 million and $2.9 million, respectively, related to its deferred tax assets created in those respective years. As a result, no net income tax benefits resulted in the Company’s statements of operations from the operating losses created during those years.</w:t>
      </w:r>
    </w:p>
    <w:p>
      <w:pPr>
        <w:spacing w:after="0" w:line="23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provision for income taxes reconciles to the amount computed by applying the statutory federal income tax rate of 21% in 2019 and 2018 to loss before income taxes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6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tax benefit, at statutory rate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(8,311)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(1,555)</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State benefit, net of federal benefit</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tax rate difference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Valuation allowance against future tax benefits</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9,168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2,878</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credits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121</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43"/>
        </w:trPr>
        <w:tc>
          <w:tcPr>
            <w:tcW w:w="8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815</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At December 31, 2019, the Company had U.S. federal net operating loss carryforwards (“NOLs”) related to tax years 2019 and prior of approximately $389.1 million. Approximately $41.3 million of these NOLs have no expiration date. The remainder begin to expire in 2021, unless previously utilized. Some of these NOLs may be limited by either past or future changes in control events. The Company has California net operating loss carryforwards at December 31, 2019 of approximately $44.0 million, which begin to expire in 2028, unless previously utilized, and foreign net operating losses for its active foreign subsidiaries of approximately $50.2 million, which generally have no expiration date. At December 31, 2019, the Company had federal research and development tax credit carryforwards of approximately $10.2 million, which begin to expire in 2026, unless previously utilized, and California research and development tax credit carryforwards of approximately $12.1 million, which have no expiration date.</w:t>
      </w:r>
    </w:p>
    <w:p>
      <w:pPr>
        <w:spacing w:after="0" w:line="28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rolling three-year period. An analysis was performed for the period through December 31, 2019 and did not identify any events of cumulative change in ownership during the review period. The Company will continue monitoring any future changes in stock ownership.</w:t>
      </w:r>
    </w:p>
    <w:p>
      <w:pPr>
        <w:spacing w:after="0" w:line="29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entered into a Rights Agreement on January 22, 2018 (the “Rights Agreement”), subsequent to the balance sheet date, with Computershare Trust Company, N.A., a federally chartered trust company, as rights agent. The Rights Agreement is intended to discourage acquisitions of the Company’s common stock which could result in a cumulative change in ownership of more than 50% within a rolling three-year period, thereby preserving the Company’s current ability to utilize net operating loss carryforwards to offset future income tax obligations; however, there is no assurance that the Rights Agreement will prevent a cumulative change in ownership.</w:t>
      </w:r>
    </w:p>
    <w:p>
      <w:pPr>
        <w:spacing w:after="0" w:line="296"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U.S. income taxes which may become payable if undistributed earnings of the foreign subsidiary were paid as dividends to the Company.</w:t>
      </w:r>
    </w:p>
    <w:p>
      <w:pPr>
        <w:spacing w:after="0" w:line="292"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No income tax benefit was recognized during the years ended December 31, 2019 and 2018. At December 31, 2019 and 2018, the Company did not have interest expense related to uncertain tax positions or a liability for unrecognized tax benefits. The Company does not expect changes to its uncertain tax position in the next twelve months.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553"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36,582</w:t>
            </w:r>
          </w:p>
        </w:tc>
      </w:tr>
      <w:tr>
        <w:trPr>
          <w:trHeight w:val="223"/>
        </w:trPr>
        <w:tc>
          <w:tcPr>
            <w:tcW w:w="9760" w:type="dxa"/>
            <w:vAlign w:val="bottom"/>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324</w:t>
            </w:r>
          </w:p>
        </w:tc>
      </w:tr>
      <w:tr>
        <w:trPr>
          <w:trHeight w:val="33"/>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36,906</w:t>
            </w:r>
          </w:p>
        </w:tc>
      </w:tr>
      <w:tr>
        <w:trPr>
          <w:trHeight w:val="224"/>
        </w:trPr>
        <w:tc>
          <w:tcPr>
            <w:tcW w:w="9760" w:type="dxa"/>
            <w:vAlign w:val="bottom"/>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929</w:t>
            </w:r>
          </w:p>
        </w:tc>
      </w:tr>
      <w:tr>
        <w:trPr>
          <w:trHeight w:val="33"/>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37,835</w:t>
            </w:r>
          </w:p>
        </w:tc>
      </w:tr>
      <w:tr>
        <w:trPr>
          <w:trHeight w:val="20"/>
        </w:trPr>
        <w:tc>
          <w:tcPr>
            <w:tcW w:w="9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There are no tax benefits that, if recognized, would affect the effective tax rate that are included in the balances of unrecognized tax benefits at December 31, 2019.</w:t>
      </w:r>
    </w:p>
    <w:p>
      <w:pPr>
        <w:spacing w:after="0" w:line="116"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Company and its subsidiaries file U.S., state and foreign income tax returns in jurisdictions with various statutes of limitations. The Company’s tax returns are subject to examination by federal, state and foreign taxing authorities. The Company’s federal and state tax returns are subject to examination for the years beginning in 2015 and 2014, respectively. Net operating loss carryforwards arising prior to these years are also open to examination, if and when utilized.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August 6, 2018, the Company completed a private placement of 12,062,000 shares of its common stock and warrants (the “2018 Warrants”) to purchase an additional 4,221,700 shares of its common stock, subject to adjustment for stock splits, reverse stock splits, stock dividends and similar transactions, to certain accredited investors for gross proceeds of $19.7 million in cash. Each warrant has an initial exercise price of $2.52 per share, subject to adjustment for stock splits, reverse stock splits, stock dividends and similar transactions, and will expire on August 6, 2023. The warrants may be exercisable on a cashless exercise basis if, and only if, the shares of common stock underlying such warrants cannot be immediately resold pursuant to an effective registration statement or Rule 144 of the Securities Act of 1933, as amended, without volume or manner of sale restrictions. In connection with the private placement, the Company incurred issuance costs of approximately $0.5 million.</w:t>
      </w:r>
    </w:p>
    <w:p>
      <w:pPr>
        <w:spacing w:after="0" w:line="17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has an initial exercise price of $7.00 per share, subject to adjustment for stock splits, reverse stock splits, stock dividends and similar transactions, will be exercisable at any time on or after September 28, 2019, and will expire on June 30, 2022. The 2019 Warrants may be exercisable on a cashless exercise basis if, and only if, the shares of common stock underlying such warrants cannot be immediately resold pursuant to an effective registration statement or Rule 144 of the Securities Act of 1933, as amended, without volume or manner of sale restrictions.</w:t>
      </w:r>
    </w:p>
    <w:p>
      <w:pPr>
        <w:spacing w:after="0" w:line="6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During the fourth quarter of 2019, the Company received $6.9 million in net cash proceeds from the exercise of 1,255,129 of the Company’s common stock purchase warrants issued in 2015.</w:t>
      </w:r>
    </w:p>
    <w:p>
      <w:pPr>
        <w:spacing w:after="0" w:line="11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 xml:space="preserve">The Company assessed the terms of the warrants under ASC 815, </w:t>
      </w:r>
      <w:r>
        <w:rPr>
          <w:rFonts w:ascii="Arial" w:cs="Arial" w:eastAsia="Arial" w:hAnsi="Arial"/>
          <w:sz w:val="18"/>
          <w:szCs w:val="18"/>
          <w:i w:val="1"/>
          <w:iCs w:val="1"/>
          <w:color w:val="auto"/>
        </w:rPr>
        <w:t>Derivatives and Hedges</w:t>
      </w:r>
      <w:r>
        <w:rPr>
          <w:rFonts w:ascii="Arial" w:cs="Arial" w:eastAsia="Arial" w:hAnsi="Arial"/>
          <w:sz w:val="18"/>
          <w:szCs w:val="18"/>
          <w:color w:val="auto"/>
        </w:rPr>
        <w:t>. Pursuant to this guidance, the Company has determined that the warrants do not require liability accounting and has classified the warrants as equity.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has a total of 2,000,000 shares of preferred stock authorized for issuance at a par value of $0.001 per share, 150,000 of which have been designated Series D Preferred Stock and 39,500 of which have been designated Series E Preferred Stock.</w:t>
      </w:r>
    </w:p>
    <w:p>
      <w:pPr>
        <w:spacing w:after="0" w:line="27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August 9, 2019, the Company completed a private placement of 10,000 shares of Series E Preferred Stock for an aggregate purchase price of $10.0 million in accordance with the terms and provisions of a Securities Purchase Agreement, dated August 9, 2019, by and among the Company and certain accredited investors. Each share of Series E Preferred Stock entitles the holder thereof to receive, when, as and if declared by the Company out of assets legally available therefor, cumulative cash dividends at an annual rate of 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w:t>
      </w:r>
    </w:p>
    <w:p>
      <w:pPr>
        <w:sectPr>
          <w:pgSz w:w="11900" w:h="16838" w:orient="portrait"/>
          <w:cols w:equalWidth="0" w:num="1">
            <w:col w:w="11240"/>
          </w:cols>
          <w:pgMar w:left="320" w:top="553" w:right="3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240"/>
          </w:cols>
          <w:pgMar w:left="320" w:top="553" w:right="339"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accrue and will be added to the Series E Base Amount. The Series E Preferred Stock has no voting rights unless otherwise required by law. The Series E Preferred Stock is perpetual and has no maturity date. However, the Company may, at its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dividends declared and $0.4 million of dividends were accrued as of December 31, 2019.</w:t>
      </w:r>
    </w:p>
    <w:p>
      <w:pPr>
        <w:spacing w:after="0" w:line="171" w:lineRule="exact"/>
        <w:rPr>
          <w:sz w:val="20"/>
          <w:szCs w:val="20"/>
          <w:color w:val="auto"/>
        </w:rPr>
      </w:pPr>
    </w:p>
    <w:p>
      <w:pPr>
        <w:jc w:val="both"/>
        <w:ind w:right="20" w:firstLine="391"/>
        <w:spacing w:after="0" w:line="286" w:lineRule="auto"/>
        <w:rPr>
          <w:sz w:val="20"/>
          <w:szCs w:val="20"/>
          <w:color w:val="auto"/>
        </w:rPr>
      </w:pPr>
      <w:r>
        <w:rPr>
          <w:rFonts w:ascii="Arial" w:cs="Arial" w:eastAsia="Arial" w:hAnsi="Arial"/>
          <w:sz w:val="17"/>
          <w:szCs w:val="17"/>
          <w:color w:val="auto"/>
        </w:rPr>
        <w:t>On March 6, 2020, the Company entered into a Securities Purchase Agreement with an accredited investor pursuant to which, among other things, the Company issued and sold to the investor, in a private placement transaction, an aggregate of 25,000 shares of the Company’s Series E Preferred Stock, for a purchase price of $1,000 per share of Series E Preferred Stock, resulting in gross proceeds to the Company of $25.0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Agreement</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January 22, 2018, the Company entered into the Rights Agreement and issued a dividend of one preferred share purchase right (a “Right”) to each of the stockholders of record of each share of common stock outstanding on February 2, 2018. Each Right entitles the registered holder to purchase from the Company one one-thousandth of a share of Series D Preferred Stock, par value $0.001 per share (the “Preferred Shares”), of the Company, at a price of $10.00 per one one-thousandth of a Preferred Share represented by a Right (the “Purchase Price”), subject to adjustment. The description and terms of the Rights are set forth in the Rights Agreement.</w:t>
      </w:r>
    </w:p>
    <w:p>
      <w:pPr>
        <w:spacing w:after="0" w:line="296"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Rights are not exercisable until the Distribution Date (as defined in the Rights Agreement). The Rights will expire on the earlier of (i) the close of business on January 22, 2021, (ii) the time at which the Rights are redeemed, and (iii) the time at which the Rights are exchanged.</w:t>
      </w:r>
    </w:p>
    <w:p>
      <w:pPr>
        <w:spacing w:after="0" w:line="25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including, without limitation, the right to vote or to receive dividends.</w:t>
      </w:r>
    </w:p>
    <w:p>
      <w:pPr>
        <w:spacing w:after="0" w:line="11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connection with the issuance of the 2019 Warrants, on March 28, 2019, the Company entered into an Amendment No. 3 to the Rights Agreement, dated January 22, 2018, as amended by that certain Amendment No. 1 to Rights Agreement, dated August 6, 2018, and as amended by that certain Amendment No. 2 to Rights Agreement, dated December 4, 2018, between the Company and Computershare Trust Company, N.A., as rights agent, for the purpose of modifying the definition of “Acquiring Person” under the Rights Agreement to permit each of the Investors to remain a Grandfathered Stockholder (as defined in the Rights Agreement) and not be deemed an “Acquiring Person” under the Rights Agreement in connection with the Investors’ purchase of the 2019 Warrants.</w:t>
      </w:r>
    </w:p>
    <w:p>
      <w:pPr>
        <w:spacing w:after="0" w:line="19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Investors will remain Grandfathered Stockholders as long as they do not acquire, after the date of the Third Amendment to Rights Agreement, beneficial ownership of Company securities (other than as a result of any adjustment provision or the accrual of interest under any outstanding convertible notes) equal to more than 0.50% of the then-outstanding common stock.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553"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reserved shares of common stock for possible future issuance as of December 31, 2019 and 2018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7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6"/>
                <w:szCs w:val="16"/>
                <w:color w:val="auto"/>
              </w:rPr>
            </w:pPr>
          </w:p>
        </w:tc>
      </w:tr>
      <w:tr>
        <w:trPr>
          <w:trHeight w:val="263"/>
        </w:trPr>
        <w:tc>
          <w:tcPr>
            <w:tcW w:w="866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warrants outstanding</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2,838,454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5,815,283</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Stock options outstanding</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9,044,304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8,796,212</w:t>
            </w:r>
          </w:p>
        </w:tc>
      </w:tr>
      <w:tr>
        <w:trPr>
          <w:trHeight w:val="33"/>
        </w:trPr>
        <w:tc>
          <w:tcPr>
            <w:tcW w:w="8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outstanding</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400,315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454,382</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Shares available for issuance pursuant to Convertible Notes</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40,649,225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w w:val="89"/>
              </w:rPr>
              <w:t>40,649,225</w:t>
            </w:r>
          </w:p>
        </w:tc>
      </w:tr>
      <w:tr>
        <w:trPr>
          <w:trHeight w:val="33"/>
        </w:trPr>
        <w:tc>
          <w:tcPr>
            <w:tcW w:w="8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of awards under the 2015 Incentive Compensation Plan</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1,943,085</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Shares available for future grants of awards under the 2018 Omnibus Incentive Compensation Plan</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2,483,664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3,224,425</w:t>
            </w:r>
          </w:p>
        </w:tc>
      </w:tr>
      <w:tr>
        <w:trPr>
          <w:trHeight w:val="33"/>
        </w:trPr>
        <w:tc>
          <w:tcPr>
            <w:tcW w:w="8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available under the 2000 Employee Stock Purchase Plan</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622,476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825,537</w:t>
            </w:r>
          </w:p>
        </w:tc>
      </w:tr>
      <w:tr>
        <w:trPr>
          <w:trHeight w:val="243"/>
        </w:trPr>
        <w:tc>
          <w:tcPr>
            <w:tcW w:w="8660" w:type="dxa"/>
            <w:vAlign w:val="bottom"/>
          </w:tcPr>
          <w:p>
            <w:pPr>
              <w:ind w:left="280"/>
              <w:spacing w:after="0"/>
              <w:rPr>
                <w:sz w:val="20"/>
                <w:szCs w:val="20"/>
                <w:color w:val="auto"/>
              </w:rPr>
            </w:pPr>
            <w:r>
              <w:rPr>
                <w:rFonts w:ascii="Arial" w:cs="Arial" w:eastAsia="Arial" w:hAnsi="Arial"/>
                <w:sz w:val="16"/>
                <w:szCs w:val="16"/>
                <w:color w:val="auto"/>
              </w:rPr>
              <w:t>Total shares of common stock reserved for issuance</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56,042,995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61,708,149</w:t>
            </w:r>
          </w:p>
        </w:tc>
      </w:tr>
      <w:tr>
        <w:trPr>
          <w:trHeight w:val="20"/>
        </w:trPr>
        <w:tc>
          <w:tcPr>
            <w:tcW w:w="8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jc w:val="both"/>
        <w:ind w:right="160" w:firstLine="432"/>
        <w:spacing w:after="0" w:line="263" w:lineRule="auto"/>
        <w:rPr>
          <w:sz w:val="20"/>
          <w:szCs w:val="20"/>
          <w:color w:val="auto"/>
        </w:rPr>
      </w:pPr>
      <w:r>
        <w:rPr>
          <w:rFonts w:ascii="Arial" w:cs="Arial" w:eastAsia="Arial" w:hAnsi="Arial"/>
          <w:sz w:val="18"/>
          <w:szCs w:val="18"/>
          <w:color w:val="auto"/>
        </w:rPr>
        <w:t>During the year ended December 31, 2019,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w:t>
      </w:r>
    </w:p>
    <w:p>
      <w:pPr>
        <w:spacing w:after="0" w:line="292"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8"/>
          <w:szCs w:val="18"/>
          <w:color w:val="auto"/>
        </w:rPr>
        <w:t>Under the 2015 Plan and the 2018 Plan, a maximum of 1,946,915 shares and 20,576,085 shares, respectively, of common stock may be issued upon the exercise of stock options, in the form of restricted stock, or in settlement of RSUs or other awards, including awards with alternative vesting schedules such as performance-based criteria.</w:t>
      </w:r>
    </w:p>
    <w:p>
      <w:pPr>
        <w:spacing w:after="0" w:line="23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For the years ended December 31, 2019 and 2018, the following table presents total share-based compensation expense in each functional line item on the consolidated statements of operations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6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390</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1,017</w:t>
            </w: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970</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2,499</w:t>
            </w: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4,876</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Compensation Committee of the Board of Directors determines eligibility, vesting schedules and exercise prices for stock options granted. Stock options generally have a term of ten years and vest over a three- to four-year period.</w:t>
      </w:r>
    </w:p>
    <w:p>
      <w:pPr>
        <w:spacing w:after="0" w:line="11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each stock option granted:</w:t>
      </w:r>
    </w:p>
    <w:p>
      <w:pPr>
        <w:spacing w:after="0" w:line="1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23495</wp:posOffset>
            </wp:positionV>
            <wp:extent cx="169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1">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r>
      <w:tr>
        <w:trPr>
          <w:trHeight w:val="236"/>
        </w:trPr>
        <w:tc>
          <w:tcPr>
            <w:tcW w:w="9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942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4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8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Volatility</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37"/>
        </w:trPr>
        <w:tc>
          <w:tcPr>
            <w:tcW w:w="9420" w:type="dxa"/>
            <w:vAlign w:val="bottom"/>
            <w:gridSpan w:val="2"/>
          </w:tcPr>
          <w:p>
            <w:pPr>
              <w:ind w:left="40"/>
              <w:spacing w:after="0"/>
              <w:rPr>
                <w:sz w:val="20"/>
                <w:szCs w:val="20"/>
                <w:color w:val="auto"/>
              </w:rPr>
            </w:pPr>
            <w:r>
              <w:rPr>
                <w:rFonts w:ascii="Arial" w:cs="Arial" w:eastAsia="Arial" w:hAnsi="Arial"/>
                <w:sz w:val="16"/>
                <w:szCs w:val="16"/>
                <w:color w:val="auto"/>
              </w:rPr>
              <w:t>Expected term (in years)</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5.8</w:t>
            </w:r>
          </w:p>
        </w:tc>
      </w:tr>
    </w:tbl>
    <w:p>
      <w:pPr>
        <w:spacing w:after="0" w:line="397"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The weighted-average fair value of stock option awards granted during the years ended December 31, 2019 and 2018 was $3.56 and $1.56,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553"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following table summarizes the Company’s stock option activity for the years ended December 31, 2019 and 2018 (dollars in thousands, except per share data):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2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 Per</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2"/>
                <w:szCs w:val="12"/>
                <w:color w:val="auto"/>
              </w:rPr>
            </w:pPr>
          </w:p>
        </w:tc>
        <w:tc>
          <w:tcPr>
            <w:tcW w:w="102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2018</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8,796,212</w:t>
            </w:r>
          </w:p>
        </w:tc>
        <w:tc>
          <w:tcPr>
            <w:tcW w:w="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2,660,936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(1,489,067)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260" w:type="dxa"/>
            <w:vAlign w:val="bottom"/>
          </w:tcPr>
          <w:p>
            <w:pPr>
              <w:jc w:val="right"/>
              <w:spacing w:after="0"/>
              <w:rPr>
                <w:sz w:val="20"/>
                <w:szCs w:val="20"/>
                <w:color w:val="auto"/>
              </w:rPr>
            </w:pPr>
            <w:r>
              <w:rPr>
                <w:rFonts w:ascii="Arial" w:cs="Arial" w:eastAsia="Arial" w:hAnsi="Arial"/>
                <w:sz w:val="16"/>
                <w:szCs w:val="16"/>
                <w:color w:val="auto"/>
              </w:rPr>
              <w:t>(923,777)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2019</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9,044,304</w:t>
            </w:r>
          </w:p>
        </w:tc>
        <w:tc>
          <w:tcPr>
            <w:tcW w:w="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39,997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Vested and Expected to Vest — December 31, 2019</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7,814,925</w:t>
            </w:r>
          </w:p>
        </w:tc>
        <w:tc>
          <w:tcPr>
            <w:tcW w:w="34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35,753</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 December 31, 2019</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3,648,992</w:t>
            </w:r>
          </w:p>
        </w:tc>
        <w:tc>
          <w:tcPr>
            <w:tcW w:w="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19,735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40" w:firstLine="432"/>
        <w:spacing w:after="0" w:line="342" w:lineRule="auto"/>
        <w:rPr>
          <w:sz w:val="20"/>
          <w:szCs w:val="20"/>
          <w:color w:val="auto"/>
        </w:rPr>
      </w:pPr>
      <w:r>
        <w:rPr>
          <w:rFonts w:ascii="Arial" w:cs="Arial" w:eastAsia="Arial" w:hAnsi="Arial"/>
          <w:sz w:val="16"/>
          <w:szCs w:val="16"/>
          <w:color w:val="auto"/>
        </w:rPr>
        <w:t>During the year ended December 31, 2018, 1,611,731 shares were issued upon the exercise of stock options. The total intrinsic value of stock options exercised to purchase common stock during the years ended December 31, 2019 and 2018 was approximately $5.6 million and $2.4 million, respectively.</w:t>
      </w:r>
    </w:p>
    <w:p>
      <w:pPr>
        <w:spacing w:after="0" w:line="70"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As of December 31, 2019, total unrecognized share-based compensation expense related to non-vested stock options was $9.0 million, which is expected to be recognized over a weighted-average period of approximately 2.8 years. The Company recognized approximately $3.5 million and $2.5 million of share-based compensation expense related to the vesting of stock option awards during the years ended December 31, 2019 and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Pursuant to the 2018 Plan and the 2015 Plan, the Company may issue RSUs that, upon satisfaction of vesting conditions, allow for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unit activity under all plans for the year ended December 31, 2019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 Shares</w:t>
            </w:r>
          </w:p>
        </w:tc>
        <w:tc>
          <w:tcPr>
            <w:tcW w:w="220" w:type="dxa"/>
            <w:vAlign w:val="bottom"/>
          </w:tcPr>
          <w:p>
            <w:pPr>
              <w:spacing w:after="0"/>
              <w:rPr>
                <w:sz w:val="12"/>
                <w:szCs w:val="12"/>
                <w:color w:val="auto"/>
              </w:rPr>
            </w:pPr>
          </w:p>
        </w:tc>
        <w:tc>
          <w:tcPr>
            <w:tcW w:w="1220" w:type="dxa"/>
            <w:vAlign w:val="bottom"/>
            <w:gridSpan w:val="2"/>
          </w:tcPr>
          <w:p>
            <w:pPr>
              <w:jc w:val="right"/>
              <w:ind w:right="21"/>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92"/>
        </w:trPr>
        <w:tc>
          <w:tcPr>
            <w:tcW w:w="85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2018</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454,382</w:t>
            </w:r>
          </w:p>
        </w:tc>
        <w:tc>
          <w:tcPr>
            <w:tcW w:w="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85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870,150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(809,482)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37"/>
        </w:trPr>
        <w:tc>
          <w:tcPr>
            <w:tcW w:w="852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260" w:type="dxa"/>
            <w:vAlign w:val="bottom"/>
          </w:tcPr>
          <w:p>
            <w:pPr>
              <w:jc w:val="right"/>
              <w:spacing w:after="0"/>
              <w:rPr>
                <w:sz w:val="20"/>
                <w:szCs w:val="20"/>
                <w:color w:val="auto"/>
              </w:rPr>
            </w:pPr>
            <w:r>
              <w:rPr>
                <w:rFonts w:ascii="Arial" w:cs="Arial" w:eastAsia="Arial" w:hAnsi="Arial"/>
                <w:sz w:val="16"/>
                <w:szCs w:val="16"/>
                <w:color w:val="auto"/>
              </w:rPr>
              <w:t>(114,735)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2019</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400,315</w:t>
            </w:r>
          </w:p>
        </w:tc>
        <w:tc>
          <w:tcPr>
            <w:tcW w:w="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year ended December 31, 2018, the weighted-average grant-date fair value of RSUs granted was $2.01. During the years ended December 31, 2019 and 2018, the total fair value of shares vested was $4.0 million and $2.1 million, respectively.</w:t>
      </w:r>
    </w:p>
    <w:p>
      <w:pPr>
        <w:spacing w:after="0" w:line="116"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As of December 31, 2019, there was $0.6 million of unrecognized share-based compensation expense related to non-vested RSUs, which is expected to be recognized over a weighted-average period of 0.9 years. The Company recognized approximately $3.5 million and $2.2 million of share-based compensation expense related to the vesting of RSUs during the years ended December 31, 2019 and 2018,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Employee Stock Purchase Plan</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ESPP permits eligible employees of the Company to purchase newly issued shares of common stock, at a price equal to 85% of the lower of the fair market value on (i) the first day of the offering period or (ii) the last day of each six-month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320" w:top="553" w:right="3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purchase period, through payroll deductions of up to 10% of their annual cash compensation. Under the ESPP, a maximum of 5,324,000 shares of common stock may be purchased by eligible employees.</w:t>
      </w:r>
    </w:p>
    <w:p>
      <w:pPr>
        <w:spacing w:after="0" w:line="116" w:lineRule="exact"/>
        <w:rPr>
          <w:sz w:val="20"/>
          <w:szCs w:val="20"/>
          <w:color w:val="auto"/>
        </w:rPr>
      </w:pPr>
    </w:p>
    <w:p>
      <w:pPr>
        <w:ind w:right="340" w:firstLine="432"/>
        <w:spacing w:after="0" w:line="263" w:lineRule="auto"/>
        <w:rPr>
          <w:sz w:val="20"/>
          <w:szCs w:val="20"/>
          <w:color w:val="auto"/>
        </w:rPr>
      </w:pPr>
      <w:r>
        <w:rPr>
          <w:rFonts w:ascii="Arial" w:cs="Arial" w:eastAsia="Arial" w:hAnsi="Arial"/>
          <w:sz w:val="18"/>
          <w:szCs w:val="18"/>
          <w:color w:val="auto"/>
        </w:rPr>
        <w:t>During the years ended December 31, 2019 and 2018, the Company issued 203,061 shares and 282,101 shares, respectively, under the ESPP. The Company recognized approximately $0.3 million and $0.2 million of share-based compensation expense related to the ESPP during the years ended December 31, 2019 and 2018, 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Basic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and treasury stock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earnings per share was as follows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6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common stockholders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(40,486)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(8,058)</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6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78,322,496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66,104,376</w:t>
            </w:r>
          </w:p>
        </w:tc>
      </w:tr>
      <w:tr>
        <w:trPr>
          <w:trHeight w:val="33"/>
        </w:trPr>
        <w:tc>
          <w:tcPr>
            <w:tcW w:w="8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0"/>
        </w:trPr>
        <w:tc>
          <w:tcPr>
            <w:tcW w:w="8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the year ended December 31, 2019, the computation of diluted EPS excluded 34,791,838 shares, primarily related to Convertible Notes, warrants, stock options and RSUs for which the effect would have been anti-dilutive.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27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242"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In connection with the settlement, the Company recognized a gain of $17.2 million, which is included in extinguishment of acquisition-related liabilities in the consolidated statement of operations for the period ended December 31, 2019. The Company’s remaining liability under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553"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Settlement Agreement at December 31, 2019 consists of approximately $1.0 million and is classified within accrued expenses and other current liabilities on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333"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ASC 842, the Company has elected to account for the lease and non-lease components as a single lease component. Lease payments, which may 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27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ASC 840 have been classified as operating leases under ASC 842. Lease expense for payments related to the Company’s operating leases is recognized on a straight-line basis over the related lease term, which includes options to extend or terminate the lease when it is reasonably certain that the Company will exercise that option.</w:t>
      </w:r>
    </w:p>
    <w:p>
      <w:pPr>
        <w:spacing w:after="0" w:line="30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Right-of-use assets represent the Company’s right to use an underlying asset during the lease term and lease liabilities represent the Company’s obligation to make lease payments as specified in the lease. Right-of-use assets and lease liabilities 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information available surrounding the Company’s borrowing rates at the lease commencement date in determining the present value of lease payments. The right-of-use asset also includes any lease payments made at or before lease commencement less any lease incentives. As of December 31, 2019, the Company had right-of-use assets of $2.7 million and lease liabilities related to its operating leases of $2.8 million. Right-of-use assets are included in right-of-use assets, net, on the consolidated balance sheet and lease liabilities related to the Company’s operating leases are included in accrued expenses and other liabilities and other long-term liabilities on the consolidated balance sheet. As of December 31, 2019, the Company’s weighted-average remaining lease term and weighted-average discount rate related to its operating leases were 2.9 years and 9.4%, respectively.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553"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9780" w:type="dxa"/>
            <w:vAlign w:val="bottom"/>
          </w:tcPr>
          <w:p>
            <w:pPr>
              <w:ind w:left="4920"/>
              <w:spacing w:after="0"/>
              <w:rPr>
                <w:sz w:val="20"/>
                <w:szCs w:val="20"/>
                <w:color w:val="auto"/>
              </w:rPr>
            </w:pPr>
            <w:r>
              <w:rPr>
                <w:rFonts w:ascii="Arial" w:cs="Arial" w:eastAsia="Arial" w:hAnsi="Arial"/>
                <w:sz w:val="18"/>
                <w:szCs w:val="18"/>
                <w:b w:val="1"/>
                <w:bCs w:val="1"/>
                <w:color w:val="auto"/>
              </w:rPr>
              <w:t>INSEEGO CORP.</w:t>
            </w: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9780" w:type="dxa"/>
            <w:vAlign w:val="bottom"/>
          </w:tcPr>
          <w:p>
            <w:pPr>
              <w:ind w:left="3260"/>
              <w:spacing w:after="0"/>
              <w:rPr>
                <w:sz w:val="20"/>
                <w:szCs w:val="20"/>
                <w:color w:val="auto"/>
              </w:rPr>
            </w:pPr>
            <w:r>
              <w:rPr>
                <w:rFonts w:ascii="Arial" w:cs="Arial" w:eastAsia="Arial" w:hAnsi="Arial"/>
                <w:sz w:val="18"/>
                <w:szCs w:val="18"/>
                <w:b w:val="1"/>
                <w:bCs w:val="1"/>
                <w:color w:val="auto"/>
              </w:rPr>
              <w:t>NOTES TO CONSOLIDATED FINANCIAL STATEMENTS</w:t>
            </w: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94"/>
        </w:trPr>
        <w:tc>
          <w:tcPr>
            <w:tcW w:w="9780" w:type="dxa"/>
            <w:vAlign w:val="bottom"/>
          </w:tcPr>
          <w:p>
            <w:pPr>
              <w:ind w:left="420"/>
              <w:spacing w:after="0"/>
              <w:rPr>
                <w:sz w:val="20"/>
                <w:szCs w:val="20"/>
                <w:color w:val="auto"/>
              </w:rPr>
            </w:pPr>
            <w:r>
              <w:rPr>
                <w:rFonts w:ascii="Arial" w:cs="Arial" w:eastAsia="Arial" w:hAnsi="Arial"/>
                <w:sz w:val="18"/>
                <w:szCs w:val="18"/>
                <w:color w:val="auto"/>
              </w:rPr>
              <w:t>The future minimum payments under operating leases were as follows at December 31, 2019 (in thousands):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9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2021</w:t>
            </w:r>
          </w:p>
        </w:tc>
        <w:tc>
          <w:tcPr>
            <w:tcW w:w="5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911</w:t>
            </w:r>
          </w:p>
        </w:tc>
      </w:tr>
      <w:tr>
        <w:trPr>
          <w:trHeight w:val="33"/>
        </w:trPr>
        <w:tc>
          <w:tcPr>
            <w:tcW w:w="9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r>
      <w:tr>
        <w:trPr>
          <w:trHeight w:val="224"/>
        </w:trPr>
        <w:tc>
          <w:tcPr>
            <w:tcW w:w="9780" w:type="dxa"/>
            <w:vAlign w:val="bottom"/>
          </w:tcPr>
          <w:p>
            <w:pPr>
              <w:ind w:left="4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276</w:t>
            </w:r>
          </w:p>
        </w:tc>
      </w:tr>
      <w:tr>
        <w:trPr>
          <w:trHeight w:val="33"/>
        </w:trPr>
        <w:tc>
          <w:tcPr>
            <w:tcW w:w="9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17"/>
        </w:trPr>
        <w:tc>
          <w:tcPr>
            <w:tcW w:w="9780" w:type="dxa"/>
            <w:vAlign w:val="bottom"/>
          </w:tcPr>
          <w:p>
            <w:pPr>
              <w:ind w:left="280"/>
              <w:spacing w:after="0"/>
              <w:rPr>
                <w:sz w:val="20"/>
                <w:szCs w:val="20"/>
                <w:color w:val="auto"/>
              </w:rPr>
            </w:pPr>
            <w:r>
              <w:rPr>
                <w:rFonts w:ascii="Arial" w:cs="Arial" w:eastAsia="Arial" w:hAnsi="Arial"/>
                <w:sz w:val="16"/>
                <w:szCs w:val="16"/>
                <w:color w:val="auto"/>
              </w:rPr>
              <w:t>Total minimum operating lease payments</w:t>
            </w: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3,210</w:t>
            </w:r>
          </w:p>
        </w:tc>
      </w:tr>
      <w:tr>
        <w:trPr>
          <w:trHeight w:val="33"/>
        </w:trPr>
        <w:tc>
          <w:tcPr>
            <w:tcW w:w="9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amounts representing interest</w:t>
            </w: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17"/>
        </w:trPr>
        <w:tc>
          <w:tcPr>
            <w:tcW w:w="9780" w:type="dxa"/>
            <w:vAlign w:val="bottom"/>
          </w:tcPr>
          <w:p>
            <w:pPr>
              <w:ind w:left="280"/>
              <w:spacing w:after="0"/>
              <w:rPr>
                <w:sz w:val="20"/>
                <w:szCs w:val="20"/>
                <w:color w:val="auto"/>
              </w:rPr>
            </w:pPr>
            <w:r>
              <w:rPr>
                <w:rFonts w:ascii="Arial" w:cs="Arial" w:eastAsia="Arial" w:hAnsi="Arial"/>
                <w:sz w:val="16"/>
                <w:szCs w:val="16"/>
                <w:color w:val="auto"/>
              </w:rPr>
              <w:t>Present value of net minimum operating lease payments</w:t>
            </w: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2,809</w:t>
            </w:r>
          </w:p>
        </w:tc>
      </w:tr>
      <w:tr>
        <w:trPr>
          <w:trHeight w:val="33"/>
        </w:trPr>
        <w:tc>
          <w:tcPr>
            <w:tcW w:w="9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6"/>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r>
      <w:tr>
        <w:trPr>
          <w:trHeight w:val="217"/>
        </w:trPr>
        <w:tc>
          <w:tcPr>
            <w:tcW w:w="9780" w:type="dxa"/>
            <w:vAlign w:val="bottom"/>
          </w:tcPr>
          <w:p>
            <w:pPr>
              <w:ind w:left="280"/>
              <w:spacing w:after="0"/>
              <w:rPr>
                <w:sz w:val="20"/>
                <w:szCs w:val="20"/>
                <w:color w:val="auto"/>
              </w:rPr>
            </w:pPr>
            <w:r>
              <w:rPr>
                <w:rFonts w:ascii="Arial" w:cs="Arial" w:eastAsia="Arial" w:hAnsi="Arial"/>
                <w:sz w:val="16"/>
                <w:szCs w:val="16"/>
                <w:color w:val="auto"/>
              </w:rPr>
              <w:t>Long-term portion of operating lease obligations</w:t>
            </w: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1,708</w:t>
            </w:r>
          </w:p>
        </w:tc>
      </w:tr>
      <w:tr>
        <w:trPr>
          <w:trHeight w:val="33"/>
        </w:trPr>
        <w:tc>
          <w:tcPr>
            <w:tcW w:w="97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225" w:lineRule="exact"/>
        <w:rPr>
          <w:sz w:val="20"/>
          <w:szCs w:val="20"/>
          <w:color w:val="auto"/>
        </w:rPr>
      </w:pPr>
    </w:p>
    <w:p>
      <w:pPr>
        <w:ind w:right="420" w:firstLine="405"/>
        <w:spacing w:after="0" w:line="263" w:lineRule="auto"/>
        <w:rPr>
          <w:sz w:val="20"/>
          <w:szCs w:val="20"/>
          <w:color w:val="auto"/>
        </w:rPr>
      </w:pPr>
      <w:r>
        <w:rPr>
          <w:rFonts w:ascii="Arial" w:cs="Arial" w:eastAsia="Arial" w:hAnsi="Arial"/>
          <w:sz w:val="18"/>
          <w:szCs w:val="18"/>
          <w:color w:val="auto"/>
        </w:rPr>
        <w:t xml:space="preserve">Prior to January 1, 2019, and as previously disclosed in the Company’s Form 10-K for the year ended December 31, 2018, the Company derived revenue from customers who lease the Company’s monitoring devices. The Company recorded such revenue in accordance with the previous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and determined that the leases qualify as operating leases.</w:t>
      </w:r>
    </w:p>
    <w:p>
      <w:pPr>
        <w:spacing w:after="0" w:line="184"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condensed consolidated balance sheets.</w:t>
      </w:r>
    </w:p>
    <w:p>
      <w:pPr>
        <w:spacing w:after="0" w:line="12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will account for the combined component as a single performance obligation under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 Information and Concentrations of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geographic concentration of the Company’s assets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263"/>
        </w:trPr>
        <w:tc>
          <w:tcPr>
            <w:tcW w:w="8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w w:val="96"/>
              </w:rPr>
              <w:t>2018</w:t>
            </w:r>
          </w:p>
        </w:tc>
      </w:tr>
      <w:tr>
        <w:trPr>
          <w:trHeight w:val="236"/>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81,769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79,809</w:t>
            </w:r>
          </w:p>
        </w:tc>
      </w:tr>
      <w:tr>
        <w:trPr>
          <w:trHeight w:val="237"/>
        </w:trPr>
        <w:tc>
          <w:tcPr>
            <w:tcW w:w="864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3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53,610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56,937</w:t>
            </w: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25,994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25,510</w:t>
            </w:r>
          </w:p>
        </w:tc>
      </w:tr>
      <w:tr>
        <w:trPr>
          <w:trHeight w:val="217"/>
        </w:trPr>
        <w:tc>
          <w:tcPr>
            <w:tcW w:w="864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161,373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162,256</w:t>
            </w:r>
          </w:p>
        </w:tc>
      </w:tr>
      <w:tr>
        <w:trPr>
          <w:trHeight w:val="33"/>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63"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13335</wp:posOffset>
            </wp:positionV>
            <wp:extent cx="1637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2">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158,756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139,246</w:t>
            </w:r>
          </w:p>
        </w:tc>
      </w:tr>
      <w:tr>
        <w:trPr>
          <w:trHeight w:val="223"/>
        </w:trPr>
        <w:tc>
          <w:tcPr>
            <w:tcW w:w="866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3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35,001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38,608</w:t>
            </w:r>
          </w:p>
        </w:tc>
      </w:tr>
      <w:tr>
        <w:trPr>
          <w:trHeight w:val="46"/>
        </w:trPr>
        <w:tc>
          <w:tcPr>
            <w:tcW w:w="8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25,739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24,609</w:t>
            </w:r>
          </w:p>
        </w:tc>
      </w:tr>
      <w:tr>
        <w:trPr>
          <w:trHeight w:val="244"/>
        </w:trPr>
        <w:tc>
          <w:tcPr>
            <w:tcW w:w="866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219,496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202,463</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For the years ended December 31, 2019 and 2018, one customer accounted for 52.5% and 48.8% of net revenues, respectively. At December 31, 2019, two customers accounted for 25.0% and 11.2% of total accounts receivable. At December 31, 2018, two customers accounted for 30.5% and 12.8% of total accounts receivable.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553"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Savings Plan</w:t>
      </w:r>
    </w:p>
    <w:p>
      <w:pPr>
        <w:spacing w:after="0" w:line="17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Company has a defined contribution 401(k) retirement savings plan (the “Plan”). Substantially all of the Company’s U.S. employees are eligible to participate in the Plan after meeting certain minimum age and service requirements. The Company matches 50% of the first 6% of an employee’s designated deferral of their eligible compensation. Employees may make discretionary contributions to the Plan subject to Internal Revenue Service limitations. Employer matching contributions under the Plan amounted to approximately $0.5 million and $0.4 million for the years ended December 31, 2019 and 2018, respectively. Employer matching contributions vest immediately.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w:t>
      </w:r>
    </w:p>
    <w:p>
      <w:pPr>
        <w:spacing w:after="0" w:line="121" w:lineRule="exact"/>
        <w:rPr>
          <w:sz w:val="20"/>
          <w:szCs w:val="20"/>
          <w:color w:val="auto"/>
        </w:rPr>
      </w:pPr>
    </w:p>
    <w:p>
      <w:pPr>
        <w:ind w:right="180" w:firstLine="405"/>
        <w:spacing w:after="0" w:line="296" w:lineRule="auto"/>
        <w:rPr>
          <w:sz w:val="20"/>
          <w:szCs w:val="20"/>
          <w:color w:val="auto"/>
        </w:rPr>
      </w:pPr>
      <w:r>
        <w:rPr>
          <w:rFonts w:ascii="Arial" w:cs="Arial" w:eastAsia="Arial" w:hAnsi="Arial"/>
          <w:sz w:val="16"/>
          <w:szCs w:val="16"/>
          <w:color w:val="auto"/>
        </w:rPr>
        <w:t>In the third quarter of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(collectively, the “2015 Initiatives”). The Company continued these initiatives in 2016 with a reduction-in-force and the completion of the closure of its facility in Richardson, TX. The 2015 Initiatives are expected to cost a total of approximately $6.0 million and be completed when the Richardson, TX lease expires in June 2020.</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year ended December 31, 2019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Payments</w:t>
            </w:r>
          </w:p>
        </w:tc>
        <w:tc>
          <w:tcPr>
            <w:tcW w:w="200" w:type="dxa"/>
            <w:vAlign w:val="bottom"/>
          </w:tcPr>
          <w:p>
            <w:pPr>
              <w:spacing w:after="0"/>
              <w:rPr>
                <w:sz w:val="14"/>
                <w:szCs w:val="14"/>
                <w:color w:val="auto"/>
              </w:rPr>
            </w:pPr>
          </w:p>
        </w:tc>
        <w:tc>
          <w:tcPr>
            <w:tcW w:w="11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Cumulative Costs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4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Incurred to Date</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2015 Initiatives</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Employee Severance Costs</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6"/>
                <w:szCs w:val="16"/>
                <w:color w:val="auto"/>
              </w:rPr>
              <w:t>Facility Exit Related Costs</w:t>
            </w:r>
          </w:p>
        </w:tc>
        <w:tc>
          <w:tcPr>
            <w:tcW w:w="20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ind w:left="8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220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1,914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The balance of the restructuring liability at December 31, 2019 consists of approximately $0.2 million included in accrued expenses and other current liabilities in the consolidated balance sheet.</w:t>
      </w:r>
    </w:p>
    <w:p>
      <w:pPr>
        <w:spacing w:after="0" w:line="116"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 xml:space="preserve">During the year ended December 31, 2018, the Company wrote down the value of certain inventory by approximately $0.4 million related to the abandonment of certain product lines that management decided to exit. The Company accounted for the adjustments in accordance with the ASC 330, </w:t>
      </w:r>
      <w:r>
        <w:rPr>
          <w:rFonts w:ascii="Arial" w:cs="Arial" w:eastAsia="Arial" w:hAnsi="Arial"/>
          <w:sz w:val="18"/>
          <w:szCs w:val="18"/>
          <w:i w:val="1"/>
          <w:iCs w:val="1"/>
          <w:color w:val="auto"/>
        </w:rPr>
        <w:t>Inventory</w:t>
      </w:r>
      <w:r>
        <w:rPr>
          <w:rFonts w:ascii="Arial" w:cs="Arial" w:eastAsia="Arial" w:hAnsi="Arial"/>
          <w:sz w:val="18"/>
          <w:szCs w:val="18"/>
          <w:color w:val="auto"/>
        </w:rPr>
        <w:t>, and included the adjustments in impairment of abandoned product line, net of recoveries, within cost of net revenues in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w:t>
      </w:r>
      <w:r>
        <w:rPr>
          <w:rFonts w:ascii="Arial" w:cs="Arial" w:eastAsia="Arial" w:hAnsi="Arial"/>
          <w:sz w:val="18"/>
          <w:szCs w:val="18"/>
          <w:i w:val="1"/>
          <w:iCs w:val="1"/>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553"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unaudited quarterly results of operations for the years ended December 31, 2019 and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3"/>
        </w:trPr>
        <w:tc>
          <w:tcPr>
            <w:tcW w:w="5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3"/>
              </w:rPr>
              <w:t>Second Quarter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Fourth Quarter</w:t>
            </w:r>
          </w:p>
        </w:tc>
      </w:tr>
      <w:tr>
        <w:trPr>
          <w:trHeight w:val="318"/>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right"/>
              <w:ind w:right="340"/>
              <w:spacing w:after="0"/>
              <w:rPr>
                <w:sz w:val="20"/>
                <w:szCs w:val="20"/>
                <w:color w:val="auto"/>
              </w:rPr>
            </w:pPr>
            <w:r>
              <w:rPr>
                <w:rFonts w:ascii="Arial" w:cs="Arial" w:eastAsia="Arial" w:hAnsi="Arial"/>
                <w:sz w:val="14"/>
                <w:szCs w:val="14"/>
                <w:color w:val="auto"/>
                <w:w w:val="92"/>
              </w:rPr>
              <w:t>(in thousands, except per share amounts)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48,556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55,891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62,716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52,333</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14,760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15,555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18,625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15,031</w:t>
            </w: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(13,285)</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Basic and diluted net loss per share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594"/>
        </w:trPr>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3"/>
              </w:rPr>
              <w:t>Second Quarter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Fourth Quarter</w:t>
            </w:r>
          </w:p>
        </w:tc>
      </w:tr>
      <w:tr>
        <w:trPr>
          <w:trHeight w:val="385"/>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right"/>
              <w:ind w:right="340"/>
              <w:spacing w:after="0"/>
              <w:rPr>
                <w:sz w:val="20"/>
                <w:szCs w:val="20"/>
                <w:color w:val="auto"/>
              </w:rPr>
            </w:pPr>
            <w:r>
              <w:rPr>
                <w:rFonts w:ascii="Arial" w:cs="Arial" w:eastAsia="Arial" w:hAnsi="Arial"/>
                <w:sz w:val="14"/>
                <w:szCs w:val="14"/>
                <w:color w:val="auto"/>
                <w:w w:val="92"/>
              </w:rPr>
              <w:t>(in thousands, except per share amounts)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46,733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49,057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50,630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56,043</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15,543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17,657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17,604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19,793</w:t>
            </w: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(4,191)</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Basic net income (loss) per share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(loss) per share</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5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75" w:lineRule="exact"/>
        <w:rPr>
          <w:sz w:val="20"/>
          <w:szCs w:val="20"/>
          <w:color w:val="auto"/>
        </w:rPr>
      </w:pPr>
    </w:p>
    <w:p>
      <w:pPr>
        <w:ind w:right="560" w:firstLine="391"/>
        <w:spacing w:after="0" w:line="277" w:lineRule="auto"/>
        <w:rPr>
          <w:sz w:val="20"/>
          <w:szCs w:val="20"/>
          <w:color w:val="auto"/>
        </w:rPr>
      </w:pPr>
      <w:r>
        <w:rPr>
          <w:rFonts w:ascii="Arial" w:cs="Arial" w:eastAsia="Arial" w:hAnsi="Arial"/>
          <w:sz w:val="18"/>
          <w:szCs w:val="18"/>
          <w:color w:val="auto"/>
        </w:rPr>
        <w:t>On March 3, 2020 the Company and the Trustee entered into a First Supplemental Indenture which eliminated certain covenants in the Inseego Indenture prohibiting the incurrence of certain indebtedness and certain restricted payments.</w:t>
      </w:r>
    </w:p>
    <w:p>
      <w:pPr>
        <w:spacing w:after="0" w:line="116" w:lineRule="exact"/>
        <w:rPr>
          <w:sz w:val="20"/>
          <w:szCs w:val="20"/>
          <w:color w:val="auto"/>
        </w:rPr>
      </w:pPr>
    </w:p>
    <w:p>
      <w:pPr>
        <w:jc w:val="both"/>
        <w:ind w:firstLine="391"/>
        <w:spacing w:after="0" w:line="277" w:lineRule="auto"/>
        <w:rPr>
          <w:sz w:val="20"/>
          <w:szCs w:val="20"/>
          <w:color w:val="auto"/>
        </w:rPr>
      </w:pPr>
      <w:r>
        <w:rPr>
          <w:rFonts w:ascii="Arial" w:cs="Arial" w:eastAsia="Arial" w:hAnsi="Arial"/>
          <w:sz w:val="18"/>
          <w:szCs w:val="18"/>
          <w:color w:val="auto"/>
        </w:rPr>
        <w:t>On March 6, 2020, the holders of substantially all of the outstanding indebtedness under the Inseego Notes agreed to waive their optional right to require the Company to repurchase the Inseego Notes on June 15, 2020.</w:t>
      </w:r>
    </w:p>
    <w:p>
      <w:pPr>
        <w:spacing w:after="0" w:line="170"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On March 6, 2020, the Company entered into a Securities Purchase Agreement with an accredited investor pursuant to which, among other things, the Company issued and sold to the investor, in a private placement transaction, an aggregate of 25,000 shares of the Company’s Series E Preferred Stock, for a purchase price of $1,000 per share of Series E Preferred Stock, resulting in gross proceeds to the Company of $25.0 million.</w:t>
      </w:r>
    </w:p>
    <w:p>
      <w:pPr>
        <w:spacing w:after="0" w:line="165" w:lineRule="exact"/>
        <w:rPr>
          <w:sz w:val="20"/>
          <w:szCs w:val="20"/>
          <w:color w:val="auto"/>
        </w:rPr>
      </w:pPr>
    </w:p>
    <w:p>
      <w:pPr>
        <w:ind w:right="440" w:firstLine="405"/>
        <w:spacing w:after="0" w:line="263" w:lineRule="auto"/>
        <w:rPr>
          <w:sz w:val="20"/>
          <w:szCs w:val="20"/>
          <w:color w:val="auto"/>
        </w:rPr>
      </w:pPr>
      <w:r>
        <w:rPr>
          <w:rFonts w:ascii="Arial" w:cs="Arial" w:eastAsia="Arial" w:hAnsi="Arial"/>
          <w:sz w:val="18"/>
          <w:szCs w:val="18"/>
          <w:color w:val="auto"/>
        </w:rPr>
        <w:t>On March 9, 2020, the Company entered into an amendment to the Credit Agreement, which among other things, amended certain financial covenants set forth therein and permits the use of the Company’s Series E Preferred Stock to make certain payments, including interest payments, due thereunder.</w:t>
      </w:r>
    </w:p>
    <w:p>
      <w:pPr>
        <w:spacing w:after="0" w:line="184" w:lineRule="exact"/>
        <w:rPr>
          <w:sz w:val="20"/>
          <w:szCs w:val="20"/>
          <w:color w:val="auto"/>
        </w:rPr>
      </w:pPr>
    </w:p>
    <w:p>
      <w:pPr>
        <w:jc w:val="both"/>
        <w:ind w:firstLine="391"/>
        <w:spacing w:after="0" w:line="275" w:lineRule="auto"/>
        <w:rPr>
          <w:sz w:val="20"/>
          <w:szCs w:val="20"/>
          <w:color w:val="auto"/>
        </w:rPr>
      </w:pPr>
      <w:r>
        <w:rPr>
          <w:rFonts w:ascii="Arial" w:cs="Arial" w:eastAsia="Arial" w:hAnsi="Arial"/>
          <w:sz w:val="17"/>
          <w:szCs w:val="17"/>
          <w:color w:val="auto"/>
        </w:rPr>
        <w:t>On March 10, 2020, the Company entered into a letter agreement (the “Letter Agreement”) with South Ocean Funding, LLC (“South Ocean”), the Lender holding all of the aggregate principal amount currently outstanding under the Credit Agreement, which provides: (i) that the Company and South Ocean will work together, in good faith, to reach an agreement to amend or refinance the Credit Agreement in order to extend the maturity of the Credit Agreement until a date after March 15, 2021; and (ii) should an agreement not be reached to amend or refinance the Credit Agreement prior to August 23, 2020, upon request of the Company, the maturity date of the Credit Agreement will be extended to no earlier than March 15, 2021.</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240"/>
          </w:cols>
          <w:pgMar w:left="320" w:top="553" w:right="33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EQUITY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UNDER SECTION 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EXCHANGE ACT</w:t>
      </w:r>
    </w:p>
    <w:p>
      <w:pPr>
        <w:spacing w:after="0" w:line="200" w:lineRule="exact"/>
        <w:rPr>
          <w:sz w:val="20"/>
          <w:szCs w:val="20"/>
          <w:color w:val="auto"/>
        </w:rPr>
      </w:pPr>
    </w:p>
    <w:p>
      <w:pPr>
        <w:spacing w:after="0" w:line="227"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The following information describes the common stock, par value $0.001 per share (“Common Stock”) of Inssego Corp. (the “Company”), as well as certain provisions of our amended and restated certificate of incorporation (as amended, our “Certificate of Incorporation”) and our amended and restated bylaws (“Bylaws”). This description is only a summary. You should also refer to our Certificate of Incorporation and Bylaws, which have been filed with the Securities and Exchange Commission as exhibits to the Annual Report on Form 10-K of which this Exhibit 4.2 is a part.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Capital Stock</w:t>
      </w:r>
    </w:p>
    <w:p>
      <w:pPr>
        <w:spacing w:after="0" w:line="121" w:lineRule="exact"/>
        <w:rPr>
          <w:sz w:val="20"/>
          <w:szCs w:val="20"/>
          <w:color w:val="auto"/>
        </w:rPr>
      </w:pPr>
    </w:p>
    <w:p>
      <w:pPr>
        <w:ind w:right="240" w:firstLine="445"/>
        <w:spacing w:after="0" w:line="275" w:lineRule="auto"/>
        <w:rPr>
          <w:sz w:val="20"/>
          <w:szCs w:val="20"/>
          <w:color w:val="auto"/>
        </w:rPr>
      </w:pPr>
      <w:r>
        <w:rPr>
          <w:rFonts w:ascii="Arial" w:cs="Arial" w:eastAsia="Arial" w:hAnsi="Arial"/>
          <w:sz w:val="17"/>
          <w:szCs w:val="17"/>
          <w:color w:val="auto"/>
        </w:rPr>
        <w:t>Our authorized capital stock consists of 150,000,000 shares of Common Stock and 2,000,000 shares of preferred stock, par value $0.001 per share (the “Preferred Stock”), issuable in one or more series designated by the board of directors of the Company (the “Board”), of which 150,000 shares have been designated as Series D Preferred Stock (as defined below) and of which 39,500 shares have been designated as Series E Fixed-Rate Cumulative Perpetual Preferred Stock, par value $0.001 per share (the “Series E Preferred Stock”). As of March 10, 2020, there were 96,121,497 shares of Common Stock and 35,000 shares of Preferred Stock issued and outstanding.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Subject to the rights of holders of all classes of stock at the time outstanding having prior rights as to dividends, the holders of Common Stock are entitled to receive such dividends, if any, as may from time to time be declared by the Board out of funds legally available for that purpose. Pursuant to our Certificate of Incorporation, holders of Common Stock are entitled to one vote per share, and are entitled to vote upon such matters and in such manner as may be provided by law. Holders of Common Stock have no preemptive, conversion, redemption or sinking fund rights. Subject to the rights of holders of all classes of stock at the time outstanding having prior rights as to liquidation, holders of Common Stock, upon the liquidation, dissolution or winding up of the Company, are entitled to share equally and ratably in the assets of the Company. The outstanding shares of Common Stock are validly issued, fully paid and nonassessable. The rights, preferences and privileges of holders of Common Stock are subject to the rights, preferences and privileges of any series of Preferred Stock that we may issue in the future.</w:t>
      </w:r>
    </w:p>
    <w:p>
      <w:pPr>
        <w:spacing w:after="0" w:line="178" w:lineRule="exact"/>
        <w:rPr>
          <w:sz w:val="20"/>
          <w:szCs w:val="20"/>
          <w:color w:val="auto"/>
        </w:rPr>
      </w:pPr>
    </w:p>
    <w:p>
      <w:pPr>
        <w:ind w:right="400" w:firstLine="445"/>
        <w:spacing w:after="0" w:line="257" w:lineRule="auto"/>
        <w:rPr>
          <w:sz w:val="20"/>
          <w:szCs w:val="20"/>
          <w:color w:val="auto"/>
        </w:rPr>
      </w:pPr>
      <w:r>
        <w:rPr>
          <w:rFonts w:ascii="Arial" w:cs="Arial" w:eastAsia="Arial" w:hAnsi="Arial"/>
          <w:sz w:val="18"/>
          <w:szCs w:val="18"/>
          <w:color w:val="auto"/>
        </w:rPr>
        <w:t>Each share of Common Stock includes Series D Preferred Stock purchase rights (the “Rights”) pursuant to the rights agreement, dated as of January 22, 2018, between the Company and the rights agent named therein, as amended (the “Rights Agreement”). Prior to the occurrence of certain events, the Rights will not be exercisable or evidenced separately from the Common Stock. The Rights have no value except as reflected in the market price of the shares of the Common Stock to which they are attached, and can be transferred only with the shares of Common Stock to which they are attached.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“INSG.”</w:t>
      </w:r>
    </w:p>
    <w:p>
      <w:pPr>
        <w:spacing w:after="0" w:line="252" w:lineRule="exact"/>
        <w:rPr>
          <w:sz w:val="20"/>
          <w:szCs w:val="20"/>
          <w:color w:val="auto"/>
        </w:rPr>
      </w:pPr>
    </w:p>
    <w:p>
      <w:pPr>
        <w:ind w:right="320" w:firstLine="445"/>
        <w:spacing w:after="0" w:line="340" w:lineRule="auto"/>
        <w:rPr>
          <w:sz w:val="20"/>
          <w:szCs w:val="20"/>
          <w:color w:val="auto"/>
        </w:rPr>
      </w:pPr>
      <w:r>
        <w:rPr>
          <w:rFonts w:ascii="Arial" w:cs="Arial" w:eastAsia="Arial" w:hAnsi="Arial"/>
          <w:sz w:val="18"/>
          <w:szCs w:val="18"/>
          <w:color w:val="auto"/>
        </w:rPr>
        <w:t>The transfer agent and registrar for our Common Stock and related rights to purchase Series D Preferred Stock is Computershare Trust Company, N.A. Its address is 250 Royall Street, Canton, MA 02021, and its telephone number is (877) 290-2245.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Our Certificate of Incorporation provides that we may issue shares of Preferred Stock from time to time in one or more series. Our Board is authorized to fix the voting rights, if any, designations, powers, preferences, qualifications, limitations and restrictions thereof, applicable to the shares of each series of Preferred Stock. The Board may, without stockholder approval, issue Preferred Stock with voting and other rights that could adversely affect the voting power and other rights of the holders of our Common Stock and could have anti-takeover effects. The ability of the Board to issue Preferred Stock without stockholder approval could have the effect of delaying, deferring or preventing a change of control or the removal of our existing management.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Preferred Stock</w:t>
      </w:r>
    </w:p>
    <w:p>
      <w:pPr>
        <w:spacing w:after="0" w:line="117" w:lineRule="exact"/>
        <w:rPr>
          <w:sz w:val="20"/>
          <w:szCs w:val="20"/>
          <w:color w:val="auto"/>
        </w:rPr>
      </w:pPr>
    </w:p>
    <w:p>
      <w:pPr>
        <w:ind w:right="380" w:firstLine="445"/>
        <w:spacing w:after="0" w:line="258" w:lineRule="auto"/>
        <w:rPr>
          <w:sz w:val="20"/>
          <w:szCs w:val="20"/>
          <w:color w:val="auto"/>
        </w:rPr>
      </w:pPr>
      <w:r>
        <w:rPr>
          <w:rFonts w:ascii="Arial" w:cs="Arial" w:eastAsia="Arial" w:hAnsi="Arial"/>
          <w:sz w:val="18"/>
          <w:szCs w:val="18"/>
          <w:color w:val="auto"/>
        </w:rPr>
        <w:t>The Series D Preferred Stock, par value $0.001 per share (the “Series D Preferred Stock”), is reserved for issuance in connection with the Rights outstanding under our Rights Agreement. The Series D Preferred Stock</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will not be redeemable at the option of the holder thereof. Each share of Series D Preferred Stock will be entitled to receive quarterly dividends when, and if declared by the Board, out of funds legally available for such purpose, equal to 1,000 times the aggregate of all dividends declared per share of Common Stock since the immediately preceding quarterly dividend payment date. In the event of our liquidation, the holders of Series D Preferred Stock will be entitled to an aggregate payment equal to 1,000 times the payment made per share of Common Stock, plus any accrued and unpaid dividends. Each share of Series D Preferred Stock shall be entitled to 1,000 votes, voting together with the shares of Common Stock, on any matter submitted to a vote of our stockholders. In the event of any merger, consolidation or other transaction in which shares of Common Stock are exchanged, each share of Series D Preferred Stock will be exchanged for 1,000 times the amount of consideration into which each share of Common Stock is exchanged. Because of the nature of the Series D Preferred Stock dividend, liquidation and voting rights, the value of the one one-thousandth share of Series D Preferred Stock purchasable upon exercise of each Right should approximate the value of one share of Common Stock. The Series D Preferred Stock would rank junior to any other series of Preferred Stock. There are currently no shares of Series D Preferred Stock issued and outstanding.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Preferred Stock</w:t>
      </w:r>
    </w:p>
    <w:p>
      <w:pPr>
        <w:spacing w:after="0" w:line="117"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The Series E Preferred Stock was issued pursuant to a Securities Purchase Agreement, between the Company and two accredited investors. Each share of Series E Preferred Stock entitles the holder thereof to receive, when, as and if declared by the Board out of assets legally available therefor, cumulative cash dividends at an annual rate of 9.00% payable quarterly in arrears on January 1, April 1, July 1 and October 1 of each year, beginning on October 1, 2019. The Series E Preferred Stock has no voting rights unless otherwise required by law. The Series E Preferred Stock is perpetual and has no maturity date.</w:t>
      </w:r>
    </w:p>
    <w:p>
      <w:pPr>
        <w:sectPr>
          <w:pgSz w:w="11900" w:h="16838" w:orient="portrait"/>
          <w:cols w:equalWidth="0" w:num="1">
            <w:col w:w="11240"/>
          </w:cols>
          <w:pgMar w:left="320" w:top="594" w:right="339" w:bottom="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Anti-Takeover Effects of Some Provisions of Delaware Law</w:t>
      </w:r>
    </w:p>
    <w:p>
      <w:pPr>
        <w:spacing w:after="0" w:line="121"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Provisions of Delaware law and our Certificate of Incorporation and Bylaws could make the acquisition of the Company through a tender offer, a proxy contest or other means more difficult and could make the removal of incumbent officers and directors more difficult. We expect these provisions to discourage coercive takeover practices and inadequate takeover bids and to encourage persons seeking to acquire control of the Company to first negotiate with our Board. We believe that the benefits provided by our ability to negotiate with the proponent of an unfriendly or unsolicited proposal outweigh the disadvantages of discouraging these proposals. We believe the negotiation of an unfriendly or unsolicited proposal could result in an improvement of its terms.</w:t>
      </w:r>
    </w:p>
    <w:p>
      <w:pPr>
        <w:spacing w:after="0" w:line="192"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We are subject to Section 203 of the Delaware General Corporation Law, an anti-takeover law. In general, Section 203 prohibits a publicly held Delaware corporation from engaging in a “business combination” with an “interested stockholder” for a period of three years following the date the person became an interested stockholder, unless:</w:t>
      </w:r>
    </w:p>
    <w:p>
      <w:pPr>
        <w:spacing w:after="0" w:line="386" w:lineRule="exact"/>
        <w:rPr>
          <w:sz w:val="20"/>
          <w:szCs w:val="20"/>
          <w:color w:val="auto"/>
        </w:rPr>
      </w:pPr>
    </w:p>
    <w:p>
      <w:pPr>
        <w:ind w:left="1040" w:right="720" w:hanging="438"/>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of directors of the corporation approves either the business combination or the transaction that resulted in the stockholder becoming an interested stockholder, prior to the time the interested stockholder attained that status;</w:t>
      </w:r>
    </w:p>
    <w:p>
      <w:pPr>
        <w:spacing w:after="0" w:line="264" w:lineRule="exact"/>
        <w:rPr>
          <w:rFonts w:ascii="Arial" w:cs="Arial" w:eastAsia="Arial" w:hAnsi="Arial"/>
          <w:sz w:val="18"/>
          <w:szCs w:val="18"/>
          <w:color w:val="auto"/>
        </w:rPr>
      </w:pPr>
    </w:p>
    <w:p>
      <w:pPr>
        <w:ind w:left="1040" w:right="20" w:hanging="438"/>
        <w:spacing w:after="0" w:line="25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82" w:lineRule="exact"/>
        <w:rPr>
          <w:rFonts w:ascii="Arial" w:cs="Arial" w:eastAsia="Arial" w:hAnsi="Arial"/>
          <w:sz w:val="18"/>
          <w:szCs w:val="18"/>
          <w:color w:val="auto"/>
        </w:rPr>
      </w:pPr>
    </w:p>
    <w:p>
      <w:pPr>
        <w:ind w:left="1040" w:right="80" w:hanging="438"/>
        <w:spacing w:after="0" w:line="263"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66-2/3% of the outstanding voting stock that is not owned by the interested stockholder.</w:t>
      </w:r>
    </w:p>
    <w:p>
      <w:pPr>
        <w:spacing w:after="0" w:line="15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With certain exceptions, an “interested stockholder” is a person or group who or which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such voting stock at any time within the previous three years.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defines a business combination to include:</w:t>
      </w:r>
    </w:p>
    <w:p>
      <w:pPr>
        <w:spacing w:after="0" w:line="293" w:lineRule="exact"/>
        <w:rPr>
          <w:sz w:val="20"/>
          <w:szCs w:val="20"/>
          <w:color w:val="auto"/>
        </w:rPr>
      </w:pPr>
    </w:p>
    <w:p>
      <w:pPr>
        <w:ind w:left="1040" w:hanging="43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319" w:lineRule="exact"/>
        <w:rPr>
          <w:rFonts w:ascii="Arial" w:cs="Arial" w:eastAsia="Arial" w:hAnsi="Arial"/>
          <w:sz w:val="18"/>
          <w:szCs w:val="18"/>
          <w:color w:val="auto"/>
        </w:rPr>
      </w:pPr>
    </w:p>
    <w:p>
      <w:pPr>
        <w:ind w:left="1040" w:hanging="438"/>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331" w:lineRule="exact"/>
        <w:rPr>
          <w:rFonts w:ascii="Arial" w:cs="Arial" w:eastAsia="Arial" w:hAnsi="Arial"/>
          <w:sz w:val="17"/>
          <w:szCs w:val="17"/>
          <w:color w:val="auto"/>
        </w:rPr>
      </w:pPr>
    </w:p>
    <w:p>
      <w:pPr>
        <w:ind w:left="1040" w:right="140" w:hanging="438"/>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64" w:lineRule="exact"/>
        <w:rPr>
          <w:rFonts w:ascii="Arial" w:cs="Arial" w:eastAsia="Arial" w:hAnsi="Arial"/>
          <w:sz w:val="18"/>
          <w:szCs w:val="18"/>
          <w:color w:val="auto"/>
        </w:rPr>
      </w:pPr>
    </w:p>
    <w:p>
      <w:pPr>
        <w:ind w:left="1040" w:right="320" w:hanging="438"/>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264" w:lineRule="exact"/>
        <w:rPr>
          <w:rFonts w:ascii="Arial" w:cs="Arial" w:eastAsia="Arial" w:hAnsi="Arial"/>
          <w:sz w:val="18"/>
          <w:szCs w:val="18"/>
          <w:color w:val="auto"/>
        </w:rPr>
      </w:pPr>
    </w:p>
    <w:p>
      <w:pPr>
        <w:ind w:left="1040" w:right="120" w:hanging="438"/>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97"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A Delaware corporation may “opt out” of this provision with an express provision in its original certificate of incorporation or an express provision in its amended and restated certificate of incorporation or bylaws resulting from a stockholders’ amendment approved by at least a majority of the outstanding voting shares. However, the Company has not “opted out” of this provision. Section 203 could prohibit or delay mergers or other takeover or change-in-control attempts and, accordingly, may discourage attempts to acquire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Charter Documents</w:t>
      </w:r>
    </w:p>
    <w:p>
      <w:pPr>
        <w:spacing w:after="0" w:line="121" w:lineRule="exact"/>
        <w:rPr>
          <w:sz w:val="20"/>
          <w:szCs w:val="20"/>
          <w:color w:val="auto"/>
        </w:rPr>
      </w:pPr>
    </w:p>
    <w:p>
      <w:pPr>
        <w:ind w:right="260" w:firstLine="445"/>
        <w:spacing w:after="0" w:line="275" w:lineRule="auto"/>
        <w:rPr>
          <w:sz w:val="20"/>
          <w:szCs w:val="20"/>
          <w:color w:val="auto"/>
        </w:rPr>
      </w:pPr>
      <w:r>
        <w:rPr>
          <w:rFonts w:ascii="Arial" w:cs="Arial" w:eastAsia="Arial" w:hAnsi="Arial"/>
          <w:sz w:val="17"/>
          <w:szCs w:val="17"/>
          <w:color w:val="auto"/>
        </w:rPr>
        <w:t>Our Certificate of Incorporation provides for our Board to be divided into three classes serving staggered terms. Approximately one-third of the Board will be elected each year. The provision for a classified board could prevent a party who acquires control of a majority of the outstanding voting stock from obtaining control of the Board until the second annual stockholders meeting following the date the acquirer obtains the controlling stock interest. The classified board provision could discourage a potential acquirer from making a tender offer or otherwise attempting to obtain control of the Company and could increase the likelihood that incumbent directors will retain their positions.</w:t>
      </w:r>
    </w:p>
    <w:p>
      <w:pPr>
        <w:spacing w:after="0" w:line="176"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Our Bylaws establish an advance notice procedure for stockholder proposals to be brought before an annual or special meeting of our stockholders, including proposed nominations of persons for election to the Board. Among other requirements, the advance notice provisions provide that (i) a stockholder must provide to the secretary of the Company timely notice (generally 90-120 days prior to the one-year anniversary of the previous year’s annual meeting of stockholders) of any business, including director nominations, proposed to be brought before the annual or special meeting, which notice must conform to the substantive requirements set forth in the Bylaws, (ii) a stockholder must deliver certain information regarding the person(s) making the proposal, and in the case of any nominee for election to the Board, information regarding such nominee, in each case as set forth in the Bylaws, and</w:t>
      </w:r>
    </w:p>
    <w:p>
      <w:pPr>
        <w:spacing w:after="0" w:line="4" w:lineRule="exact"/>
        <w:rPr>
          <w:sz w:val="20"/>
          <w:szCs w:val="20"/>
          <w:color w:val="auto"/>
        </w:rPr>
      </w:pPr>
    </w:p>
    <w:p>
      <w:pPr>
        <w:ind w:right="20" w:firstLine="8"/>
        <w:spacing w:after="0" w:line="265" w:lineRule="auto"/>
        <w:tabs>
          <w:tab w:leader="none" w:pos="3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nominee for election to the Board must provide both an executed questionnaire regarding his or her background, qualifications, stock ownership and independence, and an executed representation agreement regarding voting commitments, indemnification or similar arrangements and compliance with Company policies applicable to members of the Board. These provisions may discourage or deter a potential acquirer from conducting a solicitation of proxies to elect the acquirer’s own slate of directors or otherwise attempting to obtain control of the Company.</w:t>
      </w:r>
    </w:p>
    <w:p>
      <w:pPr>
        <w:ind w:firstLine="445"/>
        <w:spacing w:after="0" w:line="323" w:lineRule="auto"/>
        <w:rPr>
          <w:rFonts w:ascii="Arial" w:cs="Arial" w:eastAsia="Arial" w:hAnsi="Arial"/>
          <w:sz w:val="17"/>
          <w:szCs w:val="17"/>
          <w:color w:val="auto"/>
        </w:rPr>
      </w:pPr>
      <w:r>
        <w:rPr>
          <w:rFonts w:ascii="Arial" w:cs="Arial" w:eastAsia="Arial" w:hAnsi="Arial"/>
          <w:sz w:val="16"/>
          <w:szCs w:val="16"/>
          <w:color w:val="auto"/>
        </w:rPr>
        <w:t>Our Bylaws provide that our Board, our chairperson of the Board or our chief executive officer may call a special meeting of stockholders. Because our stockholders do not have the right to call a special meeting, a stockholder could not force stockholder consideration of a proposal over the opposition of</w:t>
      </w:r>
    </w:p>
    <w:p>
      <w:pPr>
        <w:sectPr>
          <w:pgSz w:w="11900" w:h="16838" w:orient="portrait"/>
          <w:cols w:equalWidth="0" w:num="1">
            <w:col w:w="11220"/>
          </w:cols>
          <w:pgMar w:left="320" w:top="445" w:right="359" w:bottom="0" w:gutter="0" w:footer="0" w:header="0"/>
        </w:sectPr>
      </w:pPr>
    </w:p>
    <w:bookmarkStart w:id="92" w:name="page93"/>
    <w:bookmarkEnd w:id="92"/>
    <w:p>
      <w:pPr>
        <w:ind w:right="260"/>
        <w:spacing w:after="0" w:line="286" w:lineRule="auto"/>
        <w:rPr>
          <w:sz w:val="20"/>
          <w:szCs w:val="20"/>
          <w:color w:val="auto"/>
        </w:rPr>
      </w:pPr>
      <w:r>
        <w:rPr>
          <w:rFonts w:ascii="Arial" w:cs="Arial" w:eastAsia="Arial" w:hAnsi="Arial"/>
          <w:sz w:val="17"/>
          <w:szCs w:val="17"/>
          <w:color w:val="auto"/>
        </w:rPr>
        <w:t>the Board by calling a special meeting of stockholders prior to such time as a majority of the Board believed the matter should be considered or until the next annual meeting provided that the requestor met the notice and other requirements. The restriction on the ability of stockholders to call a special meeting means that a proposal to replace the Board also could be delayed until the next annual meeting.</w:t>
      </w:r>
    </w:p>
    <w:p>
      <w:pPr>
        <w:spacing w:after="0" w:line="165"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Our Certificate of Incorporation provides that our Bylaws may be altered or amended or new bylaws adopted by the affirmative vote of at least 66 2/3% of the voting power of all of the then-outstanding shares of our voting stock entitled to vote.</w:t>
      </w:r>
    </w:p>
    <w:p>
      <w:pPr>
        <w:spacing w:after="0" w:line="170" w:lineRule="exact"/>
        <w:rPr>
          <w:sz w:val="20"/>
          <w:szCs w:val="20"/>
          <w:color w:val="auto"/>
        </w:rPr>
      </w:pPr>
    </w:p>
    <w:p>
      <w:pPr>
        <w:ind w:right="120" w:firstLine="445"/>
        <w:spacing w:after="0" w:line="342" w:lineRule="auto"/>
        <w:rPr>
          <w:sz w:val="20"/>
          <w:szCs w:val="20"/>
          <w:color w:val="auto"/>
        </w:rPr>
      </w:pPr>
      <w:r>
        <w:rPr>
          <w:rFonts w:ascii="Arial" w:cs="Arial" w:eastAsia="Arial" w:hAnsi="Arial"/>
          <w:sz w:val="16"/>
          <w:szCs w:val="16"/>
          <w:color w:val="auto"/>
        </w:rPr>
        <w:t>Our Board is expressly authorized to adopt, amend or repeal our Bylaws. This provision may not be repealed, amended or altered in any respect without the affirmative vote of the holders of at least 66 2/3% of the voting power of all of the then-outstanding shares of our voting stock entitled to vote.</w:t>
      </w:r>
    </w:p>
    <w:p>
      <w:pPr>
        <w:spacing w:after="0" w:line="124"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Our Certificate of Incorporation does not allow stockholders to act by written consent without a meeting. Without the availability of stockholder action by written consent, a holder of the requisite number of shares of our capital stock would not be able to amend our Bylaws or remove directors without holding a stockholders’ meeting. The holder would have to obtain the consent of a majority of our Board, our chairperson of the Board or our chief executive officer to call a stockholders’ meeting and satisfy the notice periods determined by our Board.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Rights Agreement</w:t>
      </w:r>
    </w:p>
    <w:p>
      <w:pPr>
        <w:spacing w:after="0" w:line="121"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On January 22, 2018, the Company entered into a Rights Agreement with Computershare Trust Company, N.A., a federally chartered trust company, as rights agent. In connection with the Rights Agreement, the Board authorized and declared a dividend distribution of one Right for each share of Common Stock outstanding and has authorized the issuance of one Right with respect to each share of Common Stock that is issued and becomes outstanding until the earlier of the Distribution Date and the Expiration Date (each as defined in the Rights Agreement). Prior to exercise, the Rights do not give their holders any rights as stockholders of the Company, including any dividend, voting or liquidation rights. The Rights trade only with the shares of Common Stock to which they are attached. A complete description and terms of the Rights are set forth in the Rights Agreement.</w:t>
      </w:r>
    </w:p>
    <w:p>
      <w:pPr>
        <w:spacing w:after="0" w:line="164"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The Rights are not exercisable until the Distribution Date. Until the Distribution Date, the Rights will be transferred with and only with the Common Stock. Upon the Distribution Date, the Rights may be transferred separately from the Common Stock, and each Right, other than Rights held by an Acquiring Person (as defined below), will entitle its holder to purchase from the Company one one-thousandth of a share of Series D Preferred Stock, at a purchase price of $10.00 per one one-thousandth of a share of Series D Preferred Stock, subject to adjustment (the “Purchase Price”). An “Acquiring Person” is any person or group of affiliated or associated persons that has acquired or has the ability to acquire direct or indirect beneficial ownership of 4.9% or more of the Company’s Common Stock then-outstanding, subject to certain exceptions.</w:t>
      </w:r>
    </w:p>
    <w:p>
      <w:pPr>
        <w:spacing w:after="0" w:line="178"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If any person becomes an Acquiring Person, each holder of Rights (other than Rights owned by an Acquiring Person, which shall have become void), will thereafter have the right to receive, upon exercise thereof, that number shares of Common Stock of the Company having a market value equal to two times the Purchase Price.</w:t>
      </w:r>
    </w:p>
    <w:p>
      <w:pPr>
        <w:spacing w:after="0" w:line="184"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If, at any time after a person becomes an Acquiring Person, the Company is acquired in a merger or other business combination transaction or 50% or more of its consolidated assets or earning power are sold, proper provision will be made so that each holder of a Right will thereafter have the right to receive, upon the exercise thereof at the then-current Purchase Price of the Right, that number of shares of Common Stock of the acquiring company which at the time of such transaction will have a market value equal to two times the Purchase Price.</w:t>
      </w:r>
    </w:p>
    <w:p>
      <w:pPr>
        <w:spacing w:after="0" w:line="171"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At any time after any person becomes an Acquiring Person and prior to the acquisition by any person or group of a majority of the Common Stock then-outstanding, the Board may exchange the Rights (other than Rights owned by an Acquiring Person, which shall have become void), at an exchange ratio of one share of Common Stock per Right, subject to adjustment.</w:t>
      </w:r>
    </w:p>
    <w:p>
      <w:pPr>
        <w:spacing w:after="0" w:line="184"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The Rights will expire on the earliest of (i) the close of business on January 22, 2021, (ii) the time at which the Rights are redeemed, and (iii) the time at which the Rights are exchanged.</w:t>
      </w:r>
    </w:p>
    <w:p>
      <w:pPr>
        <w:spacing w:after="0" w:line="170"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At any time before any person becomes an Acquiring Person, the Board may redeem the Rights in whole, but not in part. Immediately upon any redemption of the Rights, the right to exercise the Rights will terminate.</w:t>
      </w:r>
    </w:p>
    <w:p>
      <w:pPr>
        <w:spacing w:after="0" w:line="170" w:lineRule="exact"/>
        <w:rPr>
          <w:sz w:val="20"/>
          <w:szCs w:val="20"/>
          <w:color w:val="auto"/>
        </w:rPr>
      </w:pPr>
    </w:p>
    <w:p>
      <w:pPr>
        <w:ind w:right="300" w:firstLine="445"/>
        <w:spacing w:after="0" w:line="263" w:lineRule="auto"/>
        <w:rPr>
          <w:sz w:val="20"/>
          <w:szCs w:val="20"/>
          <w:color w:val="auto"/>
        </w:rPr>
      </w:pPr>
      <w:r>
        <w:rPr>
          <w:rFonts w:ascii="Arial" w:cs="Arial" w:eastAsia="Arial" w:hAnsi="Arial"/>
          <w:sz w:val="18"/>
          <w:szCs w:val="18"/>
          <w:color w:val="auto"/>
        </w:rPr>
        <w:t>The terms of the Rights Agreement may be amended by the Board without the consent of the holders of the Rights. However, from and after such time as any person becomes an Acquiring Person, the Rights Agreement shall not be amended or supplemented in any manner which would adversely affect the interests of the holders of Rights (other than Rights which have become null and void).</w:t>
      </w:r>
    </w:p>
    <w:p>
      <w:pPr>
        <w:spacing w:after="0" w:line="184"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The Rights have anti-takeover effects. If the Rights are exercised, shares of Series D Preferred Stock will be issued, which will cause significant dilution to an Acquiring Person that attempts to acquire us on terms not approved by our Board. The Rights should not interfere with any merger or other business combination approved by our Board since the Rights may be amended to permit such acquisition or redeemed by us at $0.0001 per Right at any time prior to the time that a person or group becomes an Acquiring Person.</w:t>
      </w:r>
    </w:p>
    <w:p>
      <w:pPr>
        <w:sectPr>
          <w:pgSz w:w="11900" w:h="16838" w:orient="portrait"/>
          <w:cols w:equalWidth="0" w:num="1">
            <w:col w:w="11240"/>
          </w:cols>
          <w:pgMar w:left="320"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 10.22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EXCHANGE AGREEMENT</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This Exchange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and entered into as of ____________, 2020, by and between</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 a __________________ company (the “</w:t>
      </w:r>
      <w:r>
        <w:rPr>
          <w:rFonts w:ascii="Arial" w:cs="Arial" w:eastAsia="Arial" w:hAnsi="Arial"/>
          <w:sz w:val="21"/>
          <w:szCs w:val="21"/>
          <w:u w:val="single" w:color="auto"/>
          <w:color w:val="auto"/>
        </w:rPr>
        <w:t>Holder</w:t>
      </w:r>
      <w:r>
        <w:rPr>
          <w:rFonts w:ascii="Arial" w:cs="Arial" w:eastAsia="Arial" w:hAnsi="Arial"/>
          <w:sz w:val="21"/>
          <w:szCs w:val="21"/>
          <w:color w:val="auto"/>
        </w:rPr>
        <w:t>”), and Inseego Corp., a Delaware corporation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391"/>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Holder is the beneficial owner of certain of the Company’s 5.50% Convertible Senior Notes due 2022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issued pursuant to a note in global form registered in the name of Cede &amp; Co. (the “</w:t>
      </w:r>
      <w:r>
        <w:rPr>
          <w:rFonts w:ascii="Arial" w:cs="Arial" w:eastAsia="Arial" w:hAnsi="Arial"/>
          <w:sz w:val="22"/>
          <w:szCs w:val="22"/>
          <w:u w:val="single" w:color="auto"/>
          <w:color w:val="auto"/>
        </w:rPr>
        <w:t>Global Note</w:t>
      </w:r>
      <w:r>
        <w:rPr>
          <w:rFonts w:ascii="Arial" w:cs="Arial" w:eastAsia="Arial" w:hAnsi="Arial"/>
          <w:sz w:val="22"/>
          <w:szCs w:val="22"/>
          <w:color w:val="auto"/>
        </w:rPr>
        <w:t>”) in accordance with that certain Indenture, dated January 9, 2017, by and between the Company and Wilmington Trust, National Association (the “</w:t>
      </w:r>
      <w:r>
        <w:rPr>
          <w:rFonts w:ascii="Arial" w:cs="Arial" w:eastAsia="Arial" w:hAnsi="Arial"/>
          <w:sz w:val="22"/>
          <w:szCs w:val="22"/>
          <w:u w:val="single" w:color="auto"/>
          <w:color w:val="auto"/>
        </w:rPr>
        <w:t>Indenture</w:t>
      </w:r>
      <w:r>
        <w:rPr>
          <w:rFonts w:ascii="Arial" w:cs="Arial" w:eastAsia="Arial" w:hAnsi="Arial"/>
          <w:sz w:val="22"/>
          <w:szCs w:val="22"/>
          <w:color w:val="auto"/>
        </w:rPr>
        <w:t>”);</w:t>
      </w:r>
    </w:p>
    <w:p>
      <w:pPr>
        <w:spacing w:after="0" w:line="180" w:lineRule="exact"/>
        <w:rPr>
          <w:sz w:val="20"/>
          <w:szCs w:val="20"/>
          <w:color w:val="auto"/>
        </w:rPr>
      </w:pPr>
    </w:p>
    <w:p>
      <w:pPr>
        <w:jc w:val="both"/>
        <w:ind w:firstLine="391"/>
        <w:spacing w:after="0" w:line="3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terms and conditions set forth in the Indenture, the Holder has the right to convert the Notes</w:t>
      </w:r>
      <w:r>
        <w:rPr>
          <w:rFonts w:ascii="Arial" w:cs="Arial" w:eastAsia="Arial" w:hAnsi="Arial"/>
          <w:sz w:val="19"/>
          <w:szCs w:val="19"/>
          <w:b w:val="1"/>
          <w:bCs w:val="1"/>
          <w:color w:val="auto"/>
        </w:rPr>
        <w:t xml:space="preserve"> </w:t>
      </w:r>
      <w:r>
        <w:rPr>
          <w:rFonts w:ascii="Arial" w:cs="Arial" w:eastAsia="Arial" w:hAnsi="Arial"/>
          <w:sz w:val="19"/>
          <w:szCs w:val="19"/>
          <w:color w:val="auto"/>
        </w:rPr>
        <w:t>into shares of the Company’s common stock, par value $0.001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at a rate of 212.7660 shares per $1,000 principal amount of Notes, subject to adjustment, as provided therein (the “</w:t>
      </w:r>
      <w:r>
        <w:rPr>
          <w:rFonts w:ascii="Arial" w:cs="Arial" w:eastAsia="Arial" w:hAnsi="Arial"/>
          <w:sz w:val="19"/>
          <w:szCs w:val="19"/>
          <w:u w:val="single" w:color="auto"/>
          <w:color w:val="auto"/>
        </w:rPr>
        <w:t>Conversion Rate</w:t>
      </w:r>
      <w:r>
        <w:rPr>
          <w:rFonts w:ascii="Arial" w:cs="Arial" w:eastAsia="Arial" w:hAnsi="Arial"/>
          <w:sz w:val="19"/>
          <w:szCs w:val="19"/>
          <w:color w:val="auto"/>
        </w:rPr>
        <w:t>”);</w:t>
      </w:r>
    </w:p>
    <w:p>
      <w:pPr>
        <w:spacing w:after="0" w:line="125" w:lineRule="exact"/>
        <w:rPr>
          <w:sz w:val="20"/>
          <w:szCs w:val="20"/>
          <w:color w:val="auto"/>
        </w:rPr>
      </w:pPr>
    </w:p>
    <w:p>
      <w:pPr>
        <w:jc w:val="both"/>
        <w:ind w:firstLine="391"/>
        <w:spacing w:after="0" w:line="29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subject to the terms and conditions set forth herein, the Company and the Holder desire to exchange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principal amount of the Notes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Exchange Notes</w:t>
      </w:r>
      <w:r>
        <w:rPr>
          <w:rFonts w:ascii="Arial" w:cs="Arial" w:eastAsia="Arial" w:hAnsi="Arial"/>
          <w:sz w:val="19"/>
          <w:szCs w:val="19"/>
          <w:color w:val="auto"/>
        </w:rPr>
        <w:t>”), in advance of the maturity date, for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 shares of Common Stock per $1,000 principal amount of Notes, consisting of the Conversion Rate plus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_________ inducement shares per $1,000 principal amount of Notes (the “</w:t>
      </w:r>
      <w:r>
        <w:rPr>
          <w:rFonts w:ascii="Arial" w:cs="Arial" w:eastAsia="Arial" w:hAnsi="Arial"/>
          <w:sz w:val="22"/>
          <w:szCs w:val="22"/>
          <w:u w:val="single" w:color="auto"/>
          <w:color w:val="auto"/>
        </w:rPr>
        <w:t>Conversion Premium Shares</w:t>
      </w:r>
      <w:r>
        <w:rPr>
          <w:rFonts w:ascii="Arial" w:cs="Arial" w:eastAsia="Arial" w:hAnsi="Arial"/>
          <w:sz w:val="22"/>
          <w:szCs w:val="22"/>
          <w:color w:val="auto"/>
        </w:rPr>
        <w:t>”);</w:t>
      </w:r>
    </w:p>
    <w:p>
      <w:pPr>
        <w:spacing w:after="0" w:line="196" w:lineRule="exact"/>
        <w:rPr>
          <w:sz w:val="20"/>
          <w:szCs w:val="20"/>
          <w:color w:val="auto"/>
        </w:rPr>
      </w:pPr>
    </w:p>
    <w:p>
      <w:pPr>
        <w:jc w:val="both"/>
        <w:ind w:firstLine="391"/>
        <w:spacing w:after="0" w:line="3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Conversion Premium Shares are a condition and material inducement to Holder’s willingness to enter into</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to convert the Exchange Notes into shares of Common Stock in advance of the maturity date; and</w:t>
      </w:r>
    </w:p>
    <w:p>
      <w:pPr>
        <w:spacing w:after="0" w:line="94" w:lineRule="exact"/>
        <w:rPr>
          <w:sz w:val="20"/>
          <w:szCs w:val="20"/>
          <w:color w:val="auto"/>
        </w:rPr>
      </w:pPr>
    </w:p>
    <w:p>
      <w:pPr>
        <w:jc w:val="both"/>
        <w:ind w:firstLine="391"/>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Exchange Shares (as defined below) to be issued are intended to be exempt from registration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3(a)(9) of the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w:t>
      </w:r>
    </w:p>
    <w:p>
      <w:pPr>
        <w:spacing w:after="0" w:line="162" w:lineRule="exact"/>
        <w:rPr>
          <w:sz w:val="20"/>
          <w:szCs w:val="20"/>
          <w:color w:val="auto"/>
        </w:rPr>
      </w:pPr>
    </w:p>
    <w:p>
      <w:pPr>
        <w:jc w:val="both"/>
        <w:ind w:firstLine="391"/>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premises and the agreements set forth below, and for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the parties agree as follows:</w:t>
      </w:r>
    </w:p>
    <w:p>
      <w:pPr>
        <w:spacing w:after="0" w:line="9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I</w:t>
      </w:r>
    </w:p>
    <w:p>
      <w:pPr>
        <w:ind w:left="5180"/>
        <w:spacing w:after="0"/>
        <w:rPr>
          <w:sz w:val="20"/>
          <w:szCs w:val="20"/>
          <w:color w:val="auto"/>
        </w:rPr>
      </w:pPr>
      <w:r>
        <w:rPr>
          <w:rFonts w:ascii="Arial" w:cs="Arial" w:eastAsia="Arial" w:hAnsi="Arial"/>
          <w:sz w:val="22"/>
          <w:szCs w:val="22"/>
          <w:b w:val="1"/>
          <w:bCs w:val="1"/>
          <w:color w:val="auto"/>
        </w:rPr>
        <w:t>Exchange</w:t>
      </w:r>
    </w:p>
    <w:p>
      <w:pPr>
        <w:spacing w:after="0" w:line="188" w:lineRule="exact"/>
        <w:rPr>
          <w:sz w:val="20"/>
          <w:szCs w:val="20"/>
          <w:color w:val="auto"/>
        </w:rPr>
      </w:pPr>
    </w:p>
    <w:p>
      <w:pPr>
        <w:ind w:left="660"/>
        <w:spacing w:after="0" w:line="299"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Exchange</w:t>
      </w:r>
      <w:r>
        <w:rPr>
          <w:rFonts w:ascii="Arial" w:cs="Arial" w:eastAsia="Arial" w:hAnsi="Arial"/>
          <w:sz w:val="19"/>
          <w:szCs w:val="19"/>
          <w:color w:val="auto"/>
        </w:rPr>
        <w:t>. Upon the terms and subject to the conditions of this Agreement, the Holder and the Company shall, pursuant to Section 3(a)(9) of the Securities Act, exchange the Exchange Notes for ______________ shares of the</w:t>
      </w:r>
    </w:p>
    <w:p>
      <w:pPr>
        <w:ind w:left="660"/>
        <w:spacing w:after="0" w:line="246" w:lineRule="auto"/>
        <w:rPr>
          <w:sz w:val="20"/>
          <w:szCs w:val="20"/>
          <w:color w:val="auto"/>
        </w:rPr>
      </w:pPr>
      <w:r>
        <w:rPr>
          <w:rFonts w:ascii="Arial" w:cs="Arial" w:eastAsia="Arial" w:hAnsi="Arial"/>
          <w:sz w:val="22"/>
          <w:szCs w:val="22"/>
          <w:color w:val="auto"/>
        </w:rPr>
        <w:t>Company’s Common Stock (the “</w:t>
      </w:r>
      <w:r>
        <w:rPr>
          <w:rFonts w:ascii="Arial" w:cs="Arial" w:eastAsia="Arial" w:hAnsi="Arial"/>
          <w:sz w:val="22"/>
          <w:szCs w:val="22"/>
          <w:u w:val="single" w:color="auto"/>
          <w:color w:val="auto"/>
        </w:rPr>
        <w:t>Exchange Shares</w:t>
      </w:r>
      <w:r>
        <w:rPr>
          <w:rFonts w:ascii="Arial" w:cs="Arial" w:eastAsia="Arial" w:hAnsi="Arial"/>
          <w:sz w:val="22"/>
          <w:szCs w:val="22"/>
          <w:color w:val="auto"/>
        </w:rPr>
        <w:t>”), without the payment of any additional consideration. At the Closing (as defined below), the following transactions shall occur (collectively, the “</w:t>
      </w:r>
      <w:r>
        <w:rPr>
          <w:rFonts w:ascii="Arial" w:cs="Arial" w:eastAsia="Arial" w:hAnsi="Arial"/>
          <w:sz w:val="22"/>
          <w:szCs w:val="22"/>
          <w:u w:val="single" w:color="auto"/>
          <w:color w:val="auto"/>
        </w:rPr>
        <w:t>Exchange</w:t>
      </w:r>
      <w:r>
        <w:rPr>
          <w:rFonts w:ascii="Arial" w:cs="Arial" w:eastAsia="Arial" w:hAnsi="Arial"/>
          <w:sz w:val="22"/>
          <w:szCs w:val="22"/>
          <w:color w:val="auto"/>
        </w:rPr>
        <w:t>”):</w:t>
      </w:r>
    </w:p>
    <w:p>
      <w:pPr>
        <w:spacing w:after="0" w:line="192" w:lineRule="exact"/>
        <w:rPr>
          <w:sz w:val="20"/>
          <w:szCs w:val="20"/>
          <w:color w:val="auto"/>
        </w:rPr>
      </w:pPr>
    </w:p>
    <w:p>
      <w:pPr>
        <w:jc w:val="both"/>
        <w:ind w:left="660" w:hanging="4"/>
        <w:spacing w:after="0" w:line="254" w:lineRule="auto"/>
        <w:tabs>
          <w:tab w:leader="none" w:pos="1174" w:val="left"/>
        </w:tabs>
        <w:numPr>
          <w:ilvl w:val="0"/>
          <w:numId w:val="34"/>
        </w:numPr>
        <w:rPr>
          <w:rFonts w:ascii="Arial" w:cs="Arial" w:eastAsia="Arial" w:hAnsi="Arial"/>
          <w:sz w:val="22"/>
          <w:szCs w:val="22"/>
          <w:color w:val="auto"/>
        </w:rPr>
      </w:pPr>
      <w:r>
        <w:rPr>
          <w:rFonts w:ascii="Arial" w:cs="Arial" w:eastAsia="Arial" w:hAnsi="Arial"/>
          <w:sz w:val="22"/>
          <w:szCs w:val="22"/>
          <w:color w:val="auto"/>
        </w:rPr>
        <w:t>Pursuant to Section 2.13 of the Indenture, the Holder shall surrender the Exchange Notes for cancellation. Upon cancellation of the Exchange Notes and the issuance of the Exchange Shares as described below, the Holder hereby releases all claims arising out of or related to the Exchange Notes, including, but not limited to, any accrued and unpaid interest payable with respect to the Exchange Notes.</w:t>
      </w:r>
    </w:p>
    <w:p>
      <w:pPr>
        <w:spacing w:after="0" w:line="184" w:lineRule="exact"/>
        <w:rPr>
          <w:rFonts w:ascii="Arial" w:cs="Arial" w:eastAsia="Arial" w:hAnsi="Arial"/>
          <w:sz w:val="22"/>
          <w:szCs w:val="22"/>
          <w:color w:val="auto"/>
        </w:rPr>
      </w:pPr>
    </w:p>
    <w:p>
      <w:pPr>
        <w:jc w:val="both"/>
        <w:ind w:left="660" w:hanging="4"/>
        <w:spacing w:after="0" w:line="251" w:lineRule="auto"/>
        <w:tabs>
          <w:tab w:leader="none" w:pos="12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Company shall issue to the Holder the Exchange Shares in CUSIP No. 45782B104 (plus cash in lieu of fractional shares if applicable, to be paid in immediately available funds at the Closing). The issuance of the Exchange Shares to the Holder will be made without registration of the Exchange Shares under the Securities Act, in reliance upon the exemption therefrom provided by Section 3(a)(9) of the Securities Act and in reliance on similar exemptions under state securities or blue sky laws.</w:t>
      </w:r>
    </w:p>
    <w:p>
      <w:pPr>
        <w:spacing w:after="0" w:line="189" w:lineRule="exact"/>
        <w:rPr>
          <w:sz w:val="20"/>
          <w:szCs w:val="20"/>
          <w:color w:val="auto"/>
        </w:rPr>
      </w:pPr>
    </w:p>
    <w:p>
      <w:pPr>
        <w:jc w:val="both"/>
        <w:ind w:left="660"/>
        <w:spacing w:after="0" w:line="319"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Closing</w:t>
      </w:r>
      <w:r>
        <w:rPr>
          <w:rFonts w:ascii="Arial" w:cs="Arial" w:eastAsia="Arial" w:hAnsi="Arial"/>
          <w:sz w:val="19"/>
          <w:szCs w:val="19"/>
          <w:color w:val="auto"/>
        </w:rPr>
        <w:t>. The closing of the Exchange (the “</w:t>
      </w:r>
      <w:r>
        <w:rPr>
          <w:rFonts w:ascii="Arial" w:cs="Arial" w:eastAsia="Arial" w:hAnsi="Arial"/>
          <w:sz w:val="19"/>
          <w:szCs w:val="19"/>
          <w:u w:val="single" w:color="auto"/>
          <w:color w:val="auto"/>
        </w:rPr>
        <w:t>Closing</w:t>
      </w:r>
      <w:r>
        <w:rPr>
          <w:rFonts w:ascii="Arial" w:cs="Arial" w:eastAsia="Arial" w:hAnsi="Arial"/>
          <w:sz w:val="19"/>
          <w:szCs w:val="19"/>
          <w:color w:val="auto"/>
        </w:rPr>
        <w:t>”) will take place at the offices of Paul Hastings LLP, 4747 Executive Drive, Twelfth Floor, San Diego, CA 92121, or such other location as may be agreed upon by the parties, on _________, 2020 (the “</w:t>
      </w:r>
      <w:r>
        <w:rPr>
          <w:rFonts w:ascii="Arial" w:cs="Arial" w:eastAsia="Arial" w:hAnsi="Arial"/>
          <w:sz w:val="19"/>
          <w:szCs w:val="19"/>
          <w:u w:val="single" w:color="auto"/>
          <w:color w:val="auto"/>
        </w:rPr>
        <w:t>Closing Date</w:t>
      </w:r>
      <w:r>
        <w:rPr>
          <w:rFonts w:ascii="Arial" w:cs="Arial" w:eastAsia="Arial" w:hAnsi="Arial"/>
          <w:sz w:val="19"/>
          <w:szCs w:val="19"/>
          <w:color w:val="auto"/>
        </w:rPr>
        <w:t>”). The parties shall exchange closing deliverables as follows:</w:t>
      </w:r>
    </w:p>
    <w:p>
      <w:pPr>
        <w:spacing w:after="0" w:line="128" w:lineRule="exact"/>
        <w:rPr>
          <w:sz w:val="20"/>
          <w:szCs w:val="20"/>
          <w:color w:val="auto"/>
        </w:rPr>
      </w:pPr>
    </w:p>
    <w:p>
      <w:pPr>
        <w:ind w:left="660" w:right="140" w:hanging="4"/>
        <w:spacing w:after="0" w:line="319" w:lineRule="auto"/>
        <w:tabs>
          <w:tab w:leader="none" w:pos="10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At or prior to the Closing, the Holder shall instruct its custodian to post on the Closing Date a one-sided DWAC withdrawal request through the Deposit and Withdrawal at Custodian facilities of The Depository Trust Company for the aggregate amount of the Exchange Notes identified by CUSIP/ISIN #: 45782B AA2/US45782BAA26;</w:t>
      </w:r>
    </w:p>
    <w:p>
      <w:pPr>
        <w:spacing w:after="0" w:line="128" w:lineRule="exact"/>
        <w:rPr>
          <w:sz w:val="20"/>
          <w:szCs w:val="20"/>
          <w:color w:val="auto"/>
        </w:rPr>
      </w:pPr>
    </w:p>
    <w:p>
      <w:pPr>
        <w:ind w:firstLine="656"/>
        <w:spacing w:after="0" w:line="276" w:lineRule="auto"/>
        <w:tabs>
          <w:tab w:leader="none" w:pos="1243" w:val="left"/>
        </w:tabs>
        <w:numPr>
          <w:ilvl w:val="0"/>
          <w:numId w:val="36"/>
        </w:numPr>
        <w:rPr>
          <w:rFonts w:ascii="Arial" w:cs="Arial" w:eastAsia="Arial" w:hAnsi="Arial"/>
          <w:sz w:val="22"/>
          <w:szCs w:val="22"/>
          <w:color w:val="auto"/>
        </w:rPr>
      </w:pPr>
      <w:r>
        <w:rPr>
          <w:rFonts w:ascii="Arial" w:cs="Arial" w:eastAsia="Arial" w:hAnsi="Arial"/>
          <w:sz w:val="22"/>
          <w:szCs w:val="22"/>
          <w:color w:val="auto"/>
        </w:rPr>
        <w:t>At or prior to the Closing, the Company shall instruct Wilmington Trust, National Association to cancel the Exchange Notes upon receipt thereby reducing the outstanding principal amount of the Global Note; and</w:t>
      </w:r>
    </w:p>
    <w:p>
      <w:pPr>
        <w:spacing w:after="0" w:line="160" w:lineRule="exact"/>
        <w:rPr>
          <w:rFonts w:ascii="Arial" w:cs="Arial" w:eastAsia="Arial" w:hAnsi="Arial"/>
          <w:sz w:val="22"/>
          <w:szCs w:val="22"/>
          <w:color w:val="auto"/>
        </w:rPr>
      </w:pPr>
    </w:p>
    <w:p>
      <w:pPr>
        <w:jc w:val="both"/>
        <w:ind w:firstLine="656"/>
        <w:spacing w:after="0" w:line="319" w:lineRule="auto"/>
        <w:tabs>
          <w:tab w:leader="none" w:pos="10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At the Closing, the Company shall instruct Computershare Trust Company, N.A. to electronically issue the Exchange Shares, in book-entry form, to the Holder or, if the Holder so instructs in advance of the Closing Date, its designee. The Company agrees to issue the Exchange Shares at the Closing without any restrictions on transfer and without any restrictive legend.</w:t>
      </w:r>
    </w:p>
    <w:p>
      <w:pPr>
        <w:sectPr>
          <w:pgSz w:w="11900" w:h="16838" w:orient="portrait"/>
          <w:cols w:equalWidth="0" w:num="1">
            <w:col w:w="11240"/>
          </w:cols>
          <w:pgMar w:left="320" w:top="121" w:right="339" w:bottom="0" w:gutter="0" w:footer="0" w:header="0"/>
        </w:sectPr>
      </w:pPr>
    </w:p>
    <w:bookmarkStart w:id="94" w:name="page95"/>
    <w:bookmarkEnd w:id="94"/>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Company shall not issue fractional shares upon Exchange of the Exchange Notes. If any fractional share would be issuable upon the Exchange, the Company shall pay to the Holder an amount in cash equal to the current market value of the fractional share, which shall be determined based on the closing price of the Company’s Common Stock on the business day immediately preceding the Closing Date and paid in immediately available funds at the Closing.</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obligations of the Holder to deliver (or cause to be delivered) the Exchange Notes is subject to the following conditions: (i) the Common Stock shall not have been suspended, as of the Closing Date, by the SEC or the NASDAQ from trading on the NASDAQ, and (ii) the representations and warranties of the Company as set forth in Article III shall be true and correct.</w:t>
      </w:r>
    </w:p>
    <w:p>
      <w:pPr>
        <w:spacing w:after="0" w:line="18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obligations of the Company to deliver the Exchange Shares is subject to (i) the Holder properly submitting (or causing to be submitted) the Exchange Notes for withdrawal through the DWAC program and (ii) the representations and warranties of the Holder as set forth in Article II shall be true and correct.</w:t>
      </w:r>
    </w:p>
    <w:p>
      <w:pPr>
        <w:spacing w:after="0" w:line="179"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Representations, Warranties and Covenants of the Holder</w:t>
      </w:r>
    </w:p>
    <w:p>
      <w:pPr>
        <w:spacing w:after="0" w:line="215" w:lineRule="exact"/>
        <w:rPr>
          <w:sz w:val="20"/>
          <w:szCs w:val="20"/>
          <w:color w:val="auto"/>
        </w:rPr>
      </w:pPr>
    </w:p>
    <w:p>
      <w:pPr>
        <w:jc w:val="both"/>
        <w:ind w:firstLine="391"/>
        <w:spacing w:after="0" w:line="253" w:lineRule="auto"/>
        <w:rPr>
          <w:sz w:val="20"/>
          <w:szCs w:val="20"/>
          <w:color w:val="auto"/>
        </w:rPr>
      </w:pPr>
      <w:r>
        <w:rPr>
          <w:rFonts w:ascii="Arial" w:cs="Arial" w:eastAsia="Arial" w:hAnsi="Arial"/>
          <w:sz w:val="22"/>
          <w:szCs w:val="22"/>
          <w:color w:val="auto"/>
        </w:rPr>
        <w:t>The Holder represents and warrants to, and agrees with, the Company as set forth below in this Article II, as of the date hereof and as of the Closing, each of which is being relied upon by the Company, as the case may be, as a material inducement to enter into and perform this Agreement:</w:t>
      </w:r>
    </w:p>
    <w:p>
      <w:pPr>
        <w:spacing w:after="0" w:line="18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Existence and Power</w:t>
      </w:r>
      <w:r>
        <w:rPr>
          <w:rFonts w:ascii="Arial" w:cs="Arial" w:eastAsia="Arial" w:hAnsi="Arial"/>
          <w:sz w:val="19"/>
          <w:szCs w:val="19"/>
          <w:color w:val="auto"/>
        </w:rPr>
        <w:t>.</w:t>
      </w:r>
    </w:p>
    <w:p>
      <w:pPr>
        <w:spacing w:after="0" w:line="233" w:lineRule="exact"/>
        <w:rPr>
          <w:sz w:val="20"/>
          <w:szCs w:val="20"/>
          <w:color w:val="auto"/>
        </w:rPr>
      </w:pPr>
    </w:p>
    <w:p>
      <w:pPr>
        <w:jc w:val="both"/>
        <w:ind w:left="660" w:hanging="4"/>
        <w:spacing w:after="0" w:line="259" w:lineRule="auto"/>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Holder is duly organized, validly existing and in good standing under the laws of its jurisdiction of organization, and has all requisite entity power and authority to carry out the transactions contemplated hereby in accordance with the terms hereof.</w:t>
      </w:r>
    </w:p>
    <w:p>
      <w:pPr>
        <w:spacing w:after="0" w:line="180" w:lineRule="exact"/>
        <w:rPr>
          <w:rFonts w:ascii="Arial" w:cs="Arial" w:eastAsia="Arial" w:hAnsi="Arial"/>
          <w:sz w:val="22"/>
          <w:szCs w:val="22"/>
          <w:color w:val="auto"/>
        </w:rPr>
      </w:pPr>
    </w:p>
    <w:p>
      <w:pPr>
        <w:jc w:val="both"/>
        <w:ind w:left="660" w:hanging="4"/>
        <w:spacing w:after="0" w:line="297" w:lineRule="auto"/>
        <w:tabs>
          <w:tab w:leader="none" w:pos="1213" w:val="left"/>
        </w:tabs>
        <w:numPr>
          <w:ilvl w:val="0"/>
          <w:numId w:val="37"/>
        </w:numPr>
        <w:rPr>
          <w:rFonts w:ascii="Arial" w:cs="Arial" w:eastAsia="Arial" w:hAnsi="Arial"/>
          <w:sz w:val="19"/>
          <w:szCs w:val="19"/>
          <w:color w:val="auto"/>
        </w:rPr>
      </w:pPr>
      <w:r>
        <w:rPr>
          <w:rFonts w:ascii="Arial" w:cs="Arial" w:eastAsia="Arial" w:hAnsi="Arial"/>
          <w:sz w:val="19"/>
          <w:szCs w:val="19"/>
          <w:color w:val="auto"/>
        </w:rPr>
        <w:t>Neither the execution of this Agreement nor the consummation of the transactions contemplated hereby by the Holder (i) will contravene any formation documents of the Holder, (ii) will constitute a violation of or a default under, or conflict with or require a filing with, or consent, approval or authorization under, any contract, commitment, agreement, understanding, arrangement, restriction, law, statute, rule, regulation, judgment, order, injunction, suit, action or proceeding of any kind to which the Holder is a party or by which the Holder or any of its assets are bound, or (iii) will require the Holder to make any filing to any governmental or quasi-governmental authority.</w:t>
      </w:r>
    </w:p>
    <w:p>
      <w:pPr>
        <w:spacing w:after="0" w:line="146" w:lineRule="exact"/>
        <w:rPr>
          <w:sz w:val="20"/>
          <w:szCs w:val="20"/>
          <w:color w:val="auto"/>
        </w:rPr>
      </w:pPr>
    </w:p>
    <w:p>
      <w:pPr>
        <w:jc w:val="both"/>
        <w:ind w:left="660"/>
        <w:spacing w:after="0" w:line="269"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u w:val="single" w:color="auto"/>
          <w:color w:val="auto"/>
        </w:rPr>
        <w:t>Valid and Enforceable Agreement; Authorization</w:t>
      </w:r>
      <w:r>
        <w:rPr>
          <w:rFonts w:ascii="Arial" w:cs="Arial" w:eastAsia="Arial" w:hAnsi="Arial"/>
          <w:sz w:val="21"/>
          <w:szCs w:val="21"/>
          <w:color w:val="auto"/>
        </w:rPr>
        <w:t>. The execution, delivery and performance by the Holder of this Agreement has been duly authorized by all requisite entity action. This Agreement constitutes the legal, valid and binding obligation of the Holder, enforceable against the Holder in accordance with its terms, subject, as to enforcement of remedies, to bankruptcy, insolvency, reorganization, moratorium or similar laws affecting the rights and remedies of creditors generally and to the effect of general principles of equity.</w:t>
      </w:r>
    </w:p>
    <w:p>
      <w:pPr>
        <w:spacing w:after="0" w:line="172" w:lineRule="exact"/>
        <w:rPr>
          <w:sz w:val="20"/>
          <w:szCs w:val="20"/>
          <w:color w:val="auto"/>
        </w:rPr>
      </w:pPr>
    </w:p>
    <w:p>
      <w:pPr>
        <w:jc w:val="both"/>
        <w:ind w:left="660"/>
        <w:spacing w:after="0" w:line="291"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Title to Exchange Notes</w:t>
      </w:r>
      <w:r>
        <w:rPr>
          <w:rFonts w:ascii="Arial" w:cs="Arial" w:eastAsia="Arial" w:hAnsi="Arial"/>
          <w:sz w:val="19"/>
          <w:szCs w:val="19"/>
          <w:color w:val="auto"/>
        </w:rPr>
        <w:t>. The Holder is the sole beneficial owner of and, at the Closing, will be the sole legal and beneficial owner of the Exchange Notes. The Holder has good, valid and marketable title to the Exchange Notes, free and clear of any mortgage, lien, pledge, charge, security interest, encumbrance, title retention agreement, option, equity or other adverse claim thereto (“</w:t>
      </w:r>
      <w:r>
        <w:rPr>
          <w:rFonts w:ascii="Arial" w:cs="Arial" w:eastAsia="Arial" w:hAnsi="Arial"/>
          <w:sz w:val="19"/>
          <w:szCs w:val="19"/>
          <w:u w:val="single" w:color="auto"/>
          <w:color w:val="auto"/>
        </w:rPr>
        <w:t>Liens</w:t>
      </w:r>
      <w:r>
        <w:rPr>
          <w:rFonts w:ascii="Arial" w:cs="Arial" w:eastAsia="Arial" w:hAnsi="Arial"/>
          <w:sz w:val="19"/>
          <w:szCs w:val="19"/>
          <w:color w:val="auto"/>
        </w:rPr>
        <w:t>”) created by the Holder, other than pledges or security interests that the Holder may have created in favor of a prime broker under and in accordance with its prime brokerage agreement with such broker, which will be terminated in connection with Closing. The Holder has not, in whole or in part (except as described in the preceding sentence), (a) assigned, transferred, hypothecated, pledged or otherwise disposed of the Exchange Notes or its rights in the Exchange Notes, or (b) given any person or entity any transfer order, power of attorney or other authority of any nature whatsoever with respect to the Exchange Notes.</w:t>
      </w:r>
    </w:p>
    <w:p>
      <w:pPr>
        <w:spacing w:after="0" w:line="154" w:lineRule="exact"/>
        <w:rPr>
          <w:sz w:val="20"/>
          <w:szCs w:val="20"/>
          <w:color w:val="auto"/>
        </w:rPr>
      </w:pPr>
    </w:p>
    <w:p>
      <w:pPr>
        <w:jc w:val="both"/>
        <w:ind w:left="660" w:right="20"/>
        <w:spacing w:after="0" w:line="276"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Affiliate Status</w:t>
      </w:r>
      <w:r>
        <w:rPr>
          <w:rFonts w:ascii="Arial" w:cs="Arial" w:eastAsia="Arial" w:hAnsi="Arial"/>
          <w:sz w:val="22"/>
          <w:szCs w:val="22"/>
          <w:color w:val="auto"/>
        </w:rPr>
        <w:t>. The Holder is not, and has not been during the preceding three (3) months, an “affiliate” of the Company as such term is defined in Rule 144 under the Securities Act.</w:t>
      </w:r>
    </w:p>
    <w:p>
      <w:pPr>
        <w:spacing w:after="0" w:line="161"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Reliance on Exemptions</w:t>
      </w:r>
      <w:r>
        <w:rPr>
          <w:rFonts w:ascii="Arial" w:cs="Arial" w:eastAsia="Arial" w:hAnsi="Arial"/>
          <w:sz w:val="22"/>
          <w:szCs w:val="22"/>
          <w:color w:val="auto"/>
        </w:rPr>
        <w:t>. The Holder acknowledges that the Exchange Shares are being offered and exchanged in reliance on specific exemptions from the registration requirements of United States federal and state securities laws and that the Company is relying upon the truth and accuracy of the representations, warranties, agreements, acknowledgments and understandings of the Holder set forth herein in order to determine the availability of such exemptions and the eligibility of the Holder to acquire the Exchange Shares. The Holder acknowledges that the Exchange Shares shall be issued to the Holder solely in exchange for the Exchange Notes without the payment of any additional consideration. As of the date hereof and as of the Closing Date, the Holder has not and will not pay any commission or other remuneration, directly or indirectly, to any broker or other intermediary, in connection with the Exchange.</w:t>
      </w:r>
    </w:p>
    <w:p>
      <w:pPr>
        <w:spacing w:after="0" w:line="19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Beneficial Ownership</w:t>
      </w:r>
      <w:r>
        <w:rPr>
          <w:rFonts w:ascii="Arial" w:cs="Arial" w:eastAsia="Arial" w:hAnsi="Arial"/>
          <w:sz w:val="19"/>
          <w:szCs w:val="19"/>
          <w:color w:val="auto"/>
        </w:rPr>
        <w:t>. The Holder owns ____________ in principal amount of the Notes. The Holder does</w:t>
      </w:r>
    </w:p>
    <w:p>
      <w:pPr>
        <w:spacing w:after="0" w:line="21" w:lineRule="exact"/>
        <w:rPr>
          <w:sz w:val="20"/>
          <w:szCs w:val="20"/>
          <w:color w:val="auto"/>
        </w:rPr>
      </w:pPr>
    </w:p>
    <w:p>
      <w:pPr>
        <w:jc w:val="both"/>
        <w:ind w:left="660"/>
        <w:spacing w:after="0" w:line="338" w:lineRule="auto"/>
        <w:rPr>
          <w:sz w:val="20"/>
          <w:szCs w:val="20"/>
          <w:color w:val="auto"/>
        </w:rPr>
      </w:pPr>
      <w:r>
        <w:rPr>
          <w:rFonts w:ascii="Arial" w:cs="Arial" w:eastAsia="Arial" w:hAnsi="Arial"/>
          <w:sz w:val="19"/>
          <w:szCs w:val="19"/>
          <w:color w:val="auto"/>
        </w:rPr>
        <w:t>not beneficially own any Common Stock of the Company For so long as the Holder beneficially owns the Exchange Shares, without the Company’s express prior written consent, and, to the extent required, an amendment to that certain</w:t>
      </w:r>
    </w:p>
    <w:p>
      <w:pPr>
        <w:sectPr>
          <w:pgSz w:w="11900" w:h="17017" w:orient="portrait"/>
          <w:cols w:equalWidth="0" w:num="1">
            <w:col w:w="11240"/>
          </w:cols>
          <w:pgMar w:left="320" w:top="132" w:right="339" w:bottom="0" w:gutter="0" w:footer="0" w:header="0"/>
        </w:sectPr>
      </w:pPr>
    </w:p>
    <w:bookmarkStart w:id="95" w:name="page96"/>
    <w:bookmarkEnd w:id="95"/>
    <w:p>
      <w:pPr>
        <w:jc w:val="both"/>
        <w:ind w:left="660"/>
        <w:spacing w:after="0" w:line="248" w:lineRule="auto"/>
        <w:rPr>
          <w:sz w:val="20"/>
          <w:szCs w:val="20"/>
          <w:color w:val="auto"/>
        </w:rPr>
      </w:pPr>
      <w:r>
        <w:rPr>
          <w:rFonts w:ascii="Arial" w:cs="Arial" w:eastAsia="Arial" w:hAnsi="Arial"/>
          <w:sz w:val="22"/>
          <w:szCs w:val="22"/>
          <w:color w:val="auto"/>
        </w:rPr>
        <w:t>Rights Agreement, dated as of January 22, 2018, between the Company and Computershare Trust Company, N.A., as rights agent, as amended, the Holder and its affiliates will not beneficially own Common Stock in the Company in excess of 4.89% of the Company’s outstanding Common Stock. As used in this Agreement, the term “beneficially own” (and its correlatives “beneficial owner” and “beneficial ownership”) have the meanings given in Section 13(d) of the Exchange Act (defined below) and its implementing rules.</w:t>
      </w:r>
    </w:p>
    <w:p>
      <w:pPr>
        <w:spacing w:after="0" w:line="186"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Representations, Warranties and Covenants of the Company</w:t>
      </w:r>
    </w:p>
    <w:p>
      <w:pPr>
        <w:spacing w:after="0" w:line="215" w:lineRule="exact"/>
        <w:rPr>
          <w:sz w:val="20"/>
          <w:szCs w:val="20"/>
          <w:color w:val="auto"/>
        </w:rPr>
      </w:pPr>
    </w:p>
    <w:p>
      <w:pPr>
        <w:jc w:val="both"/>
        <w:ind w:firstLine="391"/>
        <w:spacing w:after="0" w:line="253" w:lineRule="auto"/>
        <w:rPr>
          <w:sz w:val="20"/>
          <w:szCs w:val="20"/>
          <w:color w:val="auto"/>
        </w:rPr>
      </w:pPr>
      <w:r>
        <w:rPr>
          <w:rFonts w:ascii="Arial" w:cs="Arial" w:eastAsia="Arial" w:hAnsi="Arial"/>
          <w:sz w:val="22"/>
          <w:szCs w:val="22"/>
          <w:color w:val="auto"/>
        </w:rPr>
        <w:t>The Company represents and warrants to, and agrees with, the Holder as set forth below in this Article III, as of the date hereof and as of the Closing, each of which is being relied upon by the Holder, as the case may be, as a material inducement to enter into and perform this Agreement:</w:t>
      </w:r>
    </w:p>
    <w:p>
      <w:pPr>
        <w:spacing w:after="0" w:line="18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u w:val="single" w:color="auto"/>
          <w:color w:val="auto"/>
        </w:rPr>
        <w:t>Existence and Power</w:t>
      </w:r>
      <w:r>
        <w:rPr>
          <w:rFonts w:ascii="Arial" w:cs="Arial" w:eastAsia="Arial" w:hAnsi="Arial"/>
          <w:sz w:val="19"/>
          <w:szCs w:val="19"/>
          <w:color w:val="auto"/>
        </w:rPr>
        <w:t>.</w:t>
      </w:r>
    </w:p>
    <w:p>
      <w:pPr>
        <w:spacing w:after="0" w:line="233" w:lineRule="exact"/>
        <w:rPr>
          <w:sz w:val="20"/>
          <w:szCs w:val="20"/>
          <w:color w:val="auto"/>
        </w:rPr>
      </w:pPr>
    </w:p>
    <w:p>
      <w:pPr>
        <w:jc w:val="both"/>
        <w:ind w:left="660" w:hanging="4"/>
        <w:spacing w:after="0" w:line="259" w:lineRule="auto"/>
        <w:tabs>
          <w:tab w:leader="none" w:pos="11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Company is a corporation duly organized, validly existing and in good standing under the laws of the State of Delaware and has the power, authority and capacity to execute and deliver this Agreement, to perform the Company’s obligations hereunder, and to consummate the transactions contemplated hereby.</w:t>
      </w:r>
    </w:p>
    <w:p>
      <w:pPr>
        <w:spacing w:after="0" w:line="180" w:lineRule="exact"/>
        <w:rPr>
          <w:rFonts w:ascii="Arial" w:cs="Arial" w:eastAsia="Arial" w:hAnsi="Arial"/>
          <w:sz w:val="22"/>
          <w:szCs w:val="22"/>
          <w:color w:val="auto"/>
        </w:rPr>
      </w:pPr>
    </w:p>
    <w:p>
      <w:pPr>
        <w:jc w:val="both"/>
        <w:ind w:left="660" w:hanging="4"/>
        <w:spacing w:after="0" w:line="288" w:lineRule="auto"/>
        <w:tabs>
          <w:tab w:leader="none" w:pos="1213" w:val="left"/>
        </w:tabs>
        <w:numPr>
          <w:ilvl w:val="0"/>
          <w:numId w:val="38"/>
        </w:numPr>
        <w:rPr>
          <w:rFonts w:ascii="Arial" w:cs="Arial" w:eastAsia="Arial" w:hAnsi="Arial"/>
          <w:sz w:val="19"/>
          <w:szCs w:val="19"/>
          <w:color w:val="auto"/>
        </w:rPr>
      </w:pPr>
      <w:r>
        <w:rPr>
          <w:rFonts w:ascii="Arial" w:cs="Arial" w:eastAsia="Arial" w:hAnsi="Arial"/>
          <w:sz w:val="19"/>
          <w:szCs w:val="19"/>
          <w:color w:val="auto"/>
        </w:rPr>
        <w:t>Neither the execution of this Agreement nor the consummation of the transactions contemplated hereby by the Company (i) will contravene the certificate of incorporation or the bylaws of the Company, (ii) will constitute a violation of or a default under, or conflict with or require a consent, approval or authorization under, any contract, commitment, agreement, understanding, arrangement, restriction, law, statute, rule, regulation, judgment, order, injunction, suit, action or proceeding of any kind to which the Company is a party or by which the Company or any of its assets are bound, or</w:t>
      </w:r>
    </w:p>
    <w:p>
      <w:pPr>
        <w:spacing w:after="0" w:line="3" w:lineRule="exact"/>
        <w:rPr>
          <w:rFonts w:ascii="Arial" w:cs="Arial" w:eastAsia="Arial" w:hAnsi="Arial"/>
          <w:sz w:val="19"/>
          <w:szCs w:val="19"/>
          <w:color w:val="auto"/>
        </w:rPr>
      </w:pPr>
    </w:p>
    <w:p>
      <w:pPr>
        <w:jc w:val="both"/>
        <w:ind w:left="660" w:hanging="4"/>
        <w:spacing w:after="0" w:line="244" w:lineRule="auto"/>
        <w:tabs>
          <w:tab w:leader="none" w:pos="1062" w:val="left"/>
        </w:tabs>
        <w:numPr>
          <w:ilvl w:val="0"/>
          <w:numId w:val="39"/>
        </w:numPr>
        <w:rPr>
          <w:rFonts w:ascii="Arial" w:cs="Arial" w:eastAsia="Arial" w:hAnsi="Arial"/>
          <w:sz w:val="22"/>
          <w:szCs w:val="22"/>
          <w:color w:val="auto"/>
        </w:rPr>
      </w:pPr>
      <w:r>
        <w:rPr>
          <w:rFonts w:ascii="Arial" w:cs="Arial" w:eastAsia="Arial" w:hAnsi="Arial"/>
          <w:sz w:val="22"/>
          <w:szCs w:val="22"/>
          <w:color w:val="auto"/>
        </w:rPr>
        <w:t>will require the Company to make any filing to any governmental or quasi-governmental authority, except for the filing of a Form 8-K with the SEC (defined below) and any filing that may be required by the Nasdaq Stock Market (“</w:t>
      </w:r>
      <w:r>
        <w:rPr>
          <w:rFonts w:ascii="Arial" w:cs="Arial" w:eastAsia="Arial" w:hAnsi="Arial"/>
          <w:sz w:val="22"/>
          <w:szCs w:val="22"/>
          <w:u w:val="single" w:color="auto"/>
          <w:color w:val="auto"/>
        </w:rPr>
        <w:t>NASDAQ</w:t>
      </w:r>
      <w:r>
        <w:rPr>
          <w:rFonts w:ascii="Arial" w:cs="Arial" w:eastAsia="Arial" w:hAnsi="Arial"/>
          <w:sz w:val="22"/>
          <w:szCs w:val="22"/>
          <w:color w:val="auto"/>
        </w:rPr>
        <w:t>”) or pursuant to applicable blue sky laws, each of which has been filed or will be filed on a timely basis. For the avoidance of doubt, the Exchange Shares were included in a Listing of Additional Shares Notification Form submitted to the NASDAQ in connection with the issuance of the Notes.</w:t>
      </w:r>
    </w:p>
    <w:p>
      <w:pPr>
        <w:spacing w:after="0" w:line="195"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Valid and Enforceable Agreement; Authorization</w:t>
      </w:r>
      <w:r>
        <w:rPr>
          <w:rFonts w:ascii="Arial" w:cs="Arial" w:eastAsia="Arial" w:hAnsi="Arial"/>
          <w:sz w:val="22"/>
          <w:szCs w:val="22"/>
          <w:color w:val="auto"/>
        </w:rPr>
        <w:t>. The execution, delivery and performance by the Company of this Agreement and the consummation of the transactions contemplated hereby have been duly authorized by all requisite corporate action. This Agreement constitutes the legal, valid and binding obligation of the Company, enforceable against the Company in accordance with its terms, subject, as to enforcement of remedies, to bankruptcy, insolvency, reorganization, moratorium or similar laws affecting the rights and remedies of creditors generally and to the effect of general principles of equity.</w:t>
      </w:r>
    </w:p>
    <w:p>
      <w:pPr>
        <w:spacing w:after="0" w:line="194" w:lineRule="exact"/>
        <w:rPr>
          <w:sz w:val="20"/>
          <w:szCs w:val="20"/>
          <w:color w:val="auto"/>
        </w:rPr>
      </w:pPr>
    </w:p>
    <w:p>
      <w:pPr>
        <w:jc w:val="both"/>
        <w:ind w:left="660"/>
        <w:spacing w:after="0" w:line="264"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u w:val="single" w:color="auto"/>
          <w:color w:val="auto"/>
        </w:rPr>
        <w:t>Capitalization</w:t>
      </w:r>
      <w:r>
        <w:rPr>
          <w:rFonts w:ascii="Arial" w:cs="Arial" w:eastAsia="Arial" w:hAnsi="Arial"/>
          <w:sz w:val="16"/>
          <w:szCs w:val="16"/>
          <w:color w:val="auto"/>
        </w:rPr>
        <w:t>.</w:t>
      </w:r>
      <w:r>
        <w:rPr>
          <w:rFonts w:ascii="Arial" w:cs="Arial" w:eastAsia="Arial" w:hAnsi="Arial"/>
          <w:sz w:val="21"/>
          <w:szCs w:val="21"/>
          <w:color w:val="auto"/>
        </w:rPr>
        <w:t xml:space="preserve"> The entire authorized capital stock consists of 150,000,000 shares of Common Stock and 2,000,000 shares of preferred stock, par value $0.001 per share (the “</w:t>
      </w:r>
      <w:r>
        <w:rPr>
          <w:rFonts w:ascii="Arial" w:cs="Arial" w:eastAsia="Arial" w:hAnsi="Arial"/>
          <w:sz w:val="21"/>
          <w:szCs w:val="21"/>
          <w:u w:val="single" w:color="auto"/>
          <w:color w:val="auto"/>
        </w:rPr>
        <w:t>Preferred Stock</w:t>
      </w:r>
      <w:r>
        <w:rPr>
          <w:rFonts w:ascii="Arial" w:cs="Arial" w:eastAsia="Arial" w:hAnsi="Arial"/>
          <w:sz w:val="21"/>
          <w:szCs w:val="21"/>
          <w:color w:val="auto"/>
        </w:rPr>
        <w:t>”), issuable in one or more series designated by the board of directors of the Company, of which 150,000 shares have been designated as Series D Preferred Stock and of which 10,000 shares have been designated as Series E Fixed-Rate Cumulative Perpetual Preferred Stock, par value $0.001 per share. As of ___________, 2020, there were ____________ shares of Common Stock and 10,000 shares of Preferred Stock issued and outstanding.</w:t>
      </w:r>
    </w:p>
    <w:p>
      <w:pPr>
        <w:spacing w:after="0" w:line="175"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 xml:space="preserve">Section 3.04 </w:t>
      </w:r>
      <w:r>
        <w:rPr>
          <w:rFonts w:ascii="Arial" w:cs="Arial" w:eastAsia="Arial" w:hAnsi="Arial"/>
          <w:sz w:val="21"/>
          <w:szCs w:val="21"/>
          <w:u w:val="single" w:color="auto"/>
          <w:color w:val="auto"/>
        </w:rPr>
        <w:t>Disclosure</w:t>
      </w:r>
      <w:r>
        <w:rPr>
          <w:rFonts w:ascii="Arial" w:cs="Arial" w:eastAsia="Arial" w:hAnsi="Arial"/>
          <w:sz w:val="21"/>
          <w:szCs w:val="21"/>
          <w:color w:val="auto"/>
        </w:rPr>
        <w:t>. The Company has timely filed all reports, schedules, forms, statements and other documents required to be filed by it with the Securities and Exchange Commission (the “</w:t>
      </w:r>
      <w:r>
        <w:rPr>
          <w:rFonts w:ascii="Arial" w:cs="Arial" w:eastAsia="Arial" w:hAnsi="Arial"/>
          <w:sz w:val="21"/>
          <w:szCs w:val="21"/>
          <w:u w:val="single" w:color="auto"/>
          <w:color w:val="auto"/>
        </w:rPr>
        <w:t>SEC</w:t>
      </w:r>
      <w:r>
        <w:rPr>
          <w:rFonts w:ascii="Arial" w:cs="Arial" w:eastAsia="Arial" w:hAnsi="Arial"/>
          <w:sz w:val="21"/>
          <w:szCs w:val="21"/>
          <w:color w:val="auto"/>
        </w:rPr>
        <w:t>”) pursuant to the reporting requirements of the Securities Act and the Securities Exchange Act of 1934 (the “</w:t>
      </w:r>
      <w:r>
        <w:rPr>
          <w:rFonts w:ascii="Arial" w:cs="Arial" w:eastAsia="Arial" w:hAnsi="Arial"/>
          <w:sz w:val="21"/>
          <w:szCs w:val="21"/>
          <w:u w:val="single" w:color="auto"/>
          <w:color w:val="auto"/>
        </w:rPr>
        <w:t>Exchange Act</w:t>
      </w:r>
      <w:r>
        <w:rPr>
          <w:rFonts w:ascii="Arial" w:cs="Arial" w:eastAsia="Arial" w:hAnsi="Arial"/>
          <w:sz w:val="21"/>
          <w:szCs w:val="21"/>
          <w:color w:val="auto"/>
        </w:rPr>
        <w:t>”) (all of the foregoing filed prior to the date hereof and all exhibits included therein and financial statements and schedules thereto and documents (other than exhibits to such documents) incorporated by reference therein, being hereinafter referred to herein as the “</w:t>
      </w:r>
      <w:r>
        <w:rPr>
          <w:rFonts w:ascii="Arial" w:cs="Arial" w:eastAsia="Arial" w:hAnsi="Arial"/>
          <w:sz w:val="21"/>
          <w:szCs w:val="21"/>
          <w:u w:val="single" w:color="auto"/>
          <w:color w:val="auto"/>
        </w:rPr>
        <w:t>SEC Documents</w:t>
      </w:r>
      <w:r>
        <w:rPr>
          <w:rFonts w:ascii="Arial" w:cs="Arial" w:eastAsia="Arial" w:hAnsi="Arial"/>
          <w:sz w:val="21"/>
          <w:szCs w:val="21"/>
          <w:color w:val="auto"/>
        </w:rPr>
        <w:t>”), or has timely filed for a valid extension of such time of filing and has filed any such SEC Documents prior to the expiration of any such extension. As of their respective dates, the SEC Documents complied in all material respects with the requirements of the Securities Act and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80" w:lineRule="exact"/>
        <w:rPr>
          <w:sz w:val="20"/>
          <w:szCs w:val="20"/>
          <w:color w:val="auto"/>
        </w:rPr>
      </w:pPr>
    </w:p>
    <w:p>
      <w:pPr>
        <w:jc w:val="both"/>
        <w:ind w:firstLine="391"/>
        <w:spacing w:after="0" w:line="251"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Exchange Shares</w:t>
      </w:r>
      <w:r>
        <w:rPr>
          <w:rFonts w:ascii="Arial" w:cs="Arial" w:eastAsia="Arial" w:hAnsi="Arial"/>
          <w:sz w:val="22"/>
          <w:szCs w:val="22"/>
          <w:color w:val="auto"/>
        </w:rPr>
        <w:t>. The Exchange Shares (a) have been duly authorized and, upon their issuance pursuant to the Exchange against delivery of the Exchange Notes in accordance with the terms of this Agreement, will be validly issued, fully paid and non-assessable and (b) will not, as of the date of issuance, be subject to any preemptive, participation, rights of first refusal or other similar rights. Upon delivery to the Holder, the Exchange Shares shall be free and clear of all Liens created by the Company.</w:t>
      </w:r>
    </w:p>
    <w:p>
      <w:pPr>
        <w:spacing w:after="0" w:line="189" w:lineRule="exact"/>
        <w:rPr>
          <w:sz w:val="20"/>
          <w:szCs w:val="20"/>
          <w:color w:val="auto"/>
        </w:rPr>
      </w:pPr>
    </w:p>
    <w:p>
      <w:pPr>
        <w:jc w:val="both"/>
        <w:ind w:firstLine="391"/>
        <w:spacing w:after="0" w:line="301"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Listing</w:t>
      </w:r>
      <w:r>
        <w:rPr>
          <w:rFonts w:ascii="Arial" w:cs="Arial" w:eastAsia="Arial" w:hAnsi="Arial"/>
          <w:sz w:val="21"/>
          <w:szCs w:val="21"/>
          <w:color w:val="auto"/>
        </w:rPr>
        <w:t>. The Company is in compliance with all applicable rules of the NASDAQ, including all listing and corporate governance requirements. The Company has not received notice from NASDAQ that the Company is not in</w:t>
      </w:r>
    </w:p>
    <w:p>
      <w:pPr>
        <w:sectPr>
          <w:pgSz w:w="11900" w:h="16838" w:orient="portrait"/>
          <w:cols w:equalWidth="0" w:num="1">
            <w:col w:w="11240"/>
          </w:cols>
          <w:pgMar w:left="320" w:top="132" w:right="339" w:bottom="0" w:gutter="0" w:footer="0" w:header="0"/>
        </w:sectPr>
      </w:pPr>
    </w:p>
    <w:bookmarkStart w:id="96" w:name="page97"/>
    <w:bookmarkEnd w:id="96"/>
    <w:p>
      <w:pPr>
        <w:jc w:val="both"/>
        <w:spacing w:after="0" w:line="263" w:lineRule="auto"/>
        <w:rPr>
          <w:sz w:val="20"/>
          <w:szCs w:val="20"/>
          <w:color w:val="auto"/>
        </w:rPr>
      </w:pPr>
      <w:r>
        <w:rPr>
          <w:rFonts w:ascii="Arial" w:cs="Arial" w:eastAsia="Arial" w:hAnsi="Arial"/>
          <w:sz w:val="22"/>
          <w:szCs w:val="22"/>
          <w:color w:val="auto"/>
        </w:rPr>
        <w:t>compliance with the listing or maintenance requirements thereof. No shareholder approval is required pursuant to the rules of the Nasdaq Stock Market in connection with the issuance of the Exchange Shares.</w:t>
      </w:r>
    </w:p>
    <w:p>
      <w:pPr>
        <w:spacing w:after="0" w:line="175"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u w:val="single" w:color="auto"/>
          <w:color w:val="auto"/>
        </w:rPr>
        <w:t>Registration</w:t>
      </w:r>
      <w:r>
        <w:rPr>
          <w:rFonts w:ascii="Arial" w:cs="Arial" w:eastAsia="Arial" w:hAnsi="Arial"/>
          <w:sz w:val="21"/>
          <w:szCs w:val="21"/>
          <w:color w:val="auto"/>
        </w:rPr>
        <w:t>. The Company has taken no action designed to, or which, to the knowledge of the Company, is likely to have the effect of, terminating the registration of its common shares under the Exchange Act. The Exchange is exempt from the registration and prospectus-delivery requirements of the Securities Act and, assuming the accuracy of the Holder’s representations and warranties in Article II above, including with respect to each Holder’s non-affiliate status, the Exchange Shares to be delivered to the Holder pursuant to this Agreement will not be subject to restrictions on transfer under the Securities Act (and will be issued (a) without any legends that restrict the transfer of such Exchange Shares under U.S. federal securities laws and (b) with an “unrestricted” CUSIP number).</w:t>
      </w:r>
    </w:p>
    <w:p>
      <w:pPr>
        <w:spacing w:after="0" w:line="180" w:lineRule="exact"/>
        <w:rPr>
          <w:sz w:val="20"/>
          <w:szCs w:val="20"/>
          <w:color w:val="auto"/>
        </w:rPr>
      </w:pPr>
    </w:p>
    <w:p>
      <w:pPr>
        <w:jc w:val="both"/>
        <w:ind w:right="20" w:firstLine="391"/>
        <w:spacing w:after="0" w:line="254"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Section 3(a)(9) Compliance</w:t>
      </w:r>
      <w:r>
        <w:rPr>
          <w:rFonts w:ascii="Arial" w:cs="Arial" w:eastAsia="Arial" w:hAnsi="Arial"/>
          <w:sz w:val="22"/>
          <w:szCs w:val="22"/>
          <w:color w:val="auto"/>
        </w:rPr>
        <w:t>. The Company acknowledges that the Exchange Shares are being offered and exchanged in reliance on the exemption from registration provided by Section 3(a)(9) of the Securities Act. As of the date hereof and as of the Closing Date, the Company has not and will not pay any commission or other remuneration, directly or indirectly, to any broker or other intermediary, in connection with the Exchange.</w:t>
      </w:r>
    </w:p>
    <w:p>
      <w:pPr>
        <w:spacing w:after="0" w:line="17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Miscellaneous Provisions</w:t>
      </w:r>
    </w:p>
    <w:p>
      <w:pPr>
        <w:spacing w:after="0" w:line="215"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The parties acknowledge that money damages are not an adequate remedy for violations of this Agreement and that any party may, in its sole discretion, apply to a court of competent jurisdiction for specific performance or injunctive or such other relief as such court may deem just and proper in order to enforce this Agreement or prevent any violation hereof and, to the extent permitted by applicable law, each party waives any objection to the imposition of such relief, this being in addition to any other remedy to which such party is entitled at law or in equity.</w:t>
      </w:r>
    </w:p>
    <w:p>
      <w:pPr>
        <w:spacing w:after="0" w:line="194" w:lineRule="exact"/>
        <w:rPr>
          <w:sz w:val="20"/>
          <w:szCs w:val="20"/>
          <w:color w:val="auto"/>
        </w:rPr>
      </w:pPr>
    </w:p>
    <w:p>
      <w:pPr>
        <w:jc w:val="both"/>
        <w:ind w:firstLine="391"/>
        <w:spacing w:after="0" w:line="260" w:lineRule="auto"/>
        <w:rPr>
          <w:sz w:val="20"/>
          <w:szCs w:val="20"/>
          <w:color w:val="auto"/>
        </w:rPr>
      </w:pPr>
      <w:r>
        <w:rPr>
          <w:rFonts w:ascii="Arial" w:cs="Arial" w:eastAsia="Arial" w:hAnsi="Arial"/>
          <w:sz w:val="21"/>
          <w:szCs w:val="21"/>
          <w:color w:val="auto"/>
        </w:rPr>
        <w:t xml:space="preserve">Section 4.02 </w:t>
      </w:r>
      <w:r>
        <w:rPr>
          <w:rFonts w:ascii="Arial" w:cs="Arial" w:eastAsia="Arial" w:hAnsi="Arial"/>
          <w:sz w:val="21"/>
          <w:szCs w:val="21"/>
          <w:u w:val="single" w:color="auto"/>
          <w:color w:val="auto"/>
        </w:rPr>
        <w:t>Disclosure of Transaction and Other Material Information</w:t>
      </w:r>
      <w:r>
        <w:rPr>
          <w:rFonts w:ascii="Arial" w:cs="Arial" w:eastAsia="Arial" w:hAnsi="Arial"/>
          <w:sz w:val="21"/>
          <w:szCs w:val="21"/>
          <w:color w:val="auto"/>
        </w:rPr>
        <w:t>. On or before 8:30 a.m., Eastern Time, on the first business day following the date of this Agreement (the “</w:t>
      </w:r>
      <w:r>
        <w:rPr>
          <w:rFonts w:ascii="Arial" w:cs="Arial" w:eastAsia="Arial" w:hAnsi="Arial"/>
          <w:sz w:val="21"/>
          <w:szCs w:val="21"/>
          <w:u w:val="single" w:color="auto"/>
          <w:color w:val="auto"/>
        </w:rPr>
        <w:t>Disclosure Deadline</w:t>
      </w:r>
      <w:r>
        <w:rPr>
          <w:rFonts w:ascii="Arial" w:cs="Arial" w:eastAsia="Arial" w:hAnsi="Arial"/>
          <w:sz w:val="21"/>
          <w:szCs w:val="21"/>
          <w:color w:val="auto"/>
        </w:rPr>
        <w:t>”), the Company shall file a Current Report on Form 8-K describing all the material terms of the transactions contemplated by this Agreement in the form required by the Exchange Act. The Company hereby acknowledges and agrees that such Form 8-K will disclose all confidential information to the extent the Company believes such confidential information constitutes material non-public information, if any, with respect to the Exchange or otherwise communicated by the Company to Holder in connection with the Exchange; provided, however, that the Company shall not disclose the name or identity of Holder except as may be required by applicable law. After the Disclosure Deadline, the Holder shall be under no obligation to maintain the confidentiality of, nor to refrain from using, any information previously provided to it by the Company.</w:t>
      </w:r>
    </w:p>
    <w:p>
      <w:pPr>
        <w:spacing w:after="0" w:line="184" w:lineRule="exact"/>
        <w:rPr>
          <w:sz w:val="20"/>
          <w:szCs w:val="20"/>
          <w:color w:val="auto"/>
        </w:rPr>
      </w:pPr>
    </w:p>
    <w:p>
      <w:pPr>
        <w:jc w:val="both"/>
        <w:ind w:firstLine="391"/>
        <w:spacing w:after="0" w:line="300"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other documents and agreements executed in connection with the Exchange embody the entire agreement and understanding of the parties hereto with respect to the subject matter hereof and supersede all prior and contemporaneous oral or written agreements, representations, warranties, contracts, correspondence, conversations, memoranda and understandings between or among the parties or any of their agents, representatives or affiliates relative to such subject matter, including, without limitation, any term sheets, emails or draft documents.</w:t>
      </w:r>
    </w:p>
    <w:p>
      <w:pPr>
        <w:spacing w:after="0" w:line="146" w:lineRule="exact"/>
        <w:rPr>
          <w:sz w:val="20"/>
          <w:szCs w:val="20"/>
          <w:color w:val="auto"/>
        </w:rPr>
      </w:pPr>
    </w:p>
    <w:p>
      <w:pPr>
        <w:jc w:val="both"/>
        <w:ind w:left="660"/>
        <w:spacing w:after="0" w:line="319" w:lineRule="auto"/>
        <w:rPr>
          <w:sz w:val="20"/>
          <w:szCs w:val="20"/>
          <w:color w:val="auto"/>
        </w:rPr>
      </w:pPr>
      <w:r>
        <w:rPr>
          <w:rFonts w:ascii="Arial" w:cs="Arial" w:eastAsia="Arial" w:hAnsi="Arial"/>
          <w:sz w:val="19"/>
          <w:szCs w:val="19"/>
          <w:color w:val="auto"/>
        </w:rPr>
        <w:t xml:space="preserve">Section 4.04 </w:t>
      </w:r>
      <w:r>
        <w:rPr>
          <w:rFonts w:ascii="Arial" w:cs="Arial" w:eastAsia="Arial" w:hAnsi="Arial"/>
          <w:sz w:val="19"/>
          <w:szCs w:val="19"/>
          <w:u w:val="single" w:color="auto"/>
          <w:color w:val="auto"/>
        </w:rPr>
        <w:t>Assignment; Binding Agreement</w:t>
      </w:r>
      <w:r>
        <w:rPr>
          <w:rFonts w:ascii="Arial" w:cs="Arial" w:eastAsia="Arial" w:hAnsi="Arial"/>
          <w:sz w:val="19"/>
          <w:szCs w:val="19"/>
          <w:color w:val="auto"/>
        </w:rPr>
        <w:t>. This Agreement and the various rights and obligations arising hereunder shall inure to the benefit of and be binding upon the parties hereto and their successors and assigns. The Company shall not assign this Agreement or any rights or obligations hereunder without the prior written consent of the Holder.</w:t>
      </w:r>
    </w:p>
    <w:p>
      <w:pPr>
        <w:spacing w:after="0" w:line="128" w:lineRule="exact"/>
        <w:rPr>
          <w:sz w:val="20"/>
          <w:szCs w:val="20"/>
          <w:color w:val="auto"/>
        </w:rPr>
      </w:pPr>
    </w:p>
    <w:p>
      <w:pPr>
        <w:jc w:val="both"/>
        <w:ind w:left="660"/>
        <w:spacing w:after="0" w:line="270" w:lineRule="auto"/>
        <w:rPr>
          <w:sz w:val="20"/>
          <w:szCs w:val="20"/>
          <w:color w:val="auto"/>
        </w:rPr>
      </w:pPr>
      <w:r>
        <w:rPr>
          <w:rFonts w:ascii="Arial" w:cs="Arial" w:eastAsia="Arial" w:hAnsi="Arial"/>
          <w:sz w:val="21"/>
          <w:szCs w:val="21"/>
          <w:color w:val="auto"/>
        </w:rPr>
        <w:t xml:space="preserve">Section 4.05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multiple counterparts, and on separate counterparts, each of which shall be deemed an original, but all of which taken together shall constitute one and the same instrument. Any counterpart or other signature hereupon delivered by facsimile shall be deemed for all purposes as constituting good and valid execution and delivery of this Agreement by such party.</w:t>
      </w:r>
    </w:p>
    <w:p>
      <w:pPr>
        <w:spacing w:after="0" w:line="169" w:lineRule="exact"/>
        <w:rPr>
          <w:sz w:val="20"/>
          <w:szCs w:val="20"/>
          <w:color w:val="auto"/>
        </w:rPr>
      </w:pPr>
    </w:p>
    <w:p>
      <w:pPr>
        <w:jc w:val="both"/>
        <w:ind w:left="660" w:right="20"/>
        <w:spacing w:after="0" w:line="301" w:lineRule="auto"/>
        <w:rPr>
          <w:sz w:val="20"/>
          <w:szCs w:val="20"/>
          <w:color w:val="auto"/>
        </w:rPr>
      </w:pPr>
      <w:r>
        <w:rPr>
          <w:rFonts w:ascii="Arial" w:cs="Arial" w:eastAsia="Arial" w:hAnsi="Arial"/>
          <w:sz w:val="21"/>
          <w:szCs w:val="21"/>
          <w:color w:val="auto"/>
        </w:rPr>
        <w:t xml:space="preserve">Section 4.06 </w:t>
      </w:r>
      <w:r>
        <w:rPr>
          <w:rFonts w:ascii="Arial" w:cs="Arial" w:eastAsia="Arial" w:hAnsi="Arial"/>
          <w:sz w:val="21"/>
          <w:szCs w:val="21"/>
          <w:u w:val="single" w:color="auto"/>
          <w:color w:val="auto"/>
        </w:rPr>
        <w:t>Remedies Cumulative</w:t>
      </w:r>
      <w:r>
        <w:rPr>
          <w:rFonts w:ascii="Arial" w:cs="Arial" w:eastAsia="Arial" w:hAnsi="Arial"/>
          <w:sz w:val="21"/>
          <w:szCs w:val="21"/>
          <w:color w:val="auto"/>
        </w:rPr>
        <w:t>. Except as otherwise provided herein, all rights and remedies of the parties under this Agreement are cumulative and without prejudice to any other rights or remedies available at law.</w:t>
      </w:r>
    </w:p>
    <w:p>
      <w:pPr>
        <w:spacing w:after="0" w:line="137" w:lineRule="exact"/>
        <w:rPr>
          <w:sz w:val="20"/>
          <w:szCs w:val="20"/>
          <w:color w:val="auto"/>
        </w:rPr>
      </w:pPr>
    </w:p>
    <w:p>
      <w:pPr>
        <w:jc w:val="both"/>
        <w:ind w:left="660"/>
        <w:spacing w:after="0" w:line="289" w:lineRule="auto"/>
        <w:rPr>
          <w:sz w:val="20"/>
          <w:szCs w:val="20"/>
          <w:color w:val="auto"/>
        </w:rPr>
      </w:pPr>
      <w:r>
        <w:rPr>
          <w:rFonts w:ascii="Arial" w:cs="Arial" w:eastAsia="Arial" w:hAnsi="Arial"/>
          <w:sz w:val="19"/>
          <w:szCs w:val="19"/>
          <w:color w:val="auto"/>
        </w:rPr>
        <w:t xml:space="preserve">Section 4.07 </w:t>
      </w:r>
      <w:r>
        <w:rPr>
          <w:rFonts w:ascii="Arial" w:cs="Arial" w:eastAsia="Arial" w:hAnsi="Arial"/>
          <w:sz w:val="19"/>
          <w:szCs w:val="19"/>
          <w:u w:val="single" w:color="auto"/>
          <w:color w:val="auto"/>
        </w:rPr>
        <w:t>Governing Law; Jurisdiction; Jury Trial</w:t>
      </w:r>
      <w:r>
        <w:rPr>
          <w:rFonts w:ascii="Arial" w:cs="Arial" w:eastAsia="Arial" w:hAnsi="Arial"/>
          <w:sz w:val="19"/>
          <w:szCs w:val="19"/>
          <w:color w:val="auto"/>
        </w:rPr>
        <w:t xml:space="preserve">. This Agreement shall be governed by and construed in accordance with the internal laws of the State of New York, without giving effect to its conflicts of laws provisions. Each of the Parties hereto irrevocably submits to the exclusive jurisdiction of the courts of the State of New York, City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w:t>
      </w:r>
      <w:r>
        <w:rPr>
          <w:rFonts w:ascii="Arial" w:cs="Arial" w:eastAsia="Arial" w:hAnsi="Arial"/>
          <w:sz w:val="19"/>
          <w:szCs w:val="19"/>
          <w:b w:val="1"/>
          <w:bCs w:val="1"/>
          <w:color w:val="auto"/>
        </w:rPr>
        <w:t>EACH OF THE</w:t>
      </w:r>
      <w:r>
        <w:rPr>
          <w:rFonts w:ascii="Arial" w:cs="Arial" w:eastAsia="Arial" w:hAnsi="Arial"/>
          <w:sz w:val="19"/>
          <w:szCs w:val="19"/>
          <w:color w:val="auto"/>
        </w:rPr>
        <w:t xml:space="preserve"> </w:t>
      </w:r>
      <w:r>
        <w:rPr>
          <w:rFonts w:ascii="Arial" w:cs="Arial" w:eastAsia="Arial" w:hAnsi="Arial"/>
          <w:sz w:val="19"/>
          <w:szCs w:val="19"/>
          <w:b w:val="1"/>
          <w:bCs w:val="1"/>
          <w:color w:val="auto"/>
        </w:rPr>
        <w:t>PARTIES HERETO WAIVES ANY RIGHT TO REQUEST A TRIAL BY JURY IN ANY LITIGATION WITH</w:t>
      </w:r>
    </w:p>
    <w:p>
      <w:pPr>
        <w:sectPr>
          <w:pgSz w:w="11900" w:h="16838" w:orient="portrait"/>
          <w:cols w:equalWidth="0" w:num="1">
            <w:col w:w="11240"/>
          </w:cols>
          <w:pgMar w:left="320" w:top="132" w:right="339" w:bottom="0" w:gutter="0" w:footer="0" w:header="0"/>
        </w:sectPr>
      </w:pPr>
    </w:p>
    <w:bookmarkStart w:id="97" w:name="page98"/>
    <w:bookmarkEnd w:id="97"/>
    <w:p>
      <w:pPr>
        <w:spacing w:after="0" w:line="183"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b w:val="1"/>
          <w:bCs w:val="1"/>
          <w:color w:val="auto"/>
        </w:rPr>
        <w:t xml:space="preserve">RESPECT TO THIS AGREEMENT AND REPRESENTS THAT COUNSEL HAS BEEN CONSULTED SPECIFICALLY AS TO THIS WAIVER. </w:t>
      </w:r>
      <w:r>
        <w:rPr>
          <w:rFonts w:ascii="Arial" w:cs="Arial" w:eastAsia="Arial" w:hAnsi="Arial"/>
          <w:sz w:val="22"/>
          <w:szCs w:val="22"/>
          <w:color w:val="auto"/>
        </w:rPr>
        <w:t>The Parties hereto agree and acknowledge that each Party has retained</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in connection with the negotiation and preparation of this Agreement, and that any rule of construction to the effect that any ambiguities are to be resolved against the drafting Party shall not be employed in the interpretation of the foregoing agreements or any amendment, schedule or exhibits thereto.</w:t>
      </w:r>
    </w:p>
    <w:p>
      <w:pPr>
        <w:spacing w:after="0" w:line="192" w:lineRule="exact"/>
        <w:rPr>
          <w:sz w:val="20"/>
          <w:szCs w:val="20"/>
          <w:color w:val="auto"/>
        </w:rPr>
      </w:pPr>
    </w:p>
    <w:p>
      <w:pPr>
        <w:jc w:val="both"/>
        <w:ind w:left="660"/>
        <w:spacing w:after="0" w:line="259" w:lineRule="auto"/>
        <w:rPr>
          <w:sz w:val="20"/>
          <w:szCs w:val="20"/>
          <w:color w:val="auto"/>
        </w:rPr>
      </w:pPr>
      <w:r>
        <w:rPr>
          <w:rFonts w:ascii="Arial" w:cs="Arial" w:eastAsia="Arial" w:hAnsi="Arial"/>
          <w:sz w:val="22"/>
          <w:szCs w:val="22"/>
          <w:color w:val="auto"/>
        </w:rPr>
        <w:t xml:space="preserve">Section 4.08 </w:t>
      </w:r>
      <w:r>
        <w:rPr>
          <w:rFonts w:ascii="Arial" w:cs="Arial" w:eastAsia="Arial" w:hAnsi="Arial"/>
          <w:sz w:val="22"/>
          <w:szCs w:val="22"/>
          <w:u w:val="single" w:color="auto"/>
          <w:color w:val="auto"/>
        </w:rPr>
        <w:t>Survival</w:t>
      </w:r>
      <w:r>
        <w:rPr>
          <w:rFonts w:ascii="Arial" w:cs="Arial" w:eastAsia="Arial" w:hAnsi="Arial"/>
          <w:sz w:val="22"/>
          <w:szCs w:val="22"/>
          <w:color w:val="auto"/>
        </w:rPr>
        <w:t>. The representations, warranties and covenants of the Company and Holder contained in Articles II, III and IV shall survive the survive cancellation of the Exchange Notes and issuance of the Exchange Shares, until the expiration of the applicable statute of limitations.</w:t>
      </w:r>
    </w:p>
    <w:p>
      <w:pPr>
        <w:spacing w:after="0" w:line="180" w:lineRule="exact"/>
        <w:rPr>
          <w:sz w:val="20"/>
          <w:szCs w:val="20"/>
          <w:color w:val="auto"/>
        </w:rPr>
      </w:pPr>
    </w:p>
    <w:p>
      <w:pPr>
        <w:ind w:left="660" w:right="340"/>
        <w:spacing w:after="0" w:line="259" w:lineRule="auto"/>
        <w:rPr>
          <w:sz w:val="20"/>
          <w:szCs w:val="20"/>
          <w:color w:val="auto"/>
        </w:rPr>
      </w:pPr>
      <w:r>
        <w:rPr>
          <w:rFonts w:ascii="Arial" w:cs="Arial" w:eastAsia="Arial" w:hAnsi="Arial"/>
          <w:sz w:val="22"/>
          <w:szCs w:val="22"/>
          <w:color w:val="auto"/>
        </w:rPr>
        <w:t xml:space="preserve">Section 4.09 </w:t>
      </w:r>
      <w:r>
        <w:rPr>
          <w:rFonts w:ascii="Arial" w:cs="Arial" w:eastAsia="Arial" w:hAnsi="Arial"/>
          <w:sz w:val="22"/>
          <w:szCs w:val="22"/>
          <w:u w:val="single" w:color="auto"/>
          <w:color w:val="auto"/>
        </w:rPr>
        <w:t>No Third Party Beneficiaries or Other Rights</w:t>
      </w:r>
      <w:r>
        <w:rPr>
          <w:rFonts w:ascii="Arial" w:cs="Arial" w:eastAsia="Arial" w:hAnsi="Arial"/>
          <w:sz w:val="22"/>
          <w:szCs w:val="22"/>
          <w:color w:val="auto"/>
        </w:rPr>
        <w:t>. Nothing herein shall grant to or create in any person not a party hereto, or any such person’s dependents or heirs, any right to any benefits hereunder, and no such party shall be entitled to sue any party to this Agreement with respect thereto.</w:t>
      </w:r>
    </w:p>
    <w:p>
      <w:pPr>
        <w:spacing w:after="0" w:line="180"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Waiver; Consent</w:t>
      </w:r>
      <w:r>
        <w:rPr>
          <w:rFonts w:ascii="Arial" w:cs="Arial" w:eastAsia="Arial" w:hAnsi="Arial"/>
          <w:sz w:val="22"/>
          <w:szCs w:val="22"/>
          <w:color w:val="auto"/>
        </w:rPr>
        <w:t>. This Agreement may not be changed, amended, terminated, augmented, rescinded or discharged (other than in accordance with its terms), in whole or in part, except by a writing executed by the parties hereto. No waiver of any of the provisions or conditions of this Agreement or any of the rights of a party hereto shall be effective or binding unless such waiver shall be in writing and signed by the party claimed to have given or consented thereto. No waiver of any of the provisions of this Agreement shall be deemed or shall constitute a waiver of any other provision hereof (whether or not similar), nor shall such waiver constitute a continuing waiver unless otherwise expressly provided.</w:t>
      </w:r>
    </w:p>
    <w:p>
      <w:pPr>
        <w:spacing w:after="0" w:line="195" w:lineRule="exact"/>
        <w:rPr>
          <w:sz w:val="20"/>
          <w:szCs w:val="20"/>
          <w:color w:val="auto"/>
        </w:rPr>
      </w:pPr>
    </w:p>
    <w:p>
      <w:pPr>
        <w:jc w:val="both"/>
        <w:ind w:left="660"/>
        <w:spacing w:after="0" w:line="264" w:lineRule="auto"/>
        <w:rPr>
          <w:sz w:val="20"/>
          <w:szCs w:val="20"/>
          <w:color w:val="auto"/>
        </w:rPr>
      </w:pPr>
      <w:r>
        <w:rPr>
          <w:rFonts w:ascii="Arial" w:cs="Arial" w:eastAsia="Arial" w:hAnsi="Arial"/>
          <w:sz w:val="21"/>
          <w:szCs w:val="21"/>
          <w:color w:val="auto"/>
        </w:rPr>
        <w:t xml:space="preserve">Section 4.11 </w:t>
      </w:r>
      <w:r>
        <w:rPr>
          <w:rFonts w:ascii="Arial" w:cs="Arial" w:eastAsia="Arial" w:hAnsi="Arial"/>
          <w:sz w:val="21"/>
          <w:szCs w:val="21"/>
          <w:u w:val="single" w:color="auto"/>
          <w:color w:val="auto"/>
        </w:rPr>
        <w:t>Notices</w:t>
      </w:r>
      <w:r>
        <w:rPr>
          <w:rFonts w:ascii="Arial" w:cs="Arial" w:eastAsia="Arial" w:hAnsi="Arial"/>
          <w:sz w:val="21"/>
          <w:szCs w:val="21"/>
          <w:color w:val="auto"/>
        </w:rPr>
        <w:t>. Any notices, consents, waivers or other communications required or permitted to be given under the terms of this Agreement must be in writing and will be deemed to have been delivered: (a) upon receipt, when delivered personally, (b) upon receipt, when sent by facsimile or other electronic transmission (provided confirmation of transmission is mechanically or electronically generated and kept on file by the sending party), or (c) one (1) business day after deposit with an overnight courier service, in each case properly addressed to the party to receive the same. The addresses and telephone numbers for such communications shall be:</w:t>
      </w:r>
    </w:p>
    <w:p>
      <w:pPr>
        <w:spacing w:after="0" w:line="175"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If to the Company:</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Inseego Corp.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9710 Scranton Road, Suite 200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 Diego, California 92121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Telephone: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242"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with a copy (for informational purposes only)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Paul Hastings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4747 Executive Drive, Twelfth Floor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 Diego, CA 92121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Telephone: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Holder, to the address specified on the signature page hereto.</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Any party hereto may change his or its address for notice by giving notice thereof in the manner herein above provided.</w:t>
      </w:r>
    </w:p>
    <w:p>
      <w:pPr>
        <w:spacing w:after="0" w:line="231" w:lineRule="exact"/>
        <w:rPr>
          <w:sz w:val="20"/>
          <w:szCs w:val="20"/>
          <w:color w:val="auto"/>
        </w:rPr>
      </w:pPr>
    </w:p>
    <w:p>
      <w:pPr>
        <w:jc w:val="both"/>
        <w:ind w:left="660"/>
        <w:spacing w:after="0" w:line="270" w:lineRule="auto"/>
        <w:rPr>
          <w:sz w:val="20"/>
          <w:szCs w:val="20"/>
          <w:color w:val="auto"/>
        </w:rPr>
      </w:pPr>
      <w:r>
        <w:rPr>
          <w:rFonts w:ascii="Arial" w:cs="Arial" w:eastAsia="Arial" w:hAnsi="Arial"/>
          <w:sz w:val="21"/>
          <w:szCs w:val="21"/>
          <w:color w:val="auto"/>
        </w:rPr>
        <w:t xml:space="preserve">Section 4.12 </w:t>
      </w:r>
      <w:r>
        <w:rPr>
          <w:rFonts w:ascii="Arial" w:cs="Arial" w:eastAsia="Arial" w:hAnsi="Arial"/>
          <w:sz w:val="21"/>
          <w:szCs w:val="21"/>
          <w:u w:val="single" w:color="auto"/>
          <w:color w:val="auto"/>
        </w:rPr>
        <w:t>Interpretations</w:t>
      </w:r>
      <w:r>
        <w:rPr>
          <w:rFonts w:ascii="Arial" w:cs="Arial" w:eastAsia="Arial" w:hAnsi="Arial"/>
          <w:sz w:val="21"/>
          <w:szCs w:val="21"/>
          <w:color w:val="auto"/>
        </w:rPr>
        <w:t>. The words such as “herein,” “hereinafter,” “hereof,” and “hereunder” refer to this Agreement as a whole and not merely to a subdivision in which such words appear unless the context otherwise requires. The singular shall include the plural, and vice versa, unless the context otherwise requires. The masculine shall include the feminine and neuter, and vice versa, unless the context otherwise requires.</w:t>
      </w:r>
    </w:p>
    <w:p>
      <w:pPr>
        <w:spacing w:after="0" w:line="169" w:lineRule="exact"/>
        <w:rPr>
          <w:sz w:val="20"/>
          <w:szCs w:val="20"/>
          <w:color w:val="auto"/>
        </w:rPr>
      </w:pPr>
    </w:p>
    <w:p>
      <w:pPr>
        <w:jc w:val="both"/>
        <w:ind w:left="660"/>
        <w:spacing w:after="0" w:line="319" w:lineRule="auto"/>
        <w:rPr>
          <w:sz w:val="20"/>
          <w:szCs w:val="20"/>
          <w:color w:val="auto"/>
        </w:rPr>
      </w:pPr>
      <w:r>
        <w:rPr>
          <w:rFonts w:ascii="Arial" w:cs="Arial" w:eastAsia="Arial" w:hAnsi="Arial"/>
          <w:sz w:val="19"/>
          <w:szCs w:val="19"/>
          <w:color w:val="auto"/>
        </w:rPr>
        <w:t xml:space="preserve">Section 4.13 </w:t>
      </w:r>
      <w:r>
        <w:rPr>
          <w:rFonts w:ascii="Arial" w:cs="Arial" w:eastAsia="Arial" w:hAnsi="Arial"/>
          <w:sz w:val="19"/>
          <w:szCs w:val="19"/>
          <w:u w:val="single" w:color="auto"/>
          <w:color w:val="auto"/>
        </w:rPr>
        <w:t>Further Assurances</w:t>
      </w:r>
      <w:r>
        <w:rPr>
          <w:rFonts w:ascii="Arial" w:cs="Arial" w:eastAsia="Arial" w:hAnsi="Arial"/>
          <w:sz w:val="19"/>
          <w:szCs w:val="19"/>
          <w:color w:val="auto"/>
        </w:rPr>
        <w:t>. The Holder and the Company each hereby agree to execute and deliver, or cause to be executed and delivered, such other documents, instruments and agreements, and take such other actions, as either party may reasonably request in connection with the transactions contemplated by this Agreement.</w:t>
      </w:r>
    </w:p>
    <w:p>
      <w:pPr>
        <w:spacing w:after="0" w:line="128"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 xml:space="preserve">Section 4.14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for convenience of reference only and shall not limit or otherwise affect the meaning hereof.</w:t>
      </w:r>
    </w:p>
    <w:p>
      <w:pPr>
        <w:spacing w:after="0" w:line="161" w:lineRule="exact"/>
        <w:rPr>
          <w:sz w:val="20"/>
          <w:szCs w:val="20"/>
          <w:color w:val="auto"/>
        </w:rPr>
      </w:pPr>
    </w:p>
    <w:p>
      <w:pPr>
        <w:jc w:val="both"/>
        <w:ind w:left="660"/>
        <w:spacing w:after="0" w:line="358" w:lineRule="auto"/>
        <w:rPr>
          <w:sz w:val="20"/>
          <w:szCs w:val="20"/>
          <w:color w:val="auto"/>
        </w:rPr>
      </w:pPr>
      <w:r>
        <w:rPr>
          <w:rFonts w:ascii="Arial" w:cs="Arial" w:eastAsia="Arial" w:hAnsi="Arial"/>
          <w:sz w:val="19"/>
          <w:szCs w:val="19"/>
          <w:color w:val="auto"/>
        </w:rPr>
        <w:t xml:space="preserve">Section 4.15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one or more of the provisions contained herein, or the application thereof in any circumstance, is held invalid, illegal or unenforceable, the validity, legality and enforceability of any such provision in</w:t>
      </w:r>
    </w:p>
    <w:p>
      <w:pPr>
        <w:sectPr>
          <w:pgSz w:w="11900" w:h="17022" w:orient="portrait"/>
          <w:cols w:equalWidth="0" w:num="1">
            <w:col w:w="11240"/>
          </w:cols>
          <w:pgMar w:left="320" w:top="126" w:right="339" w:bottom="0" w:gutter="0" w:footer="0" w:header="0"/>
        </w:sectPr>
      </w:pPr>
    </w:p>
    <w:bookmarkStart w:id="98" w:name="page99"/>
    <w:bookmarkEnd w:id="98"/>
    <w:p>
      <w:pPr>
        <w:ind w:left="660"/>
        <w:spacing w:after="0"/>
        <w:rPr>
          <w:sz w:val="20"/>
          <w:szCs w:val="20"/>
          <w:color w:val="auto"/>
        </w:rPr>
      </w:pPr>
      <w:r>
        <w:rPr>
          <w:rFonts w:ascii="Arial" w:cs="Arial" w:eastAsia="Arial" w:hAnsi="Arial"/>
          <w:sz w:val="21"/>
          <w:szCs w:val="21"/>
          <w:color w:val="auto"/>
        </w:rPr>
        <w:t>every other respect and of the remaining provisions contained herein shall not be affected or impaired thereby.</w:t>
      </w:r>
    </w:p>
    <w:p>
      <w:pPr>
        <w:spacing w:after="0" w:line="231"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[THE REMAINDER OF THIS PAGE HAS BEEN LEFT BLANK INTENTIONALLY.]</w:t>
      </w:r>
    </w:p>
    <w:p>
      <w:pPr>
        <w:spacing w:after="0" w:line="200" w:lineRule="exact"/>
        <w:rPr>
          <w:sz w:val="20"/>
          <w:szCs w:val="20"/>
          <w:color w:val="auto"/>
        </w:rPr>
      </w:pPr>
    </w:p>
    <w:p>
      <w:pPr>
        <w:spacing w:after="0" w:line="276" w:lineRule="exact"/>
        <w:rPr>
          <w:sz w:val="20"/>
          <w:szCs w:val="20"/>
          <w:color w:val="auto"/>
        </w:rPr>
      </w:pPr>
    </w:p>
    <w:p>
      <w:pPr>
        <w:ind w:firstLine="391"/>
        <w:spacing w:after="0" w:line="263" w:lineRule="auto"/>
        <w:rPr>
          <w:sz w:val="20"/>
          <w:szCs w:val="20"/>
          <w:color w:val="auto"/>
        </w:rPr>
      </w:pPr>
      <w:r>
        <w:rPr>
          <w:rFonts w:ascii="Arial" w:cs="Arial" w:eastAsia="Arial" w:hAnsi="Arial"/>
          <w:sz w:val="22"/>
          <w:szCs w:val="22"/>
          <w:color w:val="auto"/>
        </w:rPr>
        <w:t>IN WITNESS WHEREOF, each of the parties hereto has caused this Agreement to be executed as of the date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COMPANY:</w:t>
      </w: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INSEEGO CORP.</w:t>
      </w:r>
    </w:p>
    <w:p>
      <w:pPr>
        <w:spacing w:after="0" w:line="200" w:lineRule="exact"/>
        <w:rPr>
          <w:sz w:val="20"/>
          <w:szCs w:val="20"/>
          <w:color w:val="auto"/>
        </w:rPr>
      </w:pPr>
    </w:p>
    <w:p>
      <w:pPr>
        <w:spacing w:after="0" w:line="29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Stephen M. Smith</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Executive Vice President and Chief Financial Officer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HOLDER:</w:t>
      </w: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[_______________].</w:t>
      </w: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Signatory</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ectPr>
          <w:pgSz w:w="11900" w:h="16838" w:orient="portrait"/>
          <w:cols w:equalWidth="0" w:num="1">
            <w:col w:w="11240"/>
          </w:cols>
          <w:pgMar w:left="320" w:top="132"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Subsidiary</w:t>
            </w:r>
          </w:p>
        </w:tc>
        <w:tc>
          <w:tcPr>
            <w:tcW w:w="120" w:type="dxa"/>
            <w:vAlign w:val="bottom"/>
            <w:vMerge w:val="restart"/>
          </w:tcPr>
          <w:p>
            <w:pPr>
              <w:spacing w:after="0"/>
              <w:rPr>
                <w:sz w:val="14"/>
                <w:szCs w:val="14"/>
                <w:color w:val="auto"/>
              </w:rPr>
            </w:pPr>
          </w:p>
        </w:tc>
        <w:tc>
          <w:tcPr>
            <w:tcW w:w="29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5"/>
              </w:rPr>
              <w:t>Jurisdiction of Incorporation or Organization</w:t>
            </w:r>
          </w:p>
        </w:tc>
        <w:tc>
          <w:tcPr>
            <w:tcW w:w="100" w:type="dxa"/>
            <w:vAlign w:val="bottom"/>
            <w:vMerge w:val="restart"/>
          </w:tcPr>
          <w:p>
            <w:pPr>
              <w:spacing w:after="0"/>
              <w:rPr>
                <w:sz w:val="14"/>
                <w:szCs w:val="14"/>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2"/>
              </w:rPr>
              <w:t>Name Under Which the Subsidiary Does</w:t>
            </w:r>
          </w:p>
        </w:tc>
        <w:tc>
          <w:tcPr>
            <w:tcW w:w="0" w:type="dxa"/>
            <w:vAlign w:val="bottom"/>
          </w:tcPr>
          <w:p>
            <w:pPr>
              <w:spacing w:after="0"/>
              <w:rPr>
                <w:sz w:val="1"/>
                <w:szCs w:val="1"/>
                <w:color w:val="auto"/>
              </w:rPr>
            </w:pPr>
          </w:p>
        </w:tc>
      </w:tr>
      <w:tr>
        <w:trPr>
          <w:trHeight w:val="192"/>
        </w:trPr>
        <w:tc>
          <w:tcPr>
            <w:tcW w:w="5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36"/>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Inc.</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Novatel Wireless Technologies,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Alberta, Canada</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Solutions, Inc.</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Novatel Wireless (Italy) S.r.l.</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Italy</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Inseego (UK)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Novatel Wireless Australia Pty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Australia</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Asia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Hong Kong</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Novatel Wireless (Shanghai) Co.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China</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Technologies,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Enfora, Inc.</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R.E.R. Enterprises, Inc.</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Oregon</w:t>
            </w: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Feeney Wireless</w:t>
            </w: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Inseego North America, LLC</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Oregon</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Feeney Wireless IC-Disc, Inc.</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Ctrack Holdings (Pty)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Electronics (Pty)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DigiCore Properties (Pty)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SA (Pty)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DigiCore Financial Services (Pty)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Fleet Management Solutions (Pty)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Ctrack Insurance Telematics (Pty)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Dedical (Pty)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Fleet Connect (Pty)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Mzansi (Pty)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DigiCore Brands (Pty)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Cellular (Pty)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DigiCore International (Pty)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Investments (Pty)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DigiCore Technology (Pty)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South Africa</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International Holdings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Ctrack Europe Holdings Limited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United Kingdom</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UK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Ctrack Ireland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Ireland</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E. Eur. Holdings Limited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Ctrack Deutschland GmbH</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Germany</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DigiCore Europe BV</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Netherlands</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Benelux BV</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Netherlands</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Ctrack Polska Sp z o.o.</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Poland</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International Holdings BV</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Netherlands</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Ctrack New Zealand Limited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New Zealand</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Asia SDN BHD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Malaysia</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Ctrack (Pty) Ltd</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Australia</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Finance Ltd</w:t>
            </w: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Ctrack Belgium BVBA</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Belgium</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Ctrack France SARL</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France</w:t>
            </w:r>
          </w:p>
        </w:tc>
        <w:tc>
          <w:tcPr>
            <w:tcW w:w="2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553"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CONSENT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S-3 No. 333-207255) of Novatel Wireless, Inc. (predecessor issuer to Inseego Corp.);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S-3 Nos. 333-233206, 333-231350, 333-228315, 333-226753, and 333-221404) of Inseego Corp.;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Statements (Form S-8 Nos. 333-226754, 333-221405, 333-214965, 333-207233, 333-202648, 333-190879, 333-190878, 333-176490, 333-176489, 333-163033, 333-163032, 333-159287, 333-145482, 333-139730, 333-53692) of Inseego Corp.,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our report dated March 13, 2020, with respect to our audits of the consolidated financial statements of Inseego Corp. as of December 31, 2019 and 2018 and for the years ended December 31, 2019 and 2018 and our report dated March 13, 2020 with respect to our audit of the effectiveness of internal control over financial reporting of Inseego Corp. as of December 31, 2019, which reports are included in this Annual Report on Form 10-K of Inseego Corp.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ectPr>
          <w:pgSz w:w="11900" w:h="16838" w:orient="portrait"/>
          <w:cols w:equalWidth="0" w:num="1">
            <w:col w:w="11240"/>
          </w:cols>
          <w:pgMar w:left="320" w:top="553"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71" w:lineRule="exact"/>
        <w:rPr>
          <w:sz w:val="20"/>
          <w:szCs w:val="20"/>
          <w:color w:val="auto"/>
        </w:rPr>
      </w:pPr>
    </w:p>
    <w:p>
      <w:pPr>
        <w:ind w:left="640" w:hanging="173"/>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Inseego Corp.;</w:t>
      </w:r>
    </w:p>
    <w:p>
      <w:pPr>
        <w:spacing w:after="0" w:line="171" w:lineRule="exact"/>
        <w:rPr>
          <w:rFonts w:ascii="Arial" w:cs="Arial" w:eastAsia="Arial" w:hAnsi="Arial"/>
          <w:sz w:val="18"/>
          <w:szCs w:val="18"/>
          <w:color w:val="auto"/>
        </w:rPr>
      </w:pPr>
    </w:p>
    <w:p>
      <w:pPr>
        <w:ind w:right="120" w:firstLine="467"/>
        <w:spacing w:after="0" w:line="342" w:lineRule="auto"/>
        <w:tabs>
          <w:tab w:leader="none" w:pos="639"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67"/>
        <w:spacing w:after="0" w:line="277" w:lineRule="auto"/>
        <w:tabs>
          <w:tab w:leader="none" w:pos="6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67"/>
        <w:spacing w:after="0" w:line="263" w:lineRule="auto"/>
        <w:tabs>
          <w:tab w:leader="none" w:pos="6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7" w:lineRule="exact"/>
        <w:rPr>
          <w:rFonts w:ascii="Arial" w:cs="Arial" w:eastAsia="Arial" w:hAnsi="Arial"/>
          <w:sz w:val="18"/>
          <w:szCs w:val="18"/>
          <w:color w:val="auto"/>
        </w:rPr>
      </w:pPr>
    </w:p>
    <w:p>
      <w:pPr>
        <w:ind w:left="1040" w:right="160" w:hanging="246"/>
        <w:spacing w:after="0" w:line="26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040" w:right="300" w:hanging="256"/>
        <w:spacing w:after="0" w:line="26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040" w:right="460" w:hanging="246"/>
        <w:spacing w:after="0" w:line="342" w:lineRule="auto"/>
        <w:tabs>
          <w:tab w:leader="none" w:pos="10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040" w:right="160" w:hanging="256"/>
        <w:spacing w:after="0" w:line="26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0" w:firstLine="467"/>
        <w:spacing w:after="0" w:line="308" w:lineRule="auto"/>
        <w:tabs>
          <w:tab w:leader="none" w:pos="63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1040" w:right="700" w:hanging="246"/>
        <w:spacing w:after="0" w:line="342" w:lineRule="auto"/>
        <w:tabs>
          <w:tab w:leader="none" w:pos="10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040" w:right="400" w:hanging="256"/>
        <w:spacing w:after="0" w:line="277"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374" w:lineRule="exact"/>
        <w:rPr>
          <w:sz w:val="20"/>
          <w:szCs w:val="20"/>
          <w:color w:val="auto"/>
        </w:rPr>
      </w:pPr>
    </w:p>
    <w:p>
      <w:pPr>
        <w:ind w:left="3000"/>
        <w:spacing w:after="0"/>
        <w:tabs>
          <w:tab w:leader="none" w:pos="3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31750</wp:posOffset>
            </wp:positionV>
            <wp:extent cx="3385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Dan Mondor</w:t>
      </w:r>
    </w:p>
    <w:p>
      <w:pPr>
        <w:spacing w:after="0" w:line="16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Chief Executive Officer</w:t>
      </w:r>
    </w:p>
    <w:p>
      <w:pPr>
        <w:spacing w:after="0" w:line="36"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6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Smith, certify that:</w:t>
      </w:r>
    </w:p>
    <w:p>
      <w:pPr>
        <w:spacing w:after="0" w:line="171" w:lineRule="exact"/>
        <w:rPr>
          <w:sz w:val="20"/>
          <w:szCs w:val="20"/>
          <w:color w:val="auto"/>
        </w:rPr>
      </w:pPr>
    </w:p>
    <w:p>
      <w:pPr>
        <w:ind w:left="640" w:hanging="17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Inseego Corp.;</w:t>
      </w:r>
    </w:p>
    <w:p>
      <w:pPr>
        <w:spacing w:after="0" w:line="292" w:lineRule="exact"/>
        <w:rPr>
          <w:rFonts w:ascii="Arial" w:cs="Arial" w:eastAsia="Arial" w:hAnsi="Arial"/>
          <w:sz w:val="18"/>
          <w:szCs w:val="18"/>
          <w:color w:val="auto"/>
        </w:rPr>
      </w:pPr>
    </w:p>
    <w:p>
      <w:pPr>
        <w:ind w:right="120" w:firstLine="467"/>
        <w:spacing w:after="0" w:line="342" w:lineRule="auto"/>
        <w:tabs>
          <w:tab w:leader="none" w:pos="639"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6"/>
          <w:szCs w:val="16"/>
          <w:color w:val="auto"/>
        </w:rPr>
      </w:pPr>
    </w:p>
    <w:p>
      <w:pPr>
        <w:ind w:right="100" w:firstLine="467"/>
        <w:spacing w:after="0" w:line="277" w:lineRule="auto"/>
        <w:tabs>
          <w:tab w:leader="none" w:pos="6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7" w:lineRule="exact"/>
        <w:rPr>
          <w:rFonts w:ascii="Arial" w:cs="Arial" w:eastAsia="Arial" w:hAnsi="Arial"/>
          <w:sz w:val="18"/>
          <w:szCs w:val="18"/>
          <w:color w:val="auto"/>
        </w:rPr>
      </w:pPr>
    </w:p>
    <w:p>
      <w:pPr>
        <w:ind w:right="80" w:firstLine="467"/>
        <w:spacing w:after="0" w:line="263" w:lineRule="auto"/>
        <w:tabs>
          <w:tab w:leader="none" w:pos="6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9" w:lineRule="exact"/>
        <w:rPr>
          <w:rFonts w:ascii="Arial" w:cs="Arial" w:eastAsia="Arial" w:hAnsi="Arial"/>
          <w:sz w:val="18"/>
          <w:szCs w:val="18"/>
          <w:color w:val="auto"/>
        </w:rPr>
      </w:pPr>
    </w:p>
    <w:p>
      <w:pPr>
        <w:ind w:left="1040" w:right="160" w:hanging="246"/>
        <w:spacing w:after="0" w:line="263"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040" w:right="300" w:hanging="256"/>
        <w:spacing w:after="0" w:line="263"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040" w:right="460" w:hanging="246"/>
        <w:spacing w:after="0" w:line="342" w:lineRule="auto"/>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040" w:right="160" w:hanging="256"/>
        <w:spacing w:after="0" w:line="263"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0" w:firstLine="467"/>
        <w:spacing w:after="0" w:line="308" w:lineRule="auto"/>
        <w:tabs>
          <w:tab w:leader="none" w:pos="639"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1040" w:right="700" w:hanging="246"/>
        <w:spacing w:after="0" w:line="342" w:lineRule="auto"/>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040" w:right="400" w:hanging="256"/>
        <w:spacing w:after="0" w:line="277"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374" w:lineRule="exact"/>
        <w:rPr>
          <w:sz w:val="20"/>
          <w:szCs w:val="20"/>
          <w:color w:val="auto"/>
        </w:rPr>
      </w:pPr>
    </w:p>
    <w:p>
      <w:pPr>
        <w:ind w:left="3000"/>
        <w:spacing w:after="0"/>
        <w:tabs>
          <w:tab w:leader="none" w:pos="3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31750</wp:posOffset>
            </wp:positionV>
            <wp:extent cx="33858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Stephen Smith</w:t>
      </w:r>
    </w:p>
    <w:p>
      <w:pPr>
        <w:spacing w:after="0" w:line="16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499"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00" w:lineRule="exact"/>
        <w:rPr>
          <w:sz w:val="20"/>
          <w:szCs w:val="20"/>
          <w:color w:val="auto"/>
        </w:rPr>
      </w:pPr>
    </w:p>
    <w:p>
      <w:pPr>
        <w:spacing w:after="0" w:line="281" w:lineRule="exact"/>
        <w:rPr>
          <w:sz w:val="20"/>
          <w:szCs w:val="20"/>
          <w:color w:val="auto"/>
        </w:rPr>
      </w:pPr>
    </w:p>
    <w:p>
      <w:pPr>
        <w:ind w:left="1520" w:right="520" w:hanging="797"/>
        <w:spacing w:after="0" w:line="277" w:lineRule="auto"/>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520" w:right="120" w:hanging="797"/>
        <w:spacing w:after="0" w:line="277" w:lineRule="auto"/>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374" w:lineRule="exact"/>
        <w:rPr>
          <w:sz w:val="20"/>
          <w:szCs w:val="20"/>
          <w:color w:val="auto"/>
        </w:rPr>
      </w:pPr>
    </w:p>
    <w:p>
      <w:pPr>
        <w:ind w:left="3060"/>
        <w:spacing w:after="0"/>
        <w:tabs>
          <w:tab w:leader="none" w:pos="3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31750</wp:posOffset>
            </wp:positionV>
            <wp:extent cx="3300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Dan Mondor</w:t>
      </w:r>
    </w:p>
    <w:p>
      <w:pPr>
        <w:spacing w:after="0" w:line="81"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499"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I, Stephen Smith,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00" w:lineRule="exact"/>
        <w:rPr>
          <w:sz w:val="20"/>
          <w:szCs w:val="20"/>
          <w:color w:val="auto"/>
        </w:rPr>
      </w:pPr>
    </w:p>
    <w:p>
      <w:pPr>
        <w:spacing w:after="0" w:line="281" w:lineRule="exact"/>
        <w:rPr>
          <w:sz w:val="20"/>
          <w:szCs w:val="20"/>
          <w:color w:val="auto"/>
        </w:rPr>
      </w:pPr>
    </w:p>
    <w:p>
      <w:pPr>
        <w:ind w:left="1300" w:right="740" w:hanging="793"/>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300" w:right="340" w:hanging="793"/>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374" w:lineRule="exact"/>
        <w:rPr>
          <w:sz w:val="20"/>
          <w:szCs w:val="20"/>
          <w:color w:val="auto"/>
        </w:rPr>
      </w:pPr>
    </w:p>
    <w:p>
      <w:pPr>
        <w:ind w:left="3060"/>
        <w:spacing w:after="0"/>
        <w:tabs>
          <w:tab w:leader="none" w:pos="3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31750</wp:posOffset>
            </wp:positionV>
            <wp:extent cx="3300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Stephen Smith</w:t>
      </w:r>
    </w:p>
    <w:p>
      <w:pPr>
        <w:spacing w:after="0" w:line="81"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emdash "/>
      <w:numFmt w:val="bullet"/>
      <w:start w:val="1"/>
    </w:lvl>
  </w:abstractNum>
  <w:abstractNum w:abstractNumId="22">
    <w:nsid w:val="3006C83E"/>
    <w:multiLevelType w:val="hybridMultilevel"/>
    <w:lvl w:ilvl="0">
      <w:lvlJc w:val="left"/>
      <w:lvlText w:val="\emdash "/>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4"/>
    </w:lvl>
  </w:abstractNum>
  <w:abstractNum w:abstractNumId="25">
    <w:nsid w:val="5577F8E1"/>
    <w:multiLevelType w:val="hybridMultilevel"/>
    <w:lvl w:ilvl="0">
      <w:lvlJc w:val="left"/>
      <w:lvlText w:val="(%1)"/>
      <w:numFmt w:val="lowerLetter"/>
      <w:start w:val="2"/>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lowerRoman"/>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lowerRoman"/>
      <w:start w:val="3"/>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Letter"/>
      <w:start w:val="6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8" Type="http://schemas.openxmlformats.org/officeDocument/2006/relationships/image" Target="media/image20.png"/><Relationship Id="rId65" Type="http://schemas.openxmlformats.org/officeDocument/2006/relationships/image" Target="media/image21.png"/><Relationship Id="rId66" Type="http://schemas.openxmlformats.org/officeDocument/2006/relationships/image" Target="media/image22.png"/><Relationship Id="rId67" Type="http://schemas.openxmlformats.org/officeDocument/2006/relationships/image" Target="media/image23.png"/><Relationship Id="rId68" Type="http://schemas.openxmlformats.org/officeDocument/2006/relationships/image" Target="media/image24.png"/><Relationship Id="rId69" Type="http://schemas.openxmlformats.org/officeDocument/2006/relationships/image" Target="media/image25.png"/><Relationship Id="rId70" Type="http://schemas.openxmlformats.org/officeDocument/2006/relationships/image" Target="media/image26.png"/><Relationship Id="rId71" Type="http://schemas.openxmlformats.org/officeDocument/2006/relationships/image" Target="media/image27.png"/><Relationship Id="rId72" Type="http://schemas.openxmlformats.org/officeDocument/2006/relationships/image" Target="media/image28.png"/><Relationship Id="rId73" Type="http://schemas.openxmlformats.org/officeDocument/2006/relationships/image" Target="media/image29.png"/><Relationship Id="rId74" Type="http://schemas.openxmlformats.org/officeDocument/2006/relationships/image" Target="media/image30.png"/><Relationship Id="rId75" Type="http://schemas.openxmlformats.org/officeDocument/2006/relationships/image" Target="media/image31.png"/><Relationship Id="rId76" Type="http://schemas.openxmlformats.org/officeDocument/2006/relationships/image" Target="media/image32.png"/><Relationship Id="rId27" Type="http://schemas.openxmlformats.org/officeDocument/2006/relationships/hyperlink" Target="http://www.sec.gov/Archives/edgar/data/1022652/000119312516763609/d261554dex31.htm" TargetMode="External"/><Relationship Id="rId28" Type="http://schemas.openxmlformats.org/officeDocument/2006/relationships/hyperlink" Target="http://www.sec.gov/Archives/edgar/data/1022652/000119312516763609/d261554dex32.htm" TargetMode="External"/><Relationship Id="rId29" Type="http://schemas.openxmlformats.org/officeDocument/2006/relationships/hyperlink" Target="http://www.sec.gov/Archives/edgar/data/1022652/000119312518015371/d525985dex31.htm" TargetMode="External"/><Relationship Id="rId30" Type="http://schemas.openxmlformats.org/officeDocument/2006/relationships/hyperlink" Target="http://www.sec.gov/Archives/edgar/data/1022652/000119312519219943/d792529dex31.htm" TargetMode="External"/><Relationship Id="rId31" Type="http://schemas.openxmlformats.org/officeDocument/2006/relationships/hyperlink" Target="http://www.sec.gov/Archives/edgar/data/1022652/000119312520067668/d824727dex31.htm" TargetMode="External"/><Relationship Id="rId32" Type="http://schemas.openxmlformats.org/officeDocument/2006/relationships/hyperlink" Target="http://www.sec.gov/Archives/edgar/data/1022652/000119312516763609/d261554dex41.htm" TargetMode="External"/><Relationship Id="rId33" Type="http://schemas.openxmlformats.org/officeDocument/2006/relationships/hyperlink" Target="http://www.sec.gov/Archives/edgar/data/1022652/000119312517006250/d286223dex42.htm" TargetMode="External"/><Relationship Id="rId34" Type="http://schemas.openxmlformats.org/officeDocument/2006/relationships/hyperlink" Target="http://www.sec.gov/Archives/edgar/data/1022652/000119312520066438/d842536dex101.htm" TargetMode="External"/><Relationship Id="rId35" Type="http://schemas.openxmlformats.org/officeDocument/2006/relationships/hyperlink" Target="http://www.sec.gov/Archives/edgar/data/1022652/000119312520066438/d842536dex102.htm" TargetMode="External"/><Relationship Id="rId36" Type="http://schemas.openxmlformats.org/officeDocument/2006/relationships/hyperlink" Target="http://www.sec.gov/Archives/edgar/data/1022652/000119312518015371/d525985dex41.htm" TargetMode="External"/><Relationship Id="rId37" Type="http://schemas.openxmlformats.org/officeDocument/2006/relationships/hyperlink" Target="http://www.sec.gov/Archives/edgar/data/1022652/000119312518240301/d590620dex45.htm" TargetMode="External"/><Relationship Id="rId39" Type="http://schemas.openxmlformats.org/officeDocument/2006/relationships/hyperlink" Target="http://www.sec.gov/Archives/edgar/data/1022652/000102265218000092/insg20181204exhibit41right.htm" TargetMode="External"/><Relationship Id="rId40" Type="http://schemas.openxmlformats.org/officeDocument/2006/relationships/hyperlink" Target="http://www.sec.gov/Archives/edgar/data/1022652/000119312519092697/d728442dex43.htm" TargetMode="External"/><Relationship Id="rId41" Type="http://schemas.openxmlformats.org/officeDocument/2006/relationships/hyperlink" Target="http://www.sec.gov/Archives/edgar/data/1022652/000119312519092697/d728442dex41.htm" TargetMode="External"/><Relationship Id="rId42" Type="http://schemas.openxmlformats.org/officeDocument/2006/relationships/hyperlink" Target="http://www.sec.gov/Archives/edgar/data/1022652/000119312519092697/d728442dex42.htm" TargetMode="External"/><Relationship Id="rId43" Type="http://schemas.openxmlformats.org/officeDocument/2006/relationships/hyperlink" Target="http://www.sec.gov/Archives/edgar/data/1022652/000119312518240301/d590620dex43.htm" TargetMode="External"/><Relationship Id="rId44" Type="http://schemas.openxmlformats.org/officeDocument/2006/relationships/hyperlink" Target="http://www.sec.gov/Archives/edgar/data/1022652/000102265217000061/insg20170614ex101amendedan.htm" TargetMode="External"/><Relationship Id="rId45" Type="http://schemas.openxmlformats.org/officeDocument/2006/relationships/hyperlink" Target="http://www.sec.gov/Archives/edgar/data/1022652/000102265217000075/insg20170818ex101smithoffe.htm" TargetMode="External"/><Relationship Id="rId46" Type="http://schemas.openxmlformats.org/officeDocument/2006/relationships/hyperlink" Target="http://www.sec.gov/Archives/edgar/data/1022652/000102265217000075/insg20170818ex102smithchan.htm" TargetMode="External"/><Relationship Id="rId47" Type="http://schemas.openxmlformats.org/officeDocument/2006/relationships/hyperlink" Target="http://www.sec.gov/Archives/edgar/data/1022652/000102265217000075/insg20170818ex103formofind.htm" TargetMode="External"/><Relationship Id="rId48" Type="http://schemas.openxmlformats.org/officeDocument/2006/relationships/hyperlink" Target="http://www.sec.gov/Archives/edgar/data/1022652/000102265217000055/insg20170605ex101mondoroff.htm" TargetMode="External"/><Relationship Id="rId49" Type="http://schemas.openxmlformats.org/officeDocument/2006/relationships/hyperlink" Target="http://www.sec.gov/Archives/edgar/data/1022652/000102265218000034/insg20180606ex101mondorcha.htm" TargetMode="External"/><Relationship Id="rId50" Type="http://schemas.openxmlformats.org/officeDocument/2006/relationships/hyperlink" Target="http://www.sec.gov/Archives/edgar/data/1022652/000102265217000055/insg20170605ex103mondorind.htm" TargetMode="External"/><Relationship Id="rId51" Type="http://schemas.openxmlformats.org/officeDocument/2006/relationships/hyperlink" Target="http://www.sec.gov/Archives/edgar/data/1022652/000102265217000088/insg20170930ex108amendment.htm" TargetMode="External"/><Relationship Id="rId52" Type="http://schemas.openxmlformats.org/officeDocument/2006/relationships/hyperlink" Target="http://www.sec.gov/Archives/edgar/data/1022652/000102265218000015/insg20171231ex1026inseegoc.htm" TargetMode="External"/><Relationship Id="rId53" Type="http://schemas.openxmlformats.org/officeDocument/2006/relationships/hyperlink" Target="http://www.sec.gov/Archives/edgar/data/1022652/000102265218000015/insg20171231ex1027inseegoc.htm" TargetMode="External"/><Relationship Id="rId54" Type="http://schemas.openxmlformats.org/officeDocument/2006/relationships/hyperlink" Target="http://www.sec.gov/Archives/edgar/data/1022652/000102265218000039/insg20180713ex101inseegoco.htm" TargetMode="External"/><Relationship Id="rId55" Type="http://schemas.openxmlformats.org/officeDocument/2006/relationships/hyperlink" Target="http://www.sec.gov/Archives/edgar/data/1022652/000102265217000088/insg20170930ex102securitya.htm" TargetMode="External"/><Relationship Id="rId56" Type="http://schemas.openxmlformats.org/officeDocument/2006/relationships/hyperlink" Target="http://www.sec.gov/Archives/edgar/data/1022652/000102265219000043/insg20190930ex102first.htm" TargetMode="External"/><Relationship Id="rId57" Type="http://schemas.openxmlformats.org/officeDocument/2006/relationships/hyperlink" Target="http://www.sec.gov/Archives/edgar/data/1022652/000119312520069689/d903208dex101.htm" TargetMode="External"/><Relationship Id="rId58" Type="http://schemas.openxmlformats.org/officeDocument/2006/relationships/hyperlink" Target="http://www.sec.gov/Archives/edgar/data/1022652/000119312520069689/d903208dex102.htm" TargetMode="External"/><Relationship Id="rId59" Type="http://schemas.openxmlformats.org/officeDocument/2006/relationships/hyperlink" Target="http://www.sec.gov/Archives/edgar/data/1022652/000102265218000042/insg20180726ex101mutualgen.htm" TargetMode="External"/><Relationship Id="rId60" Type="http://schemas.openxmlformats.org/officeDocument/2006/relationships/hyperlink" Target="http://www.sec.gov/Archives/edgar/data/1022652/000102265217000088/insg20170930ex103notepurch.htm" TargetMode="External"/><Relationship Id="rId61" Type="http://schemas.openxmlformats.org/officeDocument/2006/relationships/hyperlink" Target="http://www.sec.gov/Archives/edgar/data/1022652/000119312518240301/d590620dex101.htm" TargetMode="External"/><Relationship Id="rId62" Type="http://schemas.openxmlformats.org/officeDocument/2006/relationships/hyperlink" Target="http://www.sec.gov/Archives/edgar/data/1022652/000119312519219943/d792529dex101.htm" TargetMode="External"/><Relationship Id="rId63" Type="http://schemas.openxmlformats.org/officeDocument/2006/relationships/hyperlink" Target="http://www.sec.gov/Archives/edgar/data/1022652/000119312520067668/d824727dex101.htm" TargetMode="External"/><Relationship Id="rId64" Type="http://schemas.openxmlformats.org/officeDocument/2006/relationships/hyperlink" Target="http://www.sec.gov/Archives/edgar/data/1022652/000102265219000043/insg20190930ex103pons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2020-03-16T05:12:18Z</dcterms:created>
  <dcterms:modified xsi:type="dcterms:W3CDTF">2020-03-16T05:12:18Z</dcterms:modified>
</cp:coreProperties>
</file>