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5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fiscal year ended December 31, 2020</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0"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9" w:lineRule="exact"/>
        <w:rPr>
          <w:sz w:val="24"/>
          <w:szCs w:val="24"/>
          <w:color w:val="auto"/>
        </w:rPr>
      </w:pPr>
    </w:p>
    <w:p>
      <w:pPr>
        <w:ind w:left="348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001-38358</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INSEEGO CORP.</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4" w:lineRule="exact"/>
        <w:rPr>
          <w:sz w:val="24"/>
          <w:szCs w:val="24"/>
          <w:color w:val="auto"/>
        </w:rPr>
      </w:pPr>
    </w:p>
    <w:tbl>
      <w:tblPr>
        <w:tblLayout w:type="fixed"/>
        <w:tblInd w:w="230" w:type="dxa"/>
        <w:tblCellMar>
          <w:top w:w="0" w:type="dxa"/>
          <w:left w:w="0" w:type="dxa"/>
          <w:bottom w:w="0" w:type="dxa"/>
          <w:right w:w="0" w:type="dxa"/>
        </w:tblCellMar>
      </w:tblPr>
      <w:tr>
        <w:trPr>
          <w:trHeight w:val="225"/>
        </w:trPr>
        <w:tc>
          <w:tcPr>
            <w:tcW w:w="4440" w:type="dxa"/>
            <w:vAlign w:val="bottom"/>
            <w:gridSpan w:val="2"/>
          </w:tcPr>
          <w:p>
            <w:pPr>
              <w:jc w:val="center"/>
              <w:ind w:left="1438"/>
              <w:spacing w:after="0"/>
              <w:rPr>
                <w:sz w:val="20"/>
                <w:szCs w:val="20"/>
                <w:color w:val="auto"/>
              </w:rPr>
            </w:pPr>
            <w:r>
              <w:rPr>
                <w:rFonts w:ascii="Arial" w:cs="Arial" w:eastAsia="Arial" w:hAnsi="Arial"/>
                <w:sz w:val="18"/>
                <w:szCs w:val="18"/>
                <w:b w:val="1"/>
                <w:bCs w:val="1"/>
                <w:color w:val="auto"/>
                <w:w w:val="91"/>
              </w:rPr>
              <w:t>Delaware</w:t>
            </w:r>
          </w:p>
        </w:tc>
        <w:tc>
          <w:tcPr>
            <w:tcW w:w="1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40" w:type="dxa"/>
            <w:vAlign w:val="bottom"/>
            <w:gridSpan w:val="2"/>
          </w:tcPr>
          <w:p>
            <w:pPr>
              <w:jc w:val="right"/>
              <w:ind w:right="1556"/>
              <w:spacing w:after="0"/>
              <w:rPr>
                <w:sz w:val="20"/>
                <w:szCs w:val="20"/>
                <w:color w:val="auto"/>
              </w:rPr>
            </w:pPr>
            <w:r>
              <w:rPr>
                <w:rFonts w:ascii="Arial" w:cs="Arial" w:eastAsia="Arial" w:hAnsi="Arial"/>
                <w:sz w:val="18"/>
                <w:szCs w:val="18"/>
                <w:b w:val="1"/>
                <w:bCs w:val="1"/>
                <w:color w:val="auto"/>
              </w:rPr>
              <w:t>81-3377646</w:t>
            </w:r>
          </w:p>
        </w:tc>
      </w:tr>
      <w:tr>
        <w:trPr>
          <w:trHeight w:val="144"/>
        </w:trPr>
        <w:tc>
          <w:tcPr>
            <w:tcW w:w="4440" w:type="dxa"/>
            <w:vAlign w:val="bottom"/>
            <w:gridSpan w:val="2"/>
          </w:tcPr>
          <w:p>
            <w:pPr>
              <w:jc w:val="center"/>
              <w:ind w:left="1438"/>
              <w:spacing w:after="0" w:line="145" w:lineRule="exact"/>
              <w:rPr>
                <w:sz w:val="20"/>
                <w:szCs w:val="20"/>
                <w:color w:val="auto"/>
              </w:rPr>
            </w:pPr>
            <w:r>
              <w:rPr>
                <w:rFonts w:ascii="Arial" w:cs="Arial" w:eastAsia="Arial" w:hAnsi="Arial"/>
                <w:sz w:val="14"/>
                <w:szCs w:val="14"/>
                <w:b w:val="1"/>
                <w:bCs w:val="1"/>
                <w:color w:val="auto"/>
                <w:w w:val="94"/>
              </w:rPr>
              <w:t>(State or Other Jurisdiction</w:t>
            </w: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40" w:type="dxa"/>
            <w:vAlign w:val="bottom"/>
            <w:gridSpan w:val="2"/>
          </w:tcPr>
          <w:p>
            <w:pPr>
              <w:jc w:val="center"/>
              <w:ind w:right="1396"/>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gridSpan w:val="2"/>
          </w:tcPr>
          <w:p>
            <w:pPr>
              <w:jc w:val="center"/>
              <w:ind w:left="1438"/>
              <w:spacing w:after="0"/>
              <w:rPr>
                <w:sz w:val="20"/>
                <w:szCs w:val="20"/>
                <w:color w:val="auto"/>
              </w:rPr>
            </w:pPr>
            <w:r>
              <w:rPr>
                <w:rFonts w:ascii="Arial" w:cs="Arial" w:eastAsia="Arial" w:hAnsi="Arial"/>
                <w:sz w:val="14"/>
                <w:szCs w:val="14"/>
                <w:b w:val="1"/>
                <w:bCs w:val="1"/>
                <w:color w:val="auto"/>
                <w:w w:val="94"/>
              </w:rPr>
              <w:t>of Incorporation or Organization)</w:t>
            </w:r>
          </w:p>
        </w:tc>
        <w:tc>
          <w:tcPr>
            <w:tcW w:w="1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40" w:type="dxa"/>
            <w:vAlign w:val="bottom"/>
            <w:gridSpan w:val="2"/>
          </w:tcPr>
          <w:p>
            <w:pPr>
              <w:jc w:val="center"/>
              <w:ind w:right="1416"/>
              <w:spacing w:after="0"/>
              <w:rPr>
                <w:sz w:val="20"/>
                <w:szCs w:val="20"/>
                <w:color w:val="auto"/>
              </w:rPr>
            </w:pPr>
            <w:r>
              <w:rPr>
                <w:rFonts w:ascii="Arial" w:cs="Arial" w:eastAsia="Arial" w:hAnsi="Arial"/>
                <w:sz w:val="14"/>
                <w:szCs w:val="14"/>
                <w:b w:val="1"/>
                <w:bCs w:val="1"/>
                <w:color w:val="auto"/>
                <w:w w:val="96"/>
              </w:rPr>
              <w:t>Identification No.)</w:t>
            </w:r>
          </w:p>
        </w:tc>
      </w:tr>
      <w:tr>
        <w:trPr>
          <w:trHeight w:val="281"/>
        </w:trPr>
        <w:tc>
          <w:tcPr>
            <w:tcW w:w="4440" w:type="dxa"/>
            <w:vAlign w:val="bottom"/>
            <w:gridSpan w:val="2"/>
          </w:tcPr>
          <w:p>
            <w:pPr>
              <w:jc w:val="center"/>
              <w:ind w:left="1438"/>
              <w:spacing w:after="0"/>
              <w:rPr>
                <w:sz w:val="20"/>
                <w:szCs w:val="20"/>
                <w:color w:val="auto"/>
              </w:rPr>
            </w:pPr>
            <w:r>
              <w:rPr>
                <w:rFonts w:ascii="Arial" w:cs="Arial" w:eastAsia="Arial" w:hAnsi="Arial"/>
                <w:sz w:val="18"/>
                <w:szCs w:val="18"/>
                <w:b w:val="1"/>
                <w:bCs w:val="1"/>
                <w:color w:val="auto"/>
                <w:w w:val="90"/>
              </w:rPr>
              <w:t>12600 Deerfield Parkway, Suite 100</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5"/>
        </w:trPr>
        <w:tc>
          <w:tcPr>
            <w:tcW w:w="4440" w:type="dxa"/>
            <w:vAlign w:val="bottom"/>
            <w:gridSpan w:val="2"/>
          </w:tcPr>
          <w:p>
            <w:pPr>
              <w:ind w:left="1920"/>
              <w:spacing w:after="0"/>
              <w:rPr>
                <w:sz w:val="20"/>
                <w:szCs w:val="20"/>
                <w:color w:val="auto"/>
              </w:rPr>
            </w:pPr>
            <w:r>
              <w:rPr>
                <w:rFonts w:ascii="Arial" w:cs="Arial" w:eastAsia="Arial" w:hAnsi="Arial"/>
                <w:sz w:val="18"/>
                <w:szCs w:val="18"/>
                <w:b w:val="1"/>
                <w:bCs w:val="1"/>
                <w:color w:val="auto"/>
              </w:rPr>
              <w:t>Alpharetta, Georgia</w:t>
            </w:r>
          </w:p>
        </w:tc>
        <w:tc>
          <w:tcPr>
            <w:tcW w:w="1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jc w:val="right"/>
              <w:ind w:right="1756"/>
              <w:spacing w:after="0"/>
              <w:rPr>
                <w:sz w:val="20"/>
                <w:szCs w:val="20"/>
                <w:color w:val="auto"/>
              </w:rPr>
            </w:pPr>
            <w:r>
              <w:rPr>
                <w:rFonts w:ascii="Arial" w:cs="Arial" w:eastAsia="Arial" w:hAnsi="Arial"/>
                <w:sz w:val="18"/>
                <w:szCs w:val="18"/>
                <w:b w:val="1"/>
                <w:bCs w:val="1"/>
                <w:color w:val="auto"/>
                <w:w w:val="87"/>
              </w:rPr>
              <w:t>30004</w:t>
            </w:r>
          </w:p>
        </w:tc>
      </w:tr>
      <w:tr>
        <w:trPr>
          <w:trHeight w:val="186"/>
        </w:trPr>
        <w:tc>
          <w:tcPr>
            <w:tcW w:w="4440" w:type="dxa"/>
            <w:vAlign w:val="bottom"/>
            <w:gridSpan w:val="2"/>
          </w:tcPr>
          <w:p>
            <w:pPr>
              <w:jc w:val="center"/>
              <w:ind w:left="14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40" w:type="dxa"/>
            <w:vAlign w:val="bottom"/>
            <w:gridSpan w:val="2"/>
          </w:tcPr>
          <w:p>
            <w:pPr>
              <w:jc w:val="center"/>
              <w:ind w:right="1416"/>
              <w:spacing w:after="0"/>
              <w:rPr>
                <w:sz w:val="20"/>
                <w:szCs w:val="20"/>
                <w:color w:val="auto"/>
              </w:rPr>
            </w:pPr>
            <w:r>
              <w:rPr>
                <w:rFonts w:ascii="Arial" w:cs="Arial" w:eastAsia="Arial" w:hAnsi="Arial"/>
                <w:sz w:val="14"/>
                <w:szCs w:val="14"/>
                <w:b w:val="1"/>
                <w:bCs w:val="1"/>
                <w:color w:val="auto"/>
                <w:w w:val="95"/>
              </w:rPr>
              <w:t>(Zip Code)</w:t>
            </w:r>
          </w:p>
        </w:tc>
      </w:tr>
      <w:tr>
        <w:trPr>
          <w:trHeight w:val="317"/>
        </w:trPr>
        <w:tc>
          <w:tcPr>
            <w:tcW w:w="8180" w:type="dxa"/>
            <w:vAlign w:val="bottom"/>
            <w:gridSpan w:val="4"/>
          </w:tcPr>
          <w:p>
            <w:pPr>
              <w:jc w:val="center"/>
              <w:ind w:left="2558"/>
              <w:spacing w:after="0"/>
              <w:rPr>
                <w:sz w:val="20"/>
                <w:szCs w:val="20"/>
                <w:color w:val="auto"/>
              </w:rPr>
            </w:pPr>
            <w:r>
              <w:rPr>
                <w:rFonts w:ascii="Arial" w:cs="Arial" w:eastAsia="Arial" w:hAnsi="Arial"/>
                <w:sz w:val="16"/>
                <w:szCs w:val="16"/>
                <w:b w:val="1"/>
                <w:bCs w:val="1"/>
                <w:color w:val="auto"/>
                <w:w w:val="90"/>
              </w:rPr>
              <w:t>Registrant’s telephone number, including area code: (858) 812-3400</w:t>
            </w: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97"/>
        </w:trPr>
        <w:tc>
          <w:tcPr>
            <w:tcW w:w="8180" w:type="dxa"/>
            <w:vAlign w:val="bottom"/>
            <w:gridSpan w:val="4"/>
          </w:tcPr>
          <w:p>
            <w:pPr>
              <w:jc w:val="center"/>
              <w:ind w:left="2538"/>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0"/>
        </w:trPr>
        <w:tc>
          <w:tcPr>
            <w:tcW w:w="4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640" w:type="dxa"/>
            <w:vAlign w:val="bottom"/>
            <w:tcBorders>
              <w:bottom w:val="single" w:sz="8" w:color="auto"/>
            </w:tcBorders>
            <w:gridSpan w:val="3"/>
          </w:tcPr>
          <w:p>
            <w:pPr>
              <w:spacing w:after="0"/>
              <w:rPr>
                <w:sz w:val="8"/>
                <w:szCs w:val="8"/>
                <w:color w:val="auto"/>
              </w:rPr>
            </w:pPr>
          </w:p>
        </w:tc>
      </w:tr>
      <w:tr>
        <w:trPr>
          <w:trHeight w:val="223"/>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89"/>
              </w:rPr>
              <w:t>Trading Symbol(s)</w:t>
            </w:r>
          </w:p>
        </w:tc>
        <w:tc>
          <w:tcPr>
            <w:tcW w:w="46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00" w:type="dxa"/>
            <w:vAlign w:val="bottom"/>
          </w:tcPr>
          <w:p>
            <w:pPr>
              <w:spacing w:after="0"/>
              <w:rPr>
                <w:sz w:val="19"/>
                <w:szCs w:val="19"/>
                <w:color w:val="auto"/>
              </w:rPr>
            </w:pPr>
          </w:p>
        </w:tc>
        <w:tc>
          <w:tcPr>
            <w:tcW w:w="1740" w:type="dxa"/>
            <w:vAlign w:val="bottom"/>
            <w:tcBorders>
              <w:right w:val="single" w:sz="8" w:color="auto"/>
            </w:tcBorders>
          </w:tcPr>
          <w:p>
            <w:pPr>
              <w:jc w:val="center"/>
              <w:ind w:right="33"/>
              <w:spacing w:after="0"/>
              <w:rPr>
                <w:sz w:val="20"/>
                <w:szCs w:val="20"/>
                <w:color w:val="auto"/>
              </w:rPr>
            </w:pPr>
            <w:r>
              <w:rPr>
                <w:rFonts w:ascii="Arial" w:cs="Arial" w:eastAsia="Arial" w:hAnsi="Arial"/>
                <w:sz w:val="18"/>
                <w:szCs w:val="18"/>
                <w:color w:val="auto"/>
                <w:w w:val="95"/>
              </w:rPr>
              <w:t>INSG</w:t>
            </w:r>
          </w:p>
        </w:tc>
        <w:tc>
          <w:tcPr>
            <w:tcW w:w="46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215"/>
        </w:trPr>
        <w:tc>
          <w:tcPr>
            <w:tcW w:w="434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635"/>
        </w:trPr>
        <w:tc>
          <w:tcPr>
            <w:tcW w:w="8180" w:type="dxa"/>
            <w:vAlign w:val="bottom"/>
            <w:gridSpan w:val="4"/>
          </w:tcPr>
          <w:p>
            <w:pPr>
              <w:jc w:val="center"/>
              <w:ind w:left="2538"/>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center"/>
              <w:ind w:left="93"/>
              <w:spacing w:after="0"/>
              <w:rPr>
                <w:sz w:val="20"/>
                <w:szCs w:val="20"/>
                <w:color w:val="auto"/>
              </w:rPr>
            </w:pPr>
            <w:r>
              <w:rPr>
                <w:rFonts w:ascii="Arial" w:cs="Arial" w:eastAsia="Arial" w:hAnsi="Arial"/>
                <w:sz w:val="16"/>
                <w:szCs w:val="16"/>
                <w:b w:val="1"/>
                <w:bCs w:val="1"/>
                <w:color w:val="auto"/>
                <w:w w:val="89"/>
              </w:rPr>
              <w:t>None</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74"/>
        </w:trPr>
        <w:tc>
          <w:tcPr>
            <w:tcW w:w="8180" w:type="dxa"/>
            <w:vAlign w:val="bottom"/>
            <w:gridSpan w:val="4"/>
          </w:tcPr>
          <w:p>
            <w:pPr>
              <w:ind w:left="120"/>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 Yes x</w:t>
            </w:r>
          </w:p>
        </w:tc>
        <w:tc>
          <w:tcPr>
            <w:tcW w:w="340" w:type="dxa"/>
            <w:vAlign w:val="bottom"/>
          </w:tcPr>
          <w:p>
            <w:pPr>
              <w:ind w:left="140"/>
              <w:spacing w:after="0"/>
              <w:rPr>
                <w:sz w:val="20"/>
                <w:szCs w:val="20"/>
                <w:color w:val="auto"/>
              </w:rPr>
            </w:pPr>
            <w:r>
              <w:rPr>
                <w:rFonts w:ascii="Arial" w:cs="Arial" w:eastAsia="Arial" w:hAnsi="Arial"/>
                <w:sz w:val="16"/>
                <w:szCs w:val="16"/>
                <w:color w:val="auto"/>
                <w:w w:val="87"/>
              </w:rPr>
              <w:t>No</w:t>
            </w:r>
          </w:p>
        </w:tc>
        <w:tc>
          <w:tcPr>
            <w:tcW w:w="23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8180" w:type="dxa"/>
            <w:vAlign w:val="bottom"/>
            <w:gridSpan w:val="4"/>
          </w:tcPr>
          <w:p>
            <w:pPr>
              <w:ind w:left="1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0"/>
              <w:spacing w:after="0"/>
              <w:rPr>
                <w:sz w:val="20"/>
                <w:szCs w:val="20"/>
                <w:color w:val="auto"/>
              </w:rPr>
            </w:pPr>
            <w:r>
              <w:rPr>
                <w:rFonts w:ascii="Arial" w:cs="Arial" w:eastAsia="Arial" w:hAnsi="Arial"/>
                <w:sz w:val="16"/>
                <w:szCs w:val="16"/>
                <w:color w:val="auto"/>
              </w:rPr>
              <w:t>No x</w:t>
            </w:r>
          </w:p>
        </w:tc>
      </w:tr>
    </w:tbl>
    <w:p>
      <w:pPr>
        <w:spacing w:after="0" w:line="46" w:lineRule="exact"/>
        <w:rPr>
          <w:sz w:val="24"/>
          <w:szCs w:val="24"/>
          <w:color w:val="auto"/>
        </w:rPr>
      </w:pPr>
    </w:p>
    <w:p>
      <w:pPr>
        <w:jc w:val="both"/>
        <w:ind w:right="3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357" w:lineRule="exact"/>
        <w:rPr>
          <w:sz w:val="24"/>
          <w:szCs w:val="24"/>
          <w:color w:val="auto"/>
        </w:rPr>
      </w:pPr>
    </w:p>
    <w:p>
      <w:pPr>
        <w:ind w:right="2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6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2600" w:type="dxa"/>
            <w:vAlign w:val="bottom"/>
          </w:tcPr>
          <w:p>
            <w:pPr>
              <w:ind w:left="120"/>
              <w:spacing w:after="0"/>
              <w:rPr>
                <w:sz w:val="20"/>
                <w:szCs w:val="20"/>
                <w:color w:val="auto"/>
              </w:rPr>
            </w:pPr>
            <w:r>
              <w:rPr>
                <w:rFonts w:ascii="Arial" w:cs="Arial" w:eastAsia="Arial" w:hAnsi="Arial"/>
                <w:sz w:val="16"/>
                <w:szCs w:val="16"/>
                <w:color w:val="auto"/>
              </w:rPr>
              <w:t>x</w:t>
            </w:r>
          </w:p>
        </w:tc>
        <w:tc>
          <w:tcPr>
            <w:tcW w:w="4260" w:type="dxa"/>
            <w:vAlign w:val="bottom"/>
          </w:tcPr>
          <w:p>
            <w:pPr>
              <w:ind w:left="232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260" w:type="dxa"/>
            <w:vAlign w:val="bottom"/>
          </w:tcPr>
          <w:p>
            <w:pPr>
              <w:ind w:left="232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260" w:type="dxa"/>
            <w:vAlign w:val="bottom"/>
          </w:tcPr>
          <w:p>
            <w:pPr>
              <w:ind w:left="232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3" w:lineRule="exact"/>
        <w:rPr>
          <w:sz w:val="24"/>
          <w:szCs w:val="24"/>
          <w:color w:val="auto"/>
        </w:rPr>
      </w:pPr>
    </w:p>
    <w:p>
      <w:pPr>
        <w:ind w:right="220" w:firstLine="324"/>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0" w:firstLine="324"/>
        <w:spacing w:after="0" w:line="299"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 its audit report. x</w:t>
      </w:r>
    </w:p>
    <w:p>
      <w:pPr>
        <w:ind w:left="340"/>
        <w:spacing w:after="0" w:line="184" w:lineRule="exact"/>
        <w:tabs>
          <w:tab w:leader="none" w:pos="76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 x</w:t>
      </w:r>
    </w:p>
    <w:p>
      <w:pPr>
        <w:spacing w:after="0" w:line="103"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2020, as reported by The Nasdaq Global Select Market, was approximately $792.0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spacing w:after="0" w:line="52" w:lineRule="exact"/>
        <w:rPr>
          <w:sz w:val="24"/>
          <w:szCs w:val="24"/>
          <w:color w:val="auto"/>
        </w:rPr>
      </w:pPr>
    </w:p>
    <w:p>
      <w:pPr>
        <w:jc w:val="right"/>
        <w:ind w:left="340" w:right="3720"/>
        <w:spacing w:after="0" w:line="369" w:lineRule="auto"/>
        <w:rPr>
          <w:sz w:val="20"/>
          <w:szCs w:val="20"/>
          <w:color w:val="auto"/>
        </w:rPr>
      </w:pPr>
      <w:r>
        <w:rPr>
          <w:rFonts w:ascii="Arial" w:cs="Arial" w:eastAsia="Arial" w:hAnsi="Arial"/>
          <w:sz w:val="16"/>
          <w:szCs w:val="16"/>
          <w:color w:val="auto"/>
        </w:rPr>
        <w:t xml:space="preserve">The number of shares of the registrant’s common stock outstanding as of February 23, 2021 was 101,932,128.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right="60" w:firstLine="324"/>
        <w:spacing w:after="0" w:line="275" w:lineRule="auto"/>
        <w:rPr>
          <w:sz w:val="20"/>
          <w:szCs w:val="20"/>
          <w:color w:val="auto"/>
        </w:rPr>
      </w:pPr>
      <w:r>
        <w:rPr>
          <w:rFonts w:ascii="Arial" w:cs="Arial" w:eastAsia="Arial" w:hAnsi="Arial"/>
          <w:sz w:val="16"/>
          <w:szCs w:val="16"/>
          <w:color w:val="auto"/>
        </w:rPr>
        <w:t>Portions of the registrant’s definitive proxy statement for the 2021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82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3"/>
        </w:trPr>
        <w:tc>
          <w:tcPr>
            <w:tcW w:w="8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r>
      <w:tr>
        <w:trPr>
          <w:trHeight w:val="216"/>
        </w:trPr>
        <w:tc>
          <w:tcPr>
            <w:tcW w:w="820" w:type="dxa"/>
            <w:vAlign w:val="bottom"/>
          </w:tcPr>
          <w:p>
            <w:pPr>
              <w:ind w:left="20"/>
              <w:spacing w:after="0"/>
              <w:rPr>
                <w:sz w:val="20"/>
                <w:szCs w:val="20"/>
                <w:color w:val="auto"/>
              </w:rPr>
            </w:pPr>
            <w:r>
              <w:rPr>
                <w:rFonts w:ascii="Arial" w:cs="Arial" w:eastAsia="Arial" w:hAnsi="Arial"/>
                <w:sz w:val="18"/>
                <w:szCs w:val="18"/>
                <w:color w:val="auto"/>
              </w:rPr>
              <w:t>PART I</w:t>
            </w:r>
          </w:p>
        </w:tc>
        <w:tc>
          <w:tcPr>
            <w:tcW w:w="98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2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20"/>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580" w:type="dxa"/>
            <w:vAlign w:val="bottom"/>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1B.</w:t>
            </w:r>
          </w:p>
        </w:tc>
        <w:tc>
          <w:tcPr>
            <w:tcW w:w="9820" w:type="dxa"/>
            <w:vAlign w:val="bottom"/>
          </w:tcPr>
          <w:p>
            <w:pPr>
              <w:ind w:left="120"/>
              <w:spacing w:after="0"/>
              <w:rPr>
                <w:rFonts w:ascii="Arial" w:cs="Arial" w:eastAsia="Arial" w:hAnsi="Arial"/>
                <w:sz w:val="18"/>
                <w:szCs w:val="18"/>
                <w:color w:val="0000FF"/>
              </w:rPr>
            </w:pPr>
            <w:hyperlink w:anchor="page34">
              <w:r>
                <w:rPr>
                  <w:rFonts w:ascii="Arial" w:cs="Arial" w:eastAsia="Arial" w:hAnsi="Arial"/>
                  <w:sz w:val="18"/>
                  <w:szCs w:val="18"/>
                  <w:color w:val="0000FF"/>
                </w:rPr>
                <w:t>Unresolved Staff Comments</w:t>
              </w:r>
            </w:hyperlink>
          </w:p>
        </w:tc>
        <w:tc>
          <w:tcPr>
            <w:tcW w:w="5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20"/>
              <w:spacing w:after="0"/>
              <w:rPr>
                <w:rFonts w:ascii="Arial" w:cs="Arial" w:eastAsia="Arial" w:hAnsi="Arial"/>
                <w:sz w:val="18"/>
                <w:szCs w:val="18"/>
                <w:color w:val="0000FF"/>
              </w:rPr>
            </w:pPr>
            <w:hyperlink w:anchor="page34">
              <w:r>
                <w:rPr>
                  <w:rFonts w:ascii="Arial" w:cs="Arial" w:eastAsia="Arial" w:hAnsi="Arial"/>
                  <w:sz w:val="18"/>
                  <w:szCs w:val="18"/>
                  <w:color w:val="0000FF"/>
                </w:rPr>
                <w:t>Properties</w:t>
              </w:r>
            </w:hyperlink>
          </w:p>
        </w:tc>
        <w:tc>
          <w:tcPr>
            <w:tcW w:w="5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20"/>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5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20"/>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5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PART II</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5.</w:t>
            </w:r>
          </w:p>
        </w:tc>
        <w:tc>
          <w:tcPr>
            <w:tcW w:w="9820" w:type="dxa"/>
            <w:vAlign w:val="bottom"/>
          </w:tcPr>
          <w:p>
            <w:pPr>
              <w:ind w:left="120"/>
              <w:spacing w:after="0"/>
              <w:rPr>
                <w:rFonts w:ascii="Arial" w:cs="Arial" w:eastAsia="Arial" w:hAnsi="Arial"/>
                <w:sz w:val="18"/>
                <w:szCs w:val="18"/>
                <w:color w:val="0000FF"/>
              </w:rPr>
            </w:pPr>
            <w:hyperlink w:anchor="page36">
              <w:r>
                <w:rPr>
                  <w:rFonts w:ascii="Arial" w:cs="Arial" w:eastAsia="Arial" w:hAnsi="Arial"/>
                  <w:sz w:val="18"/>
                  <w:szCs w:val="18"/>
                  <w:color w:val="0000FF"/>
                </w:rPr>
                <w:t>Market for Registrant’s Common Equity, Related Stockholder Matters and Issuer Purchases of Equity Securities</w:t>
              </w:r>
            </w:hyperlink>
          </w:p>
        </w:tc>
        <w:tc>
          <w:tcPr>
            <w:tcW w:w="5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6.</w:t>
            </w:r>
          </w:p>
        </w:tc>
        <w:tc>
          <w:tcPr>
            <w:tcW w:w="9820" w:type="dxa"/>
            <w:vAlign w:val="bottom"/>
          </w:tcPr>
          <w:p>
            <w:pPr>
              <w:ind w:left="120"/>
              <w:spacing w:after="0"/>
              <w:rPr>
                <w:rFonts w:ascii="Arial" w:cs="Arial" w:eastAsia="Arial" w:hAnsi="Arial"/>
                <w:sz w:val="18"/>
                <w:szCs w:val="18"/>
                <w:color w:val="0000FF"/>
              </w:rPr>
            </w:pPr>
            <w:hyperlink w:anchor="page36">
              <w:r>
                <w:rPr>
                  <w:rFonts w:ascii="Arial" w:cs="Arial" w:eastAsia="Arial" w:hAnsi="Arial"/>
                  <w:sz w:val="18"/>
                  <w:szCs w:val="18"/>
                  <w:color w:val="0000FF"/>
                </w:rPr>
                <w:t>Selected Financial Data</w:t>
              </w:r>
            </w:hyperlink>
          </w:p>
        </w:tc>
        <w:tc>
          <w:tcPr>
            <w:tcW w:w="5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Arial" w:cs="Arial" w:eastAsia="Arial" w:hAnsi="Arial"/>
                <w:sz w:val="18"/>
                <w:szCs w:val="18"/>
                <w:color w:val="auto"/>
              </w:rPr>
              <w:t>Item 7.</w:t>
            </w:r>
          </w:p>
        </w:tc>
        <w:tc>
          <w:tcPr>
            <w:tcW w:w="9820" w:type="dxa"/>
            <w:vAlign w:val="bottom"/>
          </w:tcPr>
          <w:p>
            <w:pPr>
              <w:ind w:left="120"/>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5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7A.</w:t>
            </w:r>
          </w:p>
        </w:tc>
        <w:tc>
          <w:tcPr>
            <w:tcW w:w="9820" w:type="dxa"/>
            <w:vAlign w:val="bottom"/>
          </w:tcPr>
          <w:p>
            <w:pPr>
              <w:ind w:left="120"/>
              <w:spacing w:after="0"/>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5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8.</w:t>
            </w:r>
          </w:p>
        </w:tc>
        <w:tc>
          <w:tcPr>
            <w:tcW w:w="9820" w:type="dxa"/>
            <w:vAlign w:val="bottom"/>
          </w:tcPr>
          <w:p>
            <w:pPr>
              <w:ind w:left="120"/>
              <w:spacing w:after="0"/>
              <w:rPr>
                <w:rFonts w:ascii="Arial" w:cs="Arial" w:eastAsia="Arial" w:hAnsi="Arial"/>
                <w:sz w:val="18"/>
                <w:szCs w:val="18"/>
                <w:color w:val="0000FF"/>
              </w:rPr>
            </w:pPr>
            <w:hyperlink w:anchor="page49">
              <w:r>
                <w:rPr>
                  <w:rFonts w:ascii="Arial" w:cs="Arial" w:eastAsia="Arial" w:hAnsi="Arial"/>
                  <w:sz w:val="18"/>
                  <w:szCs w:val="18"/>
                  <w:color w:val="0000FF"/>
                </w:rPr>
                <w:t>Financial Statements and Supplementary Data</w:t>
              </w:r>
            </w:hyperlink>
          </w:p>
        </w:tc>
        <w:tc>
          <w:tcPr>
            <w:tcW w:w="5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9.</w:t>
            </w:r>
          </w:p>
        </w:tc>
        <w:tc>
          <w:tcPr>
            <w:tcW w:w="9820" w:type="dxa"/>
            <w:vAlign w:val="bottom"/>
          </w:tcPr>
          <w:p>
            <w:pPr>
              <w:ind w:left="120"/>
              <w:spacing w:after="0"/>
              <w:rPr>
                <w:rFonts w:ascii="Arial" w:cs="Arial" w:eastAsia="Arial" w:hAnsi="Arial"/>
                <w:sz w:val="18"/>
                <w:szCs w:val="18"/>
                <w:color w:val="0000FF"/>
              </w:rPr>
            </w:pPr>
            <w:hyperlink w:anchor="page49">
              <w:r>
                <w:rPr>
                  <w:rFonts w:ascii="Arial" w:cs="Arial" w:eastAsia="Arial" w:hAnsi="Arial"/>
                  <w:sz w:val="18"/>
                  <w:szCs w:val="18"/>
                  <w:color w:val="0000FF"/>
                </w:rPr>
                <w:t>Changes in and Disagreements With Accountants on Accounting and Financial Disclosure</w:t>
              </w:r>
            </w:hyperlink>
          </w:p>
        </w:tc>
        <w:tc>
          <w:tcPr>
            <w:tcW w:w="5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9A.</w:t>
            </w:r>
          </w:p>
        </w:tc>
        <w:tc>
          <w:tcPr>
            <w:tcW w:w="9820" w:type="dxa"/>
            <w:vAlign w:val="bottom"/>
          </w:tcPr>
          <w:p>
            <w:pPr>
              <w:ind w:left="120"/>
              <w:spacing w:after="0"/>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5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51</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9B.</w:t>
            </w:r>
          </w:p>
        </w:tc>
        <w:tc>
          <w:tcPr>
            <w:tcW w:w="9820" w:type="dxa"/>
            <w:vAlign w:val="bottom"/>
          </w:tcPr>
          <w:p>
            <w:pPr>
              <w:ind w:left="120"/>
              <w:spacing w:after="0"/>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58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c>
          <w:tcPr>
            <w:tcW w:w="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Arial" w:cs="Arial" w:eastAsia="Arial" w:hAnsi="Arial"/>
                <w:sz w:val="18"/>
                <w:szCs w:val="18"/>
                <w:color w:val="auto"/>
              </w:rPr>
              <w:t>PART III</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10.</w:t>
            </w:r>
          </w:p>
        </w:tc>
        <w:tc>
          <w:tcPr>
            <w:tcW w:w="9820" w:type="dxa"/>
            <w:vAlign w:val="bottom"/>
          </w:tcPr>
          <w:p>
            <w:pPr>
              <w:ind w:left="120"/>
              <w:spacing w:after="0"/>
              <w:rPr>
                <w:rFonts w:ascii="Arial" w:cs="Arial" w:eastAsia="Arial" w:hAnsi="Arial"/>
                <w:sz w:val="18"/>
                <w:szCs w:val="18"/>
                <w:color w:val="0000FF"/>
              </w:rPr>
            </w:pPr>
            <w:hyperlink w:anchor="page52">
              <w:r>
                <w:rPr>
                  <w:rFonts w:ascii="Arial" w:cs="Arial" w:eastAsia="Arial" w:hAnsi="Arial"/>
                  <w:sz w:val="18"/>
                  <w:szCs w:val="18"/>
                  <w:color w:val="0000FF"/>
                </w:rPr>
                <w:t>Directors, Executive Officers and Corporate Governance</w:t>
              </w:r>
            </w:hyperlink>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11.</w:t>
            </w:r>
          </w:p>
        </w:tc>
        <w:tc>
          <w:tcPr>
            <w:tcW w:w="9820" w:type="dxa"/>
            <w:vAlign w:val="bottom"/>
          </w:tcPr>
          <w:p>
            <w:pPr>
              <w:ind w:left="120"/>
              <w:spacing w:after="0"/>
              <w:rPr>
                <w:sz w:val="20"/>
                <w:szCs w:val="20"/>
                <w:color w:val="auto"/>
              </w:rPr>
            </w:pPr>
            <w:r>
              <w:rPr>
                <w:rFonts w:ascii="Arial" w:cs="Arial" w:eastAsia="Arial" w:hAnsi="Arial"/>
                <w:sz w:val="18"/>
                <w:szCs w:val="18"/>
                <w:color w:val="0000FF"/>
              </w:rPr>
              <w:t>Executive Compensation</w:t>
            </w: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12.</w:t>
            </w:r>
          </w:p>
        </w:tc>
        <w:tc>
          <w:tcPr>
            <w:tcW w:w="9820" w:type="dxa"/>
            <w:vAlign w:val="bottom"/>
          </w:tcPr>
          <w:p>
            <w:pPr>
              <w:ind w:left="12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Arial" w:cs="Arial" w:eastAsia="Arial" w:hAnsi="Arial"/>
                <w:sz w:val="18"/>
                <w:szCs w:val="18"/>
                <w:color w:val="auto"/>
              </w:rPr>
              <w:t>Item 13.</w:t>
            </w:r>
          </w:p>
        </w:tc>
        <w:tc>
          <w:tcPr>
            <w:tcW w:w="9820" w:type="dxa"/>
            <w:vAlign w:val="bottom"/>
          </w:tcPr>
          <w:p>
            <w:pPr>
              <w:ind w:left="12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14.</w:t>
            </w:r>
          </w:p>
        </w:tc>
        <w:tc>
          <w:tcPr>
            <w:tcW w:w="9820" w:type="dxa"/>
            <w:vAlign w:val="bottom"/>
          </w:tcPr>
          <w:p>
            <w:pPr>
              <w:ind w:left="120"/>
              <w:spacing w:after="0"/>
              <w:rPr>
                <w:rFonts w:ascii="Arial" w:cs="Arial" w:eastAsia="Arial" w:hAnsi="Arial"/>
                <w:sz w:val="18"/>
                <w:szCs w:val="18"/>
                <w:color w:val="0000FF"/>
              </w:rPr>
            </w:pPr>
            <w:hyperlink w:anchor="page52">
              <w:r>
                <w:rPr>
                  <w:rFonts w:ascii="Arial" w:cs="Arial" w:eastAsia="Arial" w:hAnsi="Arial"/>
                  <w:sz w:val="18"/>
                  <w:szCs w:val="18"/>
                  <w:color w:val="0000FF"/>
                </w:rPr>
                <w:t>Principal Accountant Fees and Services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82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1"/>
                <w:szCs w:val="21"/>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PART IV</w:t>
            </w:r>
          </w:p>
        </w:tc>
        <w:tc>
          <w:tcPr>
            <w:tcW w:w="9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20" w:type="dxa"/>
            <w:vAlign w:val="bottom"/>
          </w:tcPr>
          <w:p>
            <w:pPr>
              <w:ind w:left="20"/>
              <w:spacing w:after="0"/>
              <w:rPr>
                <w:sz w:val="20"/>
                <w:szCs w:val="20"/>
                <w:color w:val="auto"/>
              </w:rPr>
            </w:pPr>
            <w:r>
              <w:rPr>
                <w:rFonts w:ascii="Arial" w:cs="Arial" w:eastAsia="Arial" w:hAnsi="Arial"/>
                <w:sz w:val="18"/>
                <w:szCs w:val="18"/>
                <w:color w:val="auto"/>
              </w:rPr>
              <w:t>Item 15.</w:t>
            </w:r>
          </w:p>
        </w:tc>
        <w:tc>
          <w:tcPr>
            <w:tcW w:w="9820" w:type="dxa"/>
            <w:vAlign w:val="bottom"/>
          </w:tcPr>
          <w:p>
            <w:pPr>
              <w:ind w:left="120"/>
              <w:spacing w:after="0"/>
              <w:rPr>
                <w:rFonts w:ascii="Arial" w:cs="Arial" w:eastAsia="Arial" w:hAnsi="Arial"/>
                <w:sz w:val="18"/>
                <w:szCs w:val="18"/>
                <w:color w:val="0000FF"/>
              </w:rPr>
            </w:pPr>
            <w:hyperlink w:anchor="page52">
              <w:r>
                <w:rPr>
                  <w:rFonts w:ascii="Arial" w:cs="Arial" w:eastAsia="Arial" w:hAnsi="Arial"/>
                  <w:sz w:val="18"/>
                  <w:szCs w:val="18"/>
                  <w:color w:val="0000FF"/>
                </w:rPr>
                <w:t>Exhibit and Financial Statement Schedules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82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1"/>
                <w:szCs w:val="21"/>
                <w:color w:val="auto"/>
              </w:rPr>
            </w:pP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Item 16.</w:t>
            </w:r>
          </w:p>
        </w:tc>
        <w:tc>
          <w:tcPr>
            <w:tcW w:w="9820" w:type="dxa"/>
            <w:vAlign w:val="bottom"/>
          </w:tcPr>
          <w:p>
            <w:pPr>
              <w:ind w:left="120"/>
              <w:spacing w:after="0"/>
              <w:rPr>
                <w:rFonts w:ascii="Arial" w:cs="Arial" w:eastAsia="Arial" w:hAnsi="Arial"/>
                <w:sz w:val="18"/>
                <w:szCs w:val="18"/>
                <w:color w:val="0000FF"/>
              </w:rPr>
            </w:pPr>
            <w:hyperlink w:anchor="page54">
              <w:r>
                <w:rPr>
                  <w:rFonts w:ascii="Arial" w:cs="Arial" w:eastAsia="Arial" w:hAnsi="Arial"/>
                  <w:sz w:val="18"/>
                  <w:szCs w:val="18"/>
                  <w:color w:val="0000FF"/>
                </w:rPr>
                <w:t>Form 10-K Summary</w:t>
              </w:r>
            </w:hyperlink>
          </w:p>
        </w:tc>
        <w:tc>
          <w:tcPr>
            <w:tcW w:w="58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c>
          <w:tcPr>
            <w:tcW w:w="20" w:type="dxa"/>
            <w:vAlign w:val="bottom"/>
          </w:tcPr>
          <w:p>
            <w:pPr>
              <w:spacing w:after="0"/>
              <w:rPr>
                <w:sz w:val="24"/>
                <w:szCs w:val="24"/>
                <w:color w:val="auto"/>
              </w:rPr>
            </w:pPr>
          </w:p>
        </w:tc>
      </w:tr>
      <w:tr>
        <w:trPr>
          <w:trHeight w:val="284"/>
        </w:trPr>
        <w:tc>
          <w:tcPr>
            <w:tcW w:w="10640" w:type="dxa"/>
            <w:vAlign w:val="bottom"/>
            <w:gridSpan w:val="2"/>
          </w:tcPr>
          <w:p>
            <w:pPr>
              <w:ind w:left="20"/>
              <w:spacing w:after="0"/>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58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56</w:t>
              </w:r>
            </w:hyperlink>
          </w:p>
        </w:tc>
        <w:tc>
          <w:tcPr>
            <w:tcW w:w="20" w:type="dxa"/>
            <w:vAlign w:val="bottom"/>
          </w:tcPr>
          <w:p>
            <w:pPr>
              <w:spacing w:after="0"/>
              <w:rPr>
                <w:sz w:val="24"/>
                <w:szCs w:val="24"/>
                <w:color w:val="auto"/>
              </w:rPr>
            </w:pPr>
          </w:p>
        </w:tc>
      </w:tr>
      <w:tr>
        <w:trPr>
          <w:trHeight w:val="283"/>
        </w:trPr>
        <w:tc>
          <w:tcPr>
            <w:tcW w:w="10640" w:type="dxa"/>
            <w:vAlign w:val="bottom"/>
            <w:gridSpan w:val="2"/>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INDEX TO CONSOLIDATED FINANCIAL STATEMENTS</w:t>
              </w:r>
            </w:hyperlink>
          </w:p>
        </w:tc>
        <w:tc>
          <w:tcPr>
            <w:tcW w:w="600" w:type="dxa"/>
            <w:vAlign w:val="bottom"/>
            <w:gridSpan w:val="2"/>
          </w:tcPr>
          <w:p>
            <w:pPr>
              <w:jc w:val="right"/>
              <w:ind w:right="40"/>
              <w:spacing w:after="0"/>
              <w:rPr>
                <w:rFonts w:ascii="Arial" w:cs="Arial" w:eastAsia="Arial" w:hAnsi="Arial"/>
                <w:sz w:val="18"/>
                <w:szCs w:val="18"/>
                <w:color w:val="0000FF"/>
              </w:rPr>
            </w:pPr>
            <w:hyperlink w:anchor="page55">
              <w:r>
                <w:rPr>
                  <w:rFonts w:ascii="Arial" w:cs="Arial" w:eastAsia="Arial" w:hAnsi="Arial"/>
                  <w:sz w:val="18"/>
                  <w:szCs w:val="18"/>
                  <w:color w:val="0000FF"/>
                </w:rPr>
                <w:t>F-1</w:t>
              </w:r>
            </w:hyperlink>
          </w:p>
        </w:tc>
      </w:tr>
      <w:tr>
        <w:trPr>
          <w:trHeight w:val="965"/>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64" w:lineRule="exact"/>
        <w:rPr>
          <w:sz w:val="20"/>
          <w:szCs w:val="20"/>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on or to refinance our indebtedness, including our convertible notes obligations;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117" w:lineRule="exact"/>
        <w:rPr>
          <w:rFonts w:ascii="Arial" w:cs="Arial" w:eastAsia="Arial" w:hAnsi="Arial"/>
          <w:sz w:val="18"/>
          <w:szCs w:val="18"/>
          <w:color w:val="auto"/>
        </w:rPr>
      </w:pPr>
    </w:p>
    <w:p>
      <w:pPr>
        <w:ind w:left="660" w:right="220" w:hanging="328"/>
        <w:spacing w:after="0" w:line="24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outbreak of the 2019 novel coronavirus (2019-nCoV), now known as “COVID-19”, which could extend lead times in our supply chain and lengthen sales cycles with our customers;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8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industrial IoT (“IIoT”) markets;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8" w:lineRule="exact"/>
        <w:rPr>
          <w:sz w:val="20"/>
          <w:szCs w:val="20"/>
          <w:color w:val="auto"/>
        </w:rPr>
      </w:pPr>
    </w:p>
    <w:p>
      <w:pPr>
        <w:jc w:val="both"/>
        <w:ind w:right="80" w:firstLine="445"/>
        <w:spacing w:after="0" w:line="235" w:lineRule="auto"/>
        <w:rPr>
          <w:sz w:val="20"/>
          <w:szCs w:val="20"/>
          <w:color w:val="auto"/>
        </w:rPr>
      </w:pPr>
      <w:r>
        <w:rPr>
          <w:rFonts w:ascii="Arial" w:cs="Arial" w:eastAsia="Arial" w:hAnsi="Arial"/>
          <w:sz w:val="17"/>
          <w:szCs w:val="17"/>
          <w:color w:val="auto"/>
        </w:rPr>
        <w:t>“Inseego”, “Inseego Subscribe”, “Inseego Manage</w:t>
      </w:r>
      <w:r>
        <w:rPr>
          <w:rFonts w:ascii="Arial" w:cs="Arial" w:eastAsia="Arial" w:hAnsi="Arial"/>
          <w:sz w:val="22"/>
          <w:szCs w:val="22"/>
          <w:color w:val="auto"/>
          <w:vertAlign w:val="superscript"/>
        </w:rPr>
        <w:t>TM</w:t>
      </w:r>
      <w:r>
        <w:rPr>
          <w:rFonts w:ascii="Arial" w:cs="Arial" w:eastAsia="Arial" w:hAnsi="Arial"/>
          <w:sz w:val="17"/>
          <w:szCs w:val="17"/>
          <w:color w:val="auto"/>
        </w:rPr>
        <w:t>”, the Inseego logo, “DigiCore”, “Novatel Wireless”, the Novatel Wireless logo, “MiFi”, “MiFi Intelligent Mobile Hotspot”, “Ctrack”, the Ctrack logo, “Inseego North America”, and “Skyus” are trademarks or registered trademarks of Inseego and its subsidiaries. Other trademarks, trade names or service marks used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Inseego Corp. is a Delaware corporation formed in 2016 as the successor to Novatel Wireless, Inc., a Delaware corporation formed in 1996, resulting from an internal reorganization that was completed in November 2016. Our principal executive office is located at 12600 Deerfield Parkway, Suite 100, Alpharetta, GA 30004, our corporate offices are located at 9710 Scranton Road, Suite 200, San Diego, CA 92121 and our sales and engineering offices are located throughout the world. Inseego’s common stock trades on The NASDAQ Global Select Market under the trading symbol “INSG”.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7"/>
          <w:szCs w:val="17"/>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26"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5"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For over two decades, the mobile industry has experienced tremendous advancements and growth. As the largest technology platform in the world, mobile connectivity has changed the way we work, the way we live and the way we connect with each other. The scale and pace of innovation in mobile technology, especially around connectivity and computing capabilities, is also impacting industries beyond traditional wireless.</w:t>
      </w:r>
    </w:p>
    <w:p>
      <w:pPr>
        <w:spacing w:after="0" w:line="111" w:lineRule="exact"/>
        <w:rPr>
          <w:sz w:val="20"/>
          <w:szCs w:val="20"/>
          <w:color w:val="auto"/>
        </w:rPr>
      </w:pPr>
    </w:p>
    <w:p>
      <w:pPr>
        <w:ind w:right="60" w:firstLine="405"/>
        <w:spacing w:after="0" w:line="231" w:lineRule="auto"/>
        <w:rPr>
          <w:sz w:val="20"/>
          <w:szCs w:val="20"/>
          <w:color w:val="auto"/>
        </w:rPr>
      </w:pPr>
      <w:r>
        <w:rPr>
          <w:rFonts w:ascii="Arial" w:cs="Arial" w:eastAsia="Arial" w:hAnsi="Arial"/>
          <w:sz w:val="18"/>
          <w:szCs w:val="18"/>
          <w:color w:val="auto"/>
        </w:rPr>
        <w:t>Looking forward, Inseego is working with leading global service providers and enterprises in the mobile and FWA ecosystems to further develop, commercialize and accelerate the availability of 5G NR based solutions, which represents the next generation of mobile technology. 5G has been coined “the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industrial revolution” due to the richness of use cases targeted, and refers to 5G NR, which is the standard adopted by the 3rd Generation Partnership Project (“3GPP”), an international consortium responsible for the development of mobile standards. 5G has been designed to support multi-gigabit data rates, sub-millisecond network latency and wider spectrum bandwidths. Incorporating many of the innovations developed for 4G LTE, 5G is also expected to be scalable and adaptable across a variety of use cases, which include, among others, empowering new industries and services, such as autonomous vehicles, telemedicine, live ultra-high definition video streaming, cloud gaming, edge computing, and countless industrial applications such as augmented reality and robotics for smart manufacturing. According to coverage maps posted on each carrier’s website, as of February 2021, Verizon Wireless’ commercial 5G network was live in 57 cities, including San Diego, AT&amp;T’s reached 179 million people and T-Mobile/Sprint’s reached 280 million people.</w:t>
      </w:r>
    </w:p>
    <w:p>
      <w:pPr>
        <w:spacing w:after="0" w:line="139"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widespread adoption of IoT in enterprise applications, including the manufacturing, agriculture, industrial automation, retail and healthcare industry sectors, among others, along with an increasing dependence on smartphone applications and always-connected computers, and the constraints of 4G LTE technology are prompting mobile network operators to embark on an accelerated rollout of 5G communications to keep pace with expected network demands. As the fifth-generation wireless broadband technology, 5G NR is based on the 3GPP Release 15 standard. The key operating ranges for 5G spectrum globally are in the sub-6 GHz (below 6 GHz), and millimeter wave (28 GHz and 39 GHz bands), with speed offerings greater than 1 Gigabit (“Gb”) per second and sub-millisecond latency, providing better coverage and signaling efficiency. Networks utilizing 5G technology are expected to deploy meaningfully in 2020 and beyond.</w:t>
      </w:r>
    </w:p>
    <w:p>
      <w:pPr>
        <w:spacing w:after="0" w:line="14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 xml:space="preserve">The growing demand for high speed data, increased demand for machine-to-machine communications and low latency requirements for new applications are key factors contributing to the growth of the 5G. 4G LTE is expected to continue to operate alongside 5G as a major part of the wireless ecosystem. Based on industry reports, such as GSMA Intelligence’s report on </w:t>
      </w:r>
      <w:r>
        <w:rPr>
          <w:rFonts w:ascii="Arial" w:cs="Arial" w:eastAsia="Arial" w:hAnsi="Arial"/>
          <w:sz w:val="18"/>
          <w:szCs w:val="18"/>
          <w:i w:val="1"/>
          <w:iCs w:val="1"/>
          <w:color w:val="auto"/>
        </w:rPr>
        <w:t>The 5G era in the US</w:t>
      </w:r>
      <w:r>
        <w:rPr>
          <w:rFonts w:ascii="Arial" w:cs="Arial" w:eastAsia="Arial" w:hAnsi="Arial"/>
          <w:sz w:val="18"/>
          <w:szCs w:val="18"/>
          <w:color w:val="auto"/>
        </w:rPr>
        <w:t>, we believe that 4G and 5G networks will coexist and remain complementary for many years. This means that operators will be able to service a significant share of the data traffic on 4G networks, leaving 5G with the dual</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ind w:right="40"/>
        <w:spacing w:after="0" w:line="255" w:lineRule="auto"/>
        <w:rPr>
          <w:sz w:val="20"/>
          <w:szCs w:val="20"/>
          <w:color w:val="auto"/>
        </w:rPr>
      </w:pPr>
      <w:r>
        <w:rPr>
          <w:rFonts w:ascii="Arial" w:cs="Arial" w:eastAsia="Arial" w:hAnsi="Arial"/>
          <w:sz w:val="18"/>
          <w:szCs w:val="18"/>
          <w:color w:val="auto"/>
        </w:rPr>
        <w:t>remit of absorbing overflow capacity and underpinning consumer and enterprise services that require higher speeds and/or lower latency. As such, most 5G devices are expected to include multimode support for 4G and Wi-Fi, enabling service continuity where 5G has yet to be deployed and simultaneous connectivity across 4G and Wi-Fi technologies, while also allowing mobile operators to utilize current network deployments. At the same time, 4G is expected to continue to evolve in parallel with the development of 5G and become fundamental to many of the key 5G technologies, such as support for unlicensed spectrum, gigabit LTE user data rates (currently available from Inseego) and cellular IoT with connectivity designed to meet the needs of ultra-low power and low cost applications.</w:t>
      </w:r>
    </w:p>
    <w:p>
      <w:pPr>
        <w:spacing w:after="0" w:line="13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 xml:space="preserve">Further, based on GSMA Intelligence’s November 2020 paper titled </w:t>
      </w:r>
      <w:r>
        <w:rPr>
          <w:rFonts w:ascii="Arial" w:cs="Arial" w:eastAsia="Arial" w:hAnsi="Arial"/>
          <w:sz w:val="16"/>
          <w:szCs w:val="16"/>
          <w:i w:val="1"/>
          <w:iCs w:val="1"/>
          <w:color w:val="auto"/>
        </w:rPr>
        <w:t>Internet of Things in the 5G Era</w:t>
      </w:r>
      <w:r>
        <w:rPr>
          <w:rFonts w:ascii="Arial" w:cs="Arial" w:eastAsia="Arial" w:hAnsi="Arial"/>
          <w:sz w:val="16"/>
          <w:szCs w:val="16"/>
          <w:color w:val="auto"/>
        </w:rPr>
        <w:t>, we expect that the number of IoT connections could grow to 25.2 billion by 2025. As of September 30, 2020, there were approximately 6.2 billion 4G connections globally, representing 78% of total mobile connections (GSMA Intelligence, November 2020). By 2024, global 4G connections are projected to reach 6.5 billion, with approximately 89% of these connections in emerging regions and China (GSMA Intelligence, November 2020). Meanwhile, 5G is gaining pace and by 2025, 5G is expected to account for 20% of global connections, with take-up particularly strong across Asia, North America, and Europe. Based on reports such as those by GSMA Intelligence, we believe that 5G will bring a number of enhanced benefits not available using 4G networks including massive numbers of both fixed and mobile wireless devices with differing speed, bandwidth and quality of service demands, allowing the networks to provide support for “massive numbers of IoT devices and wireless edge technologies” for use cases including manufacturing, augmented and virtual reality, and autonomous vehicles.</w:t>
      </w:r>
    </w:p>
    <w:p>
      <w:pPr>
        <w:spacing w:after="0" w:line="11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7"/>
          <w:szCs w:val="17"/>
          <w:color w:val="auto"/>
        </w:rPr>
        <w:t>As a core member of the 5G ecosystem, we continue to work closely with wireless operators, chipset suppliers and infrastructure vendors around the world on 5G developments and trials in preparation for commercial network launches. We are currently working with 11 wireless carriers globally and are involved in 21 5G trials, which could provide access to over 600 million wireless subscribers. Beyond 2020, over 50 wireless operators are contemplating commercial 5G network launches—potentially providing 5G access to over 2 billion wireless subscribers. According to Ericsson’s Mobility Report November 2019 Edition, this migration to 5G is roughly twice as fast as that of previous wireless generations, and we are increasingly diversifying our business as this 5G opportunity comes into realization and our addressable market expands.</w:t>
      </w:r>
    </w:p>
    <w:p>
      <w:pPr>
        <w:spacing w:after="0" w:line="12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adoption of IoT technology continues to grow as companies across a wide range of industries are leveraging cellular IoT technologies to increase efficiency, gain better customer insights, facilitate compliance and build new business models. IoT growth is expanding broadly, and adoption is particularly strong in the telematics and transportation industries and in industrial IoT markets such as smart city infrastructure, utilities and energy management. We are building IoT capabilities by leveraging business models that monetize usage on most major carrier networks. We have developed IoT solutions that address key market needs for asset tracking applications, telematics, SD WAN failover management, retail, remote monitoring and various other industrial automation applications. In addition, our cloud solutions can turn the data that our solutions provide into actionable insights for our customers so they can develop new services and create revenue growth.</w:t>
      </w:r>
    </w:p>
    <w:p>
      <w:pPr>
        <w:spacing w:after="0" w:line="123" w:lineRule="exact"/>
        <w:rPr>
          <w:sz w:val="20"/>
          <w:szCs w:val="20"/>
          <w:color w:val="auto"/>
        </w:rPr>
      </w:pPr>
    </w:p>
    <w:p>
      <w:pPr>
        <w:ind w:right="820" w:firstLine="405"/>
        <w:spacing w:after="0" w:line="308" w:lineRule="auto"/>
        <w:rPr>
          <w:sz w:val="20"/>
          <w:szCs w:val="20"/>
          <w:color w:val="auto"/>
        </w:rPr>
      </w:pPr>
      <w:r>
        <w:rPr>
          <w:rFonts w:ascii="Arial" w:cs="Arial" w:eastAsia="Arial" w:hAnsi="Arial"/>
          <w:sz w:val="17"/>
          <w:szCs w:val="17"/>
          <w:color w:val="auto"/>
        </w:rPr>
        <w:t>Since January 1, 2020, demand has significantly increased for products and services in our industry, driven by an increase in the number of professionals globally that are working from home. We are continually looking for ways to capitalize on this increased demand.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objective is to be a leader in high performance 5G fixed, mobile, and IIoT device-to-cloud solutions for large enterprise verticals, service providers and small and medium-sized businesses around the globe. We will meet this objective through innovations we are driving in IIoT, fixed, mobile and SaaS technologies. In furtherance of that objective, we will continue to focus on developing mission critical enterprise applications with a “zero unscheduled downtime” mandate, such as mobile and fixed broadband, industrial IoT, SD WAN failover management, asset tracking and fleet management services. Our solutions will be powered by our key innovations in IoT, purpose-built SaaS platforms and advanced mobile technologies, including emerging 5G NR.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elements of our strategy are to:</w:t>
      </w:r>
    </w:p>
    <w:p>
      <w:pPr>
        <w:spacing w:after="0" w:line="117" w:lineRule="exact"/>
        <w:rPr>
          <w:sz w:val="20"/>
          <w:szCs w:val="20"/>
          <w:color w:val="auto"/>
        </w:rPr>
      </w:pPr>
    </w:p>
    <w:p>
      <w:pPr>
        <w:ind w:left="980" w:right="40" w:hanging="324"/>
        <w:spacing w:after="0" w:line="279" w:lineRule="auto"/>
        <w:tabs>
          <w:tab w:leader="none" w:pos="97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Capitalize on our direct relationships with wireless operators, original equipment manufacturers (“OEMs”) and component suppliers.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intend to continue to capitalize on our direct and long-standing relationships with wireless operators, OEMs and component suppliers in order to strengthen our worldwide market position, using these long standing relationships to springboard both the expansion of the 4G and 4G LTE platforms globally, and influence the adoption of our 5G NR products around the world.</w:t>
      </w:r>
    </w:p>
    <w:p>
      <w:pPr>
        <w:spacing w:after="0" w:line="63" w:lineRule="exact"/>
        <w:rPr>
          <w:rFonts w:ascii="Arial" w:cs="Arial" w:eastAsia="Arial" w:hAnsi="Arial"/>
          <w:sz w:val="17"/>
          <w:szCs w:val="17"/>
          <w:i w:val="1"/>
          <w:iCs w:val="1"/>
          <w:color w:val="auto"/>
        </w:rPr>
      </w:pPr>
    </w:p>
    <w:p>
      <w:pPr>
        <w:jc w:val="both"/>
        <w:ind w:left="980" w:right="18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our IoT solutions portfolio by leveraging our core mobile technologies and platforms developed for our mobile portfolio. </w:t>
      </w:r>
      <w:r>
        <w:rPr>
          <w:rFonts w:ascii="Arial" w:cs="Arial" w:eastAsia="Arial" w:hAnsi="Arial"/>
          <w:sz w:val="18"/>
          <w:szCs w:val="18"/>
          <w:color w:val="auto"/>
        </w:rPr>
        <w:t>We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expand our IoT solutions portfolio with end-to-end solutions that include edge devices based on the latest mobile technologies and cloud solutions.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 w:name="page7"/>
    <w:bookmarkEnd w:id="6"/>
    <w:p>
      <w:pPr>
        <w:ind w:left="980" w:right="60" w:hanging="324"/>
        <w:spacing w:after="0" w:line="342" w:lineRule="auto"/>
        <w:tabs>
          <w:tab w:leader="none" w:pos="97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Aggressively expand our go-to-market offerings through sales and marketing expansion, channel development and strategic partnerships</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expand our go-to-market IoT, mobile and cloud offerings in North America as well as in international markets.</w:t>
      </w:r>
    </w:p>
    <w:p>
      <w:pPr>
        <w:spacing w:after="0" w:line="15" w:lineRule="exact"/>
        <w:rPr>
          <w:rFonts w:ascii="Arial" w:cs="Arial" w:eastAsia="Arial" w:hAnsi="Arial"/>
          <w:sz w:val="16"/>
          <w:szCs w:val="16"/>
          <w:i w:val="1"/>
          <w:iCs w:val="1"/>
          <w:color w:val="auto"/>
        </w:rPr>
      </w:pPr>
    </w:p>
    <w:p>
      <w:pPr>
        <w:ind w:left="980" w:right="280" w:hanging="324"/>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Improve SaaS solution penetration</w:t>
      </w:r>
      <w:r>
        <w:rPr>
          <w:rFonts w:ascii="Arial" w:cs="Arial" w:eastAsia="Arial" w:hAnsi="Arial"/>
          <w:sz w:val="18"/>
          <w:szCs w:val="18"/>
          <w:color w:val="auto"/>
        </w:rPr>
        <w:t>. Through our Ctrack telematics and asset tracking platform and subscription management solutions,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customers around the world with actionable insights and workflow efficiencies with high security from our cutting-edge cloud platforms.</w:t>
      </w:r>
    </w:p>
    <w:p>
      <w:pPr>
        <w:spacing w:after="0" w:line="75" w:lineRule="exact"/>
        <w:rPr>
          <w:rFonts w:ascii="Arial" w:cs="Arial" w:eastAsia="Arial" w:hAnsi="Arial"/>
          <w:sz w:val="18"/>
          <w:szCs w:val="18"/>
          <w:color w:val="auto"/>
        </w:rPr>
      </w:pPr>
    </w:p>
    <w:p>
      <w:pPr>
        <w:ind w:left="980" w:right="80" w:hanging="324"/>
        <w:spacing w:after="0" w:line="27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Increase the value of our offerings. </w:t>
      </w:r>
      <w:r>
        <w:rPr>
          <w:rFonts w:ascii="Arial" w:cs="Arial" w:eastAsia="Arial" w:hAnsi="Arial"/>
          <w:sz w:val="17"/>
          <w:szCs w:val="17"/>
          <w:color w:val="auto"/>
        </w:rPr>
        <w:t>As we seek to capitalize on potential growth opportunities, we continue to develop cutting edge IoT,</w:t>
      </w:r>
      <w:r>
        <w:rPr>
          <w:rFonts w:ascii="Arial" w:cs="Arial" w:eastAsia="Arial" w:hAnsi="Arial"/>
          <w:sz w:val="17"/>
          <w:szCs w:val="17"/>
          <w:i w:val="1"/>
          <w:iCs w:val="1"/>
          <w:color w:val="auto"/>
        </w:rPr>
        <w:t xml:space="preserve"> </w:t>
      </w:r>
      <w:r>
        <w:rPr>
          <w:rFonts w:ascii="Arial" w:cs="Arial" w:eastAsia="Arial" w:hAnsi="Arial"/>
          <w:sz w:val="17"/>
          <w:szCs w:val="17"/>
          <w:color w:val="auto"/>
        </w:rPr>
        <w:t>mobile and cloud solutions, with specific focus on end-to-end solutions that enable the best IoT and mobile experience for our customers. In addition, our complete portfolio of advanced 4G solutions in conjunction with our new 5G solution portfolio opens us up to larger worldwide potential markets. Finally, continued investment within both edge devices and cloud platform solutions in predictive analytics, machine learning, and edge intelligence should expand our market opportunities.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7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28"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AT&amp;T, T-Mobile and Sprint in the United States, Rogers in Canada, Telstra in Australia, as well as other international wireless operators, distributors and various companies in other vertical markets and geographies.</w:t>
      </w:r>
    </w:p>
    <w:p>
      <w:pPr>
        <w:spacing w:after="0" w:line="13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122"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We sell SaaS, software and services solutions across multiple mobile and IIoT vertical markets, including fleet management, vehicle telematics,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03" w:lineRule="exact"/>
        <w:rPr>
          <w:sz w:val="20"/>
          <w:szCs w:val="20"/>
          <w:color w:val="auto"/>
        </w:rPr>
      </w:pPr>
    </w:p>
    <w:p>
      <w:pPr>
        <w:ind w:right="60" w:firstLine="405"/>
        <w:spacing w:after="0" w:line="229" w:lineRule="auto"/>
        <w:rPr>
          <w:sz w:val="20"/>
          <w:szCs w:val="20"/>
          <w:color w:val="auto"/>
        </w:rPr>
      </w:pPr>
      <w:r>
        <w:rPr>
          <w:rFonts w:ascii="Arial" w:cs="Arial" w:eastAsia="Arial" w:hAnsi="Arial"/>
          <w:sz w:val="18"/>
          <w:szCs w:val="18"/>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 Effective in the third quarter ended on September 30, 2020, our IoT &amp; Mobile Solutions now also includes our Device Management System, rebranded as Inseego Subscribe</w:t>
      </w:r>
      <w:r>
        <w:rPr>
          <w:rFonts w:ascii="Arial" w:cs="Arial" w:eastAsia="Arial" w:hAnsi="Arial"/>
          <w:sz w:val="23"/>
          <w:szCs w:val="23"/>
          <w:color w:val="auto"/>
          <w:vertAlign w:val="superscript"/>
        </w:rPr>
        <w:t>TM</w:t>
      </w:r>
      <w:r>
        <w:rPr>
          <w:rFonts w:ascii="Arial" w:cs="Arial" w:eastAsia="Arial" w:hAnsi="Arial"/>
          <w:sz w:val="18"/>
          <w:szCs w:val="18"/>
          <w:color w:val="auto"/>
        </w:rPr>
        <w:t>, a hosted SaaS platform that helps organizations manage the selection, deployment and spend of their customer’s wireless assets, helping them save money on personnel and telecom expenses. We reclassified our Inseego Subscribe revenue stream, from Enterprise SaaS solutions, to better reflect our end user delineation.</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2020 and 2019, the Company’s total net revenues were $313.8 million and $219.5 million, respectively.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 and Mobile Business</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IoT business focuses on addressing applications for a variety of markets including large enterprise verticals and IIoT markets. These applications include, among others, smart city infrastructure management, remote monitoring and control, SD WAN failover and enterprise connectivity. Our Skyus branded wireless gateways, routers and modems serve as connectivity solutions for the rapidly growing and underpenetrated IoT market segments. Worldwide IoT spending is expected to increase at an 11.3% compound annual growth rate between 2020 and 2024, surpassing $1.1 trillion (as reported by International Data Corporation, 2019). With many enterprise customers using our solutions, we believe that we already have a solid footing in this market. We are continuing to invest and grow this portfolio to realize the opportunities in the growing IoT market.</w:t>
      </w:r>
    </w:p>
    <w:p>
      <w:pPr>
        <w:spacing w:after="0" w:line="110" w:lineRule="exact"/>
        <w:rPr>
          <w:sz w:val="20"/>
          <w:szCs w:val="20"/>
          <w:color w:val="auto"/>
        </w:rPr>
      </w:pPr>
    </w:p>
    <w:p>
      <w:pPr>
        <w:ind w:right="80" w:firstLine="405"/>
        <w:spacing w:after="0" w:line="262" w:lineRule="auto"/>
        <w:rPr>
          <w:sz w:val="20"/>
          <w:szCs w:val="20"/>
          <w:color w:val="auto"/>
        </w:rPr>
      </w:pPr>
      <w:r>
        <w:rPr>
          <w:rFonts w:ascii="Arial" w:cs="Arial" w:eastAsia="Arial" w:hAnsi="Arial"/>
          <w:sz w:val="17"/>
          <w:szCs w:val="17"/>
          <w:color w:val="auto"/>
        </w:rPr>
        <w:t>Our mobile business has been driving advanced mobile technologies for a multitude of consumer and enterprise applications for over 20 years. In the 2000s, Inseego invented mobile hotspots sold under the MiFi brand. During the 2010s, Inseego was a leader in the 4G mobile hotspot market—delivering the highest 4G mobile hotspot performance in the market. In 2019, Inseego developed and produced the world’s first 5G mobile hotspot, which provides download speeds at least 58% faster than those of our competitors, according to internal testing results.</w:t>
      </w:r>
    </w:p>
    <w:p>
      <w:pPr>
        <w:spacing w:after="0" w:line="11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mobile business product portfolio consists of intelligent mobile broadband solutions, HD quality VoLTE products, residential 4G gateways and an advanced 5G portfolio of products (currently in various stages of development). Our mobile broadband solutions, sold under the MiFi brand, are actively used by millions of end users annually to provide secure and convenient high-speed access to corporate, public and personal information through the Internet and enterprise networks. The introduction of 5G technology is rapidly expanding new enterprise and consumer market use cases and opportunities, including residential broadband gateways, industrial automation, massive machine connectivity and autonomous vehicles. We believe we are strategically well placed to realize the opportunity for 5G and we are focused on developing a comprehensive portfolio of 5G products for fixed and mobile wireless applications.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Telematics and Asset Tracking Business</w:t>
      </w:r>
    </w:p>
    <w:p>
      <w:pPr>
        <w:spacing w:after="0" w:line="171"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Inseego entered the telematics software and services industry through the acquisition of DigiCore Holdings Limited (which was renamed Ctrack Holdings (Pty) Ltd (“Ctrack” or “DigiCore”)) in October 2015. Ctrack was founded in South Africa in 1985, and today Ctrack operations span over 50 countries on six continents. Through a series of global acquisitions and mergers, the Ctrack group broadened its international reach by expanding into the United Kingdom, Europe, and Australia/New Zealand, and using distributors in emerging markets such as Asia and the balance of the African continent.</w:t>
      </w:r>
    </w:p>
    <w:p>
      <w:pPr>
        <w:spacing w:after="0" w:line="103"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With more than 30 years of experience, we are recognized as a leading global provider of advanced fleet management telematics and asset tracking solutions that add value to a global base of customers. We design, develop and sell a robust range of asset management and monitoring systems using GPS satellite positioning, advanced cellular communications and advanced sensory technologies. The result is innovative solutions ranging from basic track-and-trace, with stolen vehicle response services, to complete integrated enterprise-level solutions for large fleet owners across the globe.</w:t>
      </w:r>
    </w:p>
    <w:p>
      <w:pPr>
        <w:spacing w:after="0" w:line="103"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believe that our continued emphasis on development of next-generation products keeps Ctrack ahead of the market, meeting demands for value-added, flexible, feature-rich and cost-effective technology across multiple market verticals. Our solutions, coupled with a proven track record in the successful implementation and support of projects of all sizes worldwide, provide Ctrack with a competitive edge with respect to attracting and retaining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engage in a wide variety of sales and marketing activities, driving market leadership and global demand through integrated marketing campaigns.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product marketing, corporate communications, brand marketing and demand generation.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market for our mobile, IoT and asset tracking/telematics services and solutions is rapidly evolving and highly competitive. It is likely to continue to be affected by new product introductions and industry participants.</w:t>
      </w:r>
    </w:p>
    <w:p>
      <w:pPr>
        <w:spacing w:after="0" w:line="116"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ind w:left="420"/>
        <w:spacing w:after="0"/>
        <w:rPr>
          <w:sz w:val="20"/>
          <w:szCs w:val="20"/>
          <w:color w:val="auto"/>
        </w:rPr>
      </w:pPr>
      <w:r>
        <w:rPr>
          <w:rFonts w:ascii="Arial" w:cs="Arial" w:eastAsia="Arial" w:hAnsi="Arial"/>
          <w:sz w:val="18"/>
          <w:szCs w:val="18"/>
          <w:color w:val="auto"/>
        </w:rPr>
        <w:t>Our products compete with a variety of telematics solutions providers and IoT solutions suppliers. Our current competitors include:</w:t>
      </w:r>
    </w:p>
    <w:p>
      <w:pPr>
        <w:spacing w:after="0" w:line="17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28" w:lineRule="exact"/>
        <w:rPr>
          <w:rFonts w:ascii="Arial" w:cs="Arial" w:eastAsia="Arial" w:hAnsi="Arial"/>
          <w:sz w:val="17"/>
          <w:szCs w:val="17"/>
          <w:color w:val="auto"/>
        </w:rPr>
      </w:pPr>
    </w:p>
    <w:p>
      <w:pPr>
        <w:ind w:left="980" w:right="2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wireless, Mobile hotspot and wireless data modem providers, such as NETGEAR, Franklin Wireless, WNC, Sierra Wireless, Nokia, TCL, ZTE and Huawei;</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17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believe that we have advantages over our primary competitors due in varying measure to the broad range of customized solutions that we offer, the ease-of-use of our products and our ability to adapt our products to specific customer needs. As the market for our solutions and services expands, other entrants may seek to compete with us either directly or indirectly.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Our research and development efforts are focused on developing innovative mobile devices, including IoT and advanced gateway solutions in both the 4G LTE and 5G markets, and telematics solutions and services, while improving the functionality, design and performance of our current products and solutions.</w:t>
      </w:r>
    </w:p>
    <w:p>
      <w:pPr>
        <w:spacing w:after="0" w:line="13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intend to continue to identify and respond to our customers’ needs by introducing new SaaS, IoT and mobile solutions and product designs that meet the needs of the market and our customers, with an emphasis on creating next generation wireless product platforms targeting mass market initiatives in high growth verticals and technologies such as 5G NR and easy-to-use products and services that enable customers to connect, track, and manage their business systems and assets.</w:t>
      </w:r>
    </w:p>
    <w:p>
      <w:pPr>
        <w:spacing w:after="0" w:line="133" w:lineRule="exact"/>
        <w:rPr>
          <w:sz w:val="20"/>
          <w:szCs w:val="20"/>
          <w:color w:val="auto"/>
        </w:rPr>
      </w:pPr>
    </w:p>
    <w:p>
      <w:pPr>
        <w:ind w:right="360" w:firstLine="405"/>
        <w:spacing w:after="0" w:line="311" w:lineRule="auto"/>
        <w:rPr>
          <w:sz w:val="20"/>
          <w:szCs w:val="20"/>
          <w:color w:val="auto"/>
        </w:rPr>
      </w:pPr>
      <w:r>
        <w:rPr>
          <w:rFonts w:ascii="Arial" w:cs="Arial" w:eastAsia="Arial" w:hAnsi="Arial"/>
          <w:sz w:val="16"/>
          <w:szCs w:val="16"/>
          <w:color w:val="auto"/>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55 patents and have 19 patent applications pending. The patents that we currently own will expire at various times between 2021 and 2035.</w:t>
      </w:r>
    </w:p>
    <w:p>
      <w:pPr>
        <w:spacing w:after="0" w:line="62" w:lineRule="exact"/>
        <w:rPr>
          <w:sz w:val="20"/>
          <w:szCs w:val="20"/>
          <w:color w:val="auto"/>
        </w:rPr>
      </w:pPr>
    </w:p>
    <w:p>
      <w:pPr>
        <w:jc w:val="both"/>
        <w:ind w:right="480" w:firstLine="405"/>
        <w:spacing w:after="0" w:line="263" w:lineRule="auto"/>
        <w:rPr>
          <w:sz w:val="20"/>
          <w:szCs w:val="20"/>
          <w:color w:val="auto"/>
        </w:rPr>
      </w:pPr>
      <w:r>
        <w:rPr>
          <w:rFonts w:ascii="Arial" w:cs="Arial" w:eastAsia="Arial" w:hAnsi="Arial"/>
          <w:sz w:val="18"/>
          <w:szCs w:val="18"/>
          <w:color w:val="auto"/>
        </w:rPr>
        <w:t>We, along with our subsidiaries, also hold a number of trademarks or registered trademarks including “Inseego”, “Inseego North America”, the Inseego logo, “DigiCore”, “Ctrack”, the Ctrack logo, “Skyus”, “Novatel Wireless”, the Novatel Wireless logo, “MiFi”, and “MiFi Intelligent Mobile Hotspot”.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Partners and Customers</w:t>
      </w:r>
    </w:p>
    <w:p>
      <w:pPr>
        <w:spacing w:after="0" w:line="17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wireless telecom service providers, wireless network infrastructure providers such as Ericsson and Nokia, value-added resellers and distributors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107" w:lineRule="exact"/>
        <w:rPr>
          <w:sz w:val="20"/>
          <w:szCs w:val="20"/>
          <w:color w:val="auto"/>
        </w:rPr>
      </w:pPr>
    </w:p>
    <w:p>
      <w:pPr>
        <w:jc w:val="both"/>
        <w:ind w:right="480" w:firstLine="405"/>
        <w:spacing w:after="0" w:line="286" w:lineRule="auto"/>
        <w:rPr>
          <w:sz w:val="20"/>
          <w:szCs w:val="20"/>
          <w:color w:val="auto"/>
        </w:rPr>
      </w:pPr>
      <w:r>
        <w:rPr>
          <w:rFonts w:ascii="Arial" w:cs="Arial" w:eastAsia="Arial" w:hAnsi="Arial"/>
          <w:sz w:val="17"/>
          <w:szCs w:val="17"/>
          <w:color w:val="auto"/>
        </w:rPr>
        <w:t>Customers for our products include transportation companies, industrial companies, governmental agencies, manufacturers, application service providers, system integrators, distributors, and enterprises in various industries, including fleet and vehicle transportation, finance, accounting, legal, insurance, energy and industrial automation, security and safety, medical monitoring and government.</w:t>
      </w:r>
    </w:p>
    <w:p>
      <w:pPr>
        <w:spacing w:after="0" w:line="111" w:lineRule="exact"/>
        <w:rPr>
          <w:sz w:val="20"/>
          <w:szCs w:val="20"/>
          <w:color w:val="auto"/>
        </w:rPr>
      </w:pPr>
    </w:p>
    <w:p>
      <w:pPr>
        <w:ind w:right="500" w:firstLine="405"/>
        <w:spacing w:after="0" w:line="259" w:lineRule="auto"/>
        <w:rPr>
          <w:sz w:val="20"/>
          <w:szCs w:val="20"/>
          <w:color w:val="auto"/>
        </w:rPr>
      </w:pPr>
      <w:r>
        <w:rPr>
          <w:rFonts w:ascii="Arial" w:cs="Arial" w:eastAsia="Arial" w:hAnsi="Arial"/>
          <w:sz w:val="18"/>
          <w:szCs w:val="18"/>
          <w:color w:val="auto"/>
        </w:rPr>
        <w:t>Our telematics customer base is comprised of wireless operators, distributors, OEMs and various companies in other vertical markets. Fleet management customers include global enterprises such as BHP Billiton, Super Group, Mammoet and Australia Post. Our customers for our business connectivity products include EnerNOC, Thermo Fisher Scientific, US Army, Fastenal, T-Mobile, Sprint and Verizon Wireless, amongst others. Our customers for our device management solutions include T-Mobile and Sprint.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9" w:name="page10"/>
    <w:bookmarkEnd w:id="9"/>
    <w:p>
      <w:pPr>
        <w:ind w:right="600" w:firstLine="405"/>
        <w:spacing w:after="0" w:line="342" w:lineRule="auto"/>
        <w:rPr>
          <w:sz w:val="20"/>
          <w:szCs w:val="20"/>
          <w:color w:val="auto"/>
        </w:rPr>
      </w:pPr>
      <w:r>
        <w:rPr>
          <w:rFonts w:ascii="Arial" w:cs="Arial" w:eastAsia="Arial" w:hAnsi="Arial"/>
          <w:sz w:val="16"/>
          <w:szCs w:val="16"/>
          <w:color w:val="auto"/>
        </w:rPr>
        <w:t>A significant portion of our revenue during the year ended December 31, 2020 came from one customer, Verizon Wireless, which represented approximately 55% of our total revenues for the year ended December 31, 2020. It is our intention to diversify our customer base.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17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hardware used in our solutions is produced by contract manufacturers. Our primary contract manufacturers include Hon Hai Precision Industry Co., Ltd. (“Foxconn”) and Inventec Appliance Corporation (IAC), each of whom manufactures our product outside of mainland China. Under our manufacturing agreements, such contract manufacturers provide us with services including component procurement, product manufacturing, final assembly, testing, quality control and fulfillment. These contract manufacturers are located in Asia and are able to produce our products using modern state-of-the-art equipment and facilities with relatively low-cost labor.</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6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At December 31, 2020, we had 1,015 employees of which 998 were full-time employees. We also use the services of consultants and temporary workers from time to time. With the exception of a small number of our employees in South Africa, our employees are not represented by any collective bargaining unit and we consider our relationship with our employees to be good.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7" w:lineRule="exact"/>
        <w:rPr>
          <w:sz w:val="20"/>
          <w:szCs w:val="20"/>
          <w:color w:val="auto"/>
        </w:rPr>
      </w:pPr>
    </w:p>
    <w:p>
      <w:pPr>
        <w:ind w:right="480" w:firstLine="445"/>
        <w:spacing w:after="0" w:line="289" w:lineRule="auto"/>
        <w:rPr>
          <w:sz w:val="20"/>
          <w:szCs w:val="20"/>
          <w:color w:val="auto"/>
        </w:rPr>
      </w:pPr>
      <w:r>
        <w:rPr>
          <w:rFonts w:ascii="Arial" w:cs="Arial" w:eastAsia="Arial" w:hAnsi="Arial"/>
          <w:sz w:val="17"/>
          <w:szCs w:val="17"/>
          <w:b w:val="1"/>
          <w:bCs w:val="1"/>
          <w:color w:val="auto"/>
        </w:rPr>
        <w:t>Our Culture</w:t>
      </w:r>
      <w:r>
        <w:rPr>
          <w:rFonts w:ascii="Arial" w:cs="Arial" w:eastAsia="Arial" w:hAnsi="Arial"/>
          <w:sz w:val="17"/>
          <w:szCs w:val="17"/>
          <w:color w:val="auto"/>
        </w:rPr>
        <w:t>: Culture is critically important to our growth and performance. We are driven by our values of Accountability, Sense of Urgency,</w:t>
      </w:r>
      <w:r>
        <w:rPr>
          <w:rFonts w:ascii="Arial" w:cs="Arial" w:eastAsia="Arial" w:hAnsi="Arial"/>
          <w:sz w:val="17"/>
          <w:szCs w:val="17"/>
          <w:b w:val="1"/>
          <w:bCs w:val="1"/>
          <w:color w:val="auto"/>
        </w:rPr>
        <w:t xml:space="preserve"> </w:t>
      </w:r>
      <w:r>
        <w:rPr>
          <w:rFonts w:ascii="Arial" w:cs="Arial" w:eastAsia="Arial" w:hAnsi="Arial"/>
          <w:sz w:val="17"/>
          <w:szCs w:val="17"/>
          <w:color w:val="auto"/>
        </w:rPr>
        <w:t>Market Driven Innovation, Customer Focus, and Integrity. We are committed to creating a world class employee experience through leadership development, career planning, open two-way communications, total compensation, and positive work environment.</w:t>
      </w:r>
    </w:p>
    <w:p>
      <w:pPr>
        <w:spacing w:after="0" w:line="5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 our latest engagement survey, our employees answered favorably to questions on Work Environment &amp; Communications where the average score was over 91%.</w:t>
      </w:r>
    </w:p>
    <w:p>
      <w:pPr>
        <w:spacing w:after="0" w:line="58" w:lineRule="exact"/>
        <w:rPr>
          <w:sz w:val="20"/>
          <w:szCs w:val="20"/>
          <w:color w:val="auto"/>
        </w:rPr>
      </w:pPr>
    </w:p>
    <w:p>
      <w:pPr>
        <w:ind w:right="260" w:firstLine="445"/>
        <w:spacing w:after="0" w:line="303" w:lineRule="auto"/>
        <w:rPr>
          <w:sz w:val="20"/>
          <w:szCs w:val="20"/>
          <w:color w:val="auto"/>
        </w:rPr>
      </w:pPr>
      <w:r>
        <w:rPr>
          <w:rFonts w:ascii="Arial" w:cs="Arial" w:eastAsia="Arial" w:hAnsi="Arial"/>
          <w:sz w:val="16"/>
          <w:szCs w:val="16"/>
          <w:b w:val="1"/>
          <w:bCs w:val="1"/>
          <w:color w:val="auto"/>
        </w:rPr>
        <w:t>Diversity &amp; Inclusion</w:t>
      </w:r>
      <w:r>
        <w:rPr>
          <w:rFonts w:ascii="Arial" w:cs="Arial" w:eastAsia="Arial" w:hAnsi="Arial"/>
          <w:sz w:val="16"/>
          <w:szCs w:val="16"/>
          <w:color w:val="auto"/>
        </w:rPr>
        <w:t>: Our Come Together initiative was launched in 2020. Come Together gives employees the opportunity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workstreams whose goals are to create a culture of belonging. Each workstream is led by employee volunteers with a passion for diversity and inclusion and reach beyond Inseego team members. The different workstreams are: Community Engagement, Employee Development, Recruiting, Women in Technology, and Affinity Groups. The foundation has been set in 2020 to accelerate important work in this area in 2021 and beyond.</w:t>
      </w:r>
    </w:p>
    <w:p>
      <w:pPr>
        <w:spacing w:after="0" w:line="43" w:lineRule="exact"/>
        <w:rPr>
          <w:sz w:val="20"/>
          <w:szCs w:val="20"/>
          <w:color w:val="auto"/>
        </w:rPr>
      </w:pPr>
    </w:p>
    <w:p>
      <w:pPr>
        <w:ind w:right="160" w:firstLine="445"/>
        <w:spacing w:after="0" w:line="298" w:lineRule="auto"/>
        <w:rPr>
          <w:sz w:val="20"/>
          <w:szCs w:val="20"/>
          <w:color w:val="auto"/>
        </w:rPr>
      </w:pPr>
      <w:r>
        <w:rPr>
          <w:rFonts w:ascii="Arial" w:cs="Arial" w:eastAsia="Arial" w:hAnsi="Arial"/>
          <w:sz w:val="16"/>
          <w:szCs w:val="16"/>
          <w:b w:val="1"/>
          <w:bCs w:val="1"/>
          <w:color w:val="auto"/>
        </w:rPr>
        <w:t>Talent</w:t>
      </w:r>
      <w:r>
        <w:rPr>
          <w:rFonts w:ascii="Arial" w:cs="Arial" w:eastAsia="Arial" w:hAnsi="Arial"/>
          <w:sz w:val="16"/>
          <w:szCs w:val="16"/>
          <w:color w:val="auto"/>
        </w:rPr>
        <w:t>: We believe that Talent is key to our success. It starts with finding and placing the right Talent for the right jobs at the right time. We</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communicate our value proposition in a clear and concise manner. The expected growth in the 5G Market creates a unique opportunity for candidates and employees of Inseego to have a career at the forefront of a dynamic industry. Our company size and culture allows employees to build and expand their skill set in ways that will enrich their careers. In 2020, we initiated Talent Reviews with Senior Leaders to holistically evaluate the talent across the company. This will enable the company to focus on accelerating development for those who are top performers and strengthen the talent pipeline.</w:t>
      </w:r>
    </w:p>
    <w:p>
      <w:pPr>
        <w:spacing w:after="0" w:line="46"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8"/>
          <w:szCs w:val="18"/>
          <w:b w:val="1"/>
          <w:bCs w:val="1"/>
          <w:color w:val="auto"/>
        </w:rPr>
        <w:t>Work Life Harmony</w:t>
      </w:r>
      <w:r>
        <w:rPr>
          <w:rFonts w:ascii="Arial" w:cs="Arial" w:eastAsia="Arial" w:hAnsi="Arial"/>
          <w:sz w:val="18"/>
          <w:szCs w:val="18"/>
          <w:color w:val="auto"/>
        </w:rPr>
        <w:t>: We believe that it is important to provide Work Life Harmony and its practices can vary globally. In the US, employees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Friday ‘summer hours’ where two hours in the afternoon are blocked from meetings to ensure that there is “work” and “think” time. This time can be used to catch up on tasks, conduct a review of the past week, and plan for the following week. During 2020, the Company launched an Unlimited Paid Time Off program for exempt employees in the U.S. This program gives team members the flexibility to take time off that makes sense for them and frees employees from the confines of traditional accrued time off policies.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0" w:name="page11"/>
    <w:bookmarkEnd w:id="10"/>
    <w:p>
      <w:pPr>
        <w:ind w:right="20" w:firstLine="445"/>
        <w:spacing w:after="0" w:line="263" w:lineRule="auto"/>
        <w:rPr>
          <w:sz w:val="20"/>
          <w:szCs w:val="20"/>
          <w:color w:val="auto"/>
        </w:rPr>
      </w:pPr>
      <w:r>
        <w:rPr>
          <w:rFonts w:ascii="Arial" w:cs="Arial" w:eastAsia="Arial" w:hAnsi="Arial"/>
          <w:sz w:val="18"/>
          <w:szCs w:val="18"/>
          <w:color w:val="auto"/>
        </w:rPr>
        <w:t>In 2020, Inseego also launched the Health &amp; Wellness Initiative in the U.S. to help employees find ways to create more balance in their lives. As part of this initiative, all employees were given a complimentary Calm App membership that includes useful resources designed to strengthen mental fitness and provide tools to tackle stress.</w:t>
      </w:r>
    </w:p>
    <w:p>
      <w:pPr>
        <w:spacing w:after="0" w:line="72" w:lineRule="exact"/>
        <w:rPr>
          <w:sz w:val="20"/>
          <w:szCs w:val="20"/>
          <w:color w:val="auto"/>
        </w:rPr>
      </w:pPr>
    </w:p>
    <w:p>
      <w:pPr>
        <w:ind w:firstLine="445"/>
        <w:spacing w:after="0" w:line="266" w:lineRule="auto"/>
        <w:rPr>
          <w:sz w:val="20"/>
          <w:szCs w:val="20"/>
          <w:color w:val="auto"/>
        </w:rPr>
      </w:pPr>
      <w:r>
        <w:rPr>
          <w:rFonts w:ascii="Arial" w:cs="Arial" w:eastAsia="Arial" w:hAnsi="Arial"/>
          <w:sz w:val="18"/>
          <w:szCs w:val="18"/>
          <w:b w:val="1"/>
          <w:bCs w:val="1"/>
          <w:color w:val="auto"/>
        </w:rPr>
        <w:t>Data &amp; Insights</w:t>
      </w:r>
      <w:r>
        <w:rPr>
          <w:rFonts w:ascii="Arial" w:cs="Arial" w:eastAsia="Arial" w:hAnsi="Arial"/>
          <w:sz w:val="18"/>
          <w:szCs w:val="18"/>
          <w:color w:val="auto"/>
        </w:rPr>
        <w:t>: In 2020 Inseego consolidated multiple human resource systems to a common platform. This will allow the Company to deliver real</w:t>
      </w:r>
      <w:r>
        <w:rPr>
          <w:rFonts w:ascii="Arial" w:cs="Arial" w:eastAsia="Arial" w:hAnsi="Arial"/>
          <w:sz w:val="18"/>
          <w:szCs w:val="18"/>
          <w:b w:val="1"/>
          <w:bCs w:val="1"/>
          <w:color w:val="auto"/>
        </w:rPr>
        <w:t xml:space="preserve"> </w:t>
      </w:r>
      <w:r>
        <w:rPr>
          <w:rFonts w:ascii="Arial" w:cs="Arial" w:eastAsia="Arial" w:hAnsi="Arial"/>
          <w:sz w:val="18"/>
          <w:szCs w:val="18"/>
          <w:color w:val="auto"/>
        </w:rPr>
        <w:t>time employee self-service and data and insights to management. The migration to one platform will enable the human resources team to obtain valuable employee insights and enact changes more quickly.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256" w:lineRule="exact"/>
        <w:rPr>
          <w:sz w:val="20"/>
          <w:szCs w:val="20"/>
          <w:color w:val="auto"/>
        </w:rPr>
      </w:pPr>
    </w:p>
    <w:p>
      <w:pPr>
        <w:ind w:right="200" w:firstLine="445"/>
        <w:spacing w:after="0" w:line="276" w:lineRule="auto"/>
        <w:rPr>
          <w:sz w:val="20"/>
          <w:szCs w:val="20"/>
          <w:color w:val="auto"/>
        </w:rPr>
      </w:pPr>
      <w:r>
        <w:rPr>
          <w:rFonts w:ascii="Arial" w:cs="Arial" w:eastAsia="Arial" w:hAnsi="Arial"/>
          <w:sz w:val="16"/>
          <w:szCs w:val="16"/>
          <w:color w:val="auto"/>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Inseego. 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4" w:lineRule="exact"/>
        <w:rPr>
          <w:sz w:val="20"/>
          <w:szCs w:val="20"/>
          <w:color w:val="auto"/>
        </w:rPr>
      </w:pPr>
    </w:p>
    <w:p>
      <w:pPr>
        <w:ind w:left="660" w:right="340" w:hanging="328"/>
        <w:spacing w:after="0" w:line="237"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quarterly operating results have fluctuated in the past and may fluctuate in the future, which could cause declines or volatility in the price of our common stock.</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have an accumulated deficit and may not be able to achieve or sustain profitability, which may negatively impact our ability to achieve our business objectives.</w:t>
      </w:r>
    </w:p>
    <w:p>
      <w:pPr>
        <w:spacing w:after="0" w:line="28" w:lineRule="exact"/>
        <w:rPr>
          <w:rFonts w:ascii="Arial" w:cs="Arial" w:eastAsia="Arial" w:hAnsi="Arial"/>
          <w:sz w:val="14"/>
          <w:szCs w:val="14"/>
          <w:color w:val="auto"/>
        </w:rPr>
      </w:pPr>
    </w:p>
    <w:p>
      <w:pPr>
        <w:ind w:left="660" w:right="280" w:hanging="328"/>
        <w:spacing w:after="0" w:line="24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5G market may take longer to materialize than we expect or, if it does materialize rapidly, we may not be able to meet the development schedule and other customer demands.</w:t>
      </w:r>
    </w:p>
    <w:p>
      <w:pPr>
        <w:ind w:left="660" w:right="80" w:hanging="328"/>
        <w:spacing w:after="0" w:line="24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plan to position the Company as a leading provider of industrial IoT products and services to its customer base could subject us to increased costs and related risks and may not achieve the intended results.</w:t>
      </w:r>
    </w:p>
    <w:p>
      <w:pPr>
        <w:ind w:left="660" w:right="360" w:hanging="328"/>
        <w:spacing w:after="0" w:line="24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ind w:left="660" w:right="80" w:hanging="328"/>
        <w:spacing w:after="0" w:line="24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assertion by a third party that we are infringing its intellectual property could subject us to costly and time- consuming litigation or expensive licenses and our business could be harmed.</w:t>
      </w: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protect our intellectual property and proprietary rights, our competitive position and our business could be harmed.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mobile hotspot business is subject to a number of challenges that are difficult to overcome.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debt service requirements are significant, and we may not have sufficient cash flow from our business to pay our substantial debt.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Uncertainties relating to recent changes in our management team may adversely affect our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Corporate Development Activities</w:t>
      </w:r>
    </w:p>
    <w:p>
      <w:pPr>
        <w:spacing w:after="0" w:line="23" w:lineRule="exact"/>
        <w:rPr>
          <w:sz w:val="20"/>
          <w:szCs w:val="20"/>
          <w:color w:val="auto"/>
        </w:rPr>
      </w:pPr>
    </w:p>
    <w:p>
      <w:pPr>
        <w:ind w:left="660" w:right="620" w:hanging="328"/>
        <w:spacing w:after="0" w:line="249"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as part of our growth strategy, acquire companies and businesses, and/or divest assets or businesses. The completion of acquisition or divestiture transactions could have an adverse effect on our financial condition.</w:t>
      </w:r>
    </w:p>
    <w:p>
      <w:pPr>
        <w:ind w:left="660" w:right="4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Following acquisitions and/or divestitures, our reorganized business may not perform as we or the market expects, which could have an adverse effect on the price of our common stock.</w:t>
      </w:r>
    </w:p>
    <w:p>
      <w:pPr>
        <w:ind w:left="640" w:hanging="308"/>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cannot provide any assurance that we will be successful in divesting assets we wish to sell, including the divestiture of our Ctrack South African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Risks Related to Competition</w:t>
      </w:r>
    </w:p>
    <w:p>
      <w:pPr>
        <w:spacing w:after="0" w:line="2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market for the products and services that we offer is rapidly evolving and highly competitive. We may be unable to compete effectively.</w:t>
      </w:r>
    </w:p>
    <w:p>
      <w:pPr>
        <w:spacing w:after="0" w:line="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5G fixed wireless access gateway business is subject to a number of challenges that will be difficult to overcome.</w:t>
      </w:r>
    </w:p>
    <w:p>
      <w:pPr>
        <w:spacing w:after="0" w:line="5" w:lineRule="exact"/>
        <w:rPr>
          <w:rFonts w:ascii="Arial" w:cs="Arial" w:eastAsia="Arial" w:hAnsi="Arial"/>
          <w:sz w:val="16"/>
          <w:szCs w:val="16"/>
          <w:color w:val="auto"/>
        </w:rPr>
      </w:pPr>
    </w:p>
    <w:p>
      <w:pPr>
        <w:ind w:left="660" w:right="20" w:hanging="328"/>
        <w:spacing w:after="0" w:line="257"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Customers and Demand for Our Solutions</w:t>
      </w:r>
    </w:p>
    <w:p>
      <w:pPr>
        <w:spacing w:after="0" w:line="2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inability to adapt to rapid technological change in our markets could impair our ability to remain competitive and adversely affect our results of operations.</w:t>
      </w:r>
    </w:p>
    <w:p>
      <w:pPr>
        <w:spacing w:after="0" w:line="20" w:lineRule="exact"/>
        <w:rPr>
          <w:rFonts w:ascii="Arial" w:cs="Arial" w:eastAsia="Arial" w:hAnsi="Arial"/>
          <w:sz w:val="15"/>
          <w:szCs w:val="15"/>
          <w:color w:val="auto"/>
        </w:rPr>
      </w:pPr>
    </w:p>
    <w:p>
      <w:pPr>
        <w:ind w:left="660" w:right="160" w:hanging="328"/>
        <w:spacing w:after="0" w:line="24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depend upon Verizon Wireless for a substantial portion of our revenues, and our business would be negatively affected by an adverse change in our dealings with this customer.</w:t>
      </w:r>
    </w:p>
    <w:p>
      <w:pPr>
        <w:ind w:left="640" w:hanging="308"/>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Loss of, or a significant reduction in business from, one or more enterprise or government customers could adversely affect our revenue and profitability.</w:t>
      </w:r>
    </w:p>
    <w:p>
      <w:pPr>
        <w:spacing w:after="0" w:line="16" w:lineRule="exact"/>
        <w:rPr>
          <w:rFonts w:ascii="Arial" w:cs="Arial" w:eastAsia="Arial" w:hAnsi="Arial"/>
          <w:sz w:val="15"/>
          <w:szCs w:val="15"/>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marketability of our products may suffer if wireless telecommunications operators do not deliver acceptable wireless services.</w:t>
      </w:r>
    </w:p>
    <w:p>
      <w:pPr>
        <w:spacing w:after="0" w:line="5" w:lineRule="exact"/>
        <w:rPr>
          <w:rFonts w:ascii="Arial" w:cs="Arial" w:eastAsia="Arial" w:hAnsi="Arial"/>
          <w:sz w:val="16"/>
          <w:szCs w:val="16"/>
          <w:color w:val="auto"/>
        </w:rPr>
      </w:pPr>
    </w:p>
    <w:p>
      <w:pPr>
        <w:ind w:left="660" w:right="320" w:hanging="328"/>
        <w:spacing w:after="0" w:line="257"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practices of insurance companies in the markets in which we provide our solutions could materially and adversely affect demand for products and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Developing, Manufacturing and Delivering Our Solutions</w:t>
      </w:r>
    </w:p>
    <w:p>
      <w:pPr>
        <w:spacing w:after="0" w:line="23" w:lineRule="exact"/>
        <w:rPr>
          <w:sz w:val="20"/>
          <w:szCs w:val="20"/>
          <w:color w:val="auto"/>
        </w:rPr>
      </w:pPr>
    </w:p>
    <w:p>
      <w:pPr>
        <w:ind w:left="660" w:right="460" w:hanging="328"/>
        <w:spacing w:after="0" w:line="249"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currently rely on third parties to manufacture and warehouse many of our products, which exposes us to a number of risks and uncertainties outside our control.</w:t>
      </w:r>
    </w:p>
    <w:p>
      <w:pPr>
        <w:ind w:left="640" w:hanging="308"/>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have been moving production to one or more new contract manufacturers, which exposes us to a number of risks and uncertainties outside our control.</w:t>
      </w:r>
    </w:p>
    <w:p>
      <w:pPr>
        <w:spacing w:after="0" w:line="16" w:lineRule="exact"/>
        <w:rPr>
          <w:rFonts w:ascii="Arial" w:cs="Arial" w:eastAsia="Arial" w:hAnsi="Arial"/>
          <w:sz w:val="15"/>
          <w:szCs w:val="15"/>
          <w:color w:val="auto"/>
        </w:rPr>
      </w:pPr>
    </w:p>
    <w:p>
      <w:pPr>
        <w:ind w:left="66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ind w:left="660" w:right="6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effects of COVID-19 and other potential future public health crises, epidemics, pandemics or similar events on our business, operating results and cash flows are uncertain.</w:t>
      </w:r>
    </w:p>
    <w:p>
      <w:pPr>
        <w:ind w:left="660" w:right="6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rely on third-party software and other intellectual property to develop and provide our solutions and significant increases in licensing costs or defects in third-party software could harm our business.</w:t>
      </w:r>
    </w:p>
    <w:p>
      <w:pPr>
        <w:ind w:left="660" w:right="2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solutions integrate with third-party technologies and if our solutions become incompatible with these technologies, our solutions would lose functionality and our customer acquisition and retention could be adversely affected.</w:t>
      </w:r>
    </w:p>
    <w:p>
      <w:pPr>
        <w:ind w:left="660" w:right="28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ind w:left="660" w:right="58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ind w:left="640" w:hanging="308"/>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solutions rely on cellular and GPS networks and any disruption, failure or increase in costs could impede our profitability and harm our financial results.</w:t>
      </w:r>
    </w:p>
    <w:p>
      <w:pPr>
        <w:spacing w:after="0" w:line="16" w:lineRule="exact"/>
        <w:rPr>
          <w:rFonts w:ascii="Arial" w:cs="Arial" w:eastAsia="Arial" w:hAnsi="Arial"/>
          <w:sz w:val="15"/>
          <w:szCs w:val="15"/>
          <w:color w:val="auto"/>
        </w:rPr>
      </w:pPr>
    </w:p>
    <w:p>
      <w:pPr>
        <w:ind w:left="66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significant disruption in service on our websites or in our computer systems could damage our reputation and result in a loss of customers, which would harm our business and operating results.</w:t>
      </w:r>
    </w:p>
    <w:p>
      <w:pPr>
        <w:ind w:left="660" w:hanging="328"/>
        <w:spacing w:after="0" w:line="24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provide minimum service level commitments to certain of our customers, and our failure to meet them could require us to issue credits for future subscriptions or pay penalties, which could harm our results of operations.</w:t>
      </w:r>
    </w:p>
    <w:p>
      <w:pPr>
        <w:ind w:left="660" w:right="60" w:hanging="328"/>
        <w:spacing w:after="0" w:line="276" w:lineRule="auto"/>
        <w:tabs>
          <w:tab w:leader="none" w:pos="649" w:val="left"/>
        </w:tabs>
        <w:numPr>
          <w:ilvl w:val="0"/>
          <w:numId w:val="13"/>
        </w:numPr>
        <w:rPr>
          <w:rFonts w:ascii="Arial" w:cs="Arial" w:eastAsia="Arial" w:hAnsi="Arial"/>
          <w:sz w:val="15"/>
          <w:szCs w:val="15"/>
          <w:color w:val="auto"/>
        </w:rPr>
      </w:pPr>
      <w:r>
        <w:rPr>
          <w:rFonts w:ascii="Arial" w:cs="Arial" w:eastAsia="Arial" w:hAnsi="Arial"/>
          <w:sz w:val="15"/>
          <w:szCs w:val="15"/>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2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Due to the global nature of our operations, we are subject to political and economic risks of doing business internationally.</w:t>
      </w:r>
    </w:p>
    <w:p>
      <w:pPr>
        <w:spacing w:after="0" w:line="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Fluctuations in foreign currency exchange rates, especially the South African Rand against the U.S. Dollar, could adversely affect our results of operations.</w:t>
      </w:r>
    </w:p>
    <w:p>
      <w:pPr>
        <w:spacing w:after="0" w:line="16" w:lineRule="exact"/>
        <w:rPr>
          <w:rFonts w:ascii="Arial" w:cs="Arial" w:eastAsia="Arial" w:hAnsi="Arial"/>
          <w:sz w:val="15"/>
          <w:szCs w:val="15"/>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Unionization efforts in certain countries in which we operate could materially increase our costs or limit our flexibility.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Regulations, Taxation and Accounting Matters</w:t>
      </w:r>
    </w:p>
    <w:p>
      <w:pPr>
        <w:spacing w:after="0" w:line="2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governmental challenge to our transfer pricing policies or practices could impose significant costs on us.</w:t>
      </w:r>
    </w:p>
    <w:p>
      <w:pPr>
        <w:spacing w:after="0" w:line="9" w:lineRule="exact"/>
        <w:rPr>
          <w:rFonts w:ascii="Arial" w:cs="Arial" w:eastAsia="Arial" w:hAnsi="Arial"/>
          <w:sz w:val="16"/>
          <w:szCs w:val="16"/>
          <w:color w:val="auto"/>
        </w:rPr>
      </w:pPr>
    </w:p>
    <w:p>
      <w:pPr>
        <w:jc w:val="both"/>
        <w:ind w:left="660" w:right="8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do not achieve applicable black economic empowerment objectives in our South African businesses, we risk not being able to renew certain of our existing contracts which service South African government and quasi-governmental customers, as well as not being awarded future corporate and governmental contracts which would result in the loss of revenue.</w:t>
      </w:r>
    </w:p>
    <w:p>
      <w:pPr>
        <w:spacing w:after="0" w:line="1" w:lineRule="exact"/>
        <w:rPr>
          <w:rFonts w:ascii="Arial" w:cs="Arial" w:eastAsia="Arial" w:hAnsi="Arial"/>
          <w:sz w:val="16"/>
          <w:szCs w:val="16"/>
          <w:color w:val="auto"/>
        </w:rPr>
      </w:pPr>
    </w:p>
    <w:p>
      <w:pPr>
        <w:ind w:left="660" w:right="320" w:hanging="328"/>
        <w:spacing w:after="0" w:line="257"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required to comply with South African labor laws with respect to certain of our employees and face the risk of disruption from labor disputes in South Africa, which could result in additional operating costs.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2" w:name="page13"/>
    <w:bookmarkEnd w:id="12"/>
    <w:p>
      <w:pPr>
        <w:ind w:left="640" w:hanging="308"/>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lack of growth, high inflation or increased interest rates in the South Africa economy could reduce our anticipated revenue and increase our operating costs.</w:t>
      </w:r>
    </w:p>
    <w:p>
      <w:pPr>
        <w:spacing w:after="0" w:line="30" w:lineRule="exact"/>
        <w:rPr>
          <w:rFonts w:ascii="Arial" w:cs="Arial" w:eastAsia="Arial" w:hAnsi="Arial"/>
          <w:sz w:val="15"/>
          <w:szCs w:val="15"/>
          <w:color w:val="auto"/>
        </w:rPr>
      </w:pPr>
    </w:p>
    <w:p>
      <w:pPr>
        <w:ind w:left="660" w:right="260" w:hanging="328"/>
        <w:spacing w:after="0" w:line="24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ind w:left="660" w:right="100" w:hanging="328"/>
        <w:spacing w:after="0" w:line="257"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Enhanced United States fiscal, tax and trade restrictions and executive and legislative actions could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Owning Our Securities</w:t>
      </w:r>
    </w:p>
    <w:p>
      <w:pPr>
        <w:spacing w:after="0" w:line="2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share price has been highly volatile in the past and could be highly volatile in the future.</w:t>
      </w:r>
    </w:p>
    <w:p>
      <w:pPr>
        <w:spacing w:after="0" w:line="9"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price of our stock may be vulnerable to manipulation, including through short sales.</w:t>
      </w:r>
    </w:p>
    <w:p>
      <w:pPr>
        <w:spacing w:after="0" w:line="5" w:lineRule="exact"/>
        <w:rPr>
          <w:rFonts w:ascii="Arial" w:cs="Arial" w:eastAsia="Arial" w:hAnsi="Arial"/>
          <w:sz w:val="16"/>
          <w:szCs w:val="16"/>
          <w:color w:val="auto"/>
        </w:rPr>
      </w:pPr>
    </w:p>
    <w:p>
      <w:pPr>
        <w:ind w:left="660" w:right="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Future settlements of any conversion obligations with respect to the 2025 Notes may result in dilution to existing stockholders, lower prevailing market prices for our common stock or require a significant cash outlay.</w:t>
      </w:r>
    </w:p>
    <w:p>
      <w:pPr>
        <w:ind w:left="660" w:hanging="328"/>
        <w:spacing w:after="0" w:line="24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Future issuances of our common stock to holders of warrants may materially and adversely affect the price of our common stock and cause dilution to our existing stockholders.</w:t>
      </w: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Ownership of our common stock is concentrated, and as a result, certain stockholders may exercise significant influence over us.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outstanding Series E Preferred Stock or future equity offerings could adversely affect the holders of our common stock in some circumstances.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fluctuate in the future, which could cause declines or volatility in the price of our common stock.</w:t>
      </w:r>
    </w:p>
    <w:p>
      <w:pPr>
        <w:spacing w:after="0" w:line="62"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accurately predict changes in customer demand due to matters beyond our control;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introduce new features, including integration of our existing solutions with third-party software and devices;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actions of our competitors, including consolidation within the industry, pricing changes or the introduction of new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63"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manage and realize the anticipated benefits of any future divestitures or acquisitions of businesses, solutions or technologies;</w:t>
      </w:r>
    </w:p>
    <w:p>
      <w:pPr>
        <w:spacing w:after="0" w:line="8"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launch new services or solutions or sell existing services or solutions into additional geographies or vertical markets;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developing or acquiring technologies, services or businesses;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operating costs, and capital expenditures related to the operation, maintenance and expansion of our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 outages or security breaches and any related occurrences which could impact our reputation;</w:t>
      </w:r>
    </w:p>
    <w:p>
      <w:pPr>
        <w:spacing w:after="0" w:line="63" w:lineRule="exact"/>
        <w:rPr>
          <w:rFonts w:ascii="Arial" w:cs="Arial" w:eastAsia="Arial" w:hAnsi="Arial"/>
          <w:sz w:val="18"/>
          <w:szCs w:val="18"/>
          <w:color w:val="auto"/>
        </w:rPr>
      </w:pPr>
    </w:p>
    <w:p>
      <w:pPr>
        <w:ind w:left="980" w:right="520" w:hanging="324"/>
        <w:spacing w:after="0" w:line="316"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of worldwide economic, industry, and market conditions, including disruptions in financial markets and the deterioration of the underlying economic conditions in some countries, and those conditions specific to Internet usage and online businesses;</w:t>
      </w:r>
    </w:p>
    <w:p>
      <w:pPr>
        <w:spacing w:after="0" w:line="1" w:lineRule="exact"/>
        <w:rPr>
          <w:rFonts w:ascii="Arial" w:cs="Arial" w:eastAsia="Arial" w:hAnsi="Arial"/>
          <w:sz w:val="16"/>
          <w:szCs w:val="16"/>
          <w:color w:val="auto"/>
        </w:rPr>
      </w:pPr>
    </w:p>
    <w:p>
      <w:pPr>
        <w:ind w:left="980" w:right="24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outbreak of COVID-19, which could extend lead times in our supply chain and lengthen sales cycles with our customers;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South African Rand to U.S. Dollar exchange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63"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 of fleet management solutions or asset management solutions from cellular carrier-controlled or OEM-controlled channels from which Inseego may be excluded.</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9" w:right="399" w:bottom="1440" w:gutter="0" w:footer="0" w:header="0"/>
        </w:sectPr>
      </w:pPr>
    </w:p>
    <w:bookmarkStart w:id="13" w:name="page14"/>
    <w:bookmarkEnd w:id="13"/>
    <w:p>
      <w:pPr>
        <w:ind w:right="680" w:firstLine="405"/>
        <w:spacing w:after="0" w:line="308" w:lineRule="auto"/>
        <w:rPr>
          <w:sz w:val="20"/>
          <w:szCs w:val="20"/>
          <w:color w:val="auto"/>
        </w:rPr>
      </w:pPr>
      <w:r>
        <w:rPr>
          <w:rFonts w:ascii="Arial" w:cs="Arial" w:eastAsia="Arial" w:hAnsi="Arial"/>
          <w:sz w:val="17"/>
          <w:szCs w:val="17"/>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an accumulated deficit and may not be able to achieve or sustain profitability, which may negatively impact our ability to achieve our business objectives.</w:t>
      </w:r>
    </w:p>
    <w:p>
      <w:pPr>
        <w:spacing w:after="0" w:line="11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have reported net losses in each of the last five fiscal years, and we cannot predict when we will become profitable or if such profitability can be sustained. We expect to continue making significant expenditures to develop and expand our business. Any growth in our revenue or customer base may not be sustainable, and we may not generate sufficient revenue to become profitable. We may incur significant losses in the future for a number of reasons, including the other risks described in this section, and we may encounter unforeseen expenses, difficulties, complications and delays and other unknown events. Accordingly, we may not be able to achieve or sustain profitability, and the failure to fund our capital requirements may negatively impact our ability to achieve our business objectives.</w:t>
      </w:r>
    </w:p>
    <w:p>
      <w:pPr>
        <w:spacing w:after="0" w:line="1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5G market may take longer to materialize than we expect or, if it does materialize rapidly, we may not be able to meet the development schedule and other customer demands.</w:t>
      </w:r>
    </w:p>
    <w:p>
      <w:pPr>
        <w:spacing w:after="0" w:line="62"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Growth of the 5G market and its emerging standards, including the newly defined 5G NR standard, is accelerating and we believe that we are at the forefront of this newly emerging standard. However, this market may take longer to materialize than we expect which could delay important commercial network launches. Even if the market does materialize at the rapid pace that we are expecting, we may have difficulties meeting aggressive timing expectations of our current customers and getting our target products to market on time to meet the demands of our target customers. The 5G market requires us to design routers and antennas that meet certain technical specifications. We may have difficulties meeting the market and technical specifications and timelines.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5G market. We are pursuing 5G opportunities in the United States and abroad. 5G markets outside of the United States will develop at different rates and we will encounter these challenges to varying degrees in different countries. Failure to manage challenges related to 5G markets and opportunities could have a material adverse effect on our financial condition and results of operations.</w:t>
      </w:r>
    </w:p>
    <w:p>
      <w:pPr>
        <w:spacing w:after="0" w:line="1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plan to position the Company as a leading provider of industrial IoT products and services to its customer base could subject us to increased costs and related risks and may not achieve the intended results.</w:t>
      </w:r>
    </w:p>
    <w:p>
      <w:pPr>
        <w:spacing w:after="0" w:line="62"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strategic plan to position the Company as a leading provider of high value industrial IoT products and services could subject us to unexpected costs and risks. Such activities could subject us to increased operating costs, product liability, regulatory requirements and reputational risks. Our expansion into new and existing markets and implementation of our strategic plan may present competitive and distribution challenges that differ from those of our historical business model.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product markets and implementation of our strategic plan for growth and do not meet the new challenges posed by such expansion and implementation, our future sales growth could be negatively impacted, our operating costs could increase, and our business operations and financial results could be negatively affected. Implementing our plan to position the Company as a leading provider of industrial IoT products and solutions has required, and is expected to continue to require, additional investments by the Company in both product development and go-to-market resources and additional attention from management, and if not successful, we may not realize the return on our investments as anticipated or our operating results could be adversely affected by slower than expected sales growth or additional costs.</w:t>
      </w:r>
    </w:p>
    <w:p>
      <w:pPr>
        <w:spacing w:after="0" w:line="11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3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development of new solutions for mobile broadband data, vehicle tracking, asset management, fleet management and telemetry applications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risks that our products or solutions will not be accepted by customers as we enter new markets for our solutions, both in the United States and international markets.</w:t>
      </w:r>
    </w:p>
    <w:p>
      <w:pPr>
        <w:spacing w:after="0" w:line="6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79"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 consuming litigation or expensive licenses and our business could be harmed.</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spacing w:after="0" w:line="13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2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and proprietary rights, our competitive position and our business could be harmed.</w:t>
      </w:r>
    </w:p>
    <w:p>
      <w:pPr>
        <w:spacing w:after="0" w:line="129"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10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We may not be able to maintain and expand our business if we are not able to hire, retain and manage additional qualified personnel.</w:t>
      </w:r>
    </w:p>
    <w:p>
      <w:pPr>
        <w:spacing w:after="0" w:line="129"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spacing w:after="0" w:line="10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mobile hotspot business is subject to a number of challenges that are difficult to overcome.</w:t>
      </w:r>
    </w:p>
    <w:p>
      <w:pPr>
        <w:spacing w:after="0" w:line="171"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The mobile hotspot business has relatively low gross margins and operates in a very competitive market environment. While our mobile hotspot products tend to have advanced features which often enable them to be sold at premium prices when they are first introduced, we also have higher costs than most of our competitors due to our small scale and heavy use of U.S. based engineers in product development. Many of our competitors have substantially greater resources and scale, as would be expected in the relatively mature, consumer electronics product categories which comprise our mobile hotspot business. Our wireless data modem and mobile hotspots, for example, compete against similar products offered by Huawei, ZTE, Sierra Wireless, TCL, Franklin Wireless, WNC, Nokia and NETGEAR. More broadly, those products also compete against wireless handset manufacturers such as HTC, Apple, LG and Samsung, which all offer mobile hotspot capability as a feature of their cellular smartphones. Failure to manage these challenges, or failure of our hotspot product or service offerings to be successful and profitable, could have a material adverse effect on our financial condition and results of operations.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62"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We may need to raise substantial additional capital in the future to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188"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service requirements are significant, and we may not have sufficient cash flow from our business to pay our substantial debt.</w:t>
      </w:r>
    </w:p>
    <w:p>
      <w:pPr>
        <w:spacing w:after="0" w:line="35" w:lineRule="exact"/>
        <w:rPr>
          <w:sz w:val="20"/>
          <w:szCs w:val="20"/>
          <w:color w:val="auto"/>
        </w:rPr>
      </w:pPr>
    </w:p>
    <w:p>
      <w:pPr>
        <w:ind w:right="20" w:firstLine="405"/>
        <w:spacing w:after="0" w:line="236" w:lineRule="auto"/>
        <w:rPr>
          <w:sz w:val="20"/>
          <w:szCs w:val="20"/>
          <w:color w:val="auto"/>
        </w:rPr>
      </w:pPr>
      <w:r>
        <w:rPr>
          <w:rFonts w:ascii="Arial" w:cs="Arial" w:eastAsia="Arial" w:hAnsi="Arial"/>
          <w:sz w:val="18"/>
          <w:szCs w:val="18"/>
          <w:color w:val="auto"/>
        </w:rPr>
        <w:t>During the second quarter of 2020, we issued $180.4 million of 3.25% convertible senior notes due 2025 (the “2025 Notes”) and used a portion of the proceeds to repay our previous term loan in full and retire the 5.5% convertible senior notes due 2022 (the “2022 Notes” formerly referred to as the “Inseego Notes”). Our ability to make scheduled payments on, or to refinance our indebtedness,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relating to recent changes in our management team may adversely affect our operations.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Over the last three years, we have experienced significant turnover and additions to our senior management. While we expect to engage in an orderly transition process as we integrate newly appointed officers and managers, we face a variety of risks and uncertainties relating to the lack of management continuity, including diversion of management attention from business concerns, failure to retain other key personnel or inability to hire new key personnel. These risks and uncertainties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 w:name="page17"/>
    <w:bookmarkEnd w:id="16"/>
    <w:p>
      <w:pPr>
        <w:ind w:right="540"/>
        <w:spacing w:after="0" w:line="277" w:lineRule="auto"/>
        <w:rPr>
          <w:sz w:val="20"/>
          <w:szCs w:val="20"/>
          <w:color w:val="auto"/>
        </w:rPr>
      </w:pPr>
      <w:r>
        <w:rPr>
          <w:rFonts w:ascii="Arial" w:cs="Arial" w:eastAsia="Arial" w:hAnsi="Arial"/>
          <w:sz w:val="18"/>
          <w:szCs w:val="18"/>
          <w:color w:val="auto"/>
        </w:rPr>
        <w:t>could result in operational and administrative inefficiencies and added costs, which could adversely impact our results of operations, stock price and customer relationships.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CORPORATE DEVELOPMENT ACTIVITIES</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62"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2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as part of our growth strategy, acquire companies and businesses, and/or divest assets or businesses. The completion of acquisition or divestiture transactions could have an adverse effect on our financial condition.</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part of our business strategy, we may review acquisition and divestiture opportunities that we believe would be advantageous or complementary to the development of our business, including the Ctrack Transaction (defined and discussed</w:t>
      </w:r>
    </w:p>
    <w:p>
      <w:pPr>
        <w:spacing w:after="0" w:line="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below).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such as:</w:t>
      </w:r>
    </w:p>
    <w:p>
      <w:pPr>
        <w:spacing w:after="0" w:line="14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previous management to comply with applicable laws or regulations;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inaccurate representations;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unfulfilled contractual obligations to customers or vendors.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Following acquisitions and/or divestitures, our reorganized business may not perform as we or the market expects, which could have an adverse effect on the price of our common stock.</w:t>
      </w:r>
    </w:p>
    <w:p>
      <w:pPr>
        <w:spacing w:after="0" w:line="6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reorganized company resulting from any acquisitions and/or divestitures we pursue and consummate may not perform as we or the market expect. Risks associated with such acquisitions and divestitures, including the Ctrack Transaction, include the following:</w:t>
      </w:r>
    </w:p>
    <w:p>
      <w:pPr>
        <w:spacing w:after="0" w:line="8" w:lineRule="exact"/>
        <w:rPr>
          <w:sz w:val="20"/>
          <w:szCs w:val="20"/>
          <w:color w:val="auto"/>
        </w:rPr>
      </w:pPr>
    </w:p>
    <w:p>
      <w:pPr>
        <w:ind w:left="980" w:right="24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integrating new business acquisitions and divesting existing lines of business is a difficult, expensive and time-consuming process and will divert management’s attention from existing operations, and the failure to successfully manage such transitions could adversely affect our financial condition and results of operations;</w:t>
      </w:r>
    </w:p>
    <w:p>
      <w:pPr>
        <w:spacing w:after="0" w:line="21" w:lineRule="exact"/>
        <w:rPr>
          <w:rFonts w:ascii="Arial" w:cs="Arial" w:eastAsia="Arial" w:hAnsi="Arial"/>
          <w:sz w:val="18"/>
          <w:szCs w:val="18"/>
          <w:color w:val="auto"/>
        </w:rPr>
      </w:pPr>
    </w:p>
    <w:p>
      <w:pPr>
        <w:ind w:left="980" w:right="30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and divestitures may change the nature of the business in which we have historically operated, including entering markets in which we have limited or no prior experience, and if we are not able to effectively adjust to such changes in the fundamental nature of our business, our financial condition and results of operations may be adversely affected;</w:t>
      </w:r>
    </w:p>
    <w:p>
      <w:pPr>
        <w:spacing w:after="0" w:line="21"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assumptions with respect to future revenue, growth rates, expense rates and synergies resulting from acquisitions and/or divestitures may prove to be inaccurate, which may adversely affect the price of our common stock;</w:t>
      </w:r>
    </w:p>
    <w:p>
      <w:pPr>
        <w:spacing w:after="0" w:line="8" w:lineRule="exact"/>
        <w:rPr>
          <w:rFonts w:ascii="Arial" w:cs="Arial" w:eastAsia="Arial" w:hAnsi="Arial"/>
          <w:sz w:val="18"/>
          <w:szCs w:val="18"/>
          <w:color w:val="auto"/>
        </w:rPr>
      </w:pPr>
    </w:p>
    <w:p>
      <w:pPr>
        <w:ind w:left="980" w:right="160" w:hanging="324"/>
        <w:spacing w:after="0" w:line="316" w:lineRule="auto"/>
        <w:tabs>
          <w:tab w:leader="none" w:pos="9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it is possible that our key employees might decide not to remain with us as a result of these changes in our business or for other reasons, and the loss of such personnel could have a material adverse effect on our financial condition, results of operations and growth prospects;</w:t>
      </w:r>
    </w:p>
    <w:p>
      <w:pPr>
        <w:spacing w:after="0" w:line="1" w:lineRule="exact"/>
        <w:rPr>
          <w:rFonts w:ascii="Arial" w:cs="Arial" w:eastAsia="Arial" w:hAnsi="Arial"/>
          <w:sz w:val="16"/>
          <w:szCs w:val="16"/>
          <w:color w:val="auto"/>
        </w:rPr>
      </w:pPr>
    </w:p>
    <w:p>
      <w:pPr>
        <w:ind w:left="980" w:right="58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relationships with third parties, including key vendors and customers, may be affected by changes in our business resulting from these acquisitions and divestitures, and any adverse changes in these third party relationships could adversely affect our business, financial condition and results of operations;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 w:name="page18"/>
    <w:bookmarkEnd w:id="17"/>
    <w:p>
      <w:pPr>
        <w:ind w:left="980" w:right="50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of our common stock may be affected by factors different from those that affected the price of our common stock prior to such acquisitions and/or divestitures.</w:t>
      </w:r>
    </w:p>
    <w:p>
      <w:pPr>
        <w:spacing w:after="0" w:line="62"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As a result, if we fail to properly evaluate or implement acquisitions or divestitures, we may not achieve the anticipated benefits of any such transactions, and we may incur unanticipated costs, either of which could harm our business and operating results.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cannot provide any assurance that we will be successful in divesting assets we wish to sell, including the divestiture of our Ctrack South African Operations.</w:t>
      </w:r>
    </w:p>
    <w:p>
      <w:pPr>
        <w:spacing w:after="0" w:line="6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February 24, 2021, we entered into a Share Purchase Agreement pursuant to which an affiliate of Convergence Partners (“Convergence”), an investment management firm in South Africa, has agreed to acquire the South African operations of Ctrack, in an all-cash transaction for 528.9 million South African Rand (ZAR) (approximately $36.2 million United States Dollar (“USD”) based on an exchange rate on February 24, 2021 of 14.62 ZAR to 1 USD) (the “Ctrack Transaction”). The Ctrack Transaction is subject to certain closing conditions, including, among other things, regulatory approvals and Convergence closing a new $100 million investment fund. There can be no assurance that the conditions to the closing of the Ctrack Transaction will ever be satisfied or waived, and, therefore, the Ctrack Transaction may never be consummated.</w:t>
      </w:r>
    </w:p>
    <w:p>
      <w:pPr>
        <w:spacing w:after="0" w:line="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If the Ctrack Transaction with Convergence is not consummated, our business may be materially affected. In addition to not realizing any of the benefits of completing the Ctrack Transaction, our business may be subject to several additional risks, including reputational risks and negative publicity, difficulties in finding other acquirors or alternative exit strategies for the Ctrack business on terms that are favorable to us, additional expenses, such as legal, accounting and financial advisory fees, and negative reactions from our customers, suppliers or employees. Each of these risks could harm our ability to achieve our planned strategic objectives, which, in turn, could adversely impact our ongoing business, financial condition, results of operations and the market price of our common stock.</w:t>
      </w:r>
    </w:p>
    <w:p>
      <w:pPr>
        <w:spacing w:after="0" w:line="84"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Even if the Ctrack Transaction is consummated, the Ctrack Transaction may never achieve some or all of its anticipated benefits. It is anticipated that the Company would provide transition services for at least a six month period following the consummation of the Ctrack Transaction, which could create additional and ongoing operational risks. In addition, the Ctrack Transaction only involves the sale of Ctrack’s South African operations, and portions of the Ctrack operations would remain with the Company following the consummation of the Ctrack Transaction. These remaining Ctrack operations would need to be rebranded, which could create operational and reputational risks for the Company.</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“Item 15. Subsequent Events–Sale of Ctrack South Africa Operations” for further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the products and services that we offer is rapidly evolving and highly competitive. We may be unable to compete effectively.</w:t>
      </w:r>
    </w:p>
    <w:p>
      <w:pPr>
        <w:spacing w:after="0" w:line="127"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supplier-related developments, or a shift in the business landscape. They also may devote greater or more effective resources than we do to the development, manufacture, promotion, sale, and post-sale support of their respective products and services.</w:t>
      </w:r>
    </w:p>
    <w:p>
      <w:pPr>
        <w:spacing w:after="0" w:line="107" w:lineRule="exact"/>
        <w:rPr>
          <w:sz w:val="20"/>
          <w:szCs w:val="20"/>
          <w:color w:val="auto"/>
        </w:rPr>
      </w:pPr>
    </w:p>
    <w:p>
      <w:pPr>
        <w:ind w:right="140" w:firstLine="445"/>
        <w:spacing w:after="0" w:line="270" w:lineRule="auto"/>
        <w:rPr>
          <w:sz w:val="20"/>
          <w:szCs w:val="20"/>
          <w:color w:val="auto"/>
        </w:rPr>
      </w:pPr>
      <w:r>
        <w:rPr>
          <w:rFonts w:ascii="Arial" w:cs="Arial" w:eastAsia="Arial" w:hAnsi="Arial"/>
          <w:sz w:val="17"/>
          <w:szCs w:val="17"/>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8" w:name="page19"/>
    <w:bookmarkEnd w:id="18"/>
    <w:p>
      <w:pPr>
        <w:ind w:right="560" w:firstLine="445"/>
        <w:spacing w:after="0" w:line="277" w:lineRule="auto"/>
        <w:rPr>
          <w:sz w:val="20"/>
          <w:szCs w:val="20"/>
          <w:color w:val="auto"/>
        </w:rPr>
      </w:pPr>
      <w:r>
        <w:rPr>
          <w:rFonts w:ascii="Arial" w:cs="Arial" w:eastAsia="Arial" w:hAnsi="Arial"/>
          <w:sz w:val="18"/>
          <w:szCs w:val="18"/>
          <w:color w:val="auto"/>
        </w:rPr>
        <w:t>Our products compete with a variety of solutions, including other wireless modems and mobile hotspots, wireless handsets, wireless handheld computing devices, IoT wireless solutions and enterprise software solutions. Our current competitors include:</w:t>
      </w:r>
    </w:p>
    <w:p>
      <w:pPr>
        <w:spacing w:after="0" w:line="62"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mobile hotspot providers, such as NETGEAR, Franklin Wireless, WNC, Sierra Wireless, Nokia, TCL, ZTE and Huawei;</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17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5G fixed wireless access gateway business is subject to a number of challenges that will be difficult to overcome.</w:t>
      </w:r>
    </w:p>
    <w:p>
      <w:pPr>
        <w:spacing w:after="0" w:line="158" w:lineRule="exact"/>
        <w:rPr>
          <w:sz w:val="20"/>
          <w:szCs w:val="20"/>
          <w:color w:val="auto"/>
        </w:rPr>
      </w:pPr>
    </w:p>
    <w:p>
      <w:pPr>
        <w:ind w:right="100" w:firstLine="364"/>
        <w:spacing w:after="0" w:line="259" w:lineRule="auto"/>
        <w:rPr>
          <w:sz w:val="20"/>
          <w:szCs w:val="20"/>
          <w:color w:val="auto"/>
        </w:rPr>
      </w:pPr>
      <w:r>
        <w:rPr>
          <w:rFonts w:ascii="Arial" w:cs="Arial" w:eastAsia="Arial" w:hAnsi="Arial"/>
          <w:sz w:val="18"/>
          <w:szCs w:val="18"/>
          <w:color w:val="auto"/>
        </w:rPr>
        <w:t>The developing market for 5G fixed wireless access devices is very competitive. In addition to other challenges, our fixed wireless access gateway products compete against similar products offered by mature companies, including Samsung, Ericsson, Nokia and Wistron NeWeb Corporation. Failure to manage these challenges, or failure of our fixed wireless access business to grow to become successful and profitable, could have a material adverse effect on our financial condition and results of operations.</w:t>
      </w:r>
    </w:p>
    <w:p>
      <w:pPr>
        <w:spacing w:after="0" w:line="13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3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market for asset management and fleet management solutions and the markets for telemetry and tracking solutions are all highly fragmented, consisting of a large number of vendors, competitive and rapidly changing product and service offerings, with relatively low barriers to entry. Competition in all these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For example, in the telematics market, mobile service and software providers, such as Google and makers of GPS navigation devices, such as Garmin, provide limited services at lower prices or at no charge, such as basic GPS- based mapping, tracking and turn-by-turn directions that could be expanded or further developed to more directly compete with our fleet management solutions. In addition, wireless carriers, such as Verizon Wireless, offer fleet management solutions that benefit from the carrier’s scale and cost advantages which we are unable to match. Similarly, vehicle OEMs may provide factory-installed devices and effectively compete against us directly or indirectly by partnering with other fleet management suppliers. We can provide no assurances that we will be able to compete effectively in this ecosystem as the competitive landscape continues to develop. Competition could result in reduced operating margins, increased sales and marketing expenses and the loss of market share, any of which would likely cause serious harm to our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loss of customers or a reduction in revenue.</w:t>
      </w:r>
    </w:p>
    <w:p>
      <w:pPr>
        <w:spacing w:after="0" w:line="104"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 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a reduction in our revenue or increased costs as we seek ways to become more competitive.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RISKS RELATED TO OUR CUSTOMERS AND DEMAND FOR OUR SOLUTIONS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markets could impair our ability to remain competitive and adversely affect our results of operations.</w:t>
      </w:r>
    </w:p>
    <w:p>
      <w:pPr>
        <w:spacing w:after="0" w:line="6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All of the markets in which we operate are characterized by rapid technological change, frequent introductions of new products, services and solutions and evolving customer demands. In addition, we are affected by changes in the many industries related to the products or services we offer, including the aviation, automotive, telematics, wireless telemetry, GPS navigation 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some segments of our telematics or asset tracking service offerings. If we are unable to adapt to rapid technological change, it could adversely affect our results of operations and our ability to remain competitive.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104"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A key element of our business strategy is to penetrate new markets by developing new service offerings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depend upon Verizon Wireless for a substantial portion of our revenues, and our business would be negatively affected by an adverse change in our dealings with this customer.</w:t>
      </w:r>
    </w:p>
    <w:p>
      <w:pPr>
        <w:spacing w:after="0" w:line="62"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As a result of the significant revenues associated with our MiFi business, sales to Verizon Wireless accounted for 55% and 53% of our consolidated net revenues for each of the years ended December 31, 2020 and 2019, respectively. While we have accelerated our engagements with prospective new MiFi customers and continue to focus on growing revenue in other parts of our business, we expect that Verizon Wireless will continue to account for a substantial portion of our net revenues, and any impairment of our relationship with Verizon Wireless would adversely affect our business. Additionally, any change in the forecasted or actual product sell-through of Verizon Wireless could have a detrimental impact on our revenue, bottom line and cash position.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retain and increase sales to our existing customers, which could negatively impact our financial results.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We generally seek to license our software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1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Another part of our growth strategy is to sell additional subscriptions to existing customers as their fleet sizes or asset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20" w:name="page21"/>
    <w:bookmarkEnd w:id="20"/>
    <w:p>
      <w:pPr>
        <w:ind w:right="20"/>
        <w:spacing w:after="0" w:line="342" w:lineRule="auto"/>
        <w:rPr>
          <w:sz w:val="20"/>
          <w:szCs w:val="20"/>
          <w:color w:val="auto"/>
        </w:rPr>
      </w:pPr>
      <w:r>
        <w:rPr>
          <w:rFonts w:ascii="Arial" w:cs="Arial" w:eastAsia="Arial" w:hAnsi="Arial"/>
          <w:sz w:val="16"/>
          <w:szCs w:val="16"/>
          <w:color w:val="auto"/>
        </w:rPr>
        <w:t>portfolios increase. We cannot be assured that our customers’ fleet sizes or asset portfolios will continue to increase. A significant decrease in our ability to sell additional functionality or subscriptions to existing customers could have an adverse effect on our business, financial condition, and operating results.</w:t>
      </w:r>
    </w:p>
    <w:p>
      <w:pPr>
        <w:spacing w:after="0" w:line="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Loss of, or a significant reduction in business from, one or more enterprise or government customers could adversely affect our revenue and profitability.</w:t>
      </w:r>
    </w:p>
    <w:p>
      <w:pPr>
        <w:spacing w:after="0" w:line="35"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Loss of one or more of our large enterprise or government customers could result in a meaningful decrease in revenue and profitability, as well as a material increase in our customer churn rate. Because of the variability of industries in which our enterprise and government customers operate and the unpredictability of economic conditions in any particular industry which comprises a significant number of our enterprise or government customers, the composition of, and the volume of business from, our enterprise and government customers is likely to change over time.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economic conditions or reduced spending on information technology solutions may adversely impact our revenue and profitability.</w:t>
      </w:r>
    </w:p>
    <w:p>
      <w:pPr>
        <w:spacing w:after="0" w:line="14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marketability of our products may suffer if wireless telecommunications operators do not deliver acceptable wireless services.</w:t>
      </w:r>
    </w:p>
    <w:p>
      <w:pPr>
        <w:spacing w:after="0" w:line="115"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9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practices of insurance companies in the markets in which we provide our solutions could materially and adversely affect demand for products and services.</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depend in part on the practices of insurance companies in some of our markets to support demand for certain of our products and services. For example, in South Africa, which is currently the largest market for our Ctrack products and services,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8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accepting mobile asset location technologies such as ours as a preferred security product;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premium discounts for using location and recovery products and services such as ours;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mandating the use of our products and services, or similar products and services, for certain vehicles.</w:t>
      </w:r>
    </w:p>
    <w:p>
      <w:pPr>
        <w:spacing w:after="0" w:line="17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If any of these policies or practices change, revenues from sale of our products and services could decline, which would materially and adversely affect our business, results of operations and financial condition.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Reduction in regulation in certain markets may adversely impact demand for certain of our solutions by reducing the necessity for, or desirability of, our solutions.</w:t>
      </w:r>
    </w:p>
    <w:p>
      <w:pPr>
        <w:spacing w:after="0" w:line="1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Regulatory compliance and reporting is driven by legislation and requirements, which are often subject to change, from regulatory authorities in nearly every jurisdiction globally. For example, in the United States, fleet operators can face numerous complex regulatory requirements, including mandatory Compliance, Safety and Accountability driver safety scoring, hours of service, compliance and fuel tax reporting. The reduction in regulation in certain markets may adversely impact demand for certain of our solutions, which could materially and adversely affect our business, financial condition and results of operations.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RISKS RELATED TO DEVELOPING, MANUFACTURING AND DELIVERING OUR SOLUTIONS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6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We currently outsource the manufacturing of many of our products to companies including Foxconn and AsiaTelco Technologies Co. In addition, in 2016 we sold portions of our IoT modules business to Telit Wireless Solutions, Inc. (“Telit”), and we now rely on Telit to supply us with modules that are critical to the functionality of some of our telematics hardware devices, including devices sold or deployed by Ctrack.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113"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76"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been moving production to one or more new contract manufacturers, which exposes us to a number of risks and uncertainties outside our control.</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have been moving some production to new contract manufacturers, some of whom we have not contracted with in the past. If our new contract manufacturers are not able to produce our products in the quantities needed prior to the agreed upon delivery dates, or are not able to produce our products in conformity with our quality standards, product shipments to our customers could be delayed or rejected. As a result, our customers may elect to cancel orders or place fewer orders in the future. Such delays, rejections, cancellation or reductions in orders would negatively impact our revenues, competitive position and reputation. Further, if we are unable to successfully manage our relationship with a contract manufacturer, the quality and availability of our products may be harmed.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2" w:name="page23"/>
    <w:bookmarkEnd w:id="22"/>
    <w:p>
      <w:pPr>
        <w:ind w:right="160"/>
        <w:spacing w:after="0" w:line="342" w:lineRule="auto"/>
        <w:rPr>
          <w:sz w:val="20"/>
          <w:szCs w:val="20"/>
          <w:color w:val="auto"/>
        </w:rPr>
      </w:pPr>
      <w:r>
        <w:rPr>
          <w:rFonts w:ascii="Arial" w:cs="Arial" w:eastAsia="Arial" w:hAnsi="Arial"/>
          <w:sz w:val="16"/>
          <w:szCs w:val="16"/>
          <w:b w:val="1"/>
          <w:bCs w:val="1"/>
          <w:i w:val="1"/>
          <w:iCs w:val="1"/>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16"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Our services use hardware and software from various third parties, some of which are procured from single suppliers. For example, some of our vehicle tracking and fleet management solutions rely on telecommunications modules procured from Telit and our MiFi mobile hotspots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corporate offices are located in San Diego, California near major earthquake faults and fire zones.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effects of COVID-19 and other potential future public health crises, epidemics, pandemics or similar events on our business, operating results and cash flows are uncertain.</w:t>
      </w:r>
    </w:p>
    <w:p>
      <w:pPr>
        <w:spacing w:after="0" w:line="19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219"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While the COVID-19 pandemic has led to an increase in demand for our products, particularly our MiFi and mobile wireless devices, relative to historic trends, this increased demand, as well as the revenues, net income and other financial and operating data associated therewith, may not be indicative of results for future periods. Temporary precautionary measures intended to help minimize the risk of the pandemic to our employees and to comply with government mandated closures and “shelter-in-place” orders have been put in place, including temporarily requiring most employees to work remotely, suspending all non-essential travel worldwide for our employees, and suspending employee attendance at industry events and in-person work-related meetings. These efforts could negatively affect our business. While most of our global operations have continued to operate, facility closures or work slowdowns or temporary stoppages could occur. In addition, different countries have different practices and policies that can affect our international operations and the operations of our suppliers and customers. For example, our business in South Africa has not been able to perform new domestic installations or installations in other jurisdictions in observance of such countries’ COVID-19 policies, which we believe may adversely impact revenues from Ctrack. Any impact is dependent on the length of the closure.</w:t>
      </w:r>
    </w:p>
    <w:p>
      <w:pPr>
        <w:spacing w:after="0" w:line="212"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In addition, we rely on contract manufacturers and other companies to provide materials, components and products that we sell to our customers. The continued spread of COVID-19 could negatively affect the operations at our third-party manufacturers, which could result in delays or disruptions in the supply of our products and could impact our ability to meet customer demand. If we are not able to implement alternatives or other mitigations with respect to suppliers that may have potential delivery impacts due to COVID-19, our sales and financial results could be adversely impacted.</w:t>
      </w:r>
    </w:p>
    <w:p>
      <w:pPr>
        <w:spacing w:after="0" w:line="18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COVID-19 outbreak is a widespread health crisis that could adversely affect the economies and financial markets of many countries, resulting in an economic downturn that could affect longer-term demand for our products and likely impact our operating results. The impact of COVID-19 could worsen if there is an extended duration of any COVID-19 outbreak or a resurgence of COVID-19 infection in affected regions after they have begun to experience improvement. Prolonged impacts of</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ind w:right="20"/>
        <w:spacing w:after="0" w:line="301" w:lineRule="auto"/>
        <w:rPr>
          <w:sz w:val="20"/>
          <w:szCs w:val="20"/>
          <w:color w:val="auto"/>
        </w:rPr>
      </w:pPr>
      <w:r>
        <w:rPr>
          <w:rFonts w:ascii="Arial" w:cs="Arial" w:eastAsia="Arial" w:hAnsi="Arial"/>
          <w:sz w:val="16"/>
          <w:szCs w:val="16"/>
          <w:color w:val="auto"/>
        </w:rPr>
        <w:t>COVID-19 could result in delays in payment by customers, the speed of regulatory approvals such as FCC and other licenses that are needed for releases of new products, and delays in new 5G network rollouts. Current limitations on travel to customer locations could impact international orders. Accordingly, recent growth in our business may not continue into the future, and you should not rely on our revenue or key business metrics for any previous quarterly or annual period as any indication of our revenue, revenue growth, key business metrics, or key business metrics growth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117"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12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62"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62"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2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16"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19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40" w:firstLine="405"/>
        <w:spacing w:after="0" w:line="291" w:lineRule="auto"/>
        <w:rPr>
          <w:sz w:val="20"/>
          <w:szCs w:val="20"/>
          <w:color w:val="auto"/>
        </w:rPr>
      </w:pPr>
      <w:r>
        <w:rPr>
          <w:rFonts w:ascii="Arial" w:cs="Arial" w:eastAsia="Arial" w:hAnsi="Arial"/>
          <w:sz w:val="16"/>
          <w:szCs w:val="16"/>
          <w:color w:val="auto"/>
        </w:rPr>
        <w:t>“Over-the-air”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spacing w:after="0" w:line="1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solutions rely on cellular and GPS networks and any disruption, failure or increase in costs could impede our profitability and harm our financial results.</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Two critical links in our current solutions are between in-vehicle devices and GPS satellites and between in-vehicle devices or customer premise equipment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in-vehicle devices or customer premise equipment, requiring retrofitting of our devices could increase our costs and impact our profitability. In addition, technologies that rely on GPS depend on the use of radio frequency bands and any modification of the permitted uses of these bands may adversely affect the functionality of GPS and, in turn, our solutions.</w:t>
      </w:r>
    </w:p>
    <w:p>
      <w:pPr>
        <w:spacing w:after="0" w:line="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mobile carriers can and will discontinue radio frequency technologies as they become obsolete. If we are unable to design our solutions into new technologies such as 4G, 4G LTE and 5G or 5G NR, our future prospects and revenues could be limited.</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significant disruption in service on our websites or in our computer systems could damage our reputation and result in a loss of customers, which would harm our business and operating results.</w:t>
      </w:r>
    </w:p>
    <w:p>
      <w:pPr>
        <w:spacing w:after="0" w:line="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brand, reputation, and ability to attract, retain, and serve our customers are dependent upon the reliable performance of our services and our customers’ ability to access our solutions at all times. Our customers rely on our solutions to make operating decisions related to their businesses,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operating results, including reducing our revenue, causing us to issue credits to customers, subjecting us to potential liability, harming our churn rates, or increasing our cost of acquiring new customers.</w:t>
      </w:r>
    </w:p>
    <w:p>
      <w:pPr>
        <w:spacing w:after="0" w:line="12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host our solutions and serve our South African customers from our network servers, which are located at our data center facilities in South Africa. In other geographies, we host our solutions and serve our customers from network servers hosted by third parties, which are located at data center facilities in the United States, Europe and Australia. If these data centers are unable to keep up with our growing needs for capacity, this could have an adverse effect on our business. Our disaster recovery systems are located at third-party hosting facilities, except in South Africa where we manage our own disaster recovery system at an offsite facility.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products.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churn rates.</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62"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Certain of our customer agreements currently, and may in the future, provide minimum service level commitments regarding items such as system availability, functionality or performance. If we are unable to meet the stated service level commitments for these customers or suffer extended periods of service unavailability, we are or may be contractually obligated to provide these customers with credits for future subscriptions, provide services at no cost, or pay other penalties which could adversely impact our revenue. We do not currently have any reserves on our balance sheet for these commitments</w:t>
      </w:r>
      <w:r>
        <w:rPr>
          <w:rFonts w:ascii="Arial" w:cs="Arial" w:eastAsia="Arial" w:hAnsi="Arial"/>
          <w:sz w:val="16"/>
          <w:szCs w:val="16"/>
          <w:i w:val="1"/>
          <w:iCs w:val="1"/>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100"/>
        <w:spacing w:after="0" w:line="259" w:lineRule="auto"/>
        <w:rPr>
          <w:sz w:val="20"/>
          <w:szCs w:val="20"/>
          <w:color w:val="auto"/>
        </w:rPr>
      </w:pPr>
      <w:r>
        <w:rPr>
          <w:rFonts w:ascii="Arial" w:cs="Arial" w:eastAsia="Arial" w:hAnsi="Arial"/>
          <w:sz w:val="18"/>
          <w:szCs w:val="18"/>
          <w:b w:val="1"/>
          <w:bCs w:val="1"/>
          <w:i w:val="1"/>
          <w:iCs w:val="1"/>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79"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are dependent on information technology networks and systems, including the Internet, to process, transmit and store electronic information and, in the normal course of our business, we collect and retain certain information pertaining to our customers and employees. The protection of customer and employee data is critical to us. We devote significant resources to addressing security vulnerabilities in our products and information technology systems, however, the security measures put in place by us cannot provide absolute security, and our information technology infrastructure may be vulnerable to criminal cyber-attacks or data security incidents due to employee or customer error, malfeasance, or other vulnerabilities. Cybersecurity attacks are increasingly sophisticated, change frequently, and often go undetected until after an attack has been launched. We may fail to identify these new and complex methods of attack or fail to invest sufficient resources in security measures. We cannot be certain that advances in cyber-capabilities or other developments will not compromise or breach the technology protecting the networks that access our services.</w:t>
      </w:r>
    </w:p>
    <w:p>
      <w:pPr>
        <w:spacing w:after="0" w:line="1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cyber-attacks become more sophisticated, the need to develop our infrastructure to secure our business and customer data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w:t>
      </w:r>
    </w:p>
    <w:p>
      <w:pPr>
        <w:spacing w:after="0" w:line="133"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If a security breach occurs, our reputation, business, results of operations and financial condition could be harmed. We may also be subject to costly notification and remediation requirements if we, or a third party, determines that we have been the subject of a data breach involving personal information of individuals. Though it is difficult to determine what harm may directly result from any specific interruption or security breach, any failure or perceived failure to maintain performance, reliability, security and availability of systems or the actual or potential theft, loss, fraudulent use or misuse of our products or the personally identifiable data of a customer or employee, could result in harm to our reputation or brand, which could lead some customers to seek to stop using certain of our services, reduce or delay future purchases of our services, use competing services, or materially and adversely affect the overall market perception of the security and reliability of our services. A security breach also exposes us to litigation and legal risks, including regulatory actions by state and federal governmental authorities and non-U.S. authorities. We may not have adequate insurance coverages for a cybersecurity breach or may realize increased insurance premiums as a result of a security breach. Ultimately, a security breach exposes the Company to potential reputational harm among its customers and investors, along with uncertain damages to our competitiveness, stock price, and long-term shareholder value.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global nature of our operations, we are subject to political and economic risks of doing business internationally.</w:t>
      </w:r>
    </w:p>
    <w:p>
      <w:pPr>
        <w:spacing w:after="0" w:line="117"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Our largest subsidiary, Ctrack, is headquartered in South Africa and conducts business in over 50 countries. Most of our employees are located outside the United States, and international revenue represents a significant percentage of our worldwide revenue. The risks inherent in global operations include:</w:t>
      </w:r>
    </w:p>
    <w:p>
      <w:pPr>
        <w:spacing w:after="0" w:line="2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managing sales, product development and logistics and support across continents;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63" w:lineRule="exact"/>
        <w:rPr>
          <w:rFonts w:ascii="Arial" w:cs="Arial" w:eastAsia="Arial" w:hAnsi="Arial"/>
          <w:sz w:val="18"/>
          <w:szCs w:val="18"/>
          <w:color w:val="auto"/>
        </w:rPr>
      </w:pPr>
    </w:p>
    <w:p>
      <w:pPr>
        <w:ind w:left="980" w:right="540" w:hanging="324"/>
        <w:spacing w:after="0" w:line="298" w:lineRule="auto"/>
        <w:tabs>
          <w:tab w:leader="none" w:pos="9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lack of familiarity with, and unexpected changes in, foreign laws, regulations and legal standards, including employment laws, product liability laws, privacy laws and environmental laws, which may vary widely across the countries in which we operate;</w:t>
      </w:r>
    </w:p>
    <w:p>
      <w:pPr>
        <w:ind w:left="980" w:right="14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U.S. Foreign Corrupt Practices Act (the “FCPA”) and Office of Foreign Assets Control regulations;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and potentially adverse tax consequences of, foreign tax regimes;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 currency exchange controls, price controls and limitations on repatriation of earnings;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labor laws;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6" w:name="page27"/>
    <w:bookmarkEnd w:id="26"/>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acts of terrorism and other security concerns;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 such as tariffs, duties, taxes or other controls;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63"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product development costs due to differences among countries’ safety regulations and radio frequency allocation schemes and standards;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warranty terms and broader product warranty requirements;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expense related to localization of products and development of foreign language marketing and sales materials;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difficulty in collecting accounts receivable in foreign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reorganizations in various locations;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restrictive employment regulations;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increased expense in implementing corporate policies and controls;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international intellectual property laws, which may be more restrictive or offer lower levels of protection than U.S. law;</w:t>
      </w:r>
    </w:p>
    <w:p>
      <w:pPr>
        <w:spacing w:after="0" w:line="63"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If we are unable to successfully manage these and other risks associated with managing and expanding our international business, the risks could have a material adverse effect on our business, results of operations or financial condition.</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economic conditions or jurisdictions where we have significant foreign operations could have a material adverse effect on our results of operations and financial condition.</w:t>
      </w:r>
    </w:p>
    <w:p>
      <w:pPr>
        <w:spacing w:after="0" w:line="62"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As a result of weak or deteriorating economic conditions globally, or in certain jurisdictions where we have significant foreign operations such as South Africa, we could experience lower demand for our products, which could adversely impact 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spacing w:after="0" w:line="1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political conditions where we have significant business interests could have a material adverse effect on our business, results of operations and financial condition.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sell to customers throughout the world and we currently have operations and activities in South Africa, Europe, China and other Asian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political risks associated with the Company’s global operations include:</w:t>
      </w:r>
    </w:p>
    <w:p>
      <w:pPr>
        <w:spacing w:after="0" w:line="103" w:lineRule="exact"/>
        <w:rPr>
          <w:sz w:val="20"/>
          <w:szCs w:val="20"/>
          <w:color w:val="auto"/>
        </w:rPr>
      </w:pPr>
    </w:p>
    <w:p>
      <w:pPr>
        <w:ind w:left="980" w:right="4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and commercial instability risks, corruption and changes in local government laws, regulations and policies, such as those related to tariffs and trade barriers, taxation, exchange controls, employment regulations and repatriation of earnings;</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instability, civil unrest, expropriation, nationalization of properties by a government, imposition of sanctions and changes to import or export regulations and fees;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conflicts, territorial disputes, war or terrorist activities;</w:t>
      </w:r>
    </w:p>
    <w:p>
      <w:pPr>
        <w:spacing w:after="0" w:line="11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major public health issues, such as an outbreak of a pandemic or epidemic, which could cause disruptions in our operations or workforce, or the supply of products;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enforcing intellectual property and contractual rights in certain jurisdictions.</w:t>
      </w:r>
    </w:p>
    <w:p>
      <w:pPr>
        <w:spacing w:after="0" w:line="117"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impact of any of the foregoing factors is difficult to predict, and any one or more of them could adversely affect our business, operating results and financial condition. Existing insurance arrangements may not provide protection for the costs that may arise from such events.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p>
      <w:pPr>
        <w:ind w:right="54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especially the South African Rand against the U.S. Dollar, could adversely affect our results of operations.</w:t>
      </w:r>
    </w:p>
    <w:p>
      <w:pPr>
        <w:spacing w:after="0" w:line="49"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We have particularly large exposure in South Africa where our Ctrack subsidiary is headquartered and the costs of operating in South Africa are subject to the effects of exchange fluctuations of the South African Rand against the U.S. Dollar. Fluctuations in the value of foreign currencies, particularly the South African Rand against the U.S. Dollar, will create greater uncertainty in our revenues and can significantly and adversely affect our operating results. The South African Rand exchange rate is affected by various international and South African economic and political factors.</w:t>
      </w:r>
    </w:p>
    <w:p>
      <w:pPr>
        <w:spacing w:after="0" w:line="58"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We do not currently employ any vehicles as a hedge against currency fluctuations, however, we may decide to use hedging vehicles in the future. At times, we may attempt to manage the risk associated with currency changes, in part, by minimizing the effects of volatility on cash flows by identifying forecasted transactions exposed to these risks, or we may decide to use hedging vehicles such as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efforts in certain countries in which we operate could materially increase our costs or limit our flexibility.</w:t>
      </w:r>
    </w:p>
    <w:p>
      <w:pPr>
        <w:spacing w:after="0" w:line="117"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Certain of our employees and contractors in South Africa are represented by labor unions or work under collective bargaining or similar agreements, which are subject to periodic renegotiation. Efforts may also be made from time to time to unionize other portions of our global workforce. In addition, we may be subject to strikes or work stoppages and other labor disruptions in the future. Additional unionization efforts, new or renegotiated collective bargaining agreements or work stoppages could materially increase our costs, reduce our net revenues or limit our operational flexibility.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REGULATIONS, TAXATION AND ACCOUNTING MATTERS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international operations may increase our exposure to potential liability under anti-corruption, trade protection, tax and other laws and regulations.</w:t>
      </w:r>
    </w:p>
    <w:p>
      <w:pPr>
        <w:spacing w:after="0" w:line="62"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03"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130"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13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 governmental challenge to our transfer pricing policies or practices could impose significant costs on us.</w:t>
      </w:r>
    </w:p>
    <w:p>
      <w:pPr>
        <w:spacing w:after="0" w:line="212" w:lineRule="exact"/>
        <w:rPr>
          <w:sz w:val="20"/>
          <w:szCs w:val="20"/>
          <w:color w:val="auto"/>
        </w:rPr>
      </w:pPr>
    </w:p>
    <w:p>
      <w:pPr>
        <w:ind w:right="540" w:firstLine="405"/>
        <w:spacing w:after="0" w:line="259" w:lineRule="auto"/>
        <w:rPr>
          <w:sz w:val="20"/>
          <w:szCs w:val="20"/>
          <w:color w:val="auto"/>
        </w:rPr>
      </w:pPr>
      <w:r>
        <w:rPr>
          <w:rFonts w:ascii="Arial" w:cs="Arial" w:eastAsia="Arial" w:hAnsi="Arial"/>
          <w:sz w:val="18"/>
          <w:szCs w:val="18"/>
          <w:color w:val="auto"/>
        </w:rPr>
        <w:t>Our company has intercompany transactions with its subsidiaries and consequently closely monitors the appropriateness of our transfer pricing policies and compliance therewith. The global transfer pricing environment, including with respect to operational and reporting requirements, is continuously evolving and subject to input from multiple sources and jurisdictions. These complexities require management to closely monitor new developments, which it does.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countries routinely examine transfer pricing policies of taxpayers subject to their jurisdiction, and authorities challenge transfer pricing policies aggressively where there is potential non-compliance and impose interest and penalties where non-compliance is determined. Although the documentation of and support for our transfer pricing policies has not been the subject of a governmental proceeding beyond examination to date, there can be no assurance that a governmental authority will not challenge these policies more aggressively in the future or, if challenged, that we will prevail. We could suffer costs related to one or more challenges to our transfer pricing policies.</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do not achieve applicable black economic empowerment objectives in our South African businesses, we risk not being able to renew certain of our existing contracts which service South African government and quasi-governmental customers, as well as not being awarded future corporate and governmental contracts which would result in the loss of revenue.</w:t>
      </w:r>
    </w:p>
    <w:p>
      <w:pPr>
        <w:spacing w:after="0" w:line="76" w:lineRule="exact"/>
        <w:rPr>
          <w:sz w:val="20"/>
          <w:szCs w:val="20"/>
          <w:color w:val="auto"/>
        </w:rPr>
      </w:pPr>
    </w:p>
    <w:p>
      <w:pPr>
        <w:ind w:right="140" w:firstLine="445"/>
        <w:spacing w:after="0" w:line="293" w:lineRule="auto"/>
        <w:rPr>
          <w:sz w:val="20"/>
          <w:szCs w:val="20"/>
          <w:color w:val="auto"/>
        </w:rPr>
      </w:pPr>
      <w:r>
        <w:rPr>
          <w:rFonts w:ascii="Arial" w:cs="Arial" w:eastAsia="Arial" w:hAnsi="Arial"/>
          <w:sz w:val="16"/>
          <w:szCs w:val="16"/>
          <w:color w:val="auto"/>
        </w:rPr>
        <w:t>The South African government, through the Broad-Based Black Economic Empowerment Act, No. 53 of 2003, and the codes of good practice and industry charters published pursuant thereto (collectively “BBBEE”), has established a legislative framework for the promotion of broad-based black economic empowerment. Achievement of BBBEE objectives is measured by a scorecard which establishes a weighting for the various components of BBBEE. BBBEE objectives are pursued in significant part by requiring parties who contract with corporate, governmental or quasi-governmental entities in South Africa to achieve BBBEE compliance through satisfaction of an applicable scorecard. Parties improve their BBBEE score when contracting with businesses that have earned good BBBEE ratings in relation to their scorecards (this includes black-owned businesses).</w:t>
      </w:r>
    </w:p>
    <w:p>
      <w:pPr>
        <w:spacing w:after="0" w:line="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Ctrack has material contracts with governmental entities that require it to maintain minimum BBBEE rating levels as measured under the BBBEE scorecard. Failure to achieve applicable BBBEE objectives could jeopardize our ability to maintain existing business or to secure future business from these and other corporate, governmental or quasi-governmental customers that could materially and adversely affect our business, financial condition and results of operations.</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required to comply with South African labor laws with respect to certain of our employees and face the risk of disruption from labor disputes in South Africa, which could result in additional operating costs.</w:t>
      </w:r>
    </w:p>
    <w:p>
      <w:pPr>
        <w:spacing w:after="0" w:line="62"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South African laws relating to labor that regulate work time, provide for mandatory compensation in the event of termination of employment for operational reasons, and impose monetary penalties for non-compliance with administrative and reporting requirements in respect of affirmative action policies, could result in additional operating costs. In addition, future changes to South African legislation and regulations relating to labor may increase our costs or alter our relationship with our employees and result in labor disruptions. Resulting disruptions could materially and adversely affect our business, results of operations and financial condition.</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Socio-economic inequality in South Africa or regionally may subject us to political and economic risks which may affect the ownership or operation of our business.</w:t>
      </w:r>
    </w:p>
    <w:p>
      <w:pPr>
        <w:spacing w:after="0" w:line="62"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We maintain significant operations in South Africa. As a result, we are subject to political and economic risks relating to South Africa. While South Africa features highly developed and sophisticated business sectors and financial and legal infrastructure at the core of its economy, large parts of the country’s population, particularly in rural areas, do not have access to adequate education, health care, housing and other services, including water and electricity. In addition, South Africa also has higher levels of crime and unemployment than the United States.</w:t>
      </w:r>
    </w:p>
    <w:p>
      <w:pPr>
        <w:spacing w:after="0" w:line="6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It is difficult to predict the future political, social and economic direction of South Africa or the manner in which any future government will attempt to address the country’s inequalities. It is also difficult to predict the impact that addressing these inequalities will have on our business. Furthermore, there has been regional, political and economic instability in countries neighboring South Africa, which could materially and adversely affect our business, results of operations and financial condition.</w:t>
      </w:r>
    </w:p>
    <w:p>
      <w:pPr>
        <w:spacing w:after="0" w:line="79"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Although political conditions in South Africa are generally stable, changes may occur in the composition of its ruling party or in its political, fiscal and legal systems which might affect the ownership or operation of our business. These risks may include changes in legislation, arbitrary interference with private ownership of contract rights, and changes to exchange controls, taxation and other laws or policies affecting foreign trade or investment. Any such changes, including changes in investment ratings, regulations and policies or a shift in political attitudes both within and towards South Africa are beyond our control and could materially and adversely affect our business, financial condition and results of operations.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ind w:right="640"/>
        <w:spacing w:after="0" w:line="277" w:lineRule="auto"/>
        <w:rPr>
          <w:sz w:val="20"/>
          <w:szCs w:val="20"/>
          <w:color w:val="auto"/>
        </w:rPr>
      </w:pPr>
      <w:r>
        <w:rPr>
          <w:rFonts w:ascii="Arial" w:cs="Arial" w:eastAsia="Arial" w:hAnsi="Arial"/>
          <w:sz w:val="18"/>
          <w:szCs w:val="18"/>
          <w:b w:val="1"/>
          <w:bCs w:val="1"/>
          <w:i w:val="1"/>
          <w:iCs w:val="1"/>
          <w:color w:val="auto"/>
        </w:rPr>
        <w:t>A lack of growth, high inflation or increased interest rates in the South Africa economy could reduce our anticipated revenue and increase our operating costs.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economy of South Africa has in the past and may in the future continue to be characterized by rates of inflation and interest rates that are substantially higher than those prevailing in the United States and other highly developed economies. Economic conditions in South Africa could reduce our anticipated revenue growth, increase our South African-based costs, decrease our operating margins and adversely affect our ability to obtain cost-effective debt financing in South Africa.</w:t>
      </w:r>
    </w:p>
    <w:p>
      <w:pPr>
        <w:spacing w:after="0" w:line="13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38"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In addition, the California Consumer Privacy Act, which took effect on January 1, 2020, provides new data privacy rights for California consumers, including the right to know what personal information is being collected about them and how it is being used. We market our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193" w:lineRule="exact"/>
        <w:rPr>
          <w:sz w:val="20"/>
          <w:szCs w:val="20"/>
          <w:color w:val="auto"/>
        </w:rPr>
      </w:pPr>
    </w:p>
    <w:p>
      <w:pPr>
        <w:ind w:right="340" w:firstLine="405"/>
        <w:spacing w:after="0" w:line="273" w:lineRule="auto"/>
        <w:rPr>
          <w:sz w:val="20"/>
          <w:szCs w:val="20"/>
          <w:color w:val="auto"/>
        </w:rPr>
      </w:pPr>
      <w:r>
        <w:rPr>
          <w:rFonts w:ascii="Arial" w:cs="Arial" w:eastAsia="Arial" w:hAnsi="Arial"/>
          <w:sz w:val="17"/>
          <w:szCs w:val="17"/>
          <w:color w:val="auto"/>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the Company remains responsible for, and obligated to implement, policies and procedures and enter into contracts with service providers that require appropriate 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spacing w:after="0" w:line="20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203"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solutions and products enable us to collect, manage and store a wide range of data related to fleet management such as mobile asset location and fuel usage, speed and mileage.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The European Union and the United Kingdom have adopted legislation (including directives, national laws and regulations) that increase or change the requirements governing data collection, use, storage and disclosure of personal data in these jurisdictions. The current European Union legislation related to data protection is the General Data Protection Regulation (“GDPR”), which came into effect on May 25, 2018. We have updated and will continue to evaluate our group data protection and security policies, charters, and procedures to assist in maintaining data privacy and data security in line with international practices.</w:t>
      </w:r>
    </w:p>
    <w:p>
      <w:pPr>
        <w:spacing w:after="0" w:line="20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Protection of Personal Information Act, No. 4 of 2013 (the “POPI Act”) was promulgated into law in November 2013 in South Africa. Certain sections of the POPI Act, came into effect on April 11, 2014. The remaining sections of the POPI Act came into effect on July 1, 2020. The POPI Act allows for a one year transition period from its commencement for all persons to comply with its requirements. A failure to comply with the POPI Act may result in a fine not exceeding R10 million and/or imprisonment of up to 10 years, depending on the severity of the contravention.</w:t>
      </w:r>
    </w:p>
    <w:p>
      <w:pPr>
        <w:spacing w:after="0" w:line="198"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could be subject to any number of these requirements.</w:t>
      </w:r>
    </w:p>
    <w:p>
      <w:pPr>
        <w:spacing w:after="0" w:line="252"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As noted above, we have sought to implement internationally recognized practices regarding data privacy and data security. If our privacy or data security measures fail to comply, or are perceived to fail to comply, with current or future laws 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Enhanced United States fiscal, tax and trade restrictions and executive and legislative actions could adversely affect our business, financial condition, and results of operations.</w:t>
      </w:r>
    </w:p>
    <w:p>
      <w:pPr>
        <w:spacing w:after="0" w:line="19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There is currently significant uncertainty about the future relationship between the United States and various other countries, most significantly China, with respect to trade policies, treaties, tariffs and taxes. The current U.S. administration has called for substantial changes to U.S. foreign trade policy with respect to China and other countries, including significant new and increased tariffs on goods imported into the United States. In 2018, the Office of the U.S. Trade Representative (the “USTR”) enacted tariffs on imports into the U.S. from China, including communications equipment products and components manufactured and imported from China. The tariff became effective in September 2018, with an initial rate of 10% and was scheduled to increase from 10% to 25% on January 1, 2019. The scheduled increase was delayed until March 2, 2019, however trade negotiations between the U.S. and China continue and the scheduled increase has been further delayed indefinitely.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spacing w:after="0" w:line="19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taken actions to mitigate the impact of such tariffs, however, there is no assurance that all such efforts will be successful. These actions include moving our contract manufacturing out of mainland China and working directly with U.S. Customs and Border Protection (“CBP”) to address the harmonized tariff codes used for our products. The majority of the move out of mainland China has been completed, and we expect the balance to be completed by the end of the first quarter 2020.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w:t>
      </w:r>
    </w:p>
    <w:p>
      <w:pPr>
        <w:spacing w:after="0" w:line="21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some cases, the U.S. government’s imposition of trade restrictions involving products sold by certain Chinese manufacturers has caused U.S. wireless carriers to divert business from international providers to the Company, and accordingly, the Company has invested resources in satisfying the needs of such customers. If the U.S. government were to remove or reduce such trade restrictions, it could cause such carriers to reduce their business with the Company and we may be unable to recoup or attain a return on such investments.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highly volatile in the past and could be highly volatile in the future.</w:t>
      </w:r>
    </w:p>
    <w:p>
      <w:pPr>
        <w:spacing w:after="0" w:line="117"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the level of demand for our stock, including the amount of short interest in our stock, and particularly with respect to market prices and trading volumes of other high technology stocks; and our failure to meet market expectations.</w:t>
      </w:r>
    </w:p>
    <w:p>
      <w:pPr>
        <w:spacing w:after="0" w:line="10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vulnerable to manipulation, including through short sales.</w:t>
      </w:r>
    </w:p>
    <w:p>
      <w:pPr>
        <w:spacing w:after="0" w:line="11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believe there has been and may continue to be substantial off-market transactions in derivatives of our stock, including short selling activity or related similar activities, which are beyond our control and which may be beyond the full</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 w:name="page32"/>
    <w:bookmarkEnd w:id="31"/>
    <w:p>
      <w:pPr>
        <w:ind w:right="60"/>
        <w:spacing w:after="0" w:line="267" w:lineRule="auto"/>
        <w:rPr>
          <w:sz w:val="20"/>
          <w:szCs w:val="20"/>
          <w:color w:val="auto"/>
        </w:rPr>
      </w:pPr>
      <w:r>
        <w:rPr>
          <w:rFonts w:ascii="Arial" w:cs="Arial" w:eastAsia="Arial" w:hAnsi="Arial"/>
          <w:sz w:val="17"/>
          <w:szCs w:val="17"/>
          <w:color w:val="auto"/>
        </w:rPr>
        <w:t>control of the SEC and Financial Institutions Regulatory Authority (“FINRA”). Short sales are transactions in which a market participant sells a security that it does not own. To complete the transaction, the market participant must borrow the security to make delivery to the buyer. The market participant is then obligated to replace the security borrowed by purchasing the security at the market price at the time of required replacement. If the price at the time of replacement is lower than the price at which the security was originally sold by the market participant, then the market participant will realize a gain on the transaction. Thus, it is in the market participant’s interest for the market price of the underlying security to decline as much as possible during the period prior to the time of replacement.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spacing w:after="0" w:line="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Previous short selling efforts have impacted, and may in the future continue to impact, the value of our stock in an extreme and volatile manner to our detriment and the detriment of our stockholders. In addition, market participants with admitted short positions in our stock have published, and may in the future continue to publish, negative information regarding us and our management team on internet sites or blogs that we believe is inaccurate and misleading. We believe that the publication of this negative information may in the future lead to significant downward pressure on the price of our stock to our detriment and the further detriment of our stockholders. These and other efforts by certain market participants to manipulate the price of our common stock for their personal financial gain may cause our stockholders to lose a portion of their investment, may make it more difficult for us to raise equity capital when needed without significantly diluting existing stockholders, and may reduce demand from new investors to purchase shares of our stock.</w:t>
      </w:r>
    </w:p>
    <w:p>
      <w:pPr>
        <w:spacing w:after="0" w:line="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settlements of any conversion obligations with respect to the 2025 Notes may result in dilution to existing stockholders, lower prevailing market prices for our common stock or require a significant cash outlay.</w:t>
      </w:r>
    </w:p>
    <w:p>
      <w:pPr>
        <w:spacing w:after="0" w:line="62" w:lineRule="exact"/>
        <w:rPr>
          <w:sz w:val="20"/>
          <w:szCs w:val="20"/>
          <w:color w:val="auto"/>
        </w:rPr>
      </w:pPr>
    </w:p>
    <w:p>
      <w:pPr>
        <w:ind w:right="40" w:firstLine="405"/>
        <w:spacing w:after="0" w:line="283" w:lineRule="auto"/>
        <w:rPr>
          <w:sz w:val="20"/>
          <w:szCs w:val="20"/>
          <w:color w:val="auto"/>
        </w:rPr>
      </w:pPr>
      <w:r>
        <w:rPr>
          <w:rFonts w:ascii="Arial" w:cs="Arial" w:eastAsia="Arial" w:hAnsi="Arial"/>
          <w:sz w:val="16"/>
          <w:szCs w:val="16"/>
          <w:color w:val="auto"/>
        </w:rPr>
        <w:t>The 2025 Notes are currently convertible at the option of the holders at any time until close of business on the business day immediately preceding the maturity date. The 2025 Notes are convertible into shares of the Company’s common stock at a conversion rate of 79.2896 shares of common stock per $1,000 principal amount of 2025 Notes (which is equivalent to an initial conversion price of $12.61 per share of common stock). The conversion rate is subject to adjustment if certain events occur, but in no event will the conversion rate exceed 95.1474 shares of common stock per $1,000 principal amount of 2025 Notes (which is equivalent to a conversion price of $10.51 per share of common stock). Holders of the 2025 Notes who convert may also be entitled to receive, under certain circumstances, an interest make-whole payment payable in, at our election, either cash or shares of common stock. If holders of the 2025 Notes elect to convert their 2025 Notes into common stock, or if we elect to settle any interest make-whole payments due upon conversion of the 2025 Notes with shares of common stock, this may cause significant dilution to our existing stockholders. Any sales in the public market of the common stock issued upon such conversion could adversely affect prevailing market prices of our common stock. If we do elect to settle any interest make-whole payments due upon conversion of the 2025 Notes with cash, such payments could adversely affect our liquidity.</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Certain provisions in the indenture governing the 2025 Notes (as amended or supplemented, the “Indenture”) could delay or prevent an otherwise beneficial takeover or takeover attempt of us.</w:t>
      </w:r>
    </w:p>
    <w:p>
      <w:pPr>
        <w:spacing w:after="0" w:line="1" w:lineRule="exact"/>
        <w:rPr>
          <w:sz w:val="20"/>
          <w:szCs w:val="20"/>
          <w:color w:val="auto"/>
        </w:rPr>
      </w:pPr>
    </w:p>
    <w:p>
      <w:pPr>
        <w:ind w:right="100" w:firstLine="405"/>
        <w:spacing w:after="0" w:line="281" w:lineRule="auto"/>
        <w:rPr>
          <w:sz w:val="20"/>
          <w:szCs w:val="20"/>
          <w:color w:val="auto"/>
        </w:rPr>
      </w:pPr>
      <w:r>
        <w:rPr>
          <w:rFonts w:ascii="Arial" w:cs="Arial" w:eastAsia="Arial" w:hAnsi="Arial"/>
          <w:sz w:val="16"/>
          <w:szCs w:val="16"/>
          <w:color w:val="auto"/>
        </w:rPr>
        <w:t>Certain provisions in the Indenture relating to the 2025 Notes could make it more difficult or more expensive for a third party to acquire us. For example, if a takeover would constitute a fundamental change (as defined in the Indenture), holders of the 2025 Notes will have the right to require us to repurchase their notes in cash. In addition, if a takeover constitutes a make-whole fundamental change, we may be required to increase the conversion rate for holders who convert their 2025 Notes in connection with such takeover. In either case, and in other cases, our obligations under the 2025 Notes and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related Indenture could increase the cost of acquiring us or otherwise discourage a third party from acquiring us</w:t>
      </w:r>
      <w:r>
        <w:rPr>
          <w:rFonts w:ascii="Arial" w:cs="Arial" w:eastAsia="Arial" w:hAnsi="Arial"/>
          <w:sz w:val="21"/>
          <w:szCs w:val="21"/>
          <w:color w:val="008080"/>
        </w:rPr>
        <w:t>.</w:t>
      </w:r>
    </w:p>
    <w:p>
      <w:pPr>
        <w:spacing w:after="0" w:line="1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issuances of our common stock to holders of warrants may materially and adversely affect the price of our common stock and cause dilution to our existing stockholders.</w:t>
      </w:r>
    </w:p>
    <w:p>
      <w:pPr>
        <w:spacing w:after="0" w:line="62"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As of December 31, 2020, we had outstanding warrants to purchase 2,500,000 shares of our common stock. These warrants are generally only exercisable on a cash basis but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our common stock is concentrated, and as a result, certain stockholders may exercise significant influence over us.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December 31, 2020, North Sound Trading, L.P. and Golden Harbor Ltd. (together the “Investors”) and their affiliates own an aggregate of approximately 25.7% of the outstanding shares of our common stock. The Investors and their affiliates also hold approximately $80.4 million of the 2025 Notes (48.2% of the outstanding principal amount). The Indenture relating to the 2025 Notes includes a Section 382 conversion blocker that may prevent the Investors from converting their 2025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right="160"/>
        <w:spacing w:after="0" w:line="259" w:lineRule="auto"/>
        <w:rPr>
          <w:sz w:val="20"/>
          <w:szCs w:val="20"/>
          <w:color w:val="auto"/>
        </w:rPr>
      </w:pPr>
      <w:r>
        <w:rPr>
          <w:rFonts w:ascii="Arial" w:cs="Arial" w:eastAsia="Arial" w:hAnsi="Arial"/>
          <w:sz w:val="18"/>
          <w:szCs w:val="18"/>
          <w:color w:val="auto"/>
        </w:rPr>
        <w:t>Notes unless they receive the prior written approval of our Board of Directors. Assuming the conversion of the 2025 Notes owned by the Investors and their affiliates and the exercise of the warrants also owned by the Investors and their affiliates, the Investors and their affiliates would own approximately 31.8% of the outstanding shares of our common stock. As a result, the Investors have the ability to significantly influence the outcome of any matter submitted for the vote of the holders of our common stock.</w:t>
      </w:r>
    </w:p>
    <w:p>
      <w:pPr>
        <w:spacing w:after="0" w:line="21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21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pursuant to that certain Securities Purchase Agreement, dated August 6, 2018, by and among Inseego and the Investors (the “Purchase Agreement”), each of the Investors has the right to nominate a director so long as such Investor and its affiliates beneficially own at least 5% of the issued and outstanding shares of common stock of the Company, subject to satisfaction of reasonable qualification standards. The Purchase Agreement further provides that, at any time at which either Investor, together with its affiliates, beneficially owns more than 20% of the issued and outstanding common shares of stock of the Company, such Investor shall be entitled to appoint a second director, and the size of our Board of Directors shall not be increased to exceed seven directors. Notwithstanding the fact that all directors will be subject to fiduciary duties to the Company and to applicable law, the interests of the directors designated by the Investors may differ from the interests of our security holders as a whole or of our other directors.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outstanding Series E Preferred Stock or future equity offerings could adversely affect the holders of our common stock in some circumstances.</w:t>
      </w:r>
    </w:p>
    <w:p>
      <w:pPr>
        <w:spacing w:after="0" w:line="152"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There are currently 35,000 shares of Series E Fixed-Rate Cumulative Perpetual Preferred Stock, par value $0.001 per share (the “Series E Preferred Stock”) outstanding with an aggregate liquidation preference of $35 million. The Series E Preferred Stock is senior to our shares of common stock in right of payment of dividends and other distributions.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(as defined below) plus (without duplication) any accrued and unpaid dividends. In the future, we may offer additional shares of Series E Preferred Stock or other equity, equity-linked or debt securities, which may have rights, preferences or privileges senior to our common stock. Because our decision to issue debt or equity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or equity securities or our incurrence of other borrowings may negatively affect the market price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26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controls over financial reporting, we may not be able to report our financial results timely and accurately, which could adversely affect investor confidence in the Company, and in turn, our results of operations and our stock price.</w:t>
      </w:r>
    </w:p>
    <w:p>
      <w:pPr>
        <w:spacing w:after="0" w:line="16"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3" w:name="page34"/>
    <w:bookmarkEnd w:id="33"/>
    <w:p>
      <w:pPr>
        <w:ind w:right="40" w:firstLine="405"/>
        <w:spacing w:after="0" w:line="257" w:lineRule="auto"/>
        <w:rPr>
          <w:sz w:val="20"/>
          <w:szCs w:val="20"/>
          <w:color w:val="auto"/>
        </w:rPr>
      </w:pPr>
      <w:r>
        <w:rPr>
          <w:rFonts w:ascii="Arial" w:cs="Arial" w:eastAsia="Arial" w:hAnsi="Arial"/>
          <w:sz w:val="18"/>
          <w:szCs w:val="18"/>
          <w:color w:val="auto"/>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2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6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financial statements have been prepared in accordance with accounting principles generally accepted in the United States. The preparation of these financial statements requires us to make estimates and judgments about, among other things, allowance for doubtful accounts receivable, provision for excess and obsolete inventory, valuation of intangible and long-lived assets, valuation of goodwill, royalty costs, accruals relating to litigation and restructuring, income taxes, share-based compensation expense and the Company’s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changes to the accounting systems or new accounting system implementations may be ineffective or cause delays in our ability to provide timely financial results.</w:t>
      </w:r>
    </w:p>
    <w:p>
      <w:pPr>
        <w:spacing w:after="0" w:line="62"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 change in the Company’s accounting systems or new accounting system implementations could cause trial balances to be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62"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principal executive office is located in Alpharetta, Georgia. Our corporate offices are located in San Diego, California where we lease approximately 25,000 square feet under an arrangement that expires in July 2027 and approximately 13,000 square feet under an arrangement that expires in July 2027. We also currently lease approximately 14,000 square feet in Eugene, Oregon under a lease arrangement that expires in January 2023, and own property in Centurion, South Africa with approximately 28,000 square feet.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right="400" w:firstLine="405"/>
        <w:spacing w:after="0" w:line="342" w:lineRule="auto"/>
        <w:rPr>
          <w:sz w:val="20"/>
          <w:szCs w:val="20"/>
          <w:color w:val="auto"/>
        </w:rPr>
      </w:pPr>
      <w:r>
        <w:rPr>
          <w:rFonts w:ascii="Arial" w:cs="Arial" w:eastAsia="Arial" w:hAnsi="Arial"/>
          <w:sz w:val="16"/>
          <w:szCs w:val="16"/>
          <w:color w:val="auto"/>
        </w:rPr>
        <w:t>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w:t>
      </w:r>
    </w:p>
    <w:p>
      <w:pPr>
        <w:spacing w:after="0" w:line="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consolidated financial statements includes a discussion of our legal proceedings and is incorporated herein by reference.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35" w:name="page36"/>
    <w:bookmarkEnd w:id="35"/>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108" w:lineRule="exact"/>
        <w:rPr>
          <w:sz w:val="20"/>
          <w:szCs w:val="20"/>
          <w:color w:val="auto"/>
        </w:rPr>
      </w:pPr>
    </w:p>
    <w:p>
      <w:pPr>
        <w:ind w:right="1680" w:firstLine="445"/>
        <w:spacing w:after="0" w:line="391" w:lineRule="auto"/>
        <w:rPr>
          <w:sz w:val="20"/>
          <w:szCs w:val="20"/>
          <w:color w:val="auto"/>
        </w:rPr>
      </w:pPr>
      <w:r>
        <w:rPr>
          <w:rFonts w:ascii="Arial" w:cs="Arial" w:eastAsia="Arial" w:hAnsi="Arial"/>
          <w:sz w:val="18"/>
          <w:szCs w:val="18"/>
          <w:color w:val="auto"/>
        </w:rPr>
        <w:t xml:space="preserve">Shares of our common stock are currently quoted and traded on The Nasdaq Global Select Market under the symbol “INSG”. </w:t>
      </w:r>
      <w:r>
        <w:rPr>
          <w:rFonts w:ascii="Arial" w:cs="Arial" w:eastAsia="Arial" w:hAnsi="Arial"/>
          <w:sz w:val="18"/>
          <w:szCs w:val="18"/>
          <w:b w:val="1"/>
          <w:bCs w:val="1"/>
          <w:color w:val="auto"/>
        </w:rPr>
        <w:t>Number of Stockholders of Record</w:t>
      </w:r>
    </w:p>
    <w:p>
      <w:pPr>
        <w:spacing w:after="0" w:line="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As of February 24, 2021, there were approximately 25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None, except as previously disclosed in the Company’s Quarterly Reports on Form 10-Q and Current Reports on Form 8-K and as set forth below.</w:t>
      </w:r>
    </w:p>
    <w:p>
      <w:pPr>
        <w:spacing w:after="0" w:line="2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August 4, 2020, the Company granted to Craig Foster, the Company’s Chief Financial Officer, options to purchase 200,000 shares of the Company’s common stock and 27,510 restricted stock units (“RSUs”). The options have a ten-year term and an exercise price of $14.54, which was the closing price per share of the Company’s common stock as reported by NASDAQ on August 4, 2020. The options and the RSUs will vest over a four-year period, with 25% of the awards vesting on the first anniversary of the date of grant and the remainder vesting in equal monthly installments over the three years thereafter. The awards were inducement grants made in accordance with Nasdaq Listing Rule 5635(c)(4) and Section 4(a)(2) of the Securities Act of 1933, as amended. The Company intends to file a registration statement on a Form S-8 to register the shares of common stock underlying the options and the RSUs.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8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Because we were a smaller reporting company, as defined by Rule 12b-2 of the Securities Exchange Act of 1934, as amended, for the fiscal year ended December 31, 2020 and are transitioning into large accelerated filer status, we are not required to provide the information required under this item.</w:t>
      </w: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17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Inseego Corp. is a Delaware corporation formed in 2016 as the successor to Novatel Wireless, Inc., a Delaware corporation formed in 1996, resulting from an internal reorganization that was completed in November 2016. Our principal executive office is located at 12600 Deerfield Parkway, Suite 100, Alpharetta, GA 30004, our corporate offices are located at 9710 Scranton Road, Suite 200, San Diego, CA 92121 and our sales and engineering offices are located throughout the world. Inseego’s common stock trades on the NASDAQ Global Select Market under the trading symbol “INSG”.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7"/>
          <w:szCs w:val="17"/>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26"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Reporting</w:t>
      </w:r>
    </w:p>
    <w:p>
      <w:pPr>
        <w:spacing w:after="0" w:line="12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We do not provide separate segment reporting for our various lines of business. Our Chief Executive Officer, who is also our Chief Operating Decision Maker, evaluates the business as a single entity and reviews financial information and makes business decisions based on the overall results of the business. As such, the Company’s operations constitute a single operating segment and one reportable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63"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71"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2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13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116"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92"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9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 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34"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sets forth our consolidated statements of operations expressed as a percentage of net revenues, derived from the accompanying consolidated financial statements for the periods indicated.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420" w:type="dxa"/>
            <w:vAlign w:val="bottom"/>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48"/>
        </w:trPr>
        <w:tc>
          <w:tcPr>
            <w:tcW w:w="8420" w:type="dxa"/>
            <w:vAlign w:val="bottom"/>
          </w:tcPr>
          <w:p>
            <w:pPr>
              <w:spacing w:after="0"/>
              <w:rPr>
                <w:sz w:val="20"/>
                <w:szCs w:val="20"/>
                <w:color w:val="auto"/>
              </w:rPr>
            </w:pPr>
            <w:r>
              <w:rPr>
                <w:rFonts w:ascii="Arial" w:cs="Arial" w:eastAsia="Arial" w:hAnsi="Arial"/>
                <w:sz w:val="16"/>
                <w:szCs w:val="16"/>
                <w:color w:val="auto"/>
              </w:rPr>
              <w:t>Net revenues:</w:t>
            </w:r>
          </w:p>
        </w:tc>
        <w:tc>
          <w:tcPr>
            <w:tcW w:w="27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(as a percent of net revenues)</w:t>
            </w:r>
          </w:p>
        </w:tc>
      </w:tr>
      <w:tr>
        <w:trPr>
          <w:trHeight w:val="219"/>
        </w:trPr>
        <w:tc>
          <w:tcPr>
            <w:tcW w:w="8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IoT &amp; Mobile Solutions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73.3 %</w:t>
            </w:r>
          </w:p>
        </w:tc>
      </w:tr>
      <w:tr>
        <w:trPr>
          <w:trHeight w:val="213"/>
        </w:trPr>
        <w:tc>
          <w:tcPr>
            <w:tcW w:w="8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Enterprise SaaS Solutions</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26.7</w:t>
            </w:r>
          </w:p>
        </w:tc>
      </w:tr>
      <w:tr>
        <w:trPr>
          <w:trHeight w:val="213"/>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r>
      <w:tr>
        <w:trPr>
          <w:trHeight w:val="213"/>
        </w:trPr>
        <w:tc>
          <w:tcPr>
            <w:tcW w:w="8420" w:type="dxa"/>
            <w:vAlign w:val="bottom"/>
          </w:tcPr>
          <w:p>
            <w:pPr>
              <w:spacing w:after="0"/>
              <w:rPr>
                <w:sz w:val="20"/>
                <w:szCs w:val="20"/>
                <w:color w:val="auto"/>
              </w:rPr>
            </w:pPr>
            <w:r>
              <w:rPr>
                <w:rFonts w:ascii="Arial" w:cs="Arial" w:eastAsia="Arial" w:hAnsi="Arial"/>
                <w:sz w:val="16"/>
                <w:szCs w:val="16"/>
                <w:color w:val="auto"/>
              </w:rPr>
              <w:t>Cost of net revenues: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IoT &amp; Mobile Solutions</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60.6</w:t>
            </w:r>
          </w:p>
        </w:tc>
      </w:tr>
      <w:tr>
        <w:trPr>
          <w:trHeight w:val="213"/>
        </w:trPr>
        <w:tc>
          <w:tcPr>
            <w:tcW w:w="8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Enterprise SaaS Solutions</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w:t>
            </w:r>
          </w:p>
        </w:tc>
      </w:tr>
      <w:tr>
        <w:trPr>
          <w:trHeight w:val="213"/>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70.9</w:t>
            </w:r>
          </w:p>
        </w:tc>
      </w:tr>
      <w:tr>
        <w:trPr>
          <w:trHeight w:val="207"/>
        </w:trPr>
        <w:tc>
          <w:tcPr>
            <w:tcW w:w="84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29.1</w:t>
            </w:r>
          </w:p>
        </w:tc>
      </w:tr>
      <w:tr>
        <w:trPr>
          <w:trHeight w:val="199"/>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Operating costs and expenses: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84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10.9</w:t>
            </w:r>
          </w:p>
        </w:tc>
      </w:tr>
      <w:tr>
        <w:trPr>
          <w:trHeight w:val="219"/>
        </w:trPr>
        <w:tc>
          <w:tcPr>
            <w:tcW w:w="8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w:t>
            </w:r>
          </w:p>
        </w:tc>
      </w:tr>
      <w:tr>
        <w:trPr>
          <w:trHeight w:val="213"/>
        </w:trPr>
        <w:tc>
          <w:tcPr>
            <w:tcW w:w="842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12.4</w:t>
            </w:r>
          </w:p>
        </w:tc>
      </w:tr>
      <w:tr>
        <w:trPr>
          <w:trHeight w:val="219"/>
        </w:trPr>
        <w:tc>
          <w:tcPr>
            <w:tcW w:w="8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purchased intangible assets</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r>
      <w:tr>
        <w:trPr>
          <w:trHeight w:val="213"/>
        </w:trPr>
        <w:tc>
          <w:tcPr>
            <w:tcW w:w="8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Impairment of capitalized software</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costs and expenses</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38.0</w:t>
            </w:r>
          </w:p>
        </w:tc>
      </w:tr>
      <w:tr>
        <w:trPr>
          <w:trHeight w:val="207"/>
        </w:trPr>
        <w:tc>
          <w:tcPr>
            <w:tcW w:w="8420" w:type="dxa"/>
            <w:vAlign w:val="bottom"/>
          </w:tcPr>
          <w:p>
            <w:pPr>
              <w:spacing w:after="0"/>
              <w:rPr>
                <w:sz w:val="20"/>
                <w:szCs w:val="20"/>
                <w:color w:val="auto"/>
              </w:rPr>
            </w:pPr>
            <w:r>
              <w:rPr>
                <w:rFonts w:ascii="Arial" w:cs="Arial" w:eastAsia="Arial" w:hAnsi="Arial"/>
                <w:sz w:val="16"/>
                <w:szCs w:val="16"/>
                <w:color w:val="auto"/>
              </w:rPr>
              <w:t>Operating loss</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(8.9)</w:t>
            </w:r>
          </w:p>
        </w:tc>
      </w:tr>
      <w:tr>
        <w:trPr>
          <w:trHeight w:val="219"/>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420" w:type="dxa"/>
            <w:vAlign w:val="bottom"/>
          </w:tcPr>
          <w:p>
            <w:pPr>
              <w:ind w:left="200"/>
              <w:spacing w:after="0"/>
              <w:rPr>
                <w:sz w:val="20"/>
                <w:szCs w:val="20"/>
                <w:color w:val="auto"/>
              </w:rPr>
            </w:pPr>
            <w:r>
              <w:rPr>
                <w:rFonts w:ascii="Arial" w:cs="Arial" w:eastAsia="Arial" w:hAnsi="Arial"/>
                <w:sz w:val="16"/>
                <w:szCs w:val="16"/>
                <w:color w:val="auto"/>
              </w:rPr>
              <w:t>Loss on debt conversion and extinguishment, net</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r>
      <w:tr>
        <w:trPr>
          <w:trHeight w:val="213"/>
        </w:trPr>
        <w:tc>
          <w:tcPr>
            <w:tcW w:w="8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income (expense), net</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r>
      <w:tr>
        <w:trPr>
          <w:trHeight w:val="213"/>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w:t>
            </w:r>
          </w:p>
        </w:tc>
      </w:tr>
      <w:tr>
        <w:trPr>
          <w:trHeight w:val="213"/>
        </w:trPr>
        <w:tc>
          <w:tcPr>
            <w:tcW w:w="8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r>
      <w:tr>
        <w:trPr>
          <w:trHeight w:val="213"/>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r>
      <w:tr>
        <w:trPr>
          <w:trHeight w:val="213"/>
        </w:trPr>
        <w:tc>
          <w:tcPr>
            <w:tcW w:w="8420" w:type="dxa"/>
            <w:vAlign w:val="bottom"/>
          </w:tcPr>
          <w:p>
            <w:pPr>
              <w:spacing w:after="0"/>
              <w:rPr>
                <w:sz w:val="20"/>
                <w:szCs w:val="20"/>
                <w:color w:val="auto"/>
              </w:rPr>
            </w:pPr>
            <w:r>
              <w:rPr>
                <w:rFonts w:ascii="Arial" w:cs="Arial" w:eastAsia="Arial" w:hAnsi="Arial"/>
                <w:sz w:val="16"/>
                <w:szCs w:val="16"/>
                <w:color w:val="auto"/>
              </w:rPr>
              <w:t>Less: Net loss (income) attributable to noncontrolling interests</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Inseego Corp.</w:t>
            </w:r>
          </w:p>
        </w:tc>
        <w:tc>
          <w:tcPr>
            <w:tcW w:w="13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r>
      <w:tr>
        <w:trPr>
          <w:trHeight w:val="213"/>
        </w:trPr>
        <w:tc>
          <w:tcPr>
            <w:tcW w:w="8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Series E preferred stock dividends</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r>
      <w:tr>
        <w:trPr>
          <w:trHeight w:val="234"/>
        </w:trPr>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75"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2020 were $313.8 million, an increase of $94.3 million, or 43.0%,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2019.</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19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1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62.3 %</w:t>
            </w:r>
          </w:p>
        </w:tc>
      </w:tr>
      <w:tr>
        <w:trPr>
          <w:trHeight w:val="21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w:t>
            </w:r>
          </w:p>
        </w:tc>
      </w:tr>
      <w:tr>
        <w:trPr>
          <w:trHeight w:val="234"/>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94,336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220" w:right="120" w:firstLine="405"/>
        <w:spacing w:after="0" w:line="259"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introduction of our second-generation 5G hotspot related to our MiFi business, and increased revenues in our </w:t>
      </w:r>
      <w:r>
        <w:rPr>
          <w:rFonts w:ascii="Arial" w:cs="Arial" w:eastAsia="Arial" w:hAnsi="Arial"/>
          <w:sz w:val="18"/>
          <w:szCs w:val="18"/>
          <w:i w:val="1"/>
          <w:iCs w:val="1"/>
          <w:color w:val="auto"/>
        </w:rPr>
        <w:t>Inseego Subscribe</w:t>
      </w:r>
      <w:r>
        <w:rPr>
          <w:rFonts w:ascii="Arial" w:cs="Arial" w:eastAsia="Arial" w:hAnsi="Arial"/>
          <w:sz w:val="18"/>
          <w:szCs w:val="18"/>
          <w:color w:val="auto"/>
        </w:rPr>
        <w:t xml:space="preserve"> business due to subscriber growth. As a result of the COVID-19 pandemic, there has been an increase in demand for our products due to a dramatic increase around the world in remote or tele-working and learning.</w:t>
      </w:r>
    </w:p>
    <w:p>
      <w:pPr>
        <w:spacing w:after="0" w:line="133" w:lineRule="exact"/>
        <w:rPr>
          <w:sz w:val="20"/>
          <w:szCs w:val="20"/>
          <w:color w:val="auto"/>
        </w:rPr>
      </w:pPr>
    </w:p>
    <w:p>
      <w:pPr>
        <w:ind w:left="220" w:right="540" w:firstLine="405"/>
        <w:spacing w:after="0" w:line="293"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net revenues were down year-over-year due to the effects of strengthening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on international sales and the effect of COVID-19.</w:t>
      </w:r>
    </w:p>
    <w:p>
      <w:pPr>
        <w:spacing w:after="0" w:line="10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2020 was $223.0 million, or 71.1% of net revenues, compared to $155.5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70.9% of net revenues, for the same period in 2019.</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69,441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52.2 %</w:t>
            </w:r>
          </w:p>
        </w:tc>
        <w:tc>
          <w:tcPr>
            <w:tcW w:w="0" w:type="dxa"/>
            <w:vAlign w:val="bottom"/>
          </w:tcPr>
          <w:p>
            <w:pPr>
              <w:spacing w:after="0"/>
              <w:rPr>
                <w:sz w:val="1"/>
                <w:szCs w:val="1"/>
                <w:color w:val="auto"/>
              </w:rPr>
            </w:pPr>
          </w:p>
        </w:tc>
      </w:tr>
      <w:tr>
        <w:trPr>
          <w:trHeight w:val="210"/>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w w:val="94"/>
              </w:rPr>
              <w:t>(1,977)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222,989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155,525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67,464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43.4 %</w:t>
            </w: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right="320" w:firstLine="405"/>
        <w:spacing w:after="0" w:line="286" w:lineRule="auto"/>
        <w:rPr>
          <w:sz w:val="20"/>
          <w:szCs w:val="20"/>
          <w:color w:val="auto"/>
        </w:rPr>
      </w:pPr>
      <w:r>
        <w:rPr>
          <w:rFonts w:ascii="Arial" w:cs="Arial" w:eastAsia="Arial" w:hAnsi="Arial"/>
          <w:sz w:val="17"/>
          <w:szCs w:val="17"/>
          <w:i w:val="1"/>
          <w:iCs w:val="1"/>
          <w:color w:val="auto"/>
        </w:rPr>
        <w:t xml:space="preserve">IoT &amp; Mobile Solutions. </w:t>
      </w:r>
      <w:r>
        <w:rPr>
          <w:rFonts w:ascii="Arial" w:cs="Arial" w:eastAsia="Arial" w:hAnsi="Arial"/>
          <w:sz w:val="17"/>
          <w:szCs w:val="17"/>
          <w:color w:val="auto"/>
        </w:rPr>
        <w:t>The increase in IoT &amp; Mobile Solutions cost of net revenues is primarily a result of increased sales of our LTE gigabit</w:t>
      </w:r>
      <w:r>
        <w:rPr>
          <w:rFonts w:ascii="Arial" w:cs="Arial" w:eastAsia="Arial" w:hAnsi="Arial"/>
          <w:sz w:val="17"/>
          <w:szCs w:val="17"/>
          <w:i w:val="1"/>
          <w:iCs w:val="1"/>
          <w:color w:val="auto"/>
        </w:rPr>
        <w:t xml:space="preserve"> </w:t>
      </w:r>
      <w:r>
        <w:rPr>
          <w:rFonts w:ascii="Arial" w:cs="Arial" w:eastAsia="Arial" w:hAnsi="Arial"/>
          <w:sz w:val="17"/>
          <w:szCs w:val="17"/>
          <w:color w:val="auto"/>
        </w:rPr>
        <w:t>hotspots, and 5G hotspots, as well as associated expenses such as freight and royalties. As a result of the COVID-19 pandemic, there has been an increase in demand in our products due to a dramatic increase around the world in remote or tele-working and learning.</w:t>
      </w:r>
    </w:p>
    <w:p>
      <w:pPr>
        <w:spacing w:after="0" w:line="111" w:lineRule="exact"/>
        <w:rPr>
          <w:sz w:val="20"/>
          <w:szCs w:val="20"/>
          <w:color w:val="auto"/>
        </w:rPr>
      </w:pPr>
    </w:p>
    <w:p>
      <w:pPr>
        <w:ind w:left="220" w:right="8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as a result of lower Ctrack system revenue,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of strengthening U.S. Dollar foreign exchange rates on international costs.</w:t>
      </w:r>
    </w:p>
    <w:p>
      <w:pPr>
        <w:spacing w:after="0" w:line="116"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2020 was $90.8 million, or a gross margin of 28.9%, compared to $64.0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29.1%, for the same period in 2019. The slight decrease in the gross profit percentage was primarily attributable to an unfavorable product mix offset by improvements in IoT &amp; Mobile Solutions gross margin.</w:t>
      </w:r>
    </w:p>
    <w:p>
      <w:pPr>
        <w:spacing w:after="0" w:line="128"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2020 were $45.0 million, or 14.3%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$23.9 million, or 10.9% of net revenues, for the same period in 2019. The increase was primarily a result of increased staffing, test units, and other development spending related to 5G product programs.</w:t>
      </w:r>
    </w:p>
    <w:p>
      <w:pPr>
        <w:spacing w:after="0" w:line="130" w:lineRule="exact"/>
        <w:rPr>
          <w:sz w:val="20"/>
          <w:szCs w:val="20"/>
          <w:color w:val="auto"/>
        </w:rPr>
      </w:pPr>
    </w:p>
    <w:p>
      <w:pPr>
        <w:jc w:val="both"/>
        <w:ind w:right="220" w:firstLine="405"/>
        <w:spacing w:after="0" w:line="381"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for the year ended December 31, 2020 were $35.8 million, or 11.4% of net revenues,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$28.9 million, or 13.2% of net revenues, for the same period in 2019. The increase was primarily a result of an increase in headcount.</w:t>
      </w:r>
    </w:p>
    <w:p>
      <w:pPr>
        <w:spacing w:after="0" w:line="4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2020 were $30.7 million, or 9.8%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$27.3 million, or 12.4% of net revenues, for the same period in 2019. The increase was primarily a result of an increase in employment costs attributable to an increase in headcount and non-recurring legal expenses.</w:t>
      </w:r>
    </w:p>
    <w:p>
      <w:pPr>
        <w:spacing w:after="0" w:line="126" w:lineRule="exact"/>
        <w:rPr>
          <w:sz w:val="20"/>
          <w:szCs w:val="20"/>
          <w:color w:val="auto"/>
        </w:rPr>
      </w:pPr>
    </w:p>
    <w:p>
      <w:pPr>
        <w:ind w:right="14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2020 and 2019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$3.2 million and $3.4 million,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Impairment of capitalized software. </w:t>
      </w:r>
      <w:r>
        <w:rPr>
          <w:rFonts w:ascii="Arial" w:cs="Arial" w:eastAsia="Arial" w:hAnsi="Arial"/>
          <w:sz w:val="18"/>
          <w:szCs w:val="18"/>
          <w:color w:val="auto"/>
        </w:rPr>
        <w:t>During the twelve months ended December 31, 2020, we recorded a loss of $1.4 million on capitalized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There was no such expense for the same period in 2019.</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net. </w:t>
      </w:r>
      <w:r>
        <w:rPr>
          <w:rFonts w:ascii="Arial" w:cs="Arial" w:eastAsia="Arial" w:hAnsi="Arial"/>
          <w:sz w:val="18"/>
          <w:szCs w:val="18"/>
          <w:color w:val="auto"/>
        </w:rPr>
        <w:t>During the twelve months ended December 31, 2020, we recorded a loss of $76.4 million,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represents the loss on debt conversion and extinguishment of the 2022 Notes, including a $7.9 million inducement expense incurred in connection with certain conversions of the 2022 Notes, and a $67.2 million loss recorded on debt conversion of the 2025 Notes. There was no such expense for the same period in 2019.</w:t>
      </w:r>
    </w:p>
    <w:p>
      <w:pPr>
        <w:spacing w:after="0" w:line="133"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net. </w:t>
      </w:r>
      <w:r>
        <w:rPr>
          <w:rFonts w:ascii="Arial" w:cs="Arial" w:eastAsia="Arial" w:hAnsi="Arial"/>
          <w:sz w:val="17"/>
          <w:szCs w:val="17"/>
          <w:color w:val="auto"/>
        </w:rPr>
        <w:t>Interest expense, net, for the years ended December 31, 2020 and 2019 was $9.9 million and $20.4 million,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expense was primarily a result of the interest expense and amortization of the debt discount and debt issuance costs related to our previous term loan, the 2022 Notes and the 2025 Notes. The decrease in interest expense was due to the conversion of debt into equity in 2020, payment in full of our previous term loan during 2020, as well as a lower interest rate on the 2025 Notes, as compared to the 2022 Notes.</w:t>
      </w:r>
    </w:p>
    <w:p>
      <w:pPr>
        <w:spacing w:after="0" w:line="117"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b w:val="1"/>
          <w:bCs w:val="1"/>
          <w:i w:val="1"/>
          <w:iCs w:val="1"/>
          <w:color w:val="auto"/>
        </w:rPr>
        <w:t xml:space="preserve">Other income (expense), net. </w:t>
      </w:r>
      <w:r>
        <w:rPr>
          <w:rFonts w:ascii="Arial" w:cs="Arial" w:eastAsia="Arial" w:hAnsi="Arial"/>
          <w:sz w:val="17"/>
          <w:szCs w:val="17"/>
          <w:color w:val="auto"/>
        </w:rPr>
        <w:t>Other income, net, for the year ended December 31, 2020 was $1.0 million, which primarily included the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adjustment related to our interest-make-whole payment on the 2025 Notes as well as foreign currency transaction gains and losses. Other expense, net for the same period in 2019 was $0.4 million, which primarily consisted of foreign currency transaction gains and losses.</w:t>
      </w:r>
    </w:p>
    <w:p>
      <w:pPr>
        <w:spacing w:after="0" w:line="11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years ended December 31, 2020 and 2019 was $0.7 million and $0.5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profitable subsidiaries in foreign jurisdictions.</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effective tax rate for the year ended December 31, 2020 is different than the U.S. statutory rate primarily due to a valuation allowance recorded against additional tax assets generated during the year and certain profitable foreign subsidiaries.</w:t>
      </w:r>
    </w:p>
    <w:p>
      <w:pPr>
        <w:spacing w:after="0" w:line="11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Series E Preferred Stock dividends. </w:t>
      </w:r>
      <w:r>
        <w:rPr>
          <w:rFonts w:ascii="Arial" w:cs="Arial" w:eastAsia="Arial" w:hAnsi="Arial"/>
          <w:sz w:val="18"/>
          <w:szCs w:val="18"/>
          <w:color w:val="auto"/>
        </w:rPr>
        <w:t>During the year ended December 31, 2020 and 2019, we recorded $2.9 million and $0.4 million, respectively,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Series E Preferred Stock dividends.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445"/>
        <w:spacing w:after="0" w:line="308" w:lineRule="auto"/>
        <w:rPr>
          <w:sz w:val="20"/>
          <w:szCs w:val="20"/>
          <w:color w:val="auto"/>
        </w:rPr>
      </w:pPr>
      <w:r>
        <w:rPr>
          <w:rFonts w:ascii="Arial" w:cs="Arial" w:eastAsia="Arial" w:hAnsi="Arial"/>
          <w:sz w:val="17"/>
          <w:szCs w:val="17"/>
          <w:color w:val="auto"/>
        </w:rPr>
        <w:t>Our principal sources of liquidity are our existing cash and cash equivalents and cash generated from operations. As of December 31, 2020, we had cash and cash equivalents of $40.0 million compared with cash and cash equivalents of $12.1 million as of December 31, 2019.</w:t>
      </w:r>
    </w:p>
    <w:p>
      <w:pPr>
        <w:spacing w:after="0" w:line="92"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order to make continued growth investments, on March 6, 2020, the Company issued and sold 25,000 shares of our Series E Preferred Stock, for an aggregate purchase price of $25.0 million. There are currently 35,000 shares of Series E Preferred Stock outstanding with an aggregate liquidation preference of $35 million.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63" w:lineRule="exact"/>
        <w:rPr>
          <w:sz w:val="20"/>
          <w:szCs w:val="20"/>
          <w:color w:val="auto"/>
        </w:rPr>
      </w:pPr>
    </w:p>
    <w:p>
      <w:pPr>
        <w:ind w:right="20" w:firstLine="405"/>
        <w:spacing w:after="0" w:line="257" w:lineRule="auto"/>
        <w:rPr>
          <w:sz w:val="20"/>
          <w:szCs w:val="20"/>
          <w:color w:val="auto"/>
        </w:rPr>
      </w:pPr>
      <w:r>
        <w:rPr>
          <w:rFonts w:ascii="Arial" w:cs="Arial" w:eastAsia="Arial" w:hAnsi="Arial"/>
          <w:sz w:val="17"/>
          <w:szCs w:val="17"/>
          <w:color w:val="auto"/>
        </w:rPr>
        <w:t>In the first quarter of 2020, $59.9 million of the Company’s 2022 Notes were exchanged for common stock in private exchange transactions. Additionally, in the second quarter of 2020, the Company restructured its outstanding debt by completing a $100.0 million registered public offering (the “Offering”) of 2025 Notes and also entered into privately-negotiated Exchange Agreements, pursuant to which an aggregate of $45.0 million in principal amount of the 2022 Notes were exchanged for an aggregate of $32.0 million in cash and $80.4 million in principal amount of the 2025 Notes (the “Private Exchange Transactions”). The Company also used a portion of the proceeds from the Offering to repay in full our previous term loan. In the third quarter of 2020, the Company redeemed the remaining $2,000 principal amount of the 2022 Notes.</w:t>
      </w:r>
    </w:p>
    <w:p>
      <w:pPr>
        <w:spacing w:after="0" w:line="54" w:lineRule="exact"/>
        <w:rPr>
          <w:sz w:val="20"/>
          <w:szCs w:val="20"/>
          <w:color w:val="auto"/>
        </w:rPr>
      </w:pPr>
    </w:p>
    <w:p>
      <w:pPr>
        <w:ind w:right="280" w:firstLine="405"/>
        <w:spacing w:after="0" w:line="235"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such notes. As of December 31, 2020, the Company’s outstanding debt primarily consisted of $166.9 million in principal amount of 2025 Notes.</w:t>
      </w:r>
    </w:p>
    <w:p>
      <w:pPr>
        <w:spacing w:after="0" w:line="10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Additionally, on January 25, 2021, the Company entered into an Equity Distribution Agreement with Canaccord Genuity LLC (the “Agent”), pursuant to which the Company may offer and sell, from time to time, through or to the Agent, up to $40.0 million of shares of its common stock (the “ATM Offering”) pursuant to the Company’s Registration Statement on Form S-3ASR (File No. 333-238057), which was filed with the Securities and Exchange Commission on May 7, 2020, and the 424(b) prospectus supplement relating to the ATM Offering dated January 25, 2021.</w:t>
      </w:r>
    </w:p>
    <w:p>
      <w:pPr>
        <w:spacing w:after="0" w:line="19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 xml:space="preserve">In January 2021, the Company sold 1,516,073 shares of common stock, at a public offering price of $20.11 per share, for net proceeds of $29.6 million, pursuant to the ATM Offering. See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197" w:lineRule="exact"/>
        <w:rPr>
          <w:sz w:val="20"/>
          <w:szCs w:val="20"/>
          <w:color w:val="auto"/>
        </w:rPr>
      </w:pPr>
    </w:p>
    <w:p>
      <w:pPr>
        <w:ind w:right="60" w:firstLine="405"/>
        <w:spacing w:after="0" w:line="274"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109" w:lineRule="exact"/>
        <w:rPr>
          <w:sz w:val="20"/>
          <w:szCs w:val="20"/>
          <w:color w:val="auto"/>
        </w:rPr>
      </w:pPr>
    </w:p>
    <w:p>
      <w:pPr>
        <w:ind w:right="160" w:firstLine="405"/>
        <w:spacing w:after="0" w:line="243"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104" w:lineRule="exact"/>
        <w:rPr>
          <w:sz w:val="20"/>
          <w:szCs w:val="20"/>
          <w:color w:val="auto"/>
        </w:rPr>
      </w:pPr>
    </w:p>
    <w:p>
      <w:pPr>
        <w:ind w:right="180" w:firstLine="405"/>
        <w:spacing w:after="0" w:line="274" w:lineRule="auto"/>
        <w:rPr>
          <w:sz w:val="20"/>
          <w:szCs w:val="20"/>
          <w:color w:val="auto"/>
        </w:rPr>
      </w:pPr>
      <w:r>
        <w:rPr>
          <w:rFonts w:ascii="Arial" w:cs="Arial" w:eastAsia="Arial" w:hAnsi="Arial"/>
          <w:sz w:val="16"/>
          <w:szCs w:val="16"/>
          <w:color w:val="auto"/>
        </w:rPr>
        <w:t>Pursuant to the amended merger agreement with respect to our acquisition of R.E.R. Enterprises, Inc. (“RER”) and its wholly-owned subsidiary and principal operating asset, Feeney Wireless, LLC (which has been renamed Inseego North America, LLC), the Company agreed to pay a total of</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81" w:lineRule="exact"/>
        <w:rPr>
          <w:sz w:val="20"/>
          <w:szCs w:val="20"/>
          <w:color w:val="auto"/>
        </w:rPr>
      </w:pPr>
    </w:p>
    <w:p>
      <w:pPr>
        <w:ind w:right="60" w:firstLine="405"/>
        <w:spacing w:after="0" w:line="269"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in satisfaction of all remaining liabilities under the Settlement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Historical 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1"/>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(17,999)</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(28,213)</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27,469</w:t>
            </w: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r>
      <w:tr>
        <w:trPr>
          <w:trHeight w:val="212"/>
        </w:trPr>
        <w:tc>
          <w:tcPr>
            <w:tcW w:w="8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(19,002)</w:t>
            </w: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31,076</w:t>
            </w:r>
          </w:p>
        </w:tc>
      </w:tr>
      <w:tr>
        <w:trPr>
          <w:trHeight w:val="23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$20.1 million for the year ended December 31, 2020 compared to net cash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activities of $18.0 million for the same period in 2019. Net cash provided by operating activities for the year ended December 31, 2020 was primarily attributable to the net cash provided by changes in working capital, non-cash loss on debt conversion and extinguishment, a non-cash fair value adjustment on derivative instrument, depreciation and amortization, including the amortization of debt discount and debt issuance costs, and share-based compensation expense, offset by net losses incurred during the period. Net cash used in operating activities for the year ended December 31, 2019 was primarily attributable to the net losses incurred during the period, partially offset by non-cash charges for depreciation and amortization, including the amortization of debt discount and debt issuance costs, and share-based compensation expense.</w:t>
      </w:r>
    </w:p>
    <w:p>
      <w:pPr>
        <w:spacing w:after="0" w:line="123"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during the year ended December 31, 2020 was $34.7 million compared to $28.2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in investing activities for the same period in 2019. Cash used in investing activities during the year ended December 31, 2020 was primarily related to the purchases of property, plant and equipment and capitalization of certain costs related to the development of software to be sold in our products, in large part due to the increase in development in support of 5G products and services as well as certain internally developed software projects. Cash used in investing activities during the same period in 2019 was primarily attributable to the purchases of property, plant and equipment and the capitalization of certain costs related to the development of software to be sold in our products.</w:t>
      </w:r>
    </w:p>
    <w:p>
      <w:pPr>
        <w:spacing w:after="0" w:line="124"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year ended December 31, 2020 was $42.1 million,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financing activities of $27.5 million for the same period in 2019. Net cash provided by financing activities during the year ended December 31, 2020 was primarily related to net proceeds received from the Offering, the issuance of Series E Preferred Stock, the exercise of warrants to purchase common stock and stock option exercises and purchases through our employee stock purchase plan, partially offset by $32.0 million of cash paid to investors in the Private Exchange Transactions, $48.8 million of cash used to pay off our previous term loan and related extinguishment costs, the repurchase of Series E Preferred Stock, principal payments under finance lease obligations and taxes paid on vested restricted stock units. Net cash provided by financing activities during the year ended December 31, 2019 was primarily attributable to the proceeds received from the issuance and sale of Series E Preferred Stock and the exercise of warrants to purchase common stock, as well as proceeds received from stock option exercises and purchases made under the employee stock purchase plan, partially offset by net repayments of bank and overdraft facilities, principal payments under our previous term loan and taxes paid on vested restricted stock units.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2020, we had available cash and cash equivalents totaling $40.0 million and working capital of $38.4 million.</w:t>
      </w:r>
    </w:p>
    <w:p>
      <w:pPr>
        <w:spacing w:after="0" w:line="1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Company’s liquidity could be compromised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the Company’s ability to achieve its intended business objectives. There can be no assurance that any required or desired restructuring or financing will be available on terms favorable to the Company, or at all. If additional funds are raised by the issuance of equity securities, Company stockholders could experience dilution of their ownership interests and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ind w:right="420"/>
        <w:spacing w:after="0" w:line="277" w:lineRule="auto"/>
        <w:rPr>
          <w:sz w:val="20"/>
          <w:szCs w:val="20"/>
          <w:color w:val="auto"/>
        </w:rPr>
      </w:pPr>
      <w:r>
        <w:rPr>
          <w:rFonts w:ascii="Arial" w:cs="Arial" w:eastAsia="Arial" w:hAnsi="Arial"/>
          <w:sz w:val="18"/>
          <w:szCs w:val="18"/>
          <w:color w:val="auto"/>
        </w:rPr>
        <w:t>securities issued may have rights senior to those of the holders of the Company’s common stock. If additional funds are raised by the issuance of debt securities, the Company may be subject to additional limitations on its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generates revenue from a broad range of product sales including intelligent wireless hardware products for the worldwide mobile communications and IoT markets. The Company’s products principally include intelligent 4G and 5G mobile hotspots, wireless gateways and routers for IoT applications, 1 Gigabit speed 4G LTE hotspots and USB modems, integrated telematics and mobile tracking hardware devices, which are supported by applications software and cloud services designed to enable customers to easily analyze data insights and configure and manage their hardware.</w:t>
      </w:r>
    </w:p>
    <w:p>
      <w:pPr>
        <w:spacing w:after="0" w:line="103" w:lineRule="exact"/>
        <w:rPr>
          <w:sz w:val="20"/>
          <w:szCs w:val="20"/>
          <w:color w:val="auto"/>
        </w:rPr>
      </w:pPr>
    </w:p>
    <w:p>
      <w:pPr>
        <w:jc w:val="both"/>
        <w:ind w:right="440" w:firstLine="405"/>
        <w:spacing w:after="0" w:line="263"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revenues by product grouping for the year ended December 31, 2020 and 2019 were as follows (in thousands):</w:t>
      </w:r>
    </w:p>
    <w:p>
      <w:pPr>
        <w:spacing w:after="0" w:line="126"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Year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11"/>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160,873</w:t>
            </w:r>
          </w:p>
        </w:tc>
      </w:tr>
      <w:tr>
        <w:trPr>
          <w:trHeight w:val="213"/>
        </w:trPr>
        <w:tc>
          <w:tcPr>
            <w:tcW w:w="8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52,663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58,623</w:t>
            </w:r>
          </w:p>
        </w:tc>
      </w:tr>
      <w:tr>
        <w:trPr>
          <w:trHeight w:val="23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313,832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219,496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by geographic region based on shipping destination for the year ended December 31, 2020 and 2019 were as follows (in thousands):</w:t>
      </w:r>
    </w:p>
    <w:p>
      <w:pPr>
        <w:spacing w:after="0" w:line="135"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Year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11"/>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158,756</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28,208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35,001</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25,615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25,739</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313,832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219,496</w:t>
            </w:r>
          </w:p>
        </w:tc>
      </w:tr>
      <w:tr>
        <w:trPr>
          <w:trHeight w:val="20"/>
        </w:trPr>
        <w:tc>
          <w:tcPr>
            <w:tcW w:w="8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gateways, routers, modems, hotspots, HD quality VoLTE based wireless home phones, cloud management software and an advanced 5G portfolio of products (currently in various stages of development). The solutions are offered under the MiFi brands for consumer and business markets, and under the Skyus brand for industrial IoT markets.</w:t>
      </w:r>
    </w:p>
    <w:p>
      <w:pPr>
        <w:spacing w:after="0" w:line="13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consist of various subscription offerings to gain access to the Company’s Ctrack telematics</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which provide fleet vehicle, aviation ground vehicle and asset tracking and performance information, and other telematics applications, and the Company’s Device Management System (“DMS”), a hosted SaaS platform that helps organizations manage the selection, deployment and spend of their customers wireless assets, helping them save money on personnel and telecom expenses.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Contracts with Customers</w:t>
      </w:r>
    </w:p>
    <w:p>
      <w:pPr>
        <w:spacing w:after="0" w:line="171"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 xml:space="preserve">The Company adopted Accounting Standards Update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12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171" w:lineRule="exact"/>
        <w:rPr>
          <w:sz w:val="20"/>
          <w:szCs w:val="20"/>
          <w:color w:val="auto"/>
        </w:rPr>
      </w:pPr>
    </w:p>
    <w:p>
      <w:pPr>
        <w:ind w:left="960" w:hanging="30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16"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130"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typically at the time when the product is delivered, shipped or installed at which time the title passes to the customer, and there are no further performance obligations with regards to the hardware device.</w:t>
      </w:r>
    </w:p>
    <w:p>
      <w:pPr>
        <w:spacing w:after="0" w:line="130" w:lineRule="exact"/>
        <w:rPr>
          <w:sz w:val="20"/>
          <w:szCs w:val="20"/>
          <w:color w:val="auto"/>
        </w:rPr>
      </w:pPr>
    </w:p>
    <w:p>
      <w:pPr>
        <w:ind w:right="200" w:firstLine="405"/>
        <w:spacing w:after="0" w:line="288" w:lineRule="auto"/>
        <w:rPr>
          <w:sz w:val="20"/>
          <w:szCs w:val="20"/>
          <w:color w:val="auto"/>
        </w:rPr>
      </w:pPr>
      <w:r>
        <w:rPr>
          <w:rFonts w:ascii="Arial" w:cs="Arial" w:eastAsia="Arial" w:hAnsi="Arial"/>
          <w:sz w:val="16"/>
          <w:szCs w:val="16"/>
          <w:i w:val="1"/>
          <w:iCs w:val="1"/>
          <w:color w:val="auto"/>
        </w:rPr>
        <w:t xml:space="preserve">SaaS and Other Services. </w:t>
      </w:r>
      <w:r>
        <w:rPr>
          <w:rFonts w:ascii="Arial" w:cs="Arial" w:eastAsia="Arial" w:hAnsi="Arial"/>
          <w:sz w:val="16"/>
          <w:szCs w:val="16"/>
          <w:color w:val="auto"/>
        </w:rPr>
        <w:t>SaaS subscription revenue is recognized over time on a ratable basis over the contract term beginning on the date that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Prior to adoption of the Financial Accounting Standards Board (the “FASB”)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on January 1, 2019, if the customer chose to lease the monitoring device, the Company accounted for the monitoring device lease as an operating lease, recognized the revenue for the monitoring device lease over the term of the contract and recorded such revenue in accordance with the previous lease accounting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Under the new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5" w:name="page46"/>
    <w:bookmarkEnd w:id="45"/>
    <w:p>
      <w:pPr>
        <w:ind w:right="580"/>
        <w:spacing w:after="0" w:line="277" w:lineRule="auto"/>
        <w:rPr>
          <w:sz w:val="20"/>
          <w:szCs w:val="20"/>
          <w:color w:val="auto"/>
        </w:rPr>
      </w:pPr>
      <w:r>
        <w:rPr>
          <w:rFonts w:ascii="Arial" w:cs="Arial" w:eastAsia="Arial" w:hAnsi="Arial"/>
          <w:sz w:val="18"/>
          <w:szCs w:val="18"/>
          <w:color w:val="auto"/>
        </w:rPr>
        <w:t>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116" w:lineRule="exact"/>
        <w:rPr>
          <w:sz w:val="20"/>
          <w:szCs w:val="20"/>
          <w:color w:val="auto"/>
        </w:rPr>
      </w:pPr>
    </w:p>
    <w:p>
      <w:pPr>
        <w:ind w:left="660" w:right="28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 priced warranty contracts that extend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11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133"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184"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15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December 31, 2020.</w:t>
      </w:r>
    </w:p>
    <w:p>
      <w:pPr>
        <w:spacing w:after="0" w:line="130" w:lineRule="exact"/>
        <w:rPr>
          <w:sz w:val="20"/>
          <w:szCs w:val="20"/>
          <w:color w:val="auto"/>
        </w:rPr>
      </w:pPr>
    </w:p>
    <w:p>
      <w:pPr>
        <w:ind w:right="20" w:firstLine="405"/>
        <w:spacing w:after="0" w:line="248" w:lineRule="auto"/>
        <w:rPr>
          <w:sz w:val="20"/>
          <w:szCs w:val="20"/>
          <w:color w:val="auto"/>
        </w:rPr>
      </w:pPr>
      <w:r>
        <w:rPr>
          <w:rFonts w:ascii="Arial" w:cs="Arial" w:eastAsia="Arial" w:hAnsi="Arial"/>
          <w:sz w:val="18"/>
          <w:szCs w:val="18"/>
          <w:color w:val="auto"/>
        </w:rPr>
        <w:t xml:space="preserve">Applying the practical expedient in paragraph 40-25-4 of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293"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ind w:right="40" w:firstLine="405"/>
        <w:spacing w:after="0" w:line="254" w:lineRule="auto"/>
        <w:rPr>
          <w:sz w:val="20"/>
          <w:szCs w:val="20"/>
          <w:color w:val="auto"/>
        </w:rPr>
      </w:pPr>
      <w:r>
        <w:rPr>
          <w:rFonts w:ascii="Arial" w:cs="Arial" w:eastAsia="Arial" w:hAnsi="Arial"/>
          <w:sz w:val="18"/>
          <w:szCs w:val="18"/>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Receivable</w:t>
      </w:r>
    </w:p>
    <w:p>
      <w:pPr>
        <w:spacing w:after="0" w:line="1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provide an allowance for our accounts receivable for estimated losses that may result from our 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uncollectible accounts,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Provision for Excess and Obsolete Inventory</w:t>
      </w:r>
    </w:p>
    <w:p>
      <w:pPr>
        <w:spacing w:after="0" w:line="171"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Inventories are stated at the lower of cost (first-in, first-out method) or net realizable value. We review the components of 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68"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7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determining the fair value allocation for our acquisitions, we considered, among other factors, our intended uses of the acquired assets and the historical and estimated future demand for the acquired company’s products and services. The estimated fair value of intangible assets is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80" w:firstLine="648"/>
        <w:spacing w:after="0" w:line="220" w:lineRule="exact"/>
        <w:rPr>
          <w:sz w:val="20"/>
          <w:szCs w:val="20"/>
          <w:color w:val="auto"/>
        </w:rPr>
      </w:pPr>
      <w:r>
        <w:rPr>
          <w:rFonts w:ascii="Arial" w:cs="Arial" w:eastAsia="Arial" w:hAnsi="Arial"/>
          <w:sz w:val="18"/>
          <w:szCs w:val="18"/>
          <w:color w:val="auto"/>
        </w:rPr>
        <w:t>Research and development expense consists primarily of personnel costs for our engineers engaged in the design and development of our products, software and technologies, including salary, bonus and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project material costs, services, depreciation and amortization. Such costs are charged to research and development expense as they are incurred, to the extent not capitalized as software development costs for external or internal use.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External Use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Software development costs for external use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Costs incurred to enhance existing software or after the implementation of the software into a product are expensed in the period they are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incurred and included in research and development expense in the consolidated statements of operations. The straight-line recognition method approximates the manner in which the expected benefit will be derived. Also, at each balance sheet date, the unamortized capitalized software development costs for external use is compared to the net realizable value of that product by analyzing critical inputs such as costs necessary to bring the software to market, and life of the software. The amount by which unamortized software costs exceed the net realizable value, if any, is recognized as a charge to amortization expense in the period it is determined.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Internal Use</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intangible assets and are amortized on a straight-line basis over the estimated useful life of the software. The Company tests these assets for impairment whenever events or circumstances occur that could impact their recoverability.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We periodically evaluate the carrying value of the unamortized balances of our long-lived assets, including property, plant and equipment, rental assets and intangible assets, which requires us to make 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53"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Indefinite-lived assets, including goodwill and in-process capitalized software development costs, are not amortized; however, they are tested for impairment annually, and between annual tests, if certain events occur indicating that the carrying amounts may be impaired. The Company performs an annual impairment review of indefinite-lived assets during the fourth fiscal quarter of each year, and more frequently if we believe indicators of impairment exist. To review for impairment, we first assess qualitative factors to determine whether events or circumstances lead to a determination that it is more likely than not that the fair value of the Company’s reporting unit is less than its carrying amount. The Company’s qualitative assessment of the recoverability of indefinite-lived assets was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net book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Our goodwill resulted from our acquisitions of RER and DigiCore Holdings Limited during 2015. In accordance with the ASC 350,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w:t>
      </w:r>
      <w:r>
        <w:rPr>
          <w:rFonts w:ascii="Arial" w:cs="Arial" w:eastAsia="Arial" w:hAnsi="Arial"/>
          <w:sz w:val="18"/>
          <w:szCs w:val="18"/>
          <w:color w:val="auto"/>
        </w:rPr>
        <w:t>, we review goodwill for impairment at least annually, typically at the beginning of the fourth quarter of each year, and more frequently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if events or changes in circumstances occur that indicate a potential reduction in the fair value of the reporting unit to which the goodwill has been assigned below its carrying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240" w:firstLine="405"/>
        <w:spacing w:after="0" w:line="248" w:lineRule="auto"/>
        <w:rPr>
          <w:sz w:val="20"/>
          <w:szCs w:val="20"/>
          <w:color w:val="auto"/>
        </w:rPr>
      </w:pPr>
      <w:r>
        <w:rPr>
          <w:rFonts w:ascii="Arial" w:cs="Arial" w:eastAsia="Arial" w:hAnsi="Arial"/>
          <w:sz w:val="18"/>
          <w:szCs w:val="18"/>
          <w:color w:val="auto"/>
        </w:rPr>
        <w:t xml:space="preserve">We evaluate embedded features within convertible debt that will be settled in shares upon conversion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to determine whether the embedded feature(s) should be bifurcated from the host instrument and accounted for as a derivative at fair value with changes in fair value recorded in earnings.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ind w:right="160" w:firstLine="405"/>
        <w:spacing w:after="0" w:line="284" w:lineRule="auto"/>
        <w:rPr>
          <w:sz w:val="20"/>
          <w:szCs w:val="20"/>
          <w:color w:val="auto"/>
        </w:rPr>
      </w:pPr>
      <w:r>
        <w:rPr>
          <w:rFonts w:ascii="Arial" w:cs="Arial" w:eastAsia="Arial" w:hAnsi="Arial"/>
          <w:sz w:val="16"/>
          <w:szCs w:val="16"/>
          <w:color w:val="auto"/>
        </w:rPr>
        <w:t>If an embedded derivative is bifurcated from share-settled convertible debt, we record the debt component at cost less a debt discount equal to the bifurcated derivative’s fair value. We amortize the debt discount over the life of the debt instrument as additional non-cash interest expense utilizing the effective interest method. The convertible debt and the derivative liability are presented in total on the consolidated balance sheet. The derivative liability will be remeasured at each reporting period with changes in fair value recorded in the consolidated statements of operations in other income, net.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9" w:lineRule="exact"/>
        <w:rPr>
          <w:sz w:val="20"/>
          <w:szCs w:val="20"/>
          <w:color w:val="auto"/>
        </w:rPr>
      </w:pPr>
    </w:p>
    <w:p>
      <w:pPr>
        <w:ind w:right="40" w:firstLine="405"/>
        <w:spacing w:after="0" w:line="257" w:lineRule="auto"/>
        <w:rPr>
          <w:sz w:val="20"/>
          <w:szCs w:val="20"/>
          <w:color w:val="auto"/>
        </w:rPr>
      </w:pPr>
      <w:r>
        <w:rPr>
          <w:rFonts w:ascii="Arial" w:cs="Arial" w:eastAsia="Arial" w:hAnsi="Arial"/>
          <w:sz w:val="17"/>
          <w:szCs w:val="17"/>
          <w:color w:val="auto"/>
        </w:rPr>
        <w:t>We evaluate stock warrants, debt instruments and other contracts to determine if those contracts or embedded components of those contracts qualify as derivative financial instruments to be separately accounted for under the relevant sections of the Financial Accounting Standards Board (the “FASB”) ASC.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We are, from time to time, party to various legal proceedings arising in the ordinary course of business. We will record a loss when we determine information available prior to the issuance of the financial statements indicates the loss is both probable and estimable. Where a liability is probable and there is a range of estimated loss with no best estimate in the range, we record the minimum estimated liability related to the claim. As additional information becomes available, we assess the potential liability related to our pending litigation and revise our estimates, if necessary. Our policy is to expense litigation costs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We have stock incentive plans under which stock options and restricted stock units have been granted to employees, non-employee consultants and non-employee members of our Board of Directors. We also have an employee stock purchase plan for all eligible employees. Share-based payments, including grants of stock options, restricted stock units and stock purchase rights, are recognized in the financial statements based upon their respective grant date fair values.</w:t>
      </w:r>
    </w:p>
    <w:p>
      <w:pPr>
        <w:spacing w:after="0" w:line="65"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recipients, such as continued service, periodic vesting requirements and limited transferability.</w:t>
      </w:r>
    </w:p>
    <w:p>
      <w:pPr>
        <w:spacing w:after="0" w:line="7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our common stock on the date of the grant.</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6"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Because we were a smaller reporting company, as defined by Rule 12b-2 of the Securities Exchange Act of 1934, as amended, for the fiscal year ended December 31, 2020 and are transitioning into large accelerated filer status, we are not required to provide the information required under this item.</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consolidated financial statements and the Reports of Independent Registered Public Accounting Firms appear in Part IV of this report.</w:t>
      </w:r>
    </w:p>
    <w:p>
      <w:pPr>
        <w:spacing w:after="0" w:line="2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9" w:name="page50"/>
    <w:bookmarkEnd w:id="49"/>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2020, the end of the period covered by this report. Based on the foregoing, our principal executive officer and principal financial and accounting officer concluded that our disclosure controls and procedures were effective as of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13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2020.</w:t>
      </w:r>
    </w:p>
    <w:p>
      <w:pPr>
        <w:spacing w:after="0" w:line="134"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Marcum LLP, the independent registered public accounting firm that audited the consolidated financial statements included in this Annual Report on Form 10-K, has also audited our internal control over financial reporting as of December 31, 2020, as stated in their report which is included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REPORT OF INDEPENDENT REGISTERED PUBLIC ACCOUNTING FIRM ON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Inseego Corp.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Inseego Corp.'s (the “Company”) internal control over financial reporting as of December 31, 2020 based on criteria established in Internal Control-Integrated Framework (2013) issued by the Committee of Sponsoring Organizations of the Treadway Commission. In our opinion, the Company maintained, in all material respects, effective internal control over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financial reporting as of December 31, 2020, based on criteria established in Internal Control – Integrated Framework (2013) issued by the Committee of Sponsoring Organizations of the Treadway Commission.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as of December 31, 2020 and 2019 and the related consolidated statements of operations, comprehensive loss, stockholders’ deficit, and cash flows and the related notes for each of the two years in the period ended December 31, 2020 of the Company, and our report dated March 1, 2021 expressed an unqualified opinion on those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75"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The information required by Items 10, 11, 12, 13 and 14 is incorporated by reference from the Company’s definitive proxy statement for the 2021 Annual Meeting of Stockholders, which the Company intends to file with the SEC within 120 days of the end of the fiscal year end to which this report relates.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 and Financial Statement Schedules</w:t>
      </w:r>
    </w:p>
    <w:p>
      <w:pPr>
        <w:spacing w:after="0" w:line="108" w:lineRule="exact"/>
        <w:rPr>
          <w:sz w:val="20"/>
          <w:szCs w:val="20"/>
          <w:color w:val="auto"/>
        </w:rPr>
      </w:pPr>
    </w:p>
    <w:p>
      <w:pPr>
        <w:ind w:left="980" w:right="480" w:hanging="566"/>
        <w:spacing w:after="0" w:line="277" w:lineRule="auto"/>
        <w:tabs>
          <w:tab w:leader="none" w:pos="960" w:val="left"/>
        </w:tabs>
        <w:rPr>
          <w:sz w:val="20"/>
          <w:szCs w:val="20"/>
          <w:color w:val="auto"/>
        </w:rPr>
      </w:pPr>
      <w:r>
        <w:rPr>
          <w:rFonts w:ascii="Arial" w:cs="Arial" w:eastAsia="Arial" w:hAnsi="Arial"/>
          <w:sz w:val="18"/>
          <w:szCs w:val="18"/>
          <w:color w:val="auto"/>
        </w:rPr>
        <w:t>(a)(1)</w:t>
        <w:tab/>
        <w:t>The Company’s consolidated financial statements and report of the Marcum LLP, Independent Registered Public Accounting Firm, are included in Section IV of this report beginning on page F-1.</w:t>
      </w:r>
    </w:p>
    <w:p>
      <w:pPr>
        <w:spacing w:after="0" w:line="35" w:lineRule="exact"/>
        <w:rPr>
          <w:sz w:val="20"/>
          <w:szCs w:val="20"/>
          <w:color w:val="auto"/>
        </w:rPr>
      </w:pPr>
    </w:p>
    <w:p>
      <w:pPr>
        <w:ind w:left="980" w:hanging="566"/>
        <w:spacing w:after="0" w:line="277" w:lineRule="auto"/>
        <w:tabs>
          <w:tab w:leader="none" w:pos="960" w:val="left"/>
        </w:tabs>
        <w:rPr>
          <w:sz w:val="20"/>
          <w:szCs w:val="20"/>
          <w:color w:val="auto"/>
        </w:rPr>
      </w:pPr>
      <w:r>
        <w:rPr>
          <w:rFonts w:ascii="Arial" w:cs="Arial" w:eastAsia="Arial" w:hAnsi="Arial"/>
          <w:sz w:val="18"/>
          <w:szCs w:val="18"/>
          <w:color w:val="auto"/>
        </w:rPr>
        <w:t>(a)(2)</w:t>
        <w:tab/>
        <w:t>Schedules have been omitted because they are not applicable or are not required or the information required to be set forth therein is included in the consolidated financial statements or related notes thereto.</w:t>
      </w:r>
    </w:p>
    <w:p>
      <w:pPr>
        <w:spacing w:after="0" w:line="62" w:lineRule="exact"/>
        <w:rPr>
          <w:sz w:val="20"/>
          <w:szCs w:val="20"/>
          <w:color w:val="auto"/>
        </w:rPr>
      </w:pPr>
    </w:p>
    <w:p>
      <w:pPr>
        <w:ind w:left="800" w:hanging="387"/>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45"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66" w:lineRule="exact"/>
        <w:rPr>
          <w:sz w:val="20"/>
          <w:szCs w:val="20"/>
          <w:color w:val="auto"/>
        </w:rPr>
      </w:pPr>
    </w:p>
    <w:p>
      <w:pPr>
        <w:ind w:left="1260" w:right="140" w:hanging="791"/>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61">
        <w:r>
          <w:rPr>
            <w:rFonts w:ascii="Arial" w:cs="Arial" w:eastAsia="Arial" w:hAnsi="Arial"/>
            <w:sz w:val="18"/>
            <w:szCs w:val="18"/>
            <w:u w:val="single" w:color="auto"/>
            <w:color w:val="0000FF"/>
          </w:rPr>
          <w:t>Share Purchase Agreement, dated as of February 24, 2021, by and between Inseego Corp. and Main Street 1816 Proprietary Limited (in</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the process of being renamed Convergence CTSA Proprietary Limited)(incorporated by reference to Exhibit 10.1 to the Company’s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Current Report on Form 8-K, filed February 25, 2021).</w:t>
        </w:r>
      </w:hyperlink>
    </w:p>
    <w:p>
      <w:pPr>
        <w:spacing w:after="0" w:line="200" w:lineRule="exact"/>
        <w:rPr>
          <w:rFonts w:ascii="Arial" w:cs="Arial" w:eastAsia="Arial" w:hAnsi="Arial"/>
          <w:sz w:val="18"/>
          <w:szCs w:val="18"/>
          <w:u w:val="single" w:color="auto"/>
          <w:color w:val="0000FF"/>
        </w:rPr>
      </w:pPr>
    </w:p>
    <w:p>
      <w:pPr>
        <w:spacing w:after="0" w:line="339" w:lineRule="exact"/>
        <w:rPr>
          <w:rFonts w:ascii="Arial" w:cs="Arial" w:eastAsia="Arial" w:hAnsi="Arial"/>
          <w:sz w:val="18"/>
          <w:szCs w:val="18"/>
          <w:u w:val="single" w:color="auto"/>
          <w:color w:val="0000FF"/>
        </w:rPr>
      </w:pPr>
    </w:p>
    <w:p>
      <w:pPr>
        <w:ind w:left="4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62">
        <w:r>
          <w:rPr>
            <w:rFonts w:ascii="Arial" w:cs="Arial" w:eastAsia="Arial" w:hAnsi="Arial"/>
            <w:sz w:val="16"/>
            <w:szCs w:val="16"/>
            <w:u w:val="single" w:color="auto"/>
            <w:color w:val="0000FF"/>
          </w:rPr>
          <w:t>Amended and Restated Certificate of Incorporation (incorporated by reference to Exhibit 3.1 to the Company’s Current Report on Form</w:t>
        </w:r>
      </w:hyperlink>
    </w:p>
    <w:p>
      <w:pPr>
        <w:ind w:left="126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8-K, filed November 9, 2016).</w:t>
        </w:r>
      </w:hyperlink>
    </w:p>
    <w:p>
      <w:pPr>
        <w:spacing w:after="0" w:line="74" w:lineRule="exact"/>
        <w:rPr>
          <w:rFonts w:ascii="Arial" w:cs="Arial" w:eastAsia="Arial" w:hAnsi="Arial"/>
          <w:sz w:val="18"/>
          <w:szCs w:val="18"/>
          <w:u w:val="single" w:color="auto"/>
          <w:color w:val="0000FF"/>
        </w:rPr>
      </w:pPr>
    </w:p>
    <w:p>
      <w:pPr>
        <w:ind w:left="1260" w:right="140" w:hanging="791"/>
        <w:spacing w:after="0" w:line="24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63">
        <w:r>
          <w:rPr>
            <w:rFonts w:ascii="Arial" w:cs="Arial" w:eastAsia="Arial" w:hAnsi="Arial"/>
            <w:sz w:val="18"/>
            <w:szCs w:val="18"/>
            <w:u w:val="single" w:color="auto"/>
            <w:color w:val="0000FF"/>
          </w:rPr>
          <w:t>Amended and Restated Bylaws of Inseego Corp. (incorporated by reference to Exhibit 3.2 to the Company’s Current Report on Form 8-</w:t>
        </w:r>
      </w:hyperlink>
      <w:hyperlink r:id="rId63">
        <w:r>
          <w:rPr>
            <w:rFonts w:ascii="Arial" w:cs="Arial" w:eastAsia="Arial" w:hAnsi="Arial"/>
            <w:sz w:val="18"/>
            <w:szCs w:val="18"/>
            <w:u w:val="single" w:color="auto"/>
            <w:color w:val="0000FF"/>
          </w:rPr>
          <w:t>K, filed November 9, 2016).</w:t>
        </w:r>
      </w:hyperlink>
    </w:p>
    <w:p>
      <w:pPr>
        <w:spacing w:after="0" w:line="62" w:lineRule="exact"/>
        <w:rPr>
          <w:sz w:val="20"/>
          <w:szCs w:val="20"/>
          <w:color w:val="auto"/>
        </w:rPr>
      </w:pPr>
    </w:p>
    <w:p>
      <w:pPr>
        <w:ind w:left="1260" w:right="160" w:hanging="791"/>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64">
        <w:r>
          <w:rPr>
            <w:rFonts w:ascii="Arial" w:cs="Arial" w:eastAsia="Arial" w:hAnsi="Arial"/>
            <w:sz w:val="18"/>
            <w:szCs w:val="18"/>
            <w:u w:val="single" w:color="auto"/>
            <w:color w:val="0000FF"/>
          </w:rPr>
          <w:t>Certificate of Designation of Series D Junior Participating Preferred Stock of Inseego Corp. (incorporated by reference to Exhibit 3.1 to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the Company’s Current Report on Form 8-K, filed January 22, 2018).</w:t>
        </w:r>
      </w:hyperlink>
    </w:p>
    <w:p>
      <w:pPr>
        <w:spacing w:after="0" w:line="54" w:lineRule="exact"/>
        <w:rPr>
          <w:sz w:val="20"/>
          <w:szCs w:val="20"/>
          <w:color w:val="auto"/>
        </w:rPr>
      </w:pPr>
    </w:p>
    <w:p>
      <w:pPr>
        <w:ind w:left="1260" w:right="160" w:hanging="791"/>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65">
        <w:r>
          <w:rPr>
            <w:rFonts w:ascii="Arial" w:cs="Arial" w:eastAsia="Arial" w:hAnsi="Arial"/>
            <w:sz w:val="18"/>
            <w:szCs w:val="18"/>
            <w:u w:val="single" w:color="auto"/>
            <w:color w:val="0000FF"/>
          </w:rPr>
          <w:t>Certificate of Designation of Series E Fixed-Rate Cumulative Perpetual Preferred Stock (incorporated by reference to Exhibit 3.1 to the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Company’s Current Report on Form 8-K, filed August 13, 2019).</w:t>
        </w:r>
      </w:hyperlink>
    </w:p>
    <w:p>
      <w:pPr>
        <w:spacing w:after="0" w:line="54" w:lineRule="exact"/>
        <w:rPr>
          <w:sz w:val="20"/>
          <w:szCs w:val="20"/>
          <w:color w:val="auto"/>
        </w:rPr>
      </w:pPr>
    </w:p>
    <w:p>
      <w:pPr>
        <w:ind w:left="1260" w:right="240" w:hanging="791"/>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hyperlink r:id="rId66">
        <w:r>
          <w:rPr>
            <w:rFonts w:ascii="Arial" w:cs="Arial" w:eastAsia="Arial" w:hAnsi="Arial"/>
            <w:sz w:val="18"/>
            <w:szCs w:val="18"/>
            <w:u w:val="single" w:color="auto"/>
            <w:color w:val="0000FF"/>
          </w:rPr>
          <w:t>Certificate of Amendment to Certificate of Designation of Series E Fixed-Rate Cumulative Perpetual Preferred Stock (incorporated by</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reference to Exhibit 3.1 to the Company’s Current Report on Form 8-K, filed March 10, 2020).</w:t>
        </w:r>
      </w:hyperlink>
    </w:p>
    <w:p>
      <w:pPr>
        <w:spacing w:after="0" w:line="108" w:lineRule="exact"/>
        <w:rPr>
          <w:sz w:val="20"/>
          <w:szCs w:val="20"/>
          <w:color w:val="auto"/>
        </w:rPr>
      </w:pPr>
    </w:p>
    <w:p>
      <w:pPr>
        <w:ind w:left="1260" w:right="20" w:hanging="791"/>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67">
        <w:r>
          <w:rPr>
            <w:rFonts w:ascii="Arial" w:cs="Arial" w:eastAsia="Arial" w:hAnsi="Arial"/>
            <w:sz w:val="18"/>
            <w:szCs w:val="18"/>
            <w:u w:val="single" w:color="auto"/>
            <w:color w:val="0000FF"/>
          </w:rPr>
          <w:t>Form of Inseego Corp. Common Stock Certificate (incorporated by reference to Exhibit 4.1 to the Company’s Current Report on Form 8-</w:t>
        </w:r>
      </w:hyperlink>
      <w:hyperlink r:id="rId67">
        <w:r>
          <w:rPr>
            <w:rFonts w:ascii="Arial" w:cs="Arial" w:eastAsia="Arial" w:hAnsi="Arial"/>
            <w:sz w:val="18"/>
            <w:szCs w:val="18"/>
            <w:u w:val="single" w:color="auto"/>
            <w:color w:val="0000FF"/>
          </w:rPr>
          <w:t>K filed November 9, 2016).</w:t>
        </w:r>
      </w:hyperlink>
    </w:p>
    <w:p>
      <w:pPr>
        <w:spacing w:after="0" w:line="108" w:lineRule="exact"/>
        <w:rPr>
          <w:sz w:val="20"/>
          <w:szCs w:val="20"/>
          <w:color w:val="auto"/>
        </w:rPr>
      </w:pPr>
    </w:p>
    <w:p>
      <w:pPr>
        <w:ind w:left="38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w:anchor="page94">
        <w:r>
          <w:rPr>
            <w:rFonts w:ascii="Arial" w:cs="Arial" w:eastAsia="Arial" w:hAnsi="Arial"/>
            <w:sz w:val="16"/>
            <w:szCs w:val="16"/>
            <w:u w:val="single" w:color="auto"/>
            <w:color w:val="0000FF"/>
          </w:rPr>
          <w:t>Description of Equity Securities Registered under Section 12 of the Exchange Act.</w:t>
        </w:r>
      </w:hyperlink>
    </w:p>
    <w:p>
      <w:pPr>
        <w:spacing w:after="0" w:line="131" w:lineRule="exact"/>
        <w:rPr>
          <w:sz w:val="20"/>
          <w:szCs w:val="20"/>
          <w:color w:val="auto"/>
        </w:rPr>
      </w:pPr>
    </w:p>
    <w:p>
      <w:pPr>
        <w:ind w:left="1260" w:right="320" w:hanging="791"/>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68">
        <w:r>
          <w:rPr>
            <w:rFonts w:ascii="Arial" w:cs="Arial" w:eastAsia="Arial" w:hAnsi="Arial"/>
            <w:sz w:val="18"/>
            <w:szCs w:val="18"/>
            <w:u w:val="single" w:color="auto"/>
            <w:color w:val="0000FF"/>
          </w:rPr>
          <w:t>Base Indenture, dated May 12, 2020, between Inseego Corp. and Wilmington Trust, National Association, as trustee (incorporated by</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reference to Exhibit 4.1 to the Company’s Current Report on Form 8-K, filed May 12,</w:t>
        </w:r>
      </w:hyperlink>
    </w:p>
    <w:p>
      <w:pPr>
        <w:spacing w:after="0" w:line="108" w:lineRule="exact"/>
        <w:rPr>
          <w:sz w:val="20"/>
          <w:szCs w:val="20"/>
          <w:color w:val="auto"/>
        </w:rPr>
      </w:pPr>
    </w:p>
    <w:p>
      <w:pPr>
        <w:ind w:left="1260" w:right="540" w:hanging="791"/>
        <w:spacing w:after="0" w:line="249"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hyperlink r:id="rId69">
        <w:r>
          <w:rPr>
            <w:rFonts w:ascii="Arial" w:cs="Arial" w:eastAsia="Arial" w:hAnsi="Arial"/>
            <w:sz w:val="17"/>
            <w:szCs w:val="17"/>
            <w:u w:val="single" w:color="auto"/>
            <w:color w:val="0000FF"/>
          </w:rPr>
          <w:t>First Supplemental Indenture, dated May 12, 2020, between Inseego Corp. and Wilmington Trust, National Association, as trustee</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(incorporated by reference to Exhibit 4.2 to the Company’s Current Report on Form 8-K, filed May 12, 2020).</w:t>
        </w:r>
      </w:hyperlink>
    </w:p>
    <w:p>
      <w:pPr>
        <w:ind w:left="1260" w:hanging="791"/>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69">
        <w:r>
          <w:rPr>
            <w:rFonts w:ascii="Arial" w:cs="Arial" w:eastAsia="Arial" w:hAnsi="Arial"/>
            <w:sz w:val="18"/>
            <w:szCs w:val="18"/>
            <w:u w:val="single" w:color="auto"/>
            <w:color w:val="0000FF"/>
          </w:rPr>
          <w:t>Form of 3.25% convertible senior note due 2025 (incorporated by reference Exhibit 10.5 to the Company’s Quarterly Report on Form 10-</w:t>
        </w:r>
      </w:hyperlink>
      <w:hyperlink r:id="rId69">
        <w:r>
          <w:rPr>
            <w:rFonts w:ascii="Arial" w:cs="Arial" w:eastAsia="Arial" w:hAnsi="Arial"/>
            <w:sz w:val="18"/>
            <w:szCs w:val="18"/>
            <w:u w:val="single" w:color="auto"/>
            <w:color w:val="0000FF"/>
          </w:rPr>
          <w:t>Q, filed August 10, 2020).</w:t>
        </w:r>
      </w:hyperlink>
    </w:p>
    <w:p>
      <w:pPr>
        <w:spacing w:after="0" w:line="109" w:lineRule="exact"/>
        <w:rPr>
          <w:sz w:val="20"/>
          <w:szCs w:val="20"/>
          <w:color w:val="auto"/>
        </w:rPr>
      </w:pPr>
    </w:p>
    <w:p>
      <w:pPr>
        <w:ind w:left="1260" w:right="200" w:hanging="791"/>
        <w:spacing w:after="0" w:line="261"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70">
        <w:r>
          <w:rPr>
            <w:rFonts w:ascii="Arial" w:cs="Arial" w:eastAsia="Arial" w:hAnsi="Arial"/>
            <w:sz w:val="18"/>
            <w:szCs w:val="18"/>
            <w:u w:val="single" w:color="auto"/>
            <w:color w:val="0000FF"/>
          </w:rPr>
          <w:t>Common Stock Purchase Warrant issued to Golden Harbor Ltd., dated March 28, 2019, by Inseego Corp. (incorporated by reference to</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Exhibit 4.1 to the Company’s Current Report on Form 8-K, filed March 29, 2019).</w:t>
        </w:r>
      </w:hyperlink>
    </w:p>
    <w:p>
      <w:pPr>
        <w:spacing w:after="0" w:line="117" w:lineRule="exact"/>
        <w:rPr>
          <w:sz w:val="20"/>
          <w:szCs w:val="20"/>
          <w:color w:val="auto"/>
        </w:rPr>
      </w:pPr>
    </w:p>
    <w:p>
      <w:pPr>
        <w:ind w:left="1260" w:right="620" w:hanging="791"/>
        <w:spacing w:after="0" w:line="261"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71">
        <w:r>
          <w:rPr>
            <w:rFonts w:ascii="Arial" w:cs="Arial" w:eastAsia="Arial" w:hAnsi="Arial"/>
            <w:sz w:val="18"/>
            <w:szCs w:val="18"/>
            <w:u w:val="single" w:color="auto"/>
            <w:color w:val="0000FF"/>
          </w:rPr>
          <w:t>Common Stock Purchase Warrant issued to North Sound Trading, L.P., dated March 28, 2019, by Inseego Corp. (incorporated by</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reference to Exhibit 4.2 to the Company’s Current Report on Form 8-K, filed March 29, 2019).</w:t>
        </w:r>
      </w:hyperlink>
    </w:p>
    <w:p>
      <w:pPr>
        <w:spacing w:after="0" w:line="117" w:lineRule="exact"/>
        <w:rPr>
          <w:sz w:val="20"/>
          <w:szCs w:val="20"/>
          <w:color w:val="auto"/>
        </w:rPr>
      </w:pPr>
    </w:p>
    <w:p>
      <w:pPr>
        <w:ind w:left="1260" w:right="100" w:hanging="791"/>
        <w:spacing w:after="0" w:line="24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72">
        <w:r>
          <w:rPr>
            <w:rFonts w:ascii="Arial" w:cs="Arial" w:eastAsia="Arial" w:hAnsi="Arial"/>
            <w:sz w:val="18"/>
            <w:szCs w:val="18"/>
            <w:u w:val="single" w:color="auto"/>
            <w:color w:val="0000FF"/>
          </w:rPr>
          <w:t>Registration Rights Agreement, dated August 6, 2018, by and among Inseego Corp. and the Investors identified on Exhibit A to the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Securities Purchase Agreement (incorporated by reference to Exhibit 4.3 to the Company’s Current Report on Form 8-K, filed August 7,</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2018).</w:t>
        </w:r>
      </w:hyperlink>
    </w:p>
    <w:p>
      <w:pPr>
        <w:spacing w:after="0" w:line="182" w:lineRule="exact"/>
        <w:rPr>
          <w:rFonts w:ascii="Arial" w:cs="Arial" w:eastAsia="Arial" w:hAnsi="Arial"/>
          <w:sz w:val="18"/>
          <w:szCs w:val="18"/>
          <w:u w:val="single" w:color="auto"/>
          <w:color w:val="0000FF"/>
        </w:rPr>
      </w:pPr>
    </w:p>
    <w:p>
      <w:pPr>
        <w:ind w:left="1260" w:right="120" w:hanging="881"/>
        <w:spacing w:after="0" w:line="24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73">
        <w:r>
          <w:rPr>
            <w:rFonts w:ascii="Arial" w:cs="Arial" w:eastAsia="Arial" w:hAnsi="Arial"/>
            <w:sz w:val="18"/>
            <w:szCs w:val="18"/>
            <w:u w:val="single" w:color="auto"/>
            <w:color w:val="0000FF"/>
          </w:rPr>
          <w:t>Amended and Restated Inseego Corp. 2000 Employee Stock Purchase Plan (incorporated by reference to Exhibit 10.2 to the Company’s</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Current Report on Form 8-K, filed July 18, 2018).</w:t>
        </w:r>
      </w:hyperlink>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52" w:name="page53"/>
    <w:bookmarkEnd w:id="52"/>
    <w:p>
      <w:pPr>
        <w:ind w:left="180"/>
        <w:spacing w:after="0"/>
        <w:tabs>
          <w:tab w:leader="none" w:pos="12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 w:lineRule="exact"/>
        <w:rPr>
          <w:sz w:val="20"/>
          <w:szCs w:val="20"/>
          <w:color w:val="auto"/>
        </w:rPr>
      </w:pPr>
    </w:p>
    <w:p>
      <w:pPr>
        <w:ind w:left="1300" w:right="100" w:hanging="921"/>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76">
        <w:r>
          <w:rPr>
            <w:rFonts w:ascii="Arial" w:cs="Arial" w:eastAsia="Arial" w:hAnsi="Arial"/>
            <w:sz w:val="18"/>
            <w:szCs w:val="18"/>
            <w:u w:val="single" w:color="auto"/>
            <w:color w:val="0000FF"/>
          </w:rPr>
          <w:t>Offer Letter dated July 26, 2020 between Inseego Corp. and Craig L. Foster (incorporated by reference to Exhibit 10.3 to the Company’s</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Quarterly Report on Form 10-Q, filed November 6, 2020).</w:t>
        </w:r>
      </w:hyperlink>
    </w:p>
    <w:p>
      <w:pPr>
        <w:spacing w:after="0" w:line="38"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77">
        <w:r>
          <w:rPr>
            <w:rFonts w:ascii="Arial" w:cs="Arial" w:eastAsia="Arial" w:hAnsi="Arial"/>
            <w:sz w:val="16"/>
            <w:szCs w:val="16"/>
            <w:u w:val="single" w:color="auto"/>
            <w:color w:val="0000FF"/>
          </w:rPr>
          <w:t>Change in Control Agreement dated August 17, 2020 between Inseego Corp. and Craig L. Foster (incorporated by reference to Exhibit</w:t>
        </w:r>
      </w:hyperlink>
    </w:p>
    <w:p>
      <w:pPr>
        <w:ind w:left="1300"/>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10.4 to the Company’s Quarterly Report on Form 10-Q, filed November 6, 2020).</w:t>
        </w:r>
      </w:hyperlink>
    </w:p>
    <w:p>
      <w:pPr>
        <w:spacing w:after="0" w:line="59"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78">
        <w:r>
          <w:rPr>
            <w:rFonts w:ascii="Arial" w:cs="Arial" w:eastAsia="Arial" w:hAnsi="Arial"/>
            <w:sz w:val="16"/>
            <w:szCs w:val="16"/>
            <w:u w:val="single" w:color="auto"/>
            <w:color w:val="0000FF"/>
          </w:rPr>
          <w:t>Form of Indemnification (incorporated by reference to Exhibit 10.3 to the Company’s Current Report on Form 8-K, filed August 21,</w:t>
        </w:r>
      </w:hyperlink>
    </w:p>
    <w:p>
      <w:pPr>
        <w:ind w:left="1300"/>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2017).</w:t>
        </w:r>
      </w:hyperlink>
    </w:p>
    <w:p>
      <w:pPr>
        <w:spacing w:after="0" w:line="74" w:lineRule="exact"/>
        <w:rPr>
          <w:sz w:val="20"/>
          <w:szCs w:val="20"/>
          <w:color w:val="auto"/>
        </w:rPr>
      </w:pPr>
    </w:p>
    <w:p>
      <w:pPr>
        <w:ind w:left="1300" w:right="140" w:hanging="921"/>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79">
        <w:r>
          <w:rPr>
            <w:rFonts w:ascii="Arial" w:cs="Arial" w:eastAsia="Arial" w:hAnsi="Arial"/>
            <w:sz w:val="18"/>
            <w:szCs w:val="18"/>
            <w:u w:val="single" w:color="auto"/>
            <w:color w:val="0000FF"/>
          </w:rPr>
          <w:t>Employment Offer Letter, dated June 6, 2017, between Inseego Corp. and Dan Mondor (incorporated by reference to Exhibit 10.1 to the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Company’s Current Report on Form 8-K, filed June 9, 2017).</w:t>
        </w:r>
      </w:hyperlink>
    </w:p>
    <w:p>
      <w:pPr>
        <w:spacing w:after="0" w:line="62" w:lineRule="exact"/>
        <w:rPr>
          <w:sz w:val="20"/>
          <w:szCs w:val="20"/>
          <w:color w:val="auto"/>
        </w:rPr>
      </w:pPr>
    </w:p>
    <w:p>
      <w:pPr>
        <w:ind w:left="1300" w:right="80" w:hanging="921"/>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80">
        <w:r>
          <w:rPr>
            <w:rFonts w:ascii="Arial" w:cs="Arial" w:eastAsia="Arial" w:hAnsi="Arial"/>
            <w:sz w:val="18"/>
            <w:szCs w:val="18"/>
            <w:u w:val="single" w:color="auto"/>
            <w:color w:val="0000FF"/>
          </w:rPr>
          <w:t>Change in Control and Severance Agreement, dated June 6, 2018, between Inseego Corp. and Dan Mondor (incorporated by reference to</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Exhibit 10.1 to the Company’s Current Report on Form 8-K, filed June 8, 2018).</w:t>
        </w:r>
      </w:hyperlink>
    </w:p>
    <w:p>
      <w:pPr>
        <w:spacing w:after="0" w:line="54" w:lineRule="exact"/>
        <w:rPr>
          <w:sz w:val="20"/>
          <w:szCs w:val="20"/>
          <w:color w:val="auto"/>
        </w:rPr>
      </w:pPr>
    </w:p>
    <w:p>
      <w:pPr>
        <w:ind w:left="1300" w:right="220" w:hanging="921"/>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81">
        <w:r>
          <w:rPr>
            <w:rFonts w:ascii="Arial" w:cs="Arial" w:eastAsia="Arial" w:hAnsi="Arial"/>
            <w:sz w:val="18"/>
            <w:szCs w:val="18"/>
            <w:u w:val="single" w:color="auto"/>
            <w:color w:val="0000FF"/>
          </w:rPr>
          <w:t>Indemnification Agreement, dated June 6, 2017, between Inseego Corp. and Dan Mondor (incorporated by reference to Exhibit 10.3 to</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the Company’s Current Report on Form 8-K, filed June 9, 2017).</w:t>
        </w:r>
      </w:hyperlink>
    </w:p>
    <w:p>
      <w:pPr>
        <w:spacing w:after="0" w:line="62" w:lineRule="exact"/>
        <w:rPr>
          <w:sz w:val="20"/>
          <w:szCs w:val="20"/>
          <w:color w:val="auto"/>
        </w:rPr>
      </w:pPr>
    </w:p>
    <w:p>
      <w:pPr>
        <w:ind w:left="1300" w:right="540" w:hanging="921"/>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82">
        <w:r>
          <w:rPr>
            <w:rFonts w:ascii="Arial" w:cs="Arial" w:eastAsia="Arial" w:hAnsi="Arial"/>
            <w:sz w:val="18"/>
            <w:szCs w:val="18"/>
            <w:u w:val="single" w:color="auto"/>
            <w:color w:val="0000FF"/>
          </w:rPr>
          <w:t>Amendment to Offer Letter, dated October 26, 2017, by and between the Company and Dan Mondor (incorporated by reference to</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Exhibit 10.8 to the Company’s Quarterly Report on Form 10-Q, filed on November 7, 2017).</w:t>
        </w:r>
      </w:hyperlink>
    </w:p>
    <w:p>
      <w:pPr>
        <w:spacing w:after="0" w:line="46"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83">
        <w:r>
          <w:rPr>
            <w:rFonts w:ascii="Arial" w:cs="Arial" w:eastAsia="Arial" w:hAnsi="Arial"/>
            <w:sz w:val="16"/>
            <w:szCs w:val="16"/>
            <w:u w:val="single" w:color="auto"/>
            <w:color w:val="0000FF"/>
          </w:rPr>
          <w:t>Inseego Corp. 2015 Incentive Compensation Plan (incorporated by reference to Exhibit 10.26 to the Company’s Annual Report on Form</w:t>
        </w:r>
      </w:hyperlink>
    </w:p>
    <w:p>
      <w:pPr>
        <w:ind w:left="130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10-K, filed on March 16, 2018).</w:t>
        </w:r>
      </w:hyperlink>
    </w:p>
    <w:p>
      <w:pPr>
        <w:spacing w:after="0" w:line="61" w:lineRule="exact"/>
        <w:rPr>
          <w:sz w:val="20"/>
          <w:szCs w:val="20"/>
          <w:color w:val="auto"/>
        </w:rPr>
      </w:pPr>
    </w:p>
    <w:p>
      <w:pPr>
        <w:ind w:left="1300" w:right="40" w:hanging="966"/>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84">
        <w:r>
          <w:rPr>
            <w:rFonts w:ascii="Arial" w:cs="Arial" w:eastAsia="Arial" w:hAnsi="Arial"/>
            <w:sz w:val="18"/>
            <w:szCs w:val="18"/>
            <w:u w:val="single" w:color="auto"/>
            <w:color w:val="0000FF"/>
          </w:rPr>
          <w:t>Form of Nonstatutory Stock Option Agreement under the Inseego Corp. 2015 Incentive Compensation Plan (incorporated by reference to</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Exhibit 10.27 to the Company’s Annual Report on Form 10-K, filed on March 16, 2018).</w:t>
        </w:r>
      </w:hyperlink>
    </w:p>
    <w:p>
      <w:pPr>
        <w:spacing w:after="0" w:line="54" w:lineRule="exact"/>
        <w:rPr>
          <w:sz w:val="20"/>
          <w:szCs w:val="20"/>
          <w:color w:val="auto"/>
        </w:rPr>
      </w:pPr>
    </w:p>
    <w:p>
      <w:pPr>
        <w:ind w:left="1300" w:right="520" w:hanging="963"/>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85">
        <w:r>
          <w:rPr>
            <w:rFonts w:ascii="Arial" w:cs="Arial" w:eastAsia="Arial" w:hAnsi="Arial"/>
            <w:sz w:val="18"/>
            <w:szCs w:val="18"/>
            <w:u w:val="single" w:color="auto"/>
            <w:color w:val="0000FF"/>
          </w:rPr>
          <w:t>Amended Inseego Corp. 2018 Omnibus Incentive Compensation Plan (incorporated by reference to Exhibit 10.1 to the Company’s</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Current Report on Form 8-K, filed July 24, 2020).</w:t>
        </w:r>
      </w:hyperlink>
    </w:p>
    <w:p>
      <w:pPr>
        <w:spacing w:after="0" w:line="54" w:lineRule="exact"/>
        <w:rPr>
          <w:sz w:val="20"/>
          <w:szCs w:val="20"/>
          <w:color w:val="auto"/>
        </w:rPr>
      </w:pPr>
    </w:p>
    <w:p>
      <w:pPr>
        <w:ind w:left="1300" w:right="360" w:hanging="921"/>
        <w:spacing w:after="0" w:line="25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86">
        <w:r>
          <w:rPr>
            <w:rFonts w:ascii="Arial" w:cs="Arial" w:eastAsia="Arial" w:hAnsi="Arial"/>
            <w:sz w:val="17"/>
            <w:szCs w:val="17"/>
            <w:u w:val="single" w:color="auto"/>
            <w:color w:val="0000FF"/>
          </w:rPr>
          <w:t>Securities Purchase Agreement, dated August 6, 2018, by and among Inseego Corp. and the Investors identified on Exhibit A thereto</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(incorporated by reference to Exhibit 4.1 to the Company’s Current Report on Form 8-K, filed August 7, 2018).</w:t>
        </w:r>
      </w:hyperlink>
    </w:p>
    <w:p>
      <w:pPr>
        <w:spacing w:after="0" w:line="39" w:lineRule="exact"/>
        <w:rPr>
          <w:sz w:val="20"/>
          <w:szCs w:val="20"/>
          <w:color w:val="auto"/>
        </w:rPr>
      </w:pPr>
    </w:p>
    <w:p>
      <w:pPr>
        <w:ind w:left="1300" w:right="360" w:hanging="921"/>
        <w:spacing w:after="0" w:line="274"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87">
        <w:r>
          <w:rPr>
            <w:rFonts w:ascii="Arial" w:cs="Arial" w:eastAsia="Arial" w:hAnsi="Arial"/>
            <w:sz w:val="17"/>
            <w:szCs w:val="17"/>
            <w:u w:val="single" w:color="auto"/>
            <w:color w:val="0000FF"/>
          </w:rPr>
          <w:t>Securities Purchase Agreement, dated August 9, 2019, by and among Inseego Corp. and the Investors identified on Exhibit A thereto</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(incorporated by reference to Exhibit 10.1 to the Company’s Current Report on Form 8-K, filed August 13, 2019).</w:t>
        </w:r>
      </w:hyperlink>
    </w:p>
    <w:p>
      <w:pPr>
        <w:spacing w:after="0" w:line="40" w:lineRule="exact"/>
        <w:rPr>
          <w:sz w:val="20"/>
          <w:szCs w:val="20"/>
          <w:color w:val="auto"/>
        </w:rPr>
      </w:pPr>
    </w:p>
    <w:p>
      <w:pPr>
        <w:ind w:left="1300" w:right="480" w:hanging="921"/>
        <w:spacing w:after="0" w:line="274"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10.14</w:t>
      </w:r>
      <w:r>
        <w:rPr>
          <w:sz w:val="20"/>
          <w:szCs w:val="20"/>
          <w:color w:val="auto"/>
        </w:rPr>
        <w:tab/>
      </w:r>
      <w:hyperlink r:id="rId88">
        <w:r>
          <w:rPr>
            <w:rFonts w:ascii="Arial" w:cs="Arial" w:eastAsia="Arial" w:hAnsi="Arial"/>
            <w:sz w:val="17"/>
            <w:szCs w:val="17"/>
            <w:u w:val="single" w:color="auto"/>
            <w:color w:val="0000FF"/>
          </w:rPr>
          <w:t>Securities Purchase Agreement, dated March 6, 2020, by and among Inseego Corp. and the Investor identified on Exhibit A thereto</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(incorporated by reference to Exhibit 10.1 to the Company’s Current Report on Form 8-K, filed on March 10, 2020).</w:t>
        </w:r>
      </w:hyperlink>
    </w:p>
    <w:p>
      <w:pPr>
        <w:spacing w:after="0" w:line="40" w:lineRule="exact"/>
        <w:rPr>
          <w:sz w:val="20"/>
          <w:szCs w:val="20"/>
          <w:color w:val="auto"/>
        </w:rPr>
      </w:pPr>
    </w:p>
    <w:p>
      <w:pPr>
        <w:ind w:left="1300" w:right="100" w:hanging="921"/>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89">
        <w:r>
          <w:rPr>
            <w:rFonts w:ascii="Arial" w:cs="Arial" w:eastAsia="Arial" w:hAnsi="Arial"/>
            <w:sz w:val="18"/>
            <w:szCs w:val="18"/>
            <w:u w:val="single" w:color="auto"/>
            <w:color w:val="0000FF"/>
          </w:rPr>
          <w:t>Assignment and License Agreement, dated as of February 24, 2021, by and between Inseego Corp. and certain entities that will be</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acquired by Purchaser in the Sale Transaction (incorporated by reference to Exhibit 10.2 to the Company’s Current Report on Form 8-K,</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filed February 25, 2021).</w:t>
        </w:r>
      </w:hyperlink>
    </w:p>
    <w:p>
      <w:pPr>
        <w:spacing w:after="0" w:line="55" w:lineRule="exact"/>
        <w:rPr>
          <w:rFonts w:ascii="Arial" w:cs="Arial" w:eastAsia="Arial" w:hAnsi="Arial"/>
          <w:sz w:val="18"/>
          <w:szCs w:val="18"/>
          <w:u w:val="single" w:color="auto"/>
          <w:color w:val="0000FF"/>
        </w:rPr>
      </w:pPr>
    </w:p>
    <w:p>
      <w:pPr>
        <w:ind w:left="1300" w:right="140" w:hanging="921"/>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90">
        <w:r>
          <w:rPr>
            <w:rFonts w:ascii="Arial" w:cs="Arial" w:eastAsia="Arial" w:hAnsi="Arial"/>
            <w:sz w:val="18"/>
            <w:szCs w:val="18"/>
            <w:u w:val="single" w:color="auto"/>
            <w:color w:val="0000FF"/>
          </w:rPr>
          <w:t>Transitional Services Agreement, dated as of February 24, 2021, by and between Inseego Corp. and certain entities that will be acquired</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by Purchaser in the Sale Transaction (incorporated by reference to Exhibit 10.3 to the Company’s Current Report on Form 8-K, filed</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February 25, 2021).</w:t>
        </w:r>
      </w:hyperlink>
    </w:p>
    <w:p>
      <w:pPr>
        <w:spacing w:after="0" w:line="67" w:lineRule="exact"/>
        <w:rPr>
          <w:rFonts w:ascii="Arial" w:cs="Arial" w:eastAsia="Arial" w:hAnsi="Arial"/>
          <w:sz w:val="18"/>
          <w:szCs w:val="18"/>
          <w:u w:val="single" w:color="auto"/>
          <w:color w:val="0000FF"/>
        </w:rPr>
      </w:pPr>
    </w:p>
    <w:p>
      <w:pPr>
        <w:jc w:val="both"/>
        <w:ind w:left="1300" w:right="60" w:hanging="921"/>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91">
        <w:r>
          <w:rPr>
            <w:rFonts w:ascii="Arial" w:cs="Arial" w:eastAsia="Arial" w:hAnsi="Arial"/>
            <w:sz w:val="18"/>
            <w:szCs w:val="18"/>
            <w:u w:val="single" w:color="auto"/>
            <w:color w:val="0000FF"/>
          </w:rPr>
          <w:t>Trademark Agreement, dated as of February 24, 2021, by and between Inseego Corp. Ctrack Holdings (Pty) Limited, and certain entities</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that will be acquired by Purchaser in the Sale Transaction (incorporated by reference to Exhibit 10.5 to the Company’s Current Report on</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Form 8-K, filed February 25, 2021).</w:t>
        </w:r>
      </w:hyperlink>
    </w:p>
    <w:p>
      <w:pPr>
        <w:spacing w:after="0" w:line="67" w:lineRule="exact"/>
        <w:rPr>
          <w:rFonts w:ascii="Arial" w:cs="Arial" w:eastAsia="Arial" w:hAnsi="Arial"/>
          <w:sz w:val="18"/>
          <w:szCs w:val="18"/>
          <w:u w:val="single" w:color="auto"/>
          <w:color w:val="0000FF"/>
        </w:rPr>
      </w:pPr>
    </w:p>
    <w:p>
      <w:pPr>
        <w:ind w:left="1300" w:hanging="808"/>
        <w:spacing w:after="0"/>
        <w:tabs>
          <w:tab w:leader="none" w:pos="1300" w:val="left"/>
        </w:tabs>
        <w:numPr>
          <w:ilvl w:val="0"/>
          <w:numId w:val="33"/>
        </w:numPr>
        <w:rPr>
          <w:rFonts w:ascii="Arial" w:cs="Arial" w:eastAsia="Arial" w:hAnsi="Arial"/>
          <w:sz w:val="17"/>
          <w:szCs w:val="17"/>
          <w:color w:val="0000FF"/>
        </w:rPr>
      </w:pPr>
      <w:hyperlink r:id="rId92">
        <w:r>
          <w:rPr>
            <w:rFonts w:ascii="Arial" w:cs="Arial" w:eastAsia="Arial" w:hAnsi="Arial"/>
            <w:sz w:val="17"/>
            <w:szCs w:val="17"/>
            <w:u w:val="single" w:color="auto"/>
            <w:color w:val="0000FF"/>
          </w:rPr>
          <w:t>Subsidiaries of Inseego Corp.</w:t>
        </w:r>
        <w:r>
          <w:rPr>
            <w:rFonts w:ascii="Arial" w:cs="Arial" w:eastAsia="Arial" w:hAnsi="Arial"/>
            <w:sz w:val="17"/>
            <w:szCs w:val="17"/>
            <w:color w:val="0000FF"/>
          </w:rPr>
          <w:t xml:space="preserve"> (incorporated </w:t>
        </w:r>
        <w:r>
          <w:rPr>
            <w:rFonts w:ascii="Arial" w:cs="Arial" w:eastAsia="Arial" w:hAnsi="Arial"/>
            <w:sz w:val="17"/>
            <w:szCs w:val="17"/>
            <w:u w:val="single" w:color="auto"/>
            <w:color w:val="0000FF"/>
          </w:rPr>
          <w:t>by reference to the</w:t>
        </w:r>
        <w:r>
          <w:rPr>
            <w:rFonts w:ascii="Arial" w:cs="Arial" w:eastAsia="Arial" w:hAnsi="Arial"/>
            <w:sz w:val="17"/>
            <w:szCs w:val="17"/>
            <w:color w:val="0000FF"/>
          </w:rPr>
          <w:t xml:space="preserve"> Company</w:t>
        </w:r>
        <w:r>
          <w:rPr>
            <w:rFonts w:ascii="Arial" w:cs="Arial" w:eastAsia="Arial" w:hAnsi="Arial"/>
            <w:sz w:val="17"/>
            <w:szCs w:val="17"/>
            <w:u w:val="single" w:color="auto"/>
            <w:color w:val="0000FF"/>
          </w:rPr>
          <w:t>’s Annual Report on Form 10-K. filed on March 16, 2020).</w:t>
        </w:r>
      </w:hyperlink>
    </w:p>
    <w:p>
      <w:pPr>
        <w:spacing w:after="0" w:line="102"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30"/>
        </w:trPr>
        <w:tc>
          <w:tcPr>
            <w:tcW w:w="1300" w:type="dxa"/>
            <w:vAlign w:val="bottom"/>
          </w:tcPr>
          <w:p>
            <w:pPr>
              <w:jc w:val="right"/>
              <w:ind w:right="390"/>
              <w:spacing w:after="0"/>
              <w:rPr>
                <w:sz w:val="20"/>
                <w:szCs w:val="20"/>
                <w:color w:val="auto"/>
              </w:rPr>
            </w:pPr>
            <w:r>
              <w:rPr>
                <w:rFonts w:ascii="Arial" w:cs="Arial" w:eastAsia="Arial" w:hAnsi="Arial"/>
                <w:sz w:val="18"/>
                <w:szCs w:val="18"/>
                <w:color w:val="auto"/>
              </w:rPr>
              <w:t>23.1**</w:t>
            </w:r>
          </w:p>
        </w:tc>
        <w:tc>
          <w:tcPr>
            <w:tcW w:w="9940" w:type="dxa"/>
            <w:vAlign w:val="bottom"/>
            <w:gridSpan w:val="3"/>
          </w:tcPr>
          <w:p>
            <w:pPr>
              <w:spacing w:after="0"/>
              <w:rPr>
                <w:rFonts w:ascii="Arial" w:cs="Arial" w:eastAsia="Arial" w:hAnsi="Arial"/>
                <w:sz w:val="18"/>
                <w:szCs w:val="18"/>
                <w:color w:val="0000FF"/>
              </w:rPr>
            </w:pPr>
            <w:hyperlink w:anchor="page98">
              <w:r>
                <w:rPr>
                  <w:rFonts w:ascii="Arial" w:cs="Arial" w:eastAsia="Arial" w:hAnsi="Arial"/>
                  <w:sz w:val="18"/>
                  <w:szCs w:val="18"/>
                  <w:u w:val="single" w:color="auto"/>
                  <w:color w:val="0000FF"/>
                </w:rPr>
                <w:t>Consent of Independent Registered Public Accounting Firm (Marcum LLP)</w:t>
              </w:r>
              <w:r>
                <w:rPr>
                  <w:rFonts w:ascii="Arial" w:cs="Arial" w:eastAsia="Arial" w:hAnsi="Arial"/>
                  <w:sz w:val="18"/>
                  <w:szCs w:val="18"/>
                  <w:color w:val="0000FF"/>
                </w:rPr>
                <w:t>.</w:t>
              </w:r>
            </w:hyperlink>
          </w:p>
        </w:tc>
      </w:tr>
      <w:tr>
        <w:trPr>
          <w:trHeight w:val="297"/>
        </w:trPr>
        <w:tc>
          <w:tcPr>
            <w:tcW w:w="130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9940" w:type="dxa"/>
            <w:vAlign w:val="bottom"/>
            <w:gridSpan w:val="3"/>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Certification of our Principal Executive Officer adopted pursuant to Section 302 of the Sarbanes-Oxley Act of 2002.</w:t>
              </w:r>
            </w:hyperlink>
          </w:p>
        </w:tc>
      </w:tr>
      <w:tr>
        <w:trPr>
          <w:trHeight w:val="297"/>
        </w:trPr>
        <w:tc>
          <w:tcPr>
            <w:tcW w:w="130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9940" w:type="dxa"/>
            <w:vAlign w:val="bottom"/>
            <w:gridSpan w:val="3"/>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Certification of our Principal Financial Officer adopted pursuant to Section 302 of the Sarbanes-Oxley Act of 2002.</w:t>
              </w:r>
            </w:hyperlink>
          </w:p>
        </w:tc>
      </w:tr>
      <w:tr>
        <w:trPr>
          <w:trHeight w:val="257"/>
        </w:trPr>
        <w:tc>
          <w:tcPr>
            <w:tcW w:w="130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9940" w:type="dxa"/>
            <w:vAlign w:val="bottom"/>
            <w:gridSpan w:val="3"/>
          </w:tcPr>
          <w:p>
            <w:pPr>
              <w:spacing w:after="0"/>
              <w:rPr>
                <w:rFonts w:ascii="Arial" w:cs="Arial" w:eastAsia="Arial" w:hAnsi="Arial"/>
                <w:sz w:val="18"/>
                <w:szCs w:val="18"/>
                <w:color w:val="0000FF"/>
                <w:w w:val="94"/>
              </w:rPr>
            </w:pPr>
            <w:hyperlink w:anchor="page101">
              <w:r>
                <w:rPr>
                  <w:rFonts w:ascii="Arial" w:cs="Arial" w:eastAsia="Arial" w:hAnsi="Arial"/>
                  <w:sz w:val="18"/>
                  <w:szCs w:val="18"/>
                  <w:color w:val="0000FF"/>
                  <w:w w:val="94"/>
                </w:rPr>
                <w:t>Certification of Principal Executive Officer pursuant to 18 U.S.C. Section 1350, as adopted pursuant to Section 906 of the Sarbanes-</w:t>
              </w:r>
            </w:hyperlink>
          </w:p>
        </w:tc>
      </w:tr>
      <w:tr>
        <w:trPr>
          <w:trHeight w:val="169"/>
        </w:trPr>
        <w:tc>
          <w:tcPr>
            <w:tcW w:w="1300" w:type="dxa"/>
            <w:vAlign w:val="bottom"/>
          </w:tcPr>
          <w:p>
            <w:pPr>
              <w:spacing w:after="0"/>
              <w:rPr>
                <w:sz w:val="14"/>
                <w:szCs w:val="14"/>
                <w:color w:val="auto"/>
              </w:rPr>
            </w:pPr>
          </w:p>
        </w:tc>
        <w:tc>
          <w:tcPr>
            <w:tcW w:w="1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w:anchor="page101">
              <w:r>
                <w:rPr>
                  <w:rFonts w:ascii="Arial" w:cs="Arial" w:eastAsia="Arial" w:hAnsi="Arial"/>
                  <w:sz w:val="18"/>
                  <w:szCs w:val="18"/>
                  <w:color w:val="0000FF"/>
                  <w:w w:val="93"/>
                </w:rPr>
                <w:t>Oxley Act of 2002.</w:t>
              </w:r>
            </w:hyperlink>
          </w:p>
        </w:tc>
        <w:tc>
          <w:tcPr>
            <w:tcW w:w="814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r>
      <w:tr>
        <w:trPr>
          <w:trHeight w:val="696"/>
        </w:trPr>
        <w:tc>
          <w:tcPr>
            <w:tcW w:w="1300" w:type="dxa"/>
            <w:vAlign w:val="bottom"/>
          </w:tcPr>
          <w:p>
            <w:pPr>
              <w:spacing w:after="0"/>
              <w:rPr>
                <w:sz w:val="24"/>
                <w:szCs w:val="24"/>
                <w:color w:val="auto"/>
              </w:rPr>
            </w:pPr>
          </w:p>
        </w:tc>
        <w:tc>
          <w:tcPr>
            <w:tcW w:w="9540" w:type="dxa"/>
            <w:vAlign w:val="bottom"/>
            <w:gridSpan w:val="2"/>
          </w:tcPr>
          <w:p>
            <w:pPr>
              <w:ind w:left="424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24"/>
                <w:szCs w:val="24"/>
                <w:color w:val="auto"/>
              </w:rPr>
            </w:pPr>
          </w:p>
        </w:tc>
      </w:tr>
      <w:tr>
        <w:trPr>
          <w:trHeight w:val="358"/>
        </w:trPr>
        <w:tc>
          <w:tcPr>
            <w:tcW w:w="1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213"/>
        </w:trPr>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Exhibit No.</w:t>
            </w:r>
          </w:p>
        </w:tc>
        <w:tc>
          <w:tcPr>
            <w:tcW w:w="992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86"/>
        </w:trPr>
        <w:tc>
          <w:tcPr>
            <w:tcW w:w="110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color w:val="auto"/>
                <w:w w:val="97"/>
              </w:rPr>
              <w:t>32.2**</w:t>
            </w:r>
          </w:p>
        </w:tc>
        <w:tc>
          <w:tcPr>
            <w:tcW w:w="160" w:type="dxa"/>
            <w:vAlign w:val="bottom"/>
          </w:tcPr>
          <w:p>
            <w:pPr>
              <w:spacing w:after="0"/>
              <w:rPr>
                <w:sz w:val="16"/>
                <w:szCs w:val="16"/>
                <w:color w:val="auto"/>
              </w:rPr>
            </w:pPr>
          </w:p>
        </w:tc>
        <w:tc>
          <w:tcPr>
            <w:tcW w:w="9920" w:type="dxa"/>
            <w:vAlign w:val="bottom"/>
            <w:tcBorders>
              <w:top w:val="single" w:sz="8" w:color="auto"/>
            </w:tcBorders>
            <w:gridSpan w:val="3"/>
          </w:tcPr>
          <w:p>
            <w:pPr>
              <w:spacing w:after="0" w:line="186" w:lineRule="exact"/>
              <w:rPr>
                <w:rFonts w:ascii="Arial" w:cs="Arial" w:eastAsia="Arial" w:hAnsi="Arial"/>
                <w:sz w:val="18"/>
                <w:szCs w:val="18"/>
                <w:color w:val="0000FF"/>
                <w:w w:val="94"/>
              </w:rPr>
            </w:pPr>
            <w:hyperlink w:anchor="page102">
              <w:r>
                <w:rPr>
                  <w:rFonts w:ascii="Arial" w:cs="Arial" w:eastAsia="Arial" w:hAnsi="Arial"/>
                  <w:sz w:val="18"/>
                  <w:szCs w:val="18"/>
                  <w:color w:val="0000FF"/>
                  <w:w w:val="94"/>
                </w:rPr>
                <w:t>Certification of Principal Financial Officer pursuant to 18 U.S.C. Section 1350, as adopted pursuant to Section 906 of the Sarbanes-</w:t>
              </w:r>
            </w:hyperlink>
          </w:p>
        </w:tc>
      </w:tr>
      <w:tr>
        <w:trPr>
          <w:trHeight w:val="169"/>
        </w:trPr>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w:anchor="page102">
              <w:r>
                <w:rPr>
                  <w:rFonts w:ascii="Arial" w:cs="Arial" w:eastAsia="Arial" w:hAnsi="Arial"/>
                  <w:sz w:val="18"/>
                  <w:szCs w:val="18"/>
                  <w:color w:val="0000FF"/>
                  <w:w w:val="93"/>
                </w:rPr>
                <w:t>Oxley Act of 2002.</w:t>
              </w:r>
            </w:hyperlink>
          </w:p>
        </w:tc>
        <w:tc>
          <w:tcPr>
            <w:tcW w:w="808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r>
      <w:tr>
        <w:trPr>
          <w:trHeight w:val="276"/>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101.INS</w:t>
            </w: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297"/>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101.SCH</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97"/>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97"/>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101.DEF</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97"/>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97"/>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99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3" w:lineRule="exact"/>
        <w:rPr>
          <w:sz w:val="20"/>
          <w:szCs w:val="20"/>
          <w:color w:val="auto"/>
        </w:rPr>
      </w:pPr>
    </w:p>
    <w:p>
      <w:pPr>
        <w:ind w:left="1300" w:hanging="763"/>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35" w:lineRule="exact"/>
        <w:rPr>
          <w:sz w:val="20"/>
          <w:szCs w:val="20"/>
          <w:color w:val="auto"/>
        </w:rPr>
      </w:pPr>
    </w:p>
    <w:p>
      <w:pPr>
        <w:ind w:left="1300" w:hanging="80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6"/>
          <w:szCs w:val="16"/>
          <w:color w:val="auto"/>
        </w:rPr>
        <w:t>INSEEGO CORP.</w:t>
      </w:r>
    </w:p>
    <w:p>
      <w:pPr>
        <w:spacing w:after="0" w:line="77" w:lineRule="exact"/>
        <w:rPr>
          <w:sz w:val="20"/>
          <w:szCs w:val="20"/>
          <w:color w:val="auto"/>
        </w:rPr>
      </w:pPr>
    </w:p>
    <w:p>
      <w:pPr>
        <w:ind w:left="658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4942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Dan Mondor</w:t>
      </w:r>
    </w:p>
    <w:p>
      <w:pPr>
        <w:spacing w:after="0" w:line="18"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Chief Executive Officer</w:t>
      </w:r>
    </w:p>
    <w:p>
      <w:pPr>
        <w:ind w:left="8180"/>
        <w:spacing w:after="0"/>
        <w:rPr>
          <w:sz w:val="20"/>
          <w:szCs w:val="20"/>
          <w:color w:val="auto"/>
        </w:rPr>
      </w:pPr>
      <w:r>
        <w:rPr>
          <w:rFonts w:ascii="Arial" w:cs="Arial" w:eastAsia="Arial" w:hAnsi="Arial"/>
          <w:sz w:val="14"/>
          <w:szCs w:val="14"/>
          <w:b w:val="1"/>
          <w:bCs w:val="1"/>
          <w:color w:val="auto"/>
        </w:rPr>
        <w:t>(Principal Executive Officer)</w:t>
      </w:r>
    </w:p>
    <w:p>
      <w:pPr>
        <w:spacing w:after="0" w:line="169"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spacing w:after="0"/>
              <w:rPr>
                <w:sz w:val="14"/>
                <w:szCs w:val="14"/>
                <w:color w:val="auto"/>
              </w:rPr>
            </w:pPr>
          </w:p>
        </w:tc>
        <w:tc>
          <w:tcPr>
            <w:tcW w:w="1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/s/ Dan Mondor</w:t>
            </w:r>
          </w:p>
        </w:tc>
        <w:tc>
          <w:tcPr>
            <w:tcW w:w="5660" w:type="dxa"/>
            <w:vAlign w:val="bottom"/>
            <w:gridSpan w:val="3"/>
          </w:tcPr>
          <w:p>
            <w:pPr>
              <w:ind w:left="1300"/>
              <w:spacing w:after="0" w:line="196" w:lineRule="exact"/>
              <w:rPr>
                <w:sz w:val="20"/>
                <w:szCs w:val="20"/>
                <w:color w:val="auto"/>
              </w:rPr>
            </w:pPr>
            <w:r>
              <w:rPr>
                <w:rFonts w:ascii="Arial" w:cs="Arial" w:eastAsia="Arial" w:hAnsi="Arial"/>
                <w:sz w:val="18"/>
                <w:szCs w:val="18"/>
                <w:color w:val="auto"/>
              </w:rPr>
              <w:t>Chief Executive Officer</w:t>
            </w:r>
          </w:p>
        </w:tc>
        <w:tc>
          <w:tcPr>
            <w:tcW w:w="2800" w:type="dxa"/>
            <w:vAlign w:val="bottom"/>
            <w:gridSpan w:val="3"/>
            <w:vMerge w:val="restart"/>
          </w:tcPr>
          <w:p>
            <w:pPr>
              <w:jc w:val="center"/>
              <w:ind w:left="450"/>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gridSpan w:val="3"/>
            <w:vMerge w:val="continue"/>
          </w:tcPr>
          <w:p>
            <w:pPr>
              <w:spacing w:after="0"/>
              <w:rPr>
                <w:sz w:val="19"/>
                <w:szCs w:val="19"/>
                <w:color w:val="auto"/>
              </w:rPr>
            </w:pPr>
          </w:p>
        </w:tc>
        <w:tc>
          <w:tcPr>
            <w:tcW w:w="5660" w:type="dxa"/>
            <w:vAlign w:val="bottom"/>
            <w:gridSpan w:val="3"/>
          </w:tcPr>
          <w:p>
            <w:pPr>
              <w:ind w:left="1300"/>
              <w:spacing w:after="0"/>
              <w:rPr>
                <w:sz w:val="20"/>
                <w:szCs w:val="20"/>
                <w:color w:val="auto"/>
              </w:rPr>
            </w:pPr>
            <w:r>
              <w:rPr>
                <w:rFonts w:ascii="Arial" w:cs="Arial" w:eastAsia="Arial" w:hAnsi="Arial"/>
                <w:sz w:val="18"/>
                <w:szCs w:val="18"/>
                <w:color w:val="auto"/>
              </w:rPr>
              <w:t>(Principal Executive Officer and Director)</w:t>
            </w:r>
          </w:p>
        </w:tc>
        <w:tc>
          <w:tcPr>
            <w:tcW w:w="2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Dan Mondor</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27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/s/ Craig Foster</w:t>
            </w:r>
          </w:p>
        </w:tc>
        <w:tc>
          <w:tcPr>
            <w:tcW w:w="5660" w:type="dxa"/>
            <w:vAlign w:val="bottom"/>
            <w:gridSpan w:val="3"/>
          </w:tcPr>
          <w:p>
            <w:pPr>
              <w:ind w:left="1300"/>
              <w:spacing w:after="0"/>
              <w:rPr>
                <w:sz w:val="20"/>
                <w:szCs w:val="20"/>
                <w:color w:val="auto"/>
              </w:rPr>
            </w:pPr>
            <w:r>
              <w:rPr>
                <w:rFonts w:ascii="Arial" w:cs="Arial" w:eastAsia="Arial" w:hAnsi="Arial"/>
                <w:sz w:val="18"/>
                <w:szCs w:val="18"/>
                <w:color w:val="auto"/>
              </w:rPr>
              <w:t>Chief Financial Officer</w:t>
            </w:r>
          </w:p>
        </w:tc>
        <w:tc>
          <w:tcPr>
            <w:tcW w:w="2800" w:type="dxa"/>
            <w:vAlign w:val="bottom"/>
            <w:gridSpan w:val="3"/>
            <w:vMerge w:val="restart"/>
          </w:tcPr>
          <w:p>
            <w:pPr>
              <w:jc w:val="center"/>
              <w:ind w:left="450"/>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34"/>
        </w:trPr>
        <w:tc>
          <w:tcPr>
            <w:tcW w:w="2780" w:type="dxa"/>
            <w:vAlign w:val="bottom"/>
            <w:tcBorders>
              <w:bottom w:val="single" w:sz="8" w:color="auto"/>
            </w:tcBorders>
            <w:gridSpan w:val="3"/>
            <w:vMerge w:val="continue"/>
          </w:tcPr>
          <w:p>
            <w:pPr>
              <w:spacing w:after="0"/>
              <w:rPr>
                <w:sz w:val="19"/>
                <w:szCs w:val="19"/>
                <w:color w:val="auto"/>
              </w:rPr>
            </w:pPr>
          </w:p>
        </w:tc>
        <w:tc>
          <w:tcPr>
            <w:tcW w:w="5660" w:type="dxa"/>
            <w:vAlign w:val="bottom"/>
            <w:gridSpan w:val="3"/>
          </w:tcPr>
          <w:p>
            <w:pPr>
              <w:ind w:left="1300"/>
              <w:spacing w:after="0"/>
              <w:rPr>
                <w:sz w:val="20"/>
                <w:szCs w:val="20"/>
                <w:color w:val="auto"/>
              </w:rPr>
            </w:pPr>
            <w:r>
              <w:rPr>
                <w:rFonts w:ascii="Arial" w:cs="Arial" w:eastAsia="Arial" w:hAnsi="Arial"/>
                <w:sz w:val="18"/>
                <w:szCs w:val="18"/>
                <w:color w:val="auto"/>
              </w:rPr>
              <w:t>(Principal Financial and Accounting Officer)</w:t>
            </w:r>
          </w:p>
        </w:tc>
        <w:tc>
          <w:tcPr>
            <w:tcW w:w="2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Craig Foster</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Christopher Harland</w:t>
            </w:r>
          </w:p>
        </w:tc>
        <w:tc>
          <w:tcPr>
            <w:tcW w:w="5660" w:type="dxa"/>
            <w:vAlign w:val="bottom"/>
            <w:gridSpan w:val="3"/>
          </w:tcPr>
          <w:p>
            <w:pPr>
              <w:ind w:left="13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180"/>
        </w:trPr>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Christopher Harland</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Christopher Lytle</w:t>
            </w:r>
          </w:p>
        </w:tc>
        <w:tc>
          <w:tcPr>
            <w:tcW w:w="5660" w:type="dxa"/>
            <w:vAlign w:val="bottom"/>
            <w:gridSpan w:val="3"/>
          </w:tcPr>
          <w:p>
            <w:pPr>
              <w:ind w:left="13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180"/>
        </w:trPr>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Christopher Lytle</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2"/>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Jeffrey Tuder</w:t>
            </w:r>
          </w:p>
        </w:tc>
        <w:tc>
          <w:tcPr>
            <w:tcW w:w="5660" w:type="dxa"/>
            <w:vAlign w:val="bottom"/>
            <w:gridSpan w:val="3"/>
          </w:tcPr>
          <w:p>
            <w:pPr>
              <w:ind w:left="13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180"/>
        </w:trPr>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Jeffrey Tuder</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James B. Avery</w:t>
            </w:r>
          </w:p>
        </w:tc>
        <w:tc>
          <w:tcPr>
            <w:tcW w:w="5660" w:type="dxa"/>
            <w:vAlign w:val="bottom"/>
            <w:gridSpan w:val="3"/>
          </w:tcPr>
          <w:p>
            <w:pPr>
              <w:ind w:left="13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180"/>
        </w:trPr>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James B. Avery</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8"/>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tcPr>
          <w:p>
            <w:pPr>
              <w:ind w:left="276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180" w:type="dxa"/>
            <w:vAlign w:val="bottom"/>
          </w:tcPr>
          <w:p>
            <w:pPr>
              <w:ind w:left="32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1"/>
        </w:trPr>
        <w:tc>
          <w:tcPr>
            <w:tcW w:w="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Report of Independent Registered Public Accounting Firm</w:t>
              </w:r>
            </w:hyperlink>
          </w:p>
        </w:tc>
        <w:tc>
          <w:tcPr>
            <w:tcW w:w="2020" w:type="dxa"/>
            <w:vAlign w:val="bottom"/>
            <w:shd w:val="clear" w:color="auto" w:fill="CCEEFF"/>
          </w:tcPr>
          <w:p>
            <w:pPr>
              <w:ind w:left="1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180" w:type="dxa"/>
            <w:vAlign w:val="bottom"/>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Balance Sheets</w:t>
              </w:r>
            </w:hyperlink>
          </w:p>
        </w:tc>
        <w:tc>
          <w:tcPr>
            <w:tcW w:w="2020" w:type="dxa"/>
            <w:vAlign w:val="bottom"/>
          </w:tcPr>
          <w:p>
            <w:pPr>
              <w:ind w:left="124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Operations</w:t>
              </w:r>
            </w:hyperlink>
          </w:p>
        </w:tc>
        <w:tc>
          <w:tcPr>
            <w:tcW w:w="2020" w:type="dxa"/>
            <w:vAlign w:val="bottom"/>
            <w:shd w:val="clear" w:color="auto" w:fill="CCEEFF"/>
          </w:tcPr>
          <w:p>
            <w:pPr>
              <w:ind w:left="12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18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Comprehensive Loss</w:t>
              </w:r>
            </w:hyperlink>
          </w:p>
        </w:tc>
        <w:tc>
          <w:tcPr>
            <w:tcW w:w="2020" w:type="dxa"/>
            <w:vAlign w:val="bottom"/>
          </w:tcPr>
          <w:p>
            <w:pPr>
              <w:ind w:left="12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w:t>
              </w:r>
            </w:hyperlink>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Statements of Stockholders’ Deficit</w:t>
              </w:r>
            </w:hyperlink>
          </w:p>
        </w:tc>
        <w:tc>
          <w:tcPr>
            <w:tcW w:w="2020" w:type="dxa"/>
            <w:vAlign w:val="bottom"/>
            <w:shd w:val="clear" w:color="auto" w:fill="CCEEFF"/>
          </w:tcPr>
          <w:p>
            <w:pPr>
              <w:ind w:left="124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7</w:t>
              </w:r>
            </w:hyperlink>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180" w:type="dxa"/>
            <w:vAlign w:val="bottom"/>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Cash Flows</w:t>
              </w:r>
            </w:hyperlink>
          </w:p>
        </w:tc>
        <w:tc>
          <w:tcPr>
            <w:tcW w:w="2020" w:type="dxa"/>
            <w:vAlign w:val="bottom"/>
          </w:tcPr>
          <w:p>
            <w:pPr>
              <w:ind w:left="124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8</w:t>
              </w:r>
            </w:hyperlink>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180" w:type="dxa"/>
            <w:vAlign w:val="bottom"/>
            <w:shd w:val="clear" w:color="auto" w:fill="CCEEFF"/>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Notes to Consolidated Financial Statements</w:t>
              </w:r>
            </w:hyperlink>
          </w:p>
        </w:tc>
        <w:tc>
          <w:tcPr>
            <w:tcW w:w="2020" w:type="dxa"/>
            <w:vAlign w:val="bottom"/>
            <w:shd w:val="clear" w:color="auto" w:fill="CCEEFF"/>
          </w:tcPr>
          <w:p>
            <w:pPr>
              <w:ind w:left="124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10</w:t>
              </w:r>
            </w:hyperlink>
          </w:p>
        </w:tc>
        <w:tc>
          <w:tcPr>
            <w:tcW w:w="20" w:type="dxa"/>
            <w:vAlign w:val="bottom"/>
          </w:tcPr>
          <w:p>
            <w:pPr>
              <w:spacing w:after="0"/>
              <w:rPr>
                <w:sz w:val="19"/>
                <w:szCs w:val="19"/>
                <w:color w:val="auto"/>
              </w:rPr>
            </w:pPr>
          </w:p>
        </w:tc>
      </w:tr>
      <w:tr>
        <w:trPr>
          <w:trHeight w:val="608"/>
        </w:trPr>
        <w:tc>
          <w:tcPr>
            <w:tcW w:w="20" w:type="dxa"/>
            <w:vAlign w:val="bottom"/>
          </w:tcPr>
          <w:p>
            <w:pPr>
              <w:spacing w:after="0"/>
              <w:rPr>
                <w:sz w:val="24"/>
                <w:szCs w:val="24"/>
                <w:color w:val="auto"/>
              </w:rPr>
            </w:pPr>
          </w:p>
        </w:tc>
        <w:tc>
          <w:tcPr>
            <w:tcW w:w="9180" w:type="dxa"/>
            <w:vAlign w:val="bottom"/>
          </w:tcPr>
          <w:p>
            <w:pPr>
              <w:ind w:left="5480"/>
              <w:spacing w:after="0"/>
              <w:rPr>
                <w:sz w:val="20"/>
                <w:szCs w:val="20"/>
                <w:color w:val="auto"/>
              </w:rPr>
            </w:pPr>
            <w:r>
              <w:rPr>
                <w:rFonts w:ascii="Arial" w:cs="Arial" w:eastAsia="Arial" w:hAnsi="Arial"/>
                <w:sz w:val="18"/>
                <w:szCs w:val="18"/>
                <w:color w:val="auto"/>
              </w:rPr>
              <w:t>F-1</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ind w:left="2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Inseego Corp.</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Inseego Corp. (the “Company”) as of December 31, 2020 and 2019, the related consolidated statements of operations, comprehensive loss,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the criteria established in Internal Control - Integrated Framework issued by the Committee of Sponsoring Organizations of the Treadway Commission (COSO) in 2013 and our report dated March 1, 2021, expressed an unqualified opinion on the effectiveness of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an account or disclosure that is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3 to the consolidated financial statements, the Company’s consolidated capitalized software development costs, net of accumulated amortization, and consolidated in-process capitalized software development costs balances totaled $37.2 million as of December 31, 2020. The Company capitalizes certain software development costs for new offerings as well as upgrades to existing software platforms. Management determines the amount of internal software costs to be capitalized principally based on the amount of time spent by developers, both employees and external consultants, on projects in the application stage of development. There is judgment in the determination for which costs are eligible for capitalization as well as the recoverability of such costs.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principal considerations in our determination of performing procedures relating to the amount of costs eligible for capitalization, together with assessment of the capitalized cost recoverability, is a critical audit matter, and are the significant judgments made by management when determining the costs eligible for capitalization as well as assessing the recoverability of such costs over time; this in turn led to a high degree of auditor judgment, subjectivity, and effort in performing procedures and evaluating audit evidence related to management’s determination of capitalized costs and management’s judgment related to the recognition of costs for projects in the application stage as well as recoverability of such costs.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related to capitalized software development costs, including controls over management’s determination of time and related costs eligible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18"/>
          <w:szCs w:val="18"/>
          <w:color w:val="auto"/>
        </w:rPr>
        <w:t>for capitalization. These procedures also included, among others (i) testing management’s process for determining the time and related costs eligible for capitalization in the current year, (ii) evaluating whether the time and related costs were eligible for capitalization, and (iii) testing the completeness and accuracy of underlying data used in management’s estimate of eligible time and related costs. Evaluating management’s assumptions related to eligible software development cost for capitalization and the recoverability of such costs recorded involved evaluating whether the assumptions used by management were reasonable considering (i) inquiries with management and the director of program management in evaluating the software development costs capitalized for a sample of capitalized projects, and (ii) assessing current sales data along with sales forecasts to determine whether the costs of the capitalized projects are recoverable.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Marcum LLP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INSEEGO CORP.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ind w:left="38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Accounts receivable, net of allowance for doubtful accounts of $1,384 and $2,133, respectively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114,108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64,137</w:t>
            </w:r>
          </w:p>
        </w:tc>
        <w:tc>
          <w:tcPr>
            <w:tcW w:w="0" w:type="dxa"/>
            <w:vAlign w:val="bottom"/>
          </w:tcPr>
          <w:p>
            <w:pPr>
              <w:spacing w:after="0"/>
              <w:rPr>
                <w:sz w:val="1"/>
                <w:szCs w:val="1"/>
                <w:color w:val="auto"/>
              </w:rPr>
            </w:pP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13,699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assets,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51,487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44,392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Right-of-use assets,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9,092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3"/>
        </w:trPr>
        <w:tc>
          <w:tcPr>
            <w:tcW w:w="824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227,394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161,373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ind w:left="2340"/>
              <w:spacing w:after="0"/>
              <w:rPr>
                <w:sz w:val="20"/>
                <w:szCs w:val="20"/>
                <w:color w:val="auto"/>
              </w:rPr>
            </w:pPr>
            <w:r>
              <w:rPr>
                <w:rFonts w:ascii="Arial" w:cs="Arial" w:eastAsia="Arial" w:hAnsi="Arial"/>
                <w:sz w:val="16"/>
                <w:szCs w:val="16"/>
                <w:b w:val="1"/>
                <w:bCs w:val="1"/>
                <w:color w:val="auto"/>
              </w:rPr>
              <w:t>LIABILITIES AND STOCKHOLDERS’ DEFICIT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18,048</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75,712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44,530</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Notes,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2022 Notes, net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101,334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Term loan, net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46,538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Deferred tax liabilities,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255,293</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198,731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par value $0.001; 2,000,000 shares authorized: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240" w:type="dxa"/>
            <w:vAlign w:val="bottom"/>
          </w:tcPr>
          <w:p>
            <w:pPr>
              <w:ind w:left="460"/>
              <w:spacing w:after="0" w:line="179" w:lineRule="exact"/>
              <w:rPr>
                <w:sz w:val="20"/>
                <w:szCs w:val="20"/>
                <w:color w:val="auto"/>
              </w:rPr>
            </w:pPr>
            <w:r>
              <w:rPr>
                <w:rFonts w:ascii="Arial" w:cs="Arial" w:eastAsia="Arial" w:hAnsi="Arial"/>
                <w:sz w:val="16"/>
                <w:szCs w:val="16"/>
                <w:color w:val="auto"/>
                <w:w w:val="95"/>
              </w:rPr>
              <w:t>Series E Preferred stock, par value $0.001; 39,500 and 10,000 shares designated, respectively, 35,000 and 10,000</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780"/>
              <w:spacing w:after="0" w:line="175" w:lineRule="exact"/>
              <w:rPr>
                <w:sz w:val="20"/>
                <w:szCs w:val="20"/>
                <w:color w:val="auto"/>
              </w:rPr>
            </w:pPr>
            <w:r>
              <w:rPr>
                <w:rFonts w:ascii="Arial" w:cs="Arial" w:eastAsia="Arial" w:hAnsi="Arial"/>
                <w:sz w:val="16"/>
                <w:szCs w:val="16"/>
                <w:color w:val="auto"/>
                <w:w w:val="96"/>
              </w:rPr>
              <w:t>shares issued and outstanding, respectively, liquidation preference of $1,000 per share (plus any accrued but</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780"/>
              <w:spacing w:after="0"/>
              <w:rPr>
                <w:sz w:val="20"/>
                <w:szCs w:val="20"/>
                <w:color w:val="auto"/>
              </w:rPr>
            </w:pPr>
            <w:r>
              <w:rPr>
                <w:rFonts w:ascii="Arial" w:cs="Arial" w:eastAsia="Arial" w:hAnsi="Arial"/>
                <w:sz w:val="16"/>
                <w:szCs w:val="16"/>
                <w:color w:val="auto"/>
              </w:rPr>
              <w:t>unpaid dividends)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ind w:left="540"/>
              <w:spacing w:after="0" w:line="169" w:lineRule="exact"/>
              <w:rPr>
                <w:sz w:val="20"/>
                <w:szCs w:val="20"/>
                <w:color w:val="auto"/>
              </w:rPr>
            </w:pPr>
            <w:r>
              <w:rPr>
                <w:rFonts w:ascii="Arial" w:cs="Arial" w:eastAsia="Arial" w:hAnsi="Arial"/>
                <w:sz w:val="16"/>
                <w:szCs w:val="16"/>
                <w:color w:val="auto"/>
                <w:w w:val="96"/>
              </w:rPr>
              <w:t>Common stock, par value $0.001; 150,000,000 shares authorized,99,399,029 and 81,974,051 shares issued and</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outstanding, respectively</w:t>
            </w: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711,487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584,862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(732,422)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(618,303)</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deficit attributable to Inseego Corp.</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deficit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(27,899)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(37,358)</w:t>
            </w:r>
          </w:p>
        </w:tc>
        <w:tc>
          <w:tcPr>
            <w:tcW w:w="0" w:type="dxa"/>
            <w:vAlign w:val="bottom"/>
          </w:tcPr>
          <w:p>
            <w:pPr>
              <w:spacing w:after="0"/>
              <w:rPr>
                <w:sz w:val="1"/>
                <w:szCs w:val="1"/>
                <w:color w:val="auto"/>
              </w:rPr>
            </w:pPr>
          </w:p>
        </w:tc>
      </w:tr>
      <w:tr>
        <w:trPr>
          <w:trHeight w:val="213"/>
        </w:trPr>
        <w:tc>
          <w:tcPr>
            <w:tcW w:w="8240" w:type="dxa"/>
            <w:vAlign w:val="bottom"/>
          </w:tcPr>
          <w:p>
            <w:pPr>
              <w:ind w:left="880"/>
              <w:spacing w:after="0"/>
              <w:rPr>
                <w:sz w:val="20"/>
                <w:szCs w:val="20"/>
                <w:color w:val="auto"/>
              </w:rPr>
            </w:pPr>
            <w:r>
              <w:rPr>
                <w:rFonts w:ascii="Arial" w:cs="Arial" w:eastAsia="Arial" w:hAnsi="Arial"/>
                <w:sz w:val="16"/>
                <w:szCs w:val="16"/>
                <w:color w:val="auto"/>
              </w:rPr>
              <w:t>Total liabilities and stockholders’ deficit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227,394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INSEEGO CORP.</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6"/>
        </w:trPr>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Arial" w:cs="Arial" w:eastAsia="Arial" w:hAnsi="Arial"/>
                <w:sz w:val="16"/>
                <w:szCs w:val="16"/>
                <w:color w:val="auto"/>
              </w:rPr>
              <w:t>Net revenues: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160,873</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58,623</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219,496</w:t>
            </w:r>
          </w:p>
        </w:tc>
        <w:tc>
          <w:tcPr>
            <w:tcW w:w="0" w:type="dxa"/>
            <w:vAlign w:val="bottom"/>
          </w:tcPr>
          <w:p>
            <w:pPr>
              <w:spacing w:after="0"/>
              <w:rPr>
                <w:sz w:val="1"/>
                <w:szCs w:val="1"/>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6"/>
                <w:szCs w:val="16"/>
                <w:color w:val="auto"/>
              </w:rPr>
              <w:t>Cost of net revenues: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132,980</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155,525</w:t>
            </w:r>
          </w:p>
        </w:tc>
        <w:tc>
          <w:tcPr>
            <w:tcW w:w="0" w:type="dxa"/>
            <w:vAlign w:val="bottom"/>
          </w:tcPr>
          <w:p>
            <w:pPr>
              <w:spacing w:after="0"/>
              <w:rPr>
                <w:sz w:val="1"/>
                <w:szCs w:val="1"/>
                <w:color w:val="auto"/>
              </w:rPr>
            </w:pPr>
          </w:p>
        </w:tc>
      </w:tr>
      <w:tr>
        <w:trPr>
          <w:trHeight w:val="207"/>
        </w:trPr>
        <w:tc>
          <w:tcPr>
            <w:tcW w:w="8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90,843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63,971</w:t>
            </w: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Operating costs and expenses: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44,953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23,853</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28,914</w:t>
            </w:r>
          </w:p>
        </w:tc>
        <w:tc>
          <w:tcPr>
            <w:tcW w:w="0" w:type="dxa"/>
            <w:vAlign w:val="bottom"/>
          </w:tcPr>
          <w:p>
            <w:pPr>
              <w:spacing w:after="0"/>
              <w:rPr>
                <w:sz w:val="1"/>
                <w:szCs w:val="1"/>
                <w:color w:val="auto"/>
              </w:rPr>
            </w:pPr>
          </w:p>
        </w:tc>
      </w:tr>
      <w:tr>
        <w:trPr>
          <w:trHeight w:val="213"/>
        </w:trPr>
        <w:tc>
          <w:tcPr>
            <w:tcW w:w="86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27,327</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purchased intangible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Impairment of capitalized software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83,515</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20"/>
                <w:szCs w:val="20"/>
                <w:color w:val="auto"/>
              </w:rPr>
            </w:pPr>
            <w:r>
              <w:rPr>
                <w:rFonts w:ascii="Arial" w:cs="Arial" w:eastAsia="Arial" w:hAnsi="Arial"/>
                <w:sz w:val="16"/>
                <w:szCs w:val="16"/>
                <w:color w:val="auto"/>
              </w:rPr>
              <w:t>Operating loss</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(19,544)</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0"/>
              <w:spacing w:after="0"/>
              <w:rPr>
                <w:sz w:val="20"/>
                <w:szCs w:val="20"/>
                <w:color w:val="auto"/>
              </w:rPr>
            </w:pPr>
            <w:r>
              <w:rPr>
                <w:rFonts w:ascii="Arial" w:cs="Arial" w:eastAsia="Arial" w:hAnsi="Arial"/>
                <w:sz w:val="16"/>
                <w:szCs w:val="16"/>
                <w:color w:val="auto"/>
              </w:rPr>
              <w:t>Loss on debt conversion and extinguishment,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(20,381)</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(39,574)</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(40,110)</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Inseego Corp.</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(40,125)</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Series E preferred stock dividends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Per share data: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Net loss per common share: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common shares outstanding:</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96,111,547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78,322,496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237490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INSEEGO CORP.</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(40,110)</w:t>
            </w:r>
          </w:p>
        </w:tc>
      </w:tr>
      <w:tr>
        <w:trPr>
          <w:trHeight w:val="213"/>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Total comprehensive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(39,112)</w:t>
            </w:r>
          </w:p>
        </w:tc>
      </w:tr>
      <w:tr>
        <w:trPr>
          <w:trHeight w:val="213"/>
        </w:trPr>
        <w:tc>
          <w:tcPr>
            <w:tcW w:w="86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loss attributable to Inseego Corp.</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7"/>
          <w:szCs w:val="17"/>
          <w:b w:val="1"/>
          <w:bCs w:val="1"/>
          <w:color w:val="auto"/>
        </w:rPr>
        <w:t>INSEEGO CORP.</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INSEEGO CORP.</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1500" w:type="dxa"/>
            <w:vAlign w:val="bottom"/>
            <w:gridSpan w:val="5"/>
          </w:tcPr>
          <w:p>
            <w:pPr>
              <w:ind w:left="260"/>
              <w:spacing w:after="0"/>
              <w:rPr>
                <w:sz w:val="20"/>
                <w:szCs w:val="20"/>
                <w:color w:val="auto"/>
              </w:rPr>
            </w:pPr>
            <w:r>
              <w:rPr>
                <w:rFonts w:ascii="Arial" w:cs="Arial" w:eastAsia="Arial" w:hAnsi="Arial"/>
                <w:sz w:val="13"/>
                <w:szCs w:val="13"/>
                <w:b w:val="1"/>
                <w:bCs w:val="1"/>
                <w:color w:val="auto"/>
              </w:rPr>
              <w:t>Preferred Stock</w:t>
            </w:r>
          </w:p>
        </w:tc>
        <w:tc>
          <w:tcPr>
            <w:tcW w:w="156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940" w:type="dxa"/>
            <w:vAlign w:val="bottom"/>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88"/>
        </w:trPr>
        <w:tc>
          <w:tcPr>
            <w:tcW w:w="2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Balance, December 31,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546,230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(577,817)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(40,110)</w:t>
            </w: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Foreign currency translation</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180"/>
              <w:spacing w:after="0" w:line="135" w:lineRule="exact"/>
              <w:rPr>
                <w:sz w:val="20"/>
                <w:szCs w:val="20"/>
                <w:color w:val="auto"/>
              </w:rPr>
            </w:pPr>
            <w:r>
              <w:rPr>
                <w:rFonts w:ascii="Arial" w:cs="Arial" w:eastAsia="Arial" w:hAnsi="Arial"/>
                <w:sz w:val="14"/>
                <w:szCs w:val="14"/>
                <w:color w:val="auto"/>
                <w:w w:val="97"/>
              </w:rPr>
              <w:t>restricted stock units and stock issued</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2,254</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3,263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86"/>
        </w:trPr>
        <w:tc>
          <w:tcPr>
            <w:tcW w:w="2500" w:type="dxa"/>
            <w:vAlign w:val="bottom"/>
          </w:tcPr>
          <w:p>
            <w:pPr>
              <w:ind w:left="180"/>
              <w:spacing w:after="0"/>
              <w:rPr>
                <w:sz w:val="20"/>
                <w:szCs w:val="20"/>
                <w:color w:val="auto"/>
              </w:rPr>
            </w:pPr>
            <w:r>
              <w:rPr>
                <w:rFonts w:ascii="Arial" w:cs="Arial" w:eastAsia="Arial" w:hAnsi="Arial"/>
                <w:sz w:val="14"/>
                <w:szCs w:val="14"/>
                <w:color w:val="auto"/>
              </w:rPr>
              <w:t>under employee stock purchase plan</w:t>
            </w: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Issuance of Series E preferred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86"/>
        </w:trPr>
        <w:tc>
          <w:tcPr>
            <w:tcW w:w="2500" w:type="dxa"/>
            <w:vAlign w:val="bottom"/>
          </w:tcPr>
          <w:p>
            <w:pPr>
              <w:ind w:left="18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17,542</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Issuance of common shares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7,302</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Balance, December 31,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584,862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(618,303)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00" w:type="dxa"/>
            <w:vAlign w:val="bottom"/>
            <w:tcBorders>
              <w:top w:val="single" w:sz="8" w:color="CCEEFF"/>
            </w:tcBorders>
            <w:vMerge w:val="continue"/>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ind w:lef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(111,215)</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(111,186)</w:t>
            </w: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Foreign currency translation</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(3,093)</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180"/>
              <w:spacing w:after="0" w:line="135" w:lineRule="exact"/>
              <w:rPr>
                <w:sz w:val="20"/>
                <w:szCs w:val="20"/>
                <w:color w:val="auto"/>
              </w:rPr>
            </w:pPr>
            <w:r>
              <w:rPr>
                <w:rFonts w:ascii="Arial" w:cs="Arial" w:eastAsia="Arial" w:hAnsi="Arial"/>
                <w:sz w:val="14"/>
                <w:szCs w:val="14"/>
                <w:color w:val="auto"/>
                <w:w w:val="97"/>
              </w:rPr>
              <w:t>restricted stock units and stock issued</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5,420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186"/>
        </w:trPr>
        <w:tc>
          <w:tcPr>
            <w:tcW w:w="2500" w:type="dxa"/>
            <w:vAlign w:val="bottom"/>
          </w:tcPr>
          <w:p>
            <w:pPr>
              <w:ind w:left="180"/>
              <w:spacing w:after="0"/>
              <w:rPr>
                <w:sz w:val="20"/>
                <w:szCs w:val="20"/>
                <w:color w:val="auto"/>
              </w:rPr>
            </w:pPr>
            <w:r>
              <w:rPr>
                <w:rFonts w:ascii="Arial" w:cs="Arial" w:eastAsia="Arial" w:hAnsi="Arial"/>
                <w:sz w:val="14"/>
                <w:szCs w:val="14"/>
                <w:color w:val="auto"/>
              </w:rPr>
              <w:t>under employee stock purchase plan</w:t>
            </w: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Issuance of Series E preferred shares</w:t>
            </w: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Series E preferred stock in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lieu of interest</w:t>
            </w: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Repurchase of Series E preferred stock</w:t>
            </w: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Issuance of common shares in connection</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66,074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66,088</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the Notes Exchange</w:t>
            </w: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shares related to</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14,353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14,354</w:t>
            </w:r>
          </w:p>
        </w:tc>
        <w:tc>
          <w:tcPr>
            <w:tcW w:w="0" w:type="dxa"/>
            <w:vAlign w:val="bottom"/>
          </w:tcPr>
          <w:p>
            <w:pPr>
              <w:spacing w:after="0"/>
              <w:rPr>
                <w:sz w:val="1"/>
                <w:szCs w:val="1"/>
                <w:color w:val="auto"/>
              </w:rPr>
            </w:pPr>
          </w:p>
        </w:tc>
      </w:tr>
      <w:tr>
        <w:trPr>
          <w:trHeight w:val="186"/>
        </w:trPr>
        <w:tc>
          <w:tcPr>
            <w:tcW w:w="2500" w:type="dxa"/>
            <w:vAlign w:val="bottom"/>
          </w:tcPr>
          <w:p>
            <w:pPr>
              <w:ind w:left="180"/>
              <w:spacing w:after="0"/>
              <w:rPr>
                <w:sz w:val="20"/>
                <w:szCs w:val="20"/>
                <w:color w:val="auto"/>
              </w:rPr>
            </w:pPr>
            <w:r>
              <w:rPr>
                <w:rFonts w:ascii="Arial" w:cs="Arial" w:eastAsia="Arial" w:hAnsi="Arial"/>
                <w:sz w:val="14"/>
                <w:szCs w:val="14"/>
                <w:color w:val="auto"/>
              </w:rPr>
              <w:t>conversion of 2025 Notes</w:t>
            </w: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10,419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shares under</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86"/>
        </w:trPr>
        <w:tc>
          <w:tcPr>
            <w:tcW w:w="2500" w:type="dxa"/>
            <w:vAlign w:val="bottom"/>
          </w:tcPr>
          <w:p>
            <w:pPr>
              <w:ind w:left="180"/>
              <w:spacing w:after="0"/>
              <w:rPr>
                <w:sz w:val="20"/>
                <w:szCs w:val="20"/>
                <w:color w:val="auto"/>
              </w:rPr>
            </w:pPr>
            <w:r>
              <w:rPr>
                <w:rFonts w:ascii="Arial" w:cs="Arial" w:eastAsia="Arial" w:hAnsi="Arial"/>
                <w:sz w:val="14"/>
                <w:szCs w:val="14"/>
                <w:color w:val="auto"/>
              </w:rPr>
              <w:t>settlement agreement</w:t>
            </w: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Balance, December 31, 2020</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711,487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(732,422)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(27,899)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72"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INSEEGO CORP.</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Year Ended December 31,</w:t>
            </w:r>
          </w:p>
        </w:tc>
      </w:tr>
      <w:tr>
        <w:trPr>
          <w:trHeight w:val="186"/>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167"/>
        </w:trPr>
        <w:tc>
          <w:tcPr>
            <w:tcW w:w="87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4"/>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(40,110)</w:t>
            </w:r>
          </w:p>
        </w:tc>
      </w:tr>
      <w:tr>
        <w:trPr>
          <w:trHeight w:val="186"/>
        </w:trPr>
        <w:tc>
          <w:tcPr>
            <w:tcW w:w="8700" w:type="dxa"/>
            <w:vAlign w:val="bottom"/>
          </w:tcPr>
          <w:p>
            <w:pPr>
              <w:ind w:left="2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8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18,426</w:t>
            </w:r>
          </w:p>
        </w:tc>
      </w:tr>
      <w:tr>
        <w:trPr>
          <w:trHeight w:val="186"/>
        </w:trPr>
        <w:tc>
          <w:tcPr>
            <w:tcW w:w="8700" w:type="dxa"/>
            <w:vAlign w:val="bottom"/>
          </w:tcPr>
          <w:p>
            <w:pPr>
              <w:ind w:left="460"/>
              <w:spacing w:after="0"/>
              <w:rPr>
                <w:sz w:val="20"/>
                <w:szCs w:val="20"/>
                <w:color w:val="auto"/>
              </w:rPr>
            </w:pPr>
            <w:r>
              <w:rPr>
                <w:rFonts w:ascii="Arial" w:cs="Arial" w:eastAsia="Arial" w:hAnsi="Arial"/>
                <w:sz w:val="14"/>
                <w:szCs w:val="14"/>
                <w:color w:val="auto"/>
              </w:rPr>
              <w:t>Fair value adjustment on derivative instrument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bad debts, net of recoveries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r>
      <w:tr>
        <w:trPr>
          <w:trHeight w:val="186"/>
        </w:trPr>
        <w:tc>
          <w:tcPr>
            <w:tcW w:w="8700" w:type="dxa"/>
            <w:vAlign w:val="bottom"/>
          </w:tcPr>
          <w:p>
            <w:pPr>
              <w:ind w:left="460"/>
              <w:spacing w:after="0"/>
              <w:rPr>
                <w:sz w:val="20"/>
                <w:szCs w:val="20"/>
                <w:color w:val="auto"/>
              </w:rPr>
            </w:pPr>
            <w:r>
              <w:rPr>
                <w:rFonts w:ascii="Arial" w:cs="Arial" w:eastAsia="Arial" w:hAnsi="Arial"/>
                <w:sz w:val="14"/>
                <w:szCs w:val="14"/>
                <w:color w:val="auto"/>
              </w:rPr>
              <w:t>Impairment of capitalized software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excess and obsolete inventory</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r>
      <w:tr>
        <w:trPr>
          <w:trHeight w:val="186"/>
        </w:trPr>
        <w:tc>
          <w:tcPr>
            <w:tcW w:w="8700" w:type="dxa"/>
            <w:vAlign w:val="bottom"/>
          </w:tcPr>
          <w:p>
            <w:pPr>
              <w:ind w:left="4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7,302</w:t>
            </w:r>
          </w:p>
        </w:tc>
      </w:tr>
      <w:tr>
        <w:trPr>
          <w:trHeight w:val="192"/>
        </w:trPr>
        <w:tc>
          <w:tcPr>
            <w:tcW w:w="87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Amortization of debt discount and debt issuance costs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9,772</w:t>
            </w:r>
          </w:p>
        </w:tc>
      </w:tr>
      <w:tr>
        <w:trPr>
          <w:trHeight w:val="186"/>
        </w:trPr>
        <w:tc>
          <w:tcPr>
            <w:tcW w:w="8700" w:type="dxa"/>
            <w:vAlign w:val="bottom"/>
          </w:tcPr>
          <w:p>
            <w:pPr>
              <w:ind w:left="620"/>
              <w:spacing w:after="0"/>
              <w:rPr>
                <w:sz w:val="20"/>
                <w:szCs w:val="20"/>
                <w:color w:val="auto"/>
              </w:rPr>
            </w:pPr>
            <w:r>
              <w:rPr>
                <w:rFonts w:ascii="Arial" w:cs="Arial" w:eastAsia="Arial" w:hAnsi="Arial"/>
                <w:sz w:val="14"/>
                <w:szCs w:val="14"/>
                <w:color w:val="auto"/>
              </w:rPr>
              <w:t>Loss on debt conversion and extinguishment,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76,354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r>
      <w:tr>
        <w:trPr>
          <w:trHeight w:val="186"/>
        </w:trPr>
        <w:tc>
          <w:tcPr>
            <w:tcW w:w="8700" w:type="dxa"/>
            <w:vAlign w:val="bottom"/>
          </w:tcPr>
          <w:p>
            <w:pPr>
              <w:ind w:left="46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840</w:t>
            </w:r>
          </w:p>
        </w:tc>
      </w:tr>
      <w:tr>
        <w:trPr>
          <w:trHeight w:val="192"/>
        </w:trPr>
        <w:tc>
          <w:tcPr>
            <w:tcW w:w="87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8700" w:type="dxa"/>
            <w:vAlign w:val="bottom"/>
          </w:tcPr>
          <w:p>
            <w:pPr>
              <w:ind w:left="6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192"/>
        </w:trPr>
        <w:tc>
          <w:tcPr>
            <w:tcW w:w="8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(3,077)</w:t>
            </w:r>
          </w:p>
        </w:tc>
      </w:tr>
      <w:tr>
        <w:trPr>
          <w:trHeight w:val="186"/>
        </w:trPr>
        <w:tc>
          <w:tcPr>
            <w:tcW w:w="8700" w:type="dxa"/>
            <w:vAlign w:val="bottom"/>
          </w:tcPr>
          <w:p>
            <w:pPr>
              <w:ind w:left="66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(901)</w:t>
            </w:r>
          </w:p>
        </w:tc>
      </w:tr>
      <w:tr>
        <w:trPr>
          <w:trHeight w:val="192"/>
        </w:trPr>
        <w:tc>
          <w:tcPr>
            <w:tcW w:w="87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(12,996)</w:t>
            </w:r>
          </w:p>
        </w:tc>
      </w:tr>
      <w:tr>
        <w:trPr>
          <w:trHeight w:val="186"/>
        </w:trPr>
        <w:tc>
          <w:tcPr>
            <w:tcW w:w="87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expenses, income taxes, and other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r>
      <w:tr>
        <w:trPr>
          <w:trHeight w:val="186"/>
        </w:trPr>
        <w:tc>
          <w:tcPr>
            <w:tcW w:w="87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(17,999)</w:t>
            </w:r>
          </w:p>
        </w:tc>
      </w:tr>
      <w:tr>
        <w:trPr>
          <w:trHeight w:val="166"/>
        </w:trPr>
        <w:tc>
          <w:tcPr>
            <w:tcW w:w="87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2"/>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(6,621)</w:t>
            </w:r>
          </w:p>
        </w:tc>
      </w:tr>
      <w:tr>
        <w:trPr>
          <w:trHeight w:val="186"/>
        </w:trPr>
        <w:tc>
          <w:tcPr>
            <w:tcW w:w="8700" w:type="dxa"/>
            <w:vAlign w:val="bottom"/>
          </w:tcPr>
          <w:p>
            <w:pPr>
              <w:ind w:left="220"/>
              <w:spacing w:after="0"/>
              <w:rPr>
                <w:sz w:val="20"/>
                <w:szCs w:val="20"/>
                <w:color w:val="auto"/>
              </w:rPr>
            </w:pPr>
            <w:r>
              <w:rPr>
                <w:rFonts w:ascii="Arial" w:cs="Arial" w:eastAsia="Arial" w:hAnsi="Arial"/>
                <w:sz w:val="14"/>
                <w:szCs w:val="14"/>
                <w:color w:val="auto"/>
              </w:rPr>
              <w:t>Proceeds from the sale of property, plant and equipment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192"/>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capitalized software development costs and purchases of intangible assets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(22,109)</w:t>
            </w:r>
          </w:p>
        </w:tc>
      </w:tr>
      <w:tr>
        <w:trPr>
          <w:trHeight w:val="179"/>
        </w:trPr>
        <w:tc>
          <w:tcPr>
            <w:tcW w:w="8700" w:type="dxa"/>
            <w:vAlign w:val="bottom"/>
            <w:tcBorders>
              <w:bottom w:val="single" w:sz="8" w:color="CCEEFF"/>
            </w:tcBorders>
          </w:tcPr>
          <w:p>
            <w:pPr>
              <w:ind w:left="100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(28,213)</w:t>
            </w:r>
          </w:p>
        </w:tc>
      </w:tr>
      <w:tr>
        <w:trPr>
          <w:trHeight w:val="17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6"/>
        </w:trPr>
        <w:tc>
          <w:tcPr>
            <w:tcW w:w="8700" w:type="dxa"/>
            <w:vAlign w:val="bottom"/>
          </w:tcPr>
          <w:p>
            <w:pPr>
              <w:ind w:left="220"/>
              <w:spacing w:after="0"/>
              <w:rPr>
                <w:sz w:val="20"/>
                <w:szCs w:val="20"/>
                <w:color w:val="auto"/>
              </w:rPr>
            </w:pPr>
            <w:r>
              <w:rPr>
                <w:rFonts w:ascii="Arial" w:cs="Arial" w:eastAsia="Arial" w:hAnsi="Arial"/>
                <w:sz w:val="14"/>
                <w:szCs w:val="14"/>
                <w:color w:val="auto"/>
              </w:rPr>
              <w:t>Gross proceeds received from issuance of Series E preferred stock</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92"/>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proceeds from the issuance of 2025 Notes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700" w:type="dxa"/>
            <w:vAlign w:val="bottom"/>
          </w:tcPr>
          <w:p>
            <w:pPr>
              <w:ind w:left="220"/>
              <w:spacing w:after="0"/>
              <w:rPr>
                <w:sz w:val="20"/>
                <w:szCs w:val="20"/>
                <w:color w:val="auto"/>
              </w:rPr>
            </w:pPr>
            <w:r>
              <w:rPr>
                <w:rFonts w:ascii="Arial" w:cs="Arial" w:eastAsia="Arial" w:hAnsi="Arial"/>
                <w:sz w:val="14"/>
                <w:szCs w:val="14"/>
                <w:color w:val="auto"/>
              </w:rPr>
              <w:t>Payment of issuance costs related to 2025 Notes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to investors in private exchange transactions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700" w:type="dxa"/>
            <w:vAlign w:val="bottom"/>
          </w:tcPr>
          <w:p>
            <w:pPr>
              <w:ind w:left="220"/>
              <w:spacing w:after="0"/>
              <w:rPr>
                <w:sz w:val="20"/>
                <w:szCs w:val="20"/>
                <w:color w:val="auto"/>
              </w:rPr>
            </w:pPr>
            <w:r>
              <w:rPr>
                <w:rFonts w:ascii="Arial" w:cs="Arial" w:eastAsia="Arial" w:hAnsi="Arial"/>
                <w:sz w:val="14"/>
                <w:szCs w:val="14"/>
                <w:color w:val="auto"/>
              </w:rPr>
              <w:t>Payoff of term loan and related extinguishment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(48,830)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Series E preferred stock</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700" w:type="dxa"/>
            <w:vAlign w:val="bottom"/>
          </w:tcPr>
          <w:p>
            <w:pPr>
              <w:ind w:left="220"/>
              <w:spacing w:after="0"/>
              <w:rPr>
                <w:sz w:val="20"/>
                <w:szCs w:val="20"/>
                <w:color w:val="auto"/>
              </w:rPr>
            </w:pPr>
            <w:r>
              <w:rPr>
                <w:rFonts w:ascii="Arial" w:cs="Arial" w:eastAsia="Arial" w:hAnsi="Arial"/>
                <w:sz w:val="14"/>
                <w:szCs w:val="14"/>
                <w:color w:val="auto"/>
              </w:rPr>
              <w:t>Proceeds from the exercise of warrants to purchase common stock</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17,542</w:t>
            </w:r>
          </w:p>
        </w:tc>
      </w:tr>
      <w:tr>
        <w:trPr>
          <w:trHeight w:val="192"/>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borrowing of bank and overdraft facilities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r>
      <w:tr>
        <w:trPr>
          <w:trHeight w:val="186"/>
        </w:trPr>
        <w:tc>
          <w:tcPr>
            <w:tcW w:w="8700" w:type="dxa"/>
            <w:vAlign w:val="bottom"/>
          </w:tcPr>
          <w:p>
            <w:pPr>
              <w:ind w:left="220"/>
              <w:spacing w:after="0"/>
              <w:rPr>
                <w:sz w:val="20"/>
                <w:szCs w:val="20"/>
                <w:color w:val="auto"/>
              </w:rPr>
            </w:pPr>
            <w:r>
              <w:rPr>
                <w:rFonts w:ascii="Arial" w:cs="Arial" w:eastAsia="Arial" w:hAnsi="Arial"/>
                <w:sz w:val="14"/>
                <w:szCs w:val="14"/>
                <w:color w:val="auto"/>
              </w:rPr>
              <w:t>Principal payments under finance lease obligations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(1,022)</w:t>
            </w:r>
          </w:p>
        </w:tc>
      </w:tr>
      <w:tr>
        <w:trPr>
          <w:trHeight w:val="192"/>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stock option exercises and employee stock purchase plan, net of taxes paid on vested restricted stock units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w:t>
            </w:r>
          </w:p>
        </w:tc>
      </w:tr>
      <w:tr>
        <w:trPr>
          <w:trHeight w:val="179"/>
        </w:trPr>
        <w:tc>
          <w:tcPr>
            <w:tcW w:w="8700" w:type="dxa"/>
            <w:vAlign w:val="bottom"/>
          </w:tcPr>
          <w:p>
            <w:pPr>
              <w:ind w:left="100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42,081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27,469</w:t>
            </w:r>
          </w:p>
        </w:tc>
      </w:tr>
      <w:tr>
        <w:trPr>
          <w:trHeight w:val="19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79"/>
        </w:trPr>
        <w:tc>
          <w:tcPr>
            <w:tcW w:w="8700" w:type="dxa"/>
            <w:vAlign w:val="bottom"/>
          </w:tcPr>
          <w:p>
            <w:pPr>
              <w:ind w:left="100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(19,002)</w:t>
            </w:r>
          </w:p>
        </w:tc>
      </w:tr>
      <w:tr>
        <w:trPr>
          <w:trHeight w:val="192"/>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31,076</w:t>
            </w:r>
          </w:p>
        </w:tc>
      </w:tr>
      <w:tr>
        <w:trPr>
          <w:trHeight w:val="179"/>
        </w:trPr>
        <w:tc>
          <w:tcPr>
            <w:tcW w:w="870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40,015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12,074</w:t>
            </w:r>
          </w:p>
        </w:tc>
      </w:tr>
      <w:tr>
        <w:trPr>
          <w:trHeight w:val="24"/>
        </w:trPr>
        <w:tc>
          <w:tcPr>
            <w:tcW w:w="8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685"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INSEEGO CORP.</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1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5"/>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w:t>
            </w:r>
          </w:p>
        </w:tc>
        <w:tc>
          <w:tcPr>
            <w:tcW w:w="19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7200" w:type="dxa"/>
            <w:vAlign w:val="bottom"/>
          </w:tcPr>
          <w:p>
            <w:pPr>
              <w:ind w:left="460"/>
              <w:spacing w:after="0"/>
              <w:rPr>
                <w:sz w:val="20"/>
                <w:szCs w:val="20"/>
                <w:color w:val="auto"/>
              </w:rPr>
            </w:pPr>
            <w:r>
              <w:rPr>
                <w:rFonts w:ascii="Arial" w:cs="Arial" w:eastAsia="Arial" w:hAnsi="Arial"/>
                <w:sz w:val="14"/>
                <w:szCs w:val="14"/>
                <w:color w:val="auto"/>
              </w:rPr>
              <w:t>Interest</w:t>
            </w:r>
          </w:p>
        </w:tc>
        <w:tc>
          <w:tcPr>
            <w:tcW w:w="1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3,215</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9,296</w:t>
            </w:r>
          </w:p>
        </w:tc>
      </w:tr>
      <w:tr>
        <w:trPr>
          <w:trHeight w:val="192"/>
        </w:trPr>
        <w:tc>
          <w:tcPr>
            <w:tcW w:w="72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taxes, net of tax refunds</w:t>
            </w:r>
          </w:p>
        </w:tc>
        <w:tc>
          <w:tcPr>
            <w:tcW w:w="1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86"/>
        </w:trPr>
        <w:tc>
          <w:tcPr>
            <w:tcW w:w="7200" w:type="dxa"/>
            <w:vAlign w:val="bottom"/>
          </w:tcPr>
          <w:p>
            <w:pPr>
              <w:ind w:left="20"/>
              <w:spacing w:after="0"/>
              <w:rPr>
                <w:sz w:val="20"/>
                <w:szCs w:val="20"/>
                <w:color w:val="auto"/>
              </w:rPr>
            </w:pPr>
            <w:r>
              <w:rPr>
                <w:rFonts w:ascii="Arial" w:cs="Arial" w:eastAsia="Arial" w:hAnsi="Arial"/>
                <w:sz w:val="14"/>
                <w:szCs w:val="14"/>
                <w:color w:val="auto"/>
              </w:rPr>
              <w:t>Supplemental disclosures of non-cash activities:</w:t>
            </w:r>
          </w:p>
        </w:tc>
        <w:tc>
          <w:tcPr>
            <w:tcW w:w="1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Transfer of inventories to rental assets</w:t>
            </w:r>
          </w:p>
        </w:tc>
        <w:tc>
          <w:tcPr>
            <w:tcW w:w="1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4,036</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w:t>
            </w:r>
          </w:p>
        </w:tc>
      </w:tr>
      <w:tr>
        <w:trPr>
          <w:trHeight w:val="186"/>
        </w:trPr>
        <w:tc>
          <w:tcPr>
            <w:tcW w:w="720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 under capital lease</w:t>
            </w:r>
          </w:p>
        </w:tc>
        <w:tc>
          <w:tcPr>
            <w:tcW w:w="1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664</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1,341</w:t>
            </w:r>
          </w:p>
        </w:tc>
      </w:tr>
      <w:tr>
        <w:trPr>
          <w:trHeight w:val="192"/>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Right-of-use assets obtained in exchange for operating leases liabilities</w:t>
            </w:r>
          </w:p>
        </w:tc>
        <w:tc>
          <w:tcPr>
            <w:tcW w:w="1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7,931</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w:t>
            </w:r>
          </w:p>
        </w:tc>
      </w:tr>
      <w:tr>
        <w:trPr>
          <w:trHeight w:val="186"/>
        </w:trPr>
        <w:tc>
          <w:tcPr>
            <w:tcW w:w="7200" w:type="dxa"/>
            <w:vAlign w:val="bottom"/>
          </w:tcPr>
          <w:p>
            <w:pPr>
              <w:ind w:left="220"/>
              <w:spacing w:after="0"/>
              <w:rPr>
                <w:sz w:val="20"/>
                <w:szCs w:val="20"/>
                <w:color w:val="auto"/>
              </w:rPr>
            </w:pPr>
            <w:r>
              <w:rPr>
                <w:rFonts w:ascii="Arial" w:cs="Arial" w:eastAsia="Arial" w:hAnsi="Arial"/>
                <w:sz w:val="14"/>
                <w:szCs w:val="14"/>
                <w:color w:val="auto"/>
              </w:rPr>
              <w:t>Capital expenditures financed through accounts payable or accrued liabilities</w:t>
            </w:r>
          </w:p>
        </w:tc>
        <w:tc>
          <w:tcPr>
            <w:tcW w:w="1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5,710</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2,926</w:t>
            </w:r>
          </w:p>
        </w:tc>
      </w:tr>
      <w:tr>
        <w:trPr>
          <w:trHeight w:val="192"/>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under Settlement Agreement</w:t>
            </w:r>
          </w:p>
        </w:tc>
        <w:tc>
          <w:tcPr>
            <w:tcW w:w="1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86"/>
        </w:trPr>
        <w:tc>
          <w:tcPr>
            <w:tcW w:w="7200" w:type="dxa"/>
            <w:vAlign w:val="bottom"/>
          </w:tcPr>
          <w:p>
            <w:pPr>
              <w:ind w:left="220"/>
              <w:spacing w:after="0"/>
              <w:rPr>
                <w:sz w:val="20"/>
                <w:szCs w:val="20"/>
                <w:color w:val="auto"/>
              </w:rPr>
            </w:pPr>
            <w:r>
              <w:rPr>
                <w:rFonts w:ascii="Arial" w:cs="Arial" w:eastAsia="Arial" w:hAnsi="Arial"/>
                <w:sz w:val="14"/>
                <w:szCs w:val="14"/>
                <w:color w:val="auto"/>
              </w:rPr>
              <w:t>Preferred stock issued in extinguishment of term loan accrued interest</w:t>
            </w:r>
          </w:p>
        </w:tc>
        <w:tc>
          <w:tcPr>
            <w:tcW w:w="1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2,330</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discount and issuance costs extinguished in notes conversion</w:t>
            </w:r>
          </w:p>
        </w:tc>
        <w:tc>
          <w:tcPr>
            <w:tcW w:w="1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1,728</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200" w:type="dxa"/>
            <w:vAlign w:val="bottom"/>
          </w:tcPr>
          <w:p>
            <w:pPr>
              <w:ind w:left="220"/>
              <w:spacing w:after="0"/>
              <w:rPr>
                <w:sz w:val="20"/>
                <w:szCs w:val="20"/>
                <w:color w:val="auto"/>
              </w:rPr>
            </w:pPr>
            <w:r>
              <w:rPr>
                <w:rFonts w:ascii="Arial" w:cs="Arial" w:eastAsia="Arial" w:hAnsi="Arial"/>
                <w:sz w:val="14"/>
                <w:szCs w:val="14"/>
                <w:color w:val="auto"/>
              </w:rPr>
              <w:t>2022 Notes conversion to equity</w:t>
            </w:r>
          </w:p>
        </w:tc>
        <w:tc>
          <w:tcPr>
            <w:tcW w:w="1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59,907</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Novatel Wireless Notes conversion to equity</w:t>
            </w:r>
          </w:p>
        </w:tc>
        <w:tc>
          <w:tcPr>
            <w:tcW w:w="1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200" w:type="dxa"/>
            <w:vAlign w:val="bottom"/>
          </w:tcPr>
          <w:p>
            <w:pPr>
              <w:ind w:left="220"/>
              <w:spacing w:after="0"/>
              <w:rPr>
                <w:sz w:val="20"/>
                <w:szCs w:val="20"/>
                <w:color w:val="auto"/>
              </w:rPr>
            </w:pPr>
            <w:r>
              <w:rPr>
                <w:rFonts w:ascii="Arial" w:cs="Arial" w:eastAsia="Arial" w:hAnsi="Arial"/>
                <w:sz w:val="14"/>
                <w:szCs w:val="14"/>
                <w:color w:val="auto"/>
              </w:rPr>
              <w:t>2025 Notes issued to extinguish 2022 Notes</w:t>
            </w:r>
          </w:p>
        </w:tc>
        <w:tc>
          <w:tcPr>
            <w:tcW w:w="19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80,375</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2025 Notes conversion, including shares issued in satisfaction of interest-make-whole payment</w:t>
            </w:r>
          </w:p>
        </w:tc>
        <w:tc>
          <w:tcPr>
            <w:tcW w:w="1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14,353</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72"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12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Inseego Corp. (the “Company” or “Inseego”) is a leader in the design and development of fixed and mobile wireless solutions (advanced 4G and 5G New Radio (“5G NR”)), industrial Internet of Things (“IIoT”) and cloud solutions for large enterprise verticals, service providers and small and medium-sized businesses around the globe. Inseego’s customers include wireless service providers, fortune 500 enterprises, consumers, governments, and first responders.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Inseego’s solutions are powered by its key wireless innovations in mobile and FWA technologies, including a suite of products employing the 5G NR standards, and purpose-built SaaS cloud platforms.</w:t>
      </w:r>
    </w:p>
    <w:p>
      <w:pPr>
        <w:spacing w:after="0" w:line="111" w:lineRule="exact"/>
        <w:rPr>
          <w:sz w:val="20"/>
          <w:szCs w:val="20"/>
          <w:color w:val="auto"/>
        </w:rPr>
      </w:pPr>
    </w:p>
    <w:p>
      <w:pPr>
        <w:jc w:val="both"/>
        <w:ind w:right="40" w:firstLine="445"/>
        <w:spacing w:after="0" w:line="257" w:lineRule="auto"/>
        <w:rPr>
          <w:sz w:val="20"/>
          <w:szCs w:val="20"/>
          <w:color w:val="auto"/>
        </w:rPr>
      </w:pPr>
      <w:r>
        <w:rPr>
          <w:rFonts w:ascii="Arial" w:cs="Arial" w:eastAsia="Arial" w:hAnsi="Arial"/>
          <w:sz w:val="18"/>
          <w:szCs w:val="18"/>
          <w:color w:val="auto"/>
        </w:rPr>
        <w:t>Inseego is a Delaware corporation formed in 2016 and is the successor to Novatel Wireless, Inc., a Delaware corporation formed in 1996 (“Novatel Wireless”), resulting from an internal reorganization that was completed in November 2016. The Company’s principal executive office is located at 12600 Deerfield Parkway, Suite 100, Alpharetta, GA 30004, its corporate offices are located at 9710 Scranton Road, Suite 200, San Diego CA 92121 and its sales and engineering offices are located throughout the world. Inseego’s common stock trades on The NASDAQ Global Select Market under the trading symbol “INSG”.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The Company had a net loss attributable to Inseego Corp. of $111.2 million during the year ended December 31, 2020. As of December 31, 2020, the Company had available cash and cash equivalents totaling $40.0 million and working capital of $38.4 million. The Company has a history of operating and net losses and overall usage of cash from operating and investing activities.</w:t>
      </w:r>
    </w:p>
    <w:p>
      <w:pPr>
        <w:spacing w:after="0" w:line="130"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On March 6, 2020, the Company issued and sold 25,000 shares of Fixed-Rate Cumulative Perpetual Preferred Stock, Series E, par value $0.001 per share (the “Series E Preferred Stock”), for an aggregate purchase price of $25.0 million.</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7"/>
          <w:szCs w:val="17"/>
          <w:color w:val="auto"/>
        </w:rPr>
        <w:t>In the first quarter of 2020, $59.9 million of the Company’s 5.5% convertible senior notes due 2022 (the “2022 Notes” formerly referred to as the “Inseego Notes”) were exchanged for common stock in private exchange transactions. Additionally, in the second quarter of 2020, the Company restructured its outstanding debt by completing a $100.0 million registered public offering (the “Offering”) of 3.25% convertible senior notes due 2025 (the “2025 Notes”) and also entered into privately-negotiated exchange agreements (“Exchange Agreements”), pursuant to which an aggregate of $45.0 million in principal amount of the 2022 Notes were exchanged for an aggregate of $32.0 million in cash and $80.4 million in principal amount of the 2025 Notes (the “Private Exchange Transactions”). The Company also used a portion of the proceeds from the Offering to repay in full its previous term loan. In the third quarter of 2020, the Company redeemed the remaining $2,000 principal amount of the 2022 Notes.</w:t>
      </w:r>
    </w:p>
    <w:p>
      <w:pPr>
        <w:spacing w:after="0" w:line="58" w:lineRule="exact"/>
        <w:rPr>
          <w:sz w:val="20"/>
          <w:szCs w:val="20"/>
          <w:color w:val="auto"/>
        </w:rPr>
      </w:pPr>
    </w:p>
    <w:p>
      <w:pPr>
        <w:ind w:right="180" w:firstLine="405"/>
        <w:spacing w:after="0" w:line="224"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 such notes. As of December 31, 2020, the Company’s outstanding debt primarily consisted of $166.9 million in principal amount of 2025 Notes.</w:t>
      </w:r>
    </w:p>
    <w:p>
      <w:pPr>
        <w:spacing w:after="0" w:line="55" w:lineRule="exact"/>
        <w:rPr>
          <w:sz w:val="20"/>
          <w:szCs w:val="20"/>
          <w:color w:val="auto"/>
        </w:rPr>
      </w:pPr>
    </w:p>
    <w:p>
      <w:pPr>
        <w:ind w:firstLine="405"/>
        <w:spacing w:after="0" w:line="235" w:lineRule="auto"/>
        <w:rPr>
          <w:sz w:val="20"/>
          <w:szCs w:val="20"/>
          <w:color w:val="auto"/>
        </w:rPr>
      </w:pPr>
      <w:r>
        <w:rPr>
          <w:rFonts w:ascii="Arial" w:cs="Arial" w:eastAsia="Arial" w:hAnsi="Arial"/>
          <w:sz w:val="18"/>
          <w:szCs w:val="18"/>
          <w:color w:val="auto"/>
        </w:rPr>
        <w:t xml:space="preserve">Additionally, in January 2021, the Company sold 1,516,073 shares of common stock, at a public offering price of $20.11 per share, for net proceeds of $29.6 million, pursuant to the ATM Offering. See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w:t>
      </w:r>
    </w:p>
    <w:p>
      <w:pPr>
        <w:spacing w:after="0" w:line="67" w:lineRule="exact"/>
        <w:rPr>
          <w:sz w:val="20"/>
          <w:szCs w:val="20"/>
          <w:color w:val="auto"/>
        </w:rPr>
      </w:pPr>
    </w:p>
    <w:p>
      <w:pPr>
        <w:ind w:right="60" w:firstLine="405"/>
        <w:spacing w:after="0" w:line="274"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109" w:lineRule="exact"/>
        <w:rPr>
          <w:sz w:val="20"/>
          <w:szCs w:val="20"/>
          <w:color w:val="auto"/>
        </w:rPr>
      </w:pPr>
    </w:p>
    <w:p>
      <w:pPr>
        <w:ind w:right="580" w:firstLine="405"/>
        <w:spacing w:after="0" w:line="248"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Additionally, the Company is uncertain of the full extent to which the COVID-19 pandemic will impact the Company’s business, operations and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disclosure of contingent liabilities. Actual results could differ materially from these estimates. Estimates are assessed each period and updated to reflect current information, such as the economic considerations related to the impact that the novel coronavirus pandemic ("COVID-19") could have on our significant accounting estimates. Significant estimates include revenue recognition, capitalized software costs, allowance for doubtful accounts receivable, provision for excess and obsolete inventory, valuation of intangible and long-lived assets, valuation of goodwill, valuation of derivatives, accruals relating to litigation, income taxes, and share-based compensation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Cash and cash equivalents are recorded at market value, which approximates cost. Gains and losses associated with the Company’s foreign currency denominated demand deposits are recorded as a component of other income, net,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Receivable</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its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Provision for Excess and Obsolete Inventory</w:t>
      </w:r>
    </w:p>
    <w:p>
      <w:pPr>
        <w:spacing w:after="0" w:line="117"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Inventories are stated at the lower of cost (first-in, first-out method) or net realizable value.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10" w:lineRule="exact"/>
        <w:rPr>
          <w:sz w:val="20"/>
          <w:szCs w:val="20"/>
          <w:color w:val="auto"/>
        </w:rPr>
      </w:pPr>
    </w:p>
    <w:p>
      <w:pPr>
        <w:jc w:val="both"/>
        <w:ind w:right="440" w:firstLine="445"/>
        <w:spacing w:after="0" w:line="263"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04"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Property, plant and equipment are initially stated at cost and depreciated using the straight-line method. Land is not depreciated. Buildings are depreciated over 50 years. Leasehold improvements are depreciated over the shorter of the related</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remaining lease period or useful life, not to exceed 5 years. Product tooling is depreciated over 13 months. Computer equipment, purchased software, vehicles, production equipment, and furniture and fixtures, are depreciated over lives ranging from 2 to 5 years. Amortization of equipment under capital leases is included in depreciation expense.</w:t>
      </w:r>
    </w:p>
    <w:p>
      <w:pPr>
        <w:spacing w:after="0" w:line="76"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plant and equipment are capitalized and depreciated. Upon retirement or disposition of property, plant and equipment, any resulting gain or loss is recognized in other income, net,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Assets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cost of rental assets, which represents fleet management and vehicle tracking hardware installed in customers’ vehicles where such hardware is provided as part of a fixed term contract with the customer, is capitalized and disclosed separately in the consolidated balance sheets. The Company depreciates rental assets to costs of net revenues on a straight-line basis over the term of the contract, generally three to four years, commencing on installation of the rental asset.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80" w:firstLine="648"/>
        <w:spacing w:after="0" w:line="220" w:lineRule="exact"/>
        <w:rPr>
          <w:sz w:val="20"/>
          <w:szCs w:val="20"/>
          <w:color w:val="auto"/>
        </w:rPr>
      </w:pPr>
      <w:r>
        <w:rPr>
          <w:rFonts w:ascii="Arial" w:cs="Arial" w:eastAsia="Arial" w:hAnsi="Arial"/>
          <w:sz w:val="18"/>
          <w:szCs w:val="18"/>
          <w:color w:val="auto"/>
        </w:rPr>
        <w:t>Research and development expense consists primarily of personnel costs for our engineers engaged in the design and development of our products, software and technologies, including salary, bonus and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project material costs, services, depreciation and amortization. Such costs are charged to research and development expense as they are incurred, to the extent not capitalized as software development costs for external or internal use.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External Use</w:t>
      </w:r>
    </w:p>
    <w:p>
      <w:pPr>
        <w:spacing w:after="0" w:line="117" w:lineRule="exact"/>
        <w:rPr>
          <w:sz w:val="20"/>
          <w:szCs w:val="20"/>
          <w:color w:val="auto"/>
        </w:rPr>
      </w:pPr>
    </w:p>
    <w:p>
      <w:pPr>
        <w:jc w:val="both"/>
        <w:ind w:firstLine="212"/>
        <w:spacing w:after="0" w:line="275" w:lineRule="auto"/>
        <w:rPr>
          <w:sz w:val="20"/>
          <w:szCs w:val="20"/>
          <w:color w:val="auto"/>
        </w:rPr>
      </w:pPr>
      <w:r>
        <w:rPr>
          <w:rFonts w:ascii="Arial" w:cs="Arial" w:eastAsia="Arial" w:hAnsi="Arial"/>
          <w:sz w:val="17"/>
          <w:szCs w:val="17"/>
          <w:color w:val="auto"/>
        </w:rPr>
        <w:t>Software development costs for external use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The straight-line recognition method approximates the manner in which the expected benefit will be derived. Costs incurred to enhance existing software or after the implementation of the software into a product are expensed in the period they are incurred and included in research and development expense in the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for Internal Use</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intangible assets and are amortized on a straight-line basis over the estimated useful life of the software. The Company tests these assets for impairment whenever events or circumstances occur that could impact their recoverability. For the year ended December 31, 2020 and 2019, the Company recorded $1.4 million and $0 of impairment loss, respectively, related to software development costs for internal use.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 xml:space="preserve">Intangible assets include purchased finite-lived and indefinite-lived intangible assets resulting from the acquisitions of DigiCore Holdings Limited (“DigiCore” or “Ctrack”) and R.E.R. Enterprises, Inc. (“RER”) and its wholly owned subsidiary and principal operating asset, Feeney Wireless, LLC (which was renamed Inseego North America, LLC) (“INA”), along with the costs of non-exclusive and perpetual worldwide software technology licenses and capitalized software developments costs for both internal and external use. Finite-lived intangible assets are amortized on a straight-line basis over the estimated useful lives of the assets (see Note 3,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w:t>
      </w:r>
    </w:p>
    <w:p>
      <w:pPr>
        <w:spacing w:after="0" w:line="6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Indefinite-lived assets, including goodwill and in-process capitalized software development costs, are not amortized; however, they are tested for impairment annually, and between annual tests, if certain events occur indicating that the carrying amounts may be impaired. The Company performs an annual impairment review of indefinite-lived assets during the fourth fiscal quarter of each year, and more frequently if we believe indicators of impairment exist. To review for impairment, we first assess qualitative factors to determine whether events or circumstances lead to a determination that it is more likely than not that the fair value of the Company’s reporting unit is less than its carrying amount. The Company’s qualitative assessment of the recoverability of indefinite-lived assets was based on various macroeconomic, industry-specific, and company specific</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net book value. For the years ended December 31, 2020 and 2019, the Company recorded no impairment loss related to indefinite-lived intangible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plant and equipment, rental assets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 For the year ended December 31, 2020 and 2019, the Company had no impairment loss related to long-lived assets, except for the impairment of the capitalized software development costs for internal use, noted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Instruments</w:t>
      </w:r>
    </w:p>
    <w:p>
      <w:pPr>
        <w:spacing w:after="0" w:line="117" w:lineRule="exact"/>
        <w:rPr>
          <w:sz w:val="20"/>
          <w:szCs w:val="20"/>
          <w:color w:val="auto"/>
        </w:rPr>
      </w:pPr>
    </w:p>
    <w:p>
      <w:pPr>
        <w:jc w:val="both"/>
        <w:ind w:right="580" w:firstLine="405"/>
        <w:spacing w:after="0" w:line="270" w:lineRule="auto"/>
        <w:rPr>
          <w:sz w:val="20"/>
          <w:szCs w:val="20"/>
          <w:color w:val="auto"/>
        </w:rPr>
      </w:pPr>
      <w:r>
        <w:rPr>
          <w:rFonts w:ascii="Arial" w:cs="Arial" w:eastAsia="Arial" w:hAnsi="Arial"/>
          <w:sz w:val="17"/>
          <w:szCs w:val="17"/>
          <w:color w:val="auto"/>
        </w:rPr>
        <w:t xml:space="preserve">The Company evaluates embedded features within convertible debt that will be settled in shares upon conversion under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to determine whether the embedded feature(s) should be bifurcated from the host instrument and accounted for as a derivative at fair value with changes in fair value recorded in earnings.</w:t>
      </w:r>
    </w:p>
    <w:p>
      <w:pPr>
        <w:spacing w:after="0" w:line="191" w:lineRule="exact"/>
        <w:rPr>
          <w:sz w:val="20"/>
          <w:szCs w:val="20"/>
          <w:color w:val="auto"/>
        </w:rPr>
      </w:pPr>
    </w:p>
    <w:p>
      <w:pPr>
        <w:ind w:right="20" w:firstLine="405"/>
        <w:spacing w:after="0" w:line="241" w:lineRule="auto"/>
        <w:rPr>
          <w:sz w:val="20"/>
          <w:szCs w:val="20"/>
          <w:color w:val="auto"/>
        </w:rPr>
      </w:pPr>
      <w:r>
        <w:rPr>
          <w:rFonts w:ascii="Arial" w:cs="Arial" w:eastAsia="Arial" w:hAnsi="Arial"/>
          <w:sz w:val="18"/>
          <w:szCs w:val="18"/>
          <w:color w:val="auto"/>
        </w:rPr>
        <w:t>If an embedded derivative is bifurcated from share-settled convertible debt,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total on the consolidated balance sheet. The derivative liability will be remeasured at each reporting period with changes in fair value recorded in the consolidated statements of operations in other income,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39" w:lineRule="exact"/>
        <w:rPr>
          <w:sz w:val="20"/>
          <w:szCs w:val="20"/>
          <w:color w:val="auto"/>
        </w:rPr>
      </w:pPr>
    </w:p>
    <w:p>
      <w:pPr>
        <w:ind w:right="40" w:firstLine="405"/>
        <w:spacing w:after="0" w:line="257" w:lineRule="auto"/>
        <w:rPr>
          <w:sz w:val="20"/>
          <w:szCs w:val="20"/>
          <w:color w:val="auto"/>
        </w:rPr>
      </w:pPr>
      <w:r>
        <w:rPr>
          <w:rFonts w:ascii="Arial" w:cs="Arial" w:eastAsia="Arial" w:hAnsi="Arial"/>
          <w:sz w:val="17"/>
          <w:szCs w:val="17"/>
          <w:color w:val="auto"/>
        </w:rPr>
        <w:t>The Company evaluates stock warrants, debt instruments and other contracts to determine if those contracts or embedded components of those contracts qualify as derivative financial instruments to be separately accounted for under the relevant sections of the Financial Accounting Standards Board (the “FASB”) ASC.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117" w:lineRule="exact"/>
        <w:rPr>
          <w:sz w:val="20"/>
          <w:szCs w:val="20"/>
          <w:color w:val="auto"/>
        </w:rPr>
      </w:pPr>
    </w:p>
    <w:p>
      <w:pPr>
        <w:jc w:val="both"/>
        <w:ind w:right="480" w:firstLine="405"/>
        <w:spacing w:after="0" w:line="263"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revenues by product grouping for the years ended December 31, 2020 and 2019 were as follows (in thousands):</w:t>
      </w:r>
    </w:p>
    <w:p>
      <w:pPr>
        <w:spacing w:after="0" w:line="126"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Year Ended</w:t>
      </w:r>
    </w:p>
    <w:p>
      <w:pPr>
        <w:jc w:val="center"/>
        <w:ind w:left="88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9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11"/>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160,873</w:t>
            </w:r>
          </w:p>
        </w:tc>
      </w:tr>
      <w:tr>
        <w:trPr>
          <w:trHeight w:val="213"/>
        </w:trPr>
        <w:tc>
          <w:tcPr>
            <w:tcW w:w="8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52,663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58,623</w:t>
            </w:r>
          </w:p>
        </w:tc>
      </w:tr>
      <w:tr>
        <w:trPr>
          <w:trHeight w:val="237"/>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313,832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219,496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geographic disaggregation information in Note 12,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w:t>
      </w:r>
    </w:p>
    <w:p>
      <w:pPr>
        <w:spacing w:after="0" w:line="171" w:lineRule="exact"/>
        <w:rPr>
          <w:sz w:val="20"/>
          <w:szCs w:val="20"/>
          <w:color w:val="auto"/>
        </w:rPr>
      </w:pPr>
    </w:p>
    <w:p>
      <w:pPr>
        <w:ind w:right="140" w:firstLine="405"/>
        <w:spacing w:after="0" w:line="250" w:lineRule="auto"/>
        <w:rPr>
          <w:sz w:val="20"/>
          <w:szCs w:val="20"/>
          <w:color w:val="auto"/>
        </w:rPr>
      </w:pPr>
      <w:r>
        <w:rPr>
          <w:rFonts w:ascii="Arial" w:cs="Arial" w:eastAsia="Arial" w:hAnsi="Arial"/>
          <w:sz w:val="17"/>
          <w:szCs w:val="17"/>
          <w:i w:val="1"/>
          <w:iCs w:val="1"/>
          <w:color w:val="auto"/>
        </w:rPr>
        <w:t>IoT &amp; Mobile Solutions</w:t>
      </w:r>
      <w:r>
        <w:rPr>
          <w:rFonts w:ascii="Arial" w:cs="Arial" w:eastAsia="Arial" w:hAnsi="Arial"/>
          <w:sz w:val="17"/>
          <w:szCs w:val="17"/>
          <w:color w:val="auto"/>
        </w:rPr>
        <w:t>. The IoT &amp; Mobile Solutions portfolio is comprised of end-to-end edge to cloud solutions including 4G LTE mobile</w:t>
      </w:r>
      <w:r>
        <w:rPr>
          <w:rFonts w:ascii="Arial" w:cs="Arial" w:eastAsia="Arial" w:hAnsi="Arial"/>
          <w:sz w:val="17"/>
          <w:szCs w:val="17"/>
          <w:i w:val="1"/>
          <w:iCs w:val="1"/>
          <w:color w:val="auto"/>
        </w:rPr>
        <w:t xml:space="preserve"> </w:t>
      </w:r>
      <w:r>
        <w:rPr>
          <w:rFonts w:ascii="Arial" w:cs="Arial" w:eastAsia="Arial" w:hAnsi="Arial"/>
          <w:sz w:val="17"/>
          <w:szCs w:val="17"/>
          <w:color w:val="auto"/>
        </w:rPr>
        <w:t>broadband gateways, routers, modems, hotspots, HD quality VoLTE based wireless home phones, cloud management software and an advanced 5G portfolio of products (currently in various stages of development). The solutions are offered under the MiFi and MiFi</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brands for consumer and business markets, and under the Skyus brand for industrial IoT markets. Effective in the third quarter ended on September 30, 2020, IoT &amp; Mobile Solutions now also includes the Company’s Device Management System (“DMS”), rebranded as Inseego Subscribe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 a hosted SaaS platform that helps organizations manage the selection, deployment and spend of their customer’s wireless assets, helping them save money on personnel and telecom expenses. The Company reclassified its Inseego Subscribe revenue stream from Enterprise SaaS Solutions to better reflect the Company's end user delineation. This reclassification had no impact on previously reported total net revenue, gross profit, or net loss.</w:t>
      </w:r>
    </w:p>
    <w:p>
      <w:pPr>
        <w:spacing w:after="0" w:line="141"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i w:val="1"/>
          <w:iCs w:val="1"/>
          <w:color w:val="auto"/>
        </w:rPr>
        <w:t>Enterprise SaaS Solutions</w:t>
      </w:r>
      <w:r>
        <w:rPr>
          <w:rFonts w:ascii="Arial" w:cs="Arial" w:eastAsia="Arial" w:hAnsi="Arial"/>
          <w:sz w:val="16"/>
          <w:szCs w:val="16"/>
          <w:color w:val="auto"/>
        </w:rPr>
        <w:t>. The Enterprise SaaS Solutions consist of various subscription offerings to gain access to the Company’s Ctrack telematics</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which provide fleet vehicle, aviation ground vehicle and asset tracking and performance information, and other telematics applications.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171"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 xml:space="preserve">The Company follows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which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60" w:hanging="30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16"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impact the transaction price. The Company does not offer price concessions and does not accept payment that is less than the price stated when it accepts the purchase order.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130"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typically at the time when the product is delivered, shipped or installed at which time the title passes to the customer, and there are no further performance obligations with regards to the hardware device.</w:t>
      </w:r>
    </w:p>
    <w:p>
      <w:pPr>
        <w:spacing w:after="0" w:line="13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Because the Company’s rental asset lease contracts qualify as operating leases under ASC 842, </w:t>
      </w:r>
      <w:r>
        <w:rPr>
          <w:rFonts w:ascii="Arial" w:cs="Arial" w:eastAsia="Arial" w:hAnsi="Arial"/>
          <w:sz w:val="17"/>
          <w:szCs w:val="17"/>
          <w:i w:val="1"/>
          <w:iCs w:val="1"/>
          <w:color w:val="auto"/>
        </w:rPr>
        <w:t>Leases (“ASC 842”)</w:t>
      </w:r>
      <w:r>
        <w:rPr>
          <w:rFonts w:ascii="Arial" w:cs="Arial" w:eastAsia="Arial" w:hAnsi="Arial"/>
          <w:sz w:val="17"/>
          <w:szCs w:val="17"/>
          <w:color w:val="auto"/>
        </w:rPr>
        <w:t>,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127" w:lineRule="exact"/>
        <w:rPr>
          <w:sz w:val="20"/>
          <w:szCs w:val="20"/>
          <w:color w:val="auto"/>
        </w:rPr>
      </w:pPr>
    </w:p>
    <w:p>
      <w:pPr>
        <w:ind w:left="660" w:right="24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11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133"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7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34"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December 31, 2020.</w:t>
      </w:r>
    </w:p>
    <w:p>
      <w:pPr>
        <w:spacing w:after="0" w:line="130"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 xml:space="preserve">Applying the practical expedient in paragraph 40-25-4 of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171"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9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171"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171"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Based upon historical experience, the Company anticipates repayment of these transactions in the foreseeable future, and recognizes the realized and unrealized gains (losses) on these transactions that result from foreign currency changes in the period in which they occur as foreign currency transaction gain (loss), which is recorded as other income, net, in the consolidated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Assets and liabilities of the Company’s international subsidiaries in which the local currency is the functional currency are translated into U.S. Dollars at period-end exchange rates. Income and expenses are translated into U.S. Dollars at the average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exchange rates during the period. The resulting translation adjustments are included in the Company’s consolidated balance sheets as a component of accumulated other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80" w:firstLine="445"/>
        <w:spacing w:after="0" w:line="301"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103"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14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The Company records a loss when information indicates that a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 expenses litigation costs as incurred.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4"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Company has granted stock options and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 The fair value of each stock option and stock purchase right is estimated on the date of grant using an option pricing model that meets certain requirements. The Company generally uses the Black-Scholes option pricing model to estimate the fair value of its stock options and stock purchase rights. The Black-Scholes model is considered an acceptable model but the fair values generated by it may not be indicative of the actual fair values of the Company’s equity awards as it does not consider certain factors important to those awards to recipients, such as continued service and periodic vesting requirements, as well as limited transferability.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127"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stock purchase rights under the Company’s ESPP, the Company utilizes historical volatility in order to estimate the expected volatility assumption of the Black-Scholes model.</w:t>
      </w:r>
    </w:p>
    <w:p>
      <w:pPr>
        <w:spacing w:after="0" w:line="107"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expected term of stock options granted is estimated using historical experience. The risk-free interest rate assumption is based on observed interest rates appropriate for the expected terms of the Company’s stock options and stock purchase rights. The dividend yield assumption is based on the Company’s history and expectation of no dividend payouts. The Company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130"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common stock on the date of grant.</w:t>
      </w:r>
    </w:p>
    <w:p>
      <w:pPr>
        <w:spacing w:after="0" w:line="116" w:lineRule="exact"/>
        <w:rPr>
          <w:sz w:val="20"/>
          <w:szCs w:val="20"/>
          <w:color w:val="auto"/>
        </w:rPr>
      </w:pPr>
    </w:p>
    <w:p>
      <w:pPr>
        <w:ind w:right="160" w:firstLine="445"/>
        <w:spacing w:after="0" w:line="286" w:lineRule="auto"/>
        <w:rPr>
          <w:sz w:val="20"/>
          <w:szCs w:val="20"/>
          <w:color w:val="auto"/>
        </w:rPr>
      </w:pPr>
      <w:r>
        <w:rPr>
          <w:rFonts w:ascii="Arial" w:cs="Arial" w:eastAsia="Arial" w:hAnsi="Arial"/>
          <w:sz w:val="17"/>
          <w:szCs w:val="17"/>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111"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Inseego Corp.</w:t>
      </w:r>
    </w:p>
    <w:p>
      <w:pPr>
        <w:spacing w:after="0" w:line="117" w:lineRule="exact"/>
        <w:rPr>
          <w:sz w:val="20"/>
          <w:szCs w:val="20"/>
          <w:color w:val="auto"/>
        </w:rPr>
      </w:pPr>
    </w:p>
    <w:p>
      <w:pPr>
        <w:ind w:right="380" w:firstLine="445"/>
        <w:spacing w:after="0" w:line="257" w:lineRule="auto"/>
        <w:rPr>
          <w:sz w:val="20"/>
          <w:szCs w:val="20"/>
          <w:color w:val="auto"/>
        </w:rPr>
      </w:pPr>
      <w:r>
        <w:rPr>
          <w:rFonts w:ascii="Arial" w:cs="Arial" w:eastAsia="Arial" w:hAnsi="Arial"/>
          <w:sz w:val="18"/>
          <w:szCs w:val="18"/>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earnings per share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right="600" w:firstLine="445"/>
        <w:spacing w:after="0" w:line="311" w:lineRule="auto"/>
        <w:rPr>
          <w:sz w:val="20"/>
          <w:szCs w:val="20"/>
          <w:color w:val="auto"/>
        </w:rPr>
      </w:pPr>
      <w:r>
        <w:rPr>
          <w:rFonts w:ascii="Arial" w:cs="Arial" w:eastAsia="Arial" w:hAnsi="Arial"/>
          <w:sz w:val="16"/>
          <w:szCs w:val="16"/>
          <w:color w:val="auto"/>
        </w:rPr>
        <w:t>The Company’s fair value measurements relate to its cash equivalents and money market funds, which are classified pursuant to authoritative guidance for fair value measurements. The Company places its cash equivalents in instruments that meet credit quality standards, as specified in its investment policy guidelines. These guidelines also limit the amount of credit exposure to any one issue, issuer or type of instrument.</w:t>
      </w:r>
    </w:p>
    <w:p>
      <w:pPr>
        <w:spacing w:after="0" w:line="95" w:lineRule="exact"/>
        <w:rPr>
          <w:sz w:val="20"/>
          <w:szCs w:val="20"/>
          <w:color w:val="auto"/>
        </w:rPr>
      </w:pPr>
    </w:p>
    <w:p>
      <w:pPr>
        <w:ind w:right="180" w:firstLine="445"/>
        <w:spacing w:after="0" w:line="308" w:lineRule="auto"/>
        <w:rPr>
          <w:sz w:val="20"/>
          <w:szCs w:val="20"/>
          <w:color w:val="auto"/>
        </w:rPr>
      </w:pPr>
      <w:r>
        <w:rPr>
          <w:rFonts w:ascii="Arial" w:cs="Arial" w:eastAsia="Arial" w:hAnsi="Arial"/>
          <w:sz w:val="17"/>
          <w:szCs w:val="17"/>
          <w:color w:val="auto"/>
        </w:rPr>
        <w:t>The Company’s financial instruments consist principally of long-term debt. From time to time, the Company may utilize foreign exchange forward contracts. These contracts are valued using pricing models that take into account the currency rates as of the balance sheet date.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loss consists of net earnings and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amounts in prior periods have been reclassified to conform with current period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time to time, new accounting pronouncements are issued by the FASB, which are adopted by the Company as of the specified date.</w:t>
      </w:r>
    </w:p>
    <w:p>
      <w:pPr>
        <w:spacing w:after="0" w:line="12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 xml:space="preserve">In August 2020, the FASB issued Accounting Standards Update (“ASU”) 2020-06, </w:t>
      </w:r>
      <w:r>
        <w:rPr>
          <w:rFonts w:ascii="Arial" w:cs="Arial" w:eastAsia="Arial" w:hAnsi="Arial"/>
          <w:sz w:val="16"/>
          <w:szCs w:val="16"/>
          <w:i w:val="1"/>
          <w:iCs w:val="1"/>
          <w:color w:val="auto"/>
        </w:rPr>
        <w:t>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Hedging-Contracts in Entity's Own Equity (Subtopic 815-40)-Accounting For Convertible Instruments and Contracts in an Entity's Own Equity</w:t>
      </w:r>
      <w:r>
        <w:rPr>
          <w:rFonts w:ascii="Arial" w:cs="Arial" w:eastAsia="Arial" w:hAnsi="Arial"/>
          <w:sz w:val="16"/>
          <w:szCs w:val="16"/>
          <w:color w:val="auto"/>
        </w:rPr>
        <w:t>. The ASU simplifies accounting for convertible instruments by removing major separation models required under current GAAP. Consequently,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new guidance is effective for annual and interim periods beginning after December 15, 2021, and early adoption is permitted for fiscal years beginning after December 15, 2020, and interim periods within those fiscal years. The Company is currently evaluating the impact that this new guidance will have on its consolidated financial statements.</w:t>
      </w:r>
    </w:p>
    <w:p>
      <w:pPr>
        <w:spacing w:after="0" w:line="5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measurement and recognition of expected credit losses for financial assets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held. This guidance is effective for interim and annual periods beginning after December 15, 2019. There was no impact from the adoption of this pronouncement to the Company’s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7"/>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21,229</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 and components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4,061</w:t>
            </w:r>
          </w:p>
        </w:tc>
      </w:tr>
      <w:tr>
        <w:trPr>
          <w:trHeight w:val="234"/>
        </w:trPr>
        <w:tc>
          <w:tcPr>
            <w:tcW w:w="8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25,290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96"/>
        </w:trPr>
        <w:tc>
          <w:tcPr>
            <w:tcW w:w="8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2,303</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Test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10,952</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Computer equipment and purchased software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6,911</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tooling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8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26,773</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Less—accumulated depreciation and amortization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(16,017)</w:t>
            </w:r>
          </w:p>
        </w:tc>
      </w:tr>
      <w:tr>
        <w:trPr>
          <w:trHeight w:val="234"/>
        </w:trPr>
        <w:tc>
          <w:tcPr>
            <w:tcW w:w="8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500" w:firstLine="445"/>
        <w:spacing w:after="0" w:line="263" w:lineRule="auto"/>
        <w:rPr>
          <w:sz w:val="20"/>
          <w:szCs w:val="20"/>
          <w:color w:val="auto"/>
        </w:rPr>
      </w:pPr>
      <w:r>
        <w:rPr>
          <w:rFonts w:ascii="Arial" w:cs="Arial" w:eastAsia="Arial" w:hAnsi="Arial"/>
          <w:sz w:val="18"/>
          <w:szCs w:val="18"/>
          <w:color w:val="auto"/>
        </w:rPr>
        <w:t>At December 31, 2020, the Company had vehicles and equipment under finance leases with an aggregate carrying value of $2.6 million, net of accumulated amortization of $1.0 million. At December 31, 2019, the Company had vehicles and equipment under finance leases with an aggregate carrying value of $2.1 million, net of accumulated amortization of $2.6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assets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96"/>
        </w:trPr>
        <w:tc>
          <w:tcPr>
            <w:tcW w:w="8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assets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18,176</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Less—accumulated depreciation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(12,791)</w:t>
            </w:r>
          </w:p>
        </w:tc>
      </w:tr>
      <w:tr>
        <w:trPr>
          <w:trHeight w:val="234"/>
        </w:trPr>
        <w:tc>
          <w:tcPr>
            <w:tcW w:w="8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5,385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equipment under capital leases, and rental assets was $10.0 million and $8.8 million for the years ended December 31, 2020 and 2019, respectively.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7"/>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2,716</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1,543</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1,101</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liabilities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7,555</w:t>
            </w:r>
          </w:p>
        </w:tc>
      </w:tr>
      <w:tr>
        <w:trPr>
          <w:trHeight w:val="235"/>
        </w:trPr>
        <w:tc>
          <w:tcPr>
            <w:tcW w:w="8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32,942</w:t>
            </w:r>
          </w:p>
        </w:tc>
      </w:tr>
      <w:tr>
        <w:trPr>
          <w:trHeight w:val="213"/>
        </w:trPr>
        <w:tc>
          <w:tcPr>
            <w:tcW w:w="10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Effect of change in foreign currency exchange rates</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r>
      <w:tr>
        <w:trPr>
          <w:trHeight w:val="213"/>
        </w:trPr>
        <w:tc>
          <w:tcPr>
            <w:tcW w:w="10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33,659</w:t>
            </w:r>
          </w:p>
        </w:tc>
      </w:tr>
      <w:tr>
        <w:trPr>
          <w:trHeight w:val="213"/>
        </w:trPr>
        <w:tc>
          <w:tcPr>
            <w:tcW w:w="10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Effect of change in foreign currency exchange rates</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r>
      <w:tr>
        <w:trPr>
          <w:trHeight w:val="234"/>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32,511</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intangible assets are comprised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technologies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3"/>
        </w:trPr>
        <w:tc>
          <w:tcPr>
            <w:tcW w:w="6040" w:type="dxa"/>
            <w:vAlign w:val="bottom"/>
          </w:tcPr>
          <w:p>
            <w:pPr>
              <w:ind w:left="220"/>
              <w:spacing w:after="0"/>
              <w:rPr>
                <w:sz w:val="20"/>
                <w:szCs w:val="20"/>
                <w:color w:val="auto"/>
              </w:rPr>
            </w:pPr>
            <w:r>
              <w:rPr>
                <w:rFonts w:ascii="Arial" w:cs="Arial" w:eastAsia="Arial" w:hAnsi="Arial"/>
                <w:sz w:val="16"/>
                <w:szCs w:val="16"/>
                <w:color w:val="auto"/>
              </w:rPr>
              <w:t>Trademarks and trade names</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17,823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8,226</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relationships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13"/>
        </w:trPr>
        <w:tc>
          <w:tcPr>
            <w:tcW w:w="6040" w:type="dxa"/>
            <w:vAlign w:val="bottom"/>
          </w:tcPr>
          <w:p>
            <w:pPr>
              <w:ind w:left="220"/>
              <w:spacing w:after="0"/>
              <w:rPr>
                <w:sz w:val="20"/>
                <w:szCs w:val="20"/>
                <w:color w:val="auto"/>
              </w:rPr>
            </w:pPr>
            <w:r>
              <w:rPr>
                <w:rFonts w:ascii="Arial" w:cs="Arial" w:eastAsia="Arial" w:hAnsi="Arial"/>
                <w:sz w:val="16"/>
                <w:szCs w:val="16"/>
                <w:color w:val="auto"/>
              </w:rPr>
              <w:t>Capitalized software development costs</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47,818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16,767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3"/>
        </w:trPr>
        <w:tc>
          <w:tcPr>
            <w:tcW w:w="6040" w:type="dxa"/>
            <w:vAlign w:val="bottom"/>
          </w:tcPr>
          <w:p>
            <w:pPr>
              <w:ind w:left="480"/>
              <w:spacing w:after="0"/>
              <w:rPr>
                <w:sz w:val="20"/>
                <w:szCs w:val="20"/>
                <w:color w:val="auto"/>
              </w:rPr>
            </w:pPr>
            <w:r>
              <w:rPr>
                <w:rFonts w:ascii="Arial" w:cs="Arial" w:eastAsia="Arial" w:hAnsi="Arial"/>
                <w:sz w:val="16"/>
                <w:szCs w:val="16"/>
                <w:color w:val="auto"/>
              </w:rPr>
              <w:t>Total finite-lived intangible assets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94,028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31,008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In-process capitalized software development costs</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20,479</w:t>
            </w:r>
          </w:p>
        </w:tc>
        <w:tc>
          <w:tcPr>
            <w:tcW w:w="0" w:type="dxa"/>
            <w:vAlign w:val="bottom"/>
          </w:tcPr>
          <w:p>
            <w:pPr>
              <w:spacing w:after="0"/>
              <w:rPr>
                <w:sz w:val="1"/>
                <w:szCs w:val="1"/>
                <w:color w:val="auto"/>
              </w:rPr>
            </w:pP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51,487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technologies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213"/>
        </w:trPr>
        <w:tc>
          <w:tcPr>
            <w:tcW w:w="6040" w:type="dxa"/>
            <w:vAlign w:val="bottom"/>
          </w:tcPr>
          <w:p>
            <w:pPr>
              <w:ind w:left="220"/>
              <w:spacing w:after="0"/>
              <w:rPr>
                <w:sz w:val="20"/>
                <w:szCs w:val="20"/>
                <w:color w:val="auto"/>
              </w:rPr>
            </w:pPr>
            <w:r>
              <w:rPr>
                <w:rFonts w:ascii="Arial" w:cs="Arial" w:eastAsia="Arial" w:hAnsi="Arial"/>
                <w:sz w:val="16"/>
                <w:szCs w:val="16"/>
                <w:color w:val="auto"/>
              </w:rPr>
              <w:t>Trademarks and trade names</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18,352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10,312</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relationships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13"/>
        </w:trPr>
        <w:tc>
          <w:tcPr>
            <w:tcW w:w="6040" w:type="dxa"/>
            <w:vAlign w:val="bottom"/>
          </w:tcPr>
          <w:p>
            <w:pPr>
              <w:ind w:left="220"/>
              <w:spacing w:after="0"/>
              <w:rPr>
                <w:sz w:val="20"/>
                <w:szCs w:val="20"/>
                <w:color w:val="auto"/>
              </w:rPr>
            </w:pPr>
            <w:r>
              <w:rPr>
                <w:rFonts w:ascii="Arial" w:cs="Arial" w:eastAsia="Arial" w:hAnsi="Arial"/>
                <w:sz w:val="16"/>
                <w:szCs w:val="16"/>
                <w:color w:val="auto"/>
              </w:rPr>
              <w:t>Capitalized software development costs</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19,375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12,805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3"/>
        </w:trPr>
        <w:tc>
          <w:tcPr>
            <w:tcW w:w="6040" w:type="dxa"/>
            <w:vAlign w:val="bottom"/>
          </w:tcPr>
          <w:p>
            <w:pPr>
              <w:ind w:left="480"/>
              <w:spacing w:after="0"/>
              <w:rPr>
                <w:sz w:val="20"/>
                <w:szCs w:val="20"/>
                <w:color w:val="auto"/>
              </w:rPr>
            </w:pPr>
            <w:r>
              <w:rPr>
                <w:rFonts w:ascii="Arial" w:cs="Arial" w:eastAsia="Arial" w:hAnsi="Arial"/>
                <w:sz w:val="16"/>
                <w:szCs w:val="16"/>
                <w:color w:val="auto"/>
              </w:rPr>
              <w:t>Total finite-lived intangible assets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66,249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33,238</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In-process capitalized software development costs</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11,154</w:t>
            </w:r>
          </w:p>
        </w:tc>
        <w:tc>
          <w:tcPr>
            <w:tcW w:w="0" w:type="dxa"/>
            <w:vAlign w:val="bottom"/>
          </w:tcPr>
          <w:p>
            <w:pPr>
              <w:spacing w:after="0"/>
              <w:rPr>
                <w:sz w:val="1"/>
                <w:szCs w:val="1"/>
                <w:color w:val="auto"/>
              </w:rPr>
            </w:pPr>
          </w:p>
        </w:tc>
      </w:tr>
      <w:tr>
        <w:trPr>
          <w:trHeight w:val="23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44,392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Amortization expense for the years ended December 31, 2020 and 2019 was approximately $18.0 million and $9.7 million, respectively, including approximately $12.9 million and $4.1 million related to capitalized software development costs for the years ended December 31, 2020 and 2019, respectively.</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recorded a $1.4 million impairment loss on intangible assets during the years ended December 31, 2020 and no impairment loss during the year ended December 31, 2019.</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represents details of the amortization of finite-lived intangible assets that is estimated to be expensed in the future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jc w:val="right"/>
              <w:ind w:right="9559"/>
              <w:spacing w:after="0"/>
              <w:rPr>
                <w:sz w:val="20"/>
                <w:szCs w:val="20"/>
                <w:color w:val="auto"/>
              </w:rPr>
            </w:pPr>
            <w:r>
              <w:rPr>
                <w:rFonts w:ascii="Arial" w:cs="Arial" w:eastAsia="Arial" w:hAnsi="Arial"/>
                <w:sz w:val="16"/>
                <w:szCs w:val="16"/>
                <w:color w:val="auto"/>
                <w:w w:val="95"/>
              </w:rPr>
              <w:t>2021</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w:t>
            </w:r>
          </w:p>
        </w:tc>
      </w:tr>
      <w:tr>
        <w:trPr>
          <w:trHeight w:val="213"/>
        </w:trPr>
        <w:tc>
          <w:tcPr>
            <w:tcW w:w="10000" w:type="dxa"/>
            <w:vAlign w:val="bottom"/>
          </w:tcPr>
          <w:p>
            <w:pPr>
              <w:jc w:val="right"/>
              <w:ind w:right="9559"/>
              <w:spacing w:after="0"/>
              <w:rPr>
                <w:sz w:val="20"/>
                <w:szCs w:val="20"/>
                <w:color w:val="auto"/>
              </w:rPr>
            </w:pPr>
            <w:r>
              <w:rPr>
                <w:rFonts w:ascii="Arial" w:cs="Arial" w:eastAsia="Arial" w:hAnsi="Arial"/>
                <w:sz w:val="16"/>
                <w:szCs w:val="16"/>
                <w:color w:val="auto"/>
                <w:w w:val="95"/>
              </w:rPr>
              <w:t>2022</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7,390</w:t>
            </w:r>
          </w:p>
        </w:tc>
      </w:tr>
      <w:tr>
        <w:trPr>
          <w:trHeight w:val="219"/>
        </w:trPr>
        <w:tc>
          <w:tcPr>
            <w:tcW w:w="10000" w:type="dxa"/>
            <w:vAlign w:val="bottom"/>
            <w:shd w:val="clear" w:color="auto" w:fill="CCEEFF"/>
          </w:tcPr>
          <w:p>
            <w:pPr>
              <w:jc w:val="right"/>
              <w:ind w:right="9559"/>
              <w:spacing w:after="0"/>
              <w:rPr>
                <w:sz w:val="20"/>
                <w:szCs w:val="20"/>
                <w:color w:val="auto"/>
              </w:rPr>
            </w:pPr>
            <w:r>
              <w:rPr>
                <w:rFonts w:ascii="Arial" w:cs="Arial" w:eastAsia="Arial" w:hAnsi="Arial"/>
                <w:sz w:val="16"/>
                <w:szCs w:val="16"/>
                <w:color w:val="auto"/>
                <w:w w:val="95"/>
              </w:rPr>
              <w:t>2023</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w:t>
            </w:r>
          </w:p>
        </w:tc>
      </w:tr>
      <w:tr>
        <w:trPr>
          <w:trHeight w:val="213"/>
        </w:trPr>
        <w:tc>
          <w:tcPr>
            <w:tcW w:w="10000" w:type="dxa"/>
            <w:vAlign w:val="bottom"/>
          </w:tcPr>
          <w:p>
            <w:pPr>
              <w:jc w:val="right"/>
              <w:ind w:right="9559"/>
              <w:spacing w:after="0"/>
              <w:rPr>
                <w:sz w:val="20"/>
                <w:szCs w:val="20"/>
                <w:color w:val="auto"/>
              </w:rPr>
            </w:pPr>
            <w:r>
              <w:rPr>
                <w:rFonts w:ascii="Arial" w:cs="Arial" w:eastAsia="Arial" w:hAnsi="Arial"/>
                <w:sz w:val="16"/>
                <w:szCs w:val="16"/>
                <w:color w:val="auto"/>
                <w:w w:val="95"/>
              </w:rPr>
              <w:t>2024</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3,937</w:t>
            </w:r>
          </w:p>
        </w:tc>
      </w:tr>
      <w:tr>
        <w:trPr>
          <w:trHeight w:val="219"/>
        </w:trPr>
        <w:tc>
          <w:tcPr>
            <w:tcW w:w="10000" w:type="dxa"/>
            <w:vAlign w:val="bottom"/>
            <w:shd w:val="clear" w:color="auto" w:fill="CCEEFF"/>
          </w:tcPr>
          <w:p>
            <w:pPr>
              <w:jc w:val="right"/>
              <w:ind w:right="9559"/>
              <w:spacing w:after="0"/>
              <w:rPr>
                <w:sz w:val="20"/>
                <w:szCs w:val="20"/>
                <w:color w:val="auto"/>
              </w:rPr>
            </w:pPr>
            <w:r>
              <w:rPr>
                <w:rFonts w:ascii="Arial" w:cs="Arial" w:eastAsia="Arial" w:hAnsi="Arial"/>
                <w:sz w:val="16"/>
                <w:szCs w:val="16"/>
                <w:color w:val="auto"/>
                <w:w w:val="95"/>
              </w:rPr>
              <w:t>2025</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r>
      <w:tr>
        <w:trPr>
          <w:trHeight w:val="216"/>
        </w:trPr>
        <w:tc>
          <w:tcPr>
            <w:tcW w:w="10000" w:type="dxa"/>
            <w:vAlign w:val="bottom"/>
          </w:tcPr>
          <w:p>
            <w:pPr>
              <w:jc w:val="right"/>
              <w:ind w:right="9239"/>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31,008</w:t>
            </w:r>
          </w:p>
        </w:tc>
      </w:tr>
      <w:tr>
        <w:trPr>
          <w:trHeight w:val="20"/>
        </w:trPr>
        <w:tc>
          <w:tcPr>
            <w:tcW w:w="10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121"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6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ind w:left="1060" w:right="140" w:hanging="647"/>
        <w:spacing w:after="0" w:line="263" w:lineRule="auto"/>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76" w:lineRule="exact"/>
        <w:rPr>
          <w:sz w:val="20"/>
          <w:szCs w:val="20"/>
          <w:color w:val="auto"/>
        </w:rPr>
      </w:pPr>
    </w:p>
    <w:p>
      <w:pPr>
        <w:ind w:left="1060" w:right="440" w:hanging="647"/>
        <w:spacing w:after="0" w:line="259" w:lineRule="auto"/>
        <w:tabs>
          <w:tab w:leader="none" w:pos="10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79" w:lineRule="exact"/>
        <w:rPr>
          <w:sz w:val="20"/>
          <w:szCs w:val="20"/>
          <w:color w:val="auto"/>
        </w:rPr>
      </w:pPr>
    </w:p>
    <w:p>
      <w:pPr>
        <w:ind w:left="1060" w:right="780" w:hanging="647"/>
        <w:spacing w:after="0" w:line="277" w:lineRule="auto"/>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Pricing inputs include significant inputs that are generally less observable from objective sources, including the Company’s own assumptions.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year ended December 31, 2020.</w:t>
      </w:r>
    </w:p>
    <w:p>
      <w:pPr>
        <w:spacing w:after="0" w:line="13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2020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2020</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6"/>
                <w:szCs w:val="16"/>
                <w:color w:val="auto"/>
              </w:rPr>
              <w:t>Total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2019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6"/>
                <w:szCs w:val="16"/>
                <w:color w:val="auto"/>
              </w:rPr>
              <w:t>Total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240"/>
          </w:cols>
          <w:pgMar w:left="320" w:top="607" w:right="339" w:bottom="1440" w:gutter="0" w:footer="0" w:header="0"/>
        </w:sectPr>
      </w:pPr>
    </w:p>
    <w:p>
      <w:pPr>
        <w:ind w:left="8300"/>
        <w:spacing w:after="0"/>
        <w:rPr>
          <w:sz w:val="20"/>
          <w:szCs w:val="20"/>
          <w:color w:val="auto"/>
        </w:rPr>
      </w:pPr>
      <w:r>
        <w:rPr>
          <w:rFonts w:ascii="Arial" w:cs="Arial" w:eastAsia="Arial" w:hAnsi="Arial"/>
          <w:sz w:val="14"/>
          <w:szCs w:val="14"/>
          <w:b w:val="1"/>
          <w:bCs w:val="1"/>
          <w:color w:val="auto"/>
        </w:rPr>
        <w:t>Balance as of</w:t>
      </w:r>
    </w:p>
    <w:p>
      <w:pPr>
        <w:ind w:left="8140"/>
        <w:spacing w:after="0"/>
        <w:rPr>
          <w:sz w:val="20"/>
          <w:szCs w:val="20"/>
          <w:color w:val="auto"/>
        </w:rPr>
      </w:pPr>
      <w:r>
        <w:rPr>
          <w:rFonts w:ascii="Arial" w:cs="Arial" w:eastAsia="Arial" w:hAnsi="Arial"/>
          <w:sz w:val="13"/>
          <w:szCs w:val="13"/>
          <w:b w:val="1"/>
          <w:bCs w:val="1"/>
          <w:color w:val="auto"/>
        </w:rPr>
        <w:t>December 31, 2020</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Level 3</w:t>
      </w:r>
    </w:p>
    <w:p>
      <w:pPr>
        <w:spacing w:after="0" w:line="36" w:lineRule="exact"/>
        <w:rPr>
          <w:sz w:val="20"/>
          <w:szCs w:val="20"/>
          <w:color w:val="auto"/>
        </w:rPr>
      </w:pPr>
    </w:p>
    <w:p>
      <w:pPr>
        <w:sectPr>
          <w:pgSz w:w="11900" w:h="16838" w:orient="portrait"/>
          <w:cols w:equalWidth="0" w:num="2">
            <w:col w:w="9500" w:space="720"/>
            <w:col w:w="102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6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r>
      <w:tr>
        <w:trPr>
          <w:trHeight w:val="203"/>
        </w:trPr>
        <w:tc>
          <w:tcPr>
            <w:tcW w:w="7900" w:type="dxa"/>
            <w:vAlign w:val="bottom"/>
          </w:tcPr>
          <w:p>
            <w:pPr>
              <w:ind w:left="360"/>
              <w:spacing w:after="0"/>
              <w:rPr>
                <w:sz w:val="20"/>
                <w:szCs w:val="20"/>
                <w:color w:val="auto"/>
              </w:rPr>
            </w:pPr>
            <w:r>
              <w:rPr>
                <w:rFonts w:ascii="Arial" w:cs="Arial" w:eastAsia="Arial" w:hAnsi="Arial"/>
                <w:sz w:val="16"/>
                <w:szCs w:val="16"/>
                <w:color w:val="auto"/>
              </w:rPr>
              <w:t>Total embedded derivatives</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4,898</w:t>
            </w:r>
          </w:p>
        </w:tc>
      </w:tr>
    </w:tbl>
    <w:p>
      <w:pPr>
        <w:spacing w:after="0" w:line="100" w:lineRule="exact"/>
        <w:rPr>
          <w:sz w:val="20"/>
          <w:szCs w:val="20"/>
          <w:color w:val="auto"/>
        </w:rPr>
      </w:pPr>
    </w:p>
    <w:p>
      <w:pPr>
        <w:ind w:right="940" w:firstLine="405"/>
        <w:spacing w:after="0" w:line="253" w:lineRule="auto"/>
        <w:rPr>
          <w:sz w:val="20"/>
          <w:szCs w:val="20"/>
          <w:color w:val="auto"/>
        </w:rPr>
      </w:pPr>
      <w:r>
        <w:rPr>
          <w:rFonts w:ascii="Arial" w:cs="Arial" w:eastAsia="Arial" w:hAnsi="Arial"/>
          <w:sz w:val="18"/>
          <w:szCs w:val="18"/>
          <w:color w:val="auto"/>
        </w:rPr>
        <w:t>The fair value of the interest make-whole payment derivative liability was determined using a Monte Carlo model with the following key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8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May 12, 2020</w:t>
            </w: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$10.62 per share</w:t>
            </w:r>
          </w:p>
        </w:tc>
        <w:tc>
          <w:tcPr>
            <w:tcW w:w="1740" w:type="dxa"/>
            <w:vAlign w:val="bottom"/>
          </w:tcPr>
          <w:p>
            <w:pPr>
              <w:jc w:val="right"/>
              <w:spacing w:after="0"/>
              <w:rPr>
                <w:sz w:val="20"/>
                <w:szCs w:val="20"/>
                <w:color w:val="auto"/>
              </w:rPr>
            </w:pPr>
            <w:r>
              <w:rPr>
                <w:rFonts w:ascii="Arial" w:cs="Arial" w:eastAsia="Arial" w:hAnsi="Arial"/>
                <w:sz w:val="16"/>
                <w:szCs w:val="16"/>
                <w:color w:val="auto"/>
              </w:rPr>
              <w:t>$15.47 per share</w:t>
            </w: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spread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19.25 %</w:t>
            </w: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Term</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4.97 years</w:t>
            </w:r>
          </w:p>
        </w:tc>
        <w:tc>
          <w:tcPr>
            <w:tcW w:w="1740" w:type="dxa"/>
            <w:vAlign w:val="bottom"/>
          </w:tcPr>
          <w:p>
            <w:pPr>
              <w:jc w:val="right"/>
              <w:spacing w:after="0"/>
              <w:rPr>
                <w:sz w:val="20"/>
                <w:szCs w:val="20"/>
                <w:color w:val="auto"/>
              </w:rPr>
            </w:pPr>
            <w:r>
              <w:rPr>
                <w:rFonts w:ascii="Arial" w:cs="Arial" w:eastAsia="Arial" w:hAnsi="Arial"/>
                <w:sz w:val="16"/>
                <w:szCs w:val="16"/>
                <w:color w:val="auto"/>
              </w:rPr>
              <w:t>4.34 years</w:t>
            </w: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740" w:type="dxa"/>
            <w:vAlign w:val="bottom"/>
          </w:tcPr>
          <w:p>
            <w:pPr>
              <w:jc w:val="right"/>
              <w:spacing w:after="0"/>
              <w:rPr>
                <w:sz w:val="20"/>
                <w:szCs w:val="20"/>
                <w:color w:val="auto"/>
              </w:rPr>
            </w:pPr>
            <w:r>
              <w:rPr>
                <w:rFonts w:ascii="Arial" w:cs="Arial" w:eastAsia="Arial" w:hAnsi="Arial"/>
                <w:sz w:val="16"/>
                <w:szCs w:val="16"/>
                <w:color w:val="auto"/>
              </w:rPr>
              <w:t>0.34 %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0.30 %</w:t>
            </w:r>
          </w:p>
        </w:tc>
      </w:tr>
    </w:tbl>
    <w:p>
      <w:pPr>
        <w:spacing w:after="0" w:line="316" w:lineRule="exact"/>
        <w:rPr>
          <w:sz w:val="20"/>
          <w:szCs w:val="20"/>
          <w:color w:val="auto"/>
        </w:rPr>
      </w:pPr>
    </w:p>
    <w:p>
      <w:pPr>
        <w:ind w:right="560" w:firstLine="405"/>
        <w:spacing w:after="0" w:line="235" w:lineRule="auto"/>
        <w:rPr>
          <w:sz w:val="20"/>
          <w:szCs w:val="20"/>
          <w:color w:val="auto"/>
        </w:rPr>
      </w:pPr>
      <w:r>
        <w:rPr>
          <w:rFonts w:ascii="Arial" w:cs="Arial" w:eastAsia="Arial" w:hAnsi="Arial"/>
          <w:sz w:val="18"/>
          <w:szCs w:val="18"/>
          <w:color w:val="auto"/>
        </w:rPr>
        <w:t>The following table sets forth a summary of changes in the fair value of Level 3 liabilities for the twelve months ended December 31, 2020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Balance as of</w:t>
            </w: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Conversions</w:t>
            </w:r>
          </w:p>
        </w:tc>
        <w:tc>
          <w:tcPr>
            <w:tcW w:w="16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 in fair value</w:t>
            </w:r>
          </w:p>
        </w:tc>
        <w:tc>
          <w:tcPr>
            <w:tcW w:w="180" w:type="dxa"/>
            <w:vAlign w:val="bottom"/>
          </w:tcPr>
          <w:p>
            <w:pPr>
              <w:spacing w:after="0"/>
              <w:rPr>
                <w:sz w:val="14"/>
                <w:szCs w:val="14"/>
                <w:color w:val="auto"/>
              </w:rPr>
            </w:pPr>
          </w:p>
        </w:tc>
        <w:tc>
          <w:tcPr>
            <w:tcW w:w="1540" w:type="dxa"/>
            <w:vAlign w:val="bottom"/>
          </w:tcPr>
          <w:p>
            <w:pPr>
              <w:jc w:val="center"/>
              <w:ind w:right="145"/>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December 31, 2019</w:t>
            </w: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5"/>
              </w:rPr>
              <w:t>Interest make-whole payment $</w:t>
            </w:r>
          </w:p>
        </w:tc>
        <w:tc>
          <w:tcPr>
            <w:tcW w:w="1840" w:type="dxa"/>
            <w:vAlign w:val="bottom"/>
            <w:gridSpan w:val="3"/>
            <w:shd w:val="clear" w:color="auto" w:fill="CCEEFF"/>
          </w:tcPr>
          <w:p>
            <w:pPr>
              <w:ind w:left="1180"/>
              <w:spacing w:after="0"/>
              <w:rPr>
                <w:sz w:val="20"/>
                <w:szCs w:val="20"/>
                <w:color w:val="auto"/>
              </w:rPr>
            </w:pPr>
            <w:r>
              <w:rPr>
                <w:rFonts w:ascii="Arial" w:cs="Arial" w:eastAsia="Arial" w:hAnsi="Arial"/>
                <w:sz w:val="16"/>
                <w:szCs w:val="16"/>
                <w:color w:val="auto"/>
              </w:rPr>
              <w:t>—  $</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Company evaluated the 2025 Notes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identified an embedded derivative that required bifurcation.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embedded derivative is an interest make-whole payment that was valued at $4.6 million on May 12, 2020.</w:t>
      </w:r>
    </w:p>
    <w:p>
      <w:pPr>
        <w:spacing w:after="0" w:line="88" w:lineRule="exact"/>
        <w:rPr>
          <w:sz w:val="20"/>
          <w:szCs w:val="20"/>
          <w:color w:val="auto"/>
        </w:rPr>
      </w:pPr>
    </w:p>
    <w:p>
      <w:pPr>
        <w:ind w:right="60" w:firstLine="405"/>
        <w:spacing w:after="0" w:line="248" w:lineRule="auto"/>
        <w:rPr>
          <w:sz w:val="20"/>
          <w:szCs w:val="20"/>
          <w:color w:val="auto"/>
        </w:rPr>
      </w:pPr>
      <w:r>
        <w:rPr>
          <w:rFonts w:ascii="Arial" w:cs="Arial" w:eastAsia="Arial" w:hAnsi="Arial"/>
          <w:sz w:val="18"/>
          <w:szCs w:val="18"/>
          <w:color w:val="auto"/>
        </w:rPr>
        <w:t>The estimated fair value of the interest make-whole derivative liability at the date of issuance was determined using significant assumptions which include an implied credit spread rate for notes with a similar term, the expected volatility and dividend yield of the Company’s common stock and the risk-free interest rate.</w:t>
      </w:r>
    </w:p>
    <w:p>
      <w:pPr>
        <w:spacing w:after="0" w:line="209" w:lineRule="exact"/>
        <w:rPr>
          <w:sz w:val="20"/>
          <w:szCs w:val="20"/>
          <w:color w:val="auto"/>
        </w:rPr>
      </w:pPr>
    </w:p>
    <w:p>
      <w:pPr>
        <w:ind w:right="40" w:firstLine="405"/>
        <w:spacing w:after="0" w:line="257" w:lineRule="auto"/>
        <w:rPr>
          <w:sz w:val="20"/>
          <w:szCs w:val="20"/>
          <w:color w:val="auto"/>
        </w:rPr>
      </w:pPr>
      <w:r>
        <w:rPr>
          <w:rFonts w:ascii="Arial" w:cs="Arial" w:eastAsia="Arial" w:hAnsi="Arial"/>
          <w:sz w:val="17"/>
          <w:szCs w:val="17"/>
          <w:color w:val="auto"/>
        </w:rPr>
        <w:t>Changes in the fair value of the interest make-whole payment are included in the Company’s consolidated statement of operations for the current fiscal year within other income, net. During the year ended December 31, 2020, certain holders of the 2025 Notes converted an aggregate of approximately $13.5 million in principal amount of the 2025 Notes into shares of the Company’s common stock in accordance with the terms of such notes and a portion of the embedded derivative was settled in shares of the Company’s common stock resulting in $0.3 million of the derivative liability being extinguished upon conversion. As of December 31, 2020, the embedded derivative had a fair value of $4.9 million and a $0.6 million loss on the change in fair value was recorded to other income (expense), net, on the consolidated statement of operations.</w:t>
      </w:r>
    </w:p>
    <w:p>
      <w:pPr>
        <w:spacing w:after="0" w:line="202" w:lineRule="exact"/>
        <w:rPr>
          <w:sz w:val="20"/>
          <w:szCs w:val="20"/>
          <w:color w:val="auto"/>
        </w:rPr>
      </w:pPr>
    </w:p>
    <w:p>
      <w:pPr>
        <w:ind w:right="1600" w:firstLine="405"/>
        <w:spacing w:after="0" w:line="430" w:lineRule="auto"/>
        <w:rPr>
          <w:sz w:val="20"/>
          <w:szCs w:val="20"/>
          <w:color w:val="auto"/>
        </w:rPr>
      </w:pPr>
      <w:r>
        <w:rPr>
          <w:rFonts w:ascii="Arial" w:cs="Arial" w:eastAsia="Arial" w:hAnsi="Arial"/>
          <w:sz w:val="18"/>
          <w:szCs w:val="18"/>
          <w:color w:val="auto"/>
        </w:rPr>
        <w:t xml:space="preserve">During the years ended December 31, 2020 and 2019, there were no transfers between the levels within the fair value hierarchy. </w:t>
      </w:r>
      <w:r>
        <w:rPr>
          <w:rFonts w:ascii="Arial" w:cs="Arial" w:eastAsia="Arial" w:hAnsi="Arial"/>
          <w:sz w:val="18"/>
          <w:szCs w:val="18"/>
          <w:b w:val="1"/>
          <w:bCs w:val="1"/>
          <w:i w:val="1"/>
          <w:iCs w:val="1"/>
          <w:color w:val="auto"/>
        </w:rPr>
        <w:t>Other Financial Instruments</w:t>
      </w:r>
    </w:p>
    <w:p>
      <w:pPr>
        <w:spacing w:after="0" w:line="1"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the 2025 Notes and 2022 Notes. (See Note 5,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17"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The Company carries its 2025 Notes at amortized cost adjusted for changes in fair value of the embedded derivative. It is not practicable to determine the fair value of the 2025 Notes due to the lack of information available to calculate the fair value of such notes.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August 23, 2017, the Company and certain of its direct and indirect subsidiaries (the “Guarantors”) entered into a credit agreement (the “Credit Agreement”) with Cantor Fitzgerald Securities, as administrative agent and collateral agent, and certain lenders (the “Lenders”). Pursuant to the Credit Agreement, the Lenders provided the Company with a term loan in the principal amount of $48.0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 $14.9 million of its then outstanding 2022 Notes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127" w:lineRule="exact"/>
        <w:rPr>
          <w:sz w:val="20"/>
          <w:szCs w:val="20"/>
          <w:color w:val="auto"/>
        </w:rPr>
      </w:pPr>
    </w:p>
    <w:p>
      <w:pPr>
        <w:jc w:val="both"/>
        <w:ind w:right="440" w:firstLine="405"/>
        <w:spacing w:after="0" w:line="248" w:lineRule="auto"/>
        <w:rPr>
          <w:sz w:val="20"/>
          <w:szCs w:val="20"/>
          <w:color w:val="auto"/>
        </w:rPr>
      </w:pPr>
      <w:r>
        <w:rPr>
          <w:rFonts w:ascii="Arial" w:cs="Arial" w:eastAsia="Arial" w:hAnsi="Arial"/>
          <w:sz w:val="18"/>
          <w:szCs w:val="18"/>
          <w:color w:val="auto"/>
        </w:rPr>
        <w:t>On March 31, 2020, the Company issued 2,330 shares of Series E Preferred Stock to South Ocean Funding L.L.C. (“South Ocean”), the Lender holding all of the aggregate principal amount then outstanding under the Credit Agreement in satisfaction of all then accrued interest under the Credit Agreement.</w:t>
      </w:r>
    </w:p>
    <w:p>
      <w:pPr>
        <w:spacing w:after="0" w:line="114" w:lineRule="exact"/>
        <w:rPr>
          <w:sz w:val="20"/>
          <w:szCs w:val="20"/>
          <w:color w:val="auto"/>
        </w:rPr>
      </w:pPr>
    </w:p>
    <w:p>
      <w:pPr>
        <w:ind w:right="60" w:firstLine="405"/>
        <w:spacing w:after="0" w:line="219" w:lineRule="auto"/>
        <w:rPr>
          <w:sz w:val="20"/>
          <w:szCs w:val="20"/>
          <w:color w:val="auto"/>
        </w:rPr>
      </w:pPr>
      <w:r>
        <w:rPr>
          <w:rFonts w:ascii="Arial" w:cs="Arial" w:eastAsia="Arial" w:hAnsi="Arial"/>
          <w:sz w:val="18"/>
          <w:szCs w:val="18"/>
          <w:color w:val="auto"/>
        </w:rPr>
        <w:t>On May 12, 2020, the Company used a portion of the proceeds from the Offering to repay in full the Term Loan and terminate the Credit Agreement. The amounts paid included $47.5 million in outstanding principal, approximately $0.5 million in interest accrued thereon, and prepayment and exit fees of $1.4 million. The Company also used a portion of the proceeds of the Offering to repurchase the 2,330 shares of Series E Preferred Stock that had been issued to South Ocean for $2.4 million.</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6"/>
              </w:rPr>
              <w:t>December 31,</w:t>
            </w:r>
          </w:p>
        </w:tc>
      </w:tr>
      <w:tr>
        <w:trPr>
          <w:trHeight w:val="187"/>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r>
      <w:tr>
        <w:trPr>
          <w:trHeight w:val="211"/>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47,500</w:t>
            </w:r>
          </w:p>
        </w:tc>
      </w:tr>
      <w:tr>
        <w:trPr>
          <w:trHeight w:val="213"/>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discount and debt issuance costs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r>
      <w:tr>
        <w:trPr>
          <w:trHeight w:val="238"/>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46,538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effective interest rate on the Term Loan was 15.19% for the year ended December 31, 2020. The following table sets forth total interest expense recognized related to the Term Loan during the years ended December 31, 2020 and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187"/>
        </w:trPr>
        <w:tc>
          <w:tcPr>
            <w:tcW w:w="86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211"/>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1,667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4,789</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1,331</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2"/>
        </w:trPr>
        <w:tc>
          <w:tcPr>
            <w:tcW w:w="864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2,629</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6,281</w:t>
            </w:r>
          </w:p>
        </w:tc>
      </w:tr>
      <w:tr>
        <w:trPr>
          <w:trHeight w:val="21"/>
        </w:trPr>
        <w:tc>
          <w:tcPr>
            <w:tcW w:w="8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12, 2020, the Company completed its registered public Offering of $100.0 million aggregate principal amount of 2025 Notes.</w:t>
      </w:r>
    </w:p>
    <w:p>
      <w:pPr>
        <w:spacing w:after="0" w:line="239"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On May 12, 2020, the Company also entered into Exchange Agreements with certain related party holders of the 2022 Notes. Pursuant to the Exchange Agreements, these noteholders agreed to exchange the 2022 Notes that they held (representing an aggregate of $45.0 million principal amount of 2022 Notes with an estimated fair value of approximately $112.4 million as of the date of exchange) for an aggregate of $32.0 million in cash and</w:t>
      </w:r>
    </w:p>
    <w:p>
      <w:pPr>
        <w:ind w:right="220"/>
        <w:spacing w:after="0" w:line="260" w:lineRule="auto"/>
        <w:rPr>
          <w:sz w:val="20"/>
          <w:szCs w:val="20"/>
          <w:color w:val="auto"/>
        </w:rPr>
      </w:pPr>
      <w:r>
        <w:rPr>
          <w:rFonts w:ascii="Arial" w:cs="Arial" w:eastAsia="Arial" w:hAnsi="Arial"/>
          <w:sz w:val="17"/>
          <w:szCs w:val="17"/>
          <w:color w:val="auto"/>
        </w:rPr>
        <w:t>$80.4 million principal amount of 2025 Notes in private placement transactions that closed concurrently with the registered Offering. In connection therewith, the Company recorded $67.2 million in loss on debt conversion and extinguishment, net in the consolidated statement of operations. The 2025 Notes issued in the Private Exchange Transactions are part of the same series as the 2025 Notes issued in the registered Offering.</w:t>
      </w:r>
    </w:p>
    <w:p>
      <w:pPr>
        <w:spacing w:after="0" w:line="186" w:lineRule="exact"/>
        <w:rPr>
          <w:sz w:val="20"/>
          <w:szCs w:val="20"/>
          <w:color w:val="auto"/>
        </w:rPr>
      </w:pPr>
    </w:p>
    <w:p>
      <w:pPr>
        <w:ind w:right="20" w:firstLine="405"/>
        <w:spacing w:after="0" w:line="219" w:lineRule="auto"/>
        <w:rPr>
          <w:sz w:val="20"/>
          <w:szCs w:val="20"/>
          <w:color w:val="auto"/>
        </w:rPr>
      </w:pPr>
      <w:r>
        <w:rPr>
          <w:rFonts w:ascii="Arial" w:cs="Arial" w:eastAsia="Arial" w:hAnsi="Arial"/>
          <w:sz w:val="18"/>
          <w:szCs w:val="18"/>
          <w:color w:val="auto"/>
        </w:rPr>
        <w:t>During the year ended December 31, 2020, certain holders of the 2025 Notes converted pursuant to the original terms of the 2025 Notes, an aggregate of approximately $13.5 million in principal amount of the 2025 Notes into 1,177,156 shares of the Company’s common stock, including 108,572 shares of common stock issued in satisfaction of the interest make-whole payment. In connection therewith, the Company recorded a loss of $1.2 million in the consolidated statement of operations.</w:t>
      </w:r>
    </w:p>
    <w:p>
      <w:pPr>
        <w:spacing w:after="0" w:line="203" w:lineRule="exact"/>
        <w:rPr>
          <w:sz w:val="20"/>
          <w:szCs w:val="20"/>
          <w:color w:val="auto"/>
        </w:rPr>
      </w:pPr>
    </w:p>
    <w:p>
      <w:pPr>
        <w:ind w:right="280" w:firstLine="405"/>
        <w:spacing w:after="0" w:line="248"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09"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ind w:right="10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0" w:firstLine="405"/>
        <w:spacing w:after="0" w:line="282" w:lineRule="auto"/>
        <w:rPr>
          <w:sz w:val="20"/>
          <w:szCs w:val="20"/>
          <w:color w:val="auto"/>
        </w:rPr>
      </w:pPr>
      <w:r>
        <w:rPr>
          <w:rFonts w:ascii="Arial" w:cs="Arial" w:eastAsia="Arial" w:hAnsi="Arial"/>
          <w:sz w:val="16"/>
          <w:szCs w:val="16"/>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w:t>
      </w:r>
    </w:p>
    <w:p>
      <w:pPr>
        <w:ind w:right="500"/>
        <w:spacing w:after="0" w:line="276" w:lineRule="auto"/>
        <w:rPr>
          <w:sz w:val="20"/>
          <w:szCs w:val="20"/>
          <w:color w:val="auto"/>
        </w:rPr>
      </w:pPr>
      <w:r>
        <w:rPr>
          <w:rFonts w:ascii="Arial" w:cs="Arial" w:eastAsia="Arial" w:hAnsi="Arial"/>
          <w:sz w:val="18"/>
          <w:szCs w:val="18"/>
          <w:color w:val="auto"/>
        </w:rPr>
        <w:t>if any, to, but excluding, the fundamental change repurchase date. If a make-whole fundamental change (as defined in the Indenture) occurs, then the Company will in certain circumstances increase the conversion rate for a specified period of time.</w:t>
      </w:r>
    </w:p>
    <w:p>
      <w:pPr>
        <w:spacing w:after="0" w:line="185"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16"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39" w:lineRule="exact"/>
        <w:rPr>
          <w:sz w:val="20"/>
          <w:szCs w:val="20"/>
          <w:color w:val="auto"/>
        </w:rPr>
      </w:pPr>
    </w:p>
    <w:p>
      <w:pPr>
        <w:ind w:right="20" w:firstLine="405"/>
        <w:spacing w:after="0" w:line="270" w:lineRule="auto"/>
        <w:rPr>
          <w:sz w:val="20"/>
          <w:szCs w:val="20"/>
          <w:color w:val="auto"/>
        </w:rPr>
      </w:pPr>
      <w:r>
        <w:rPr>
          <w:rFonts w:ascii="Arial" w:cs="Arial" w:eastAsia="Arial" w:hAnsi="Arial"/>
          <w:sz w:val="16"/>
          <w:szCs w:val="16"/>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common stock (together with cash in lieu of fractional shares). The Company has determined that this feature is an embedded derivative and has recognized the fair value of this derivative as a liability in the consolidated balance sheets, with subsequent changes to fair value to be recorded at each reporting period on the consolidated statement of operations in other income, net.</w:t>
      </w:r>
    </w:p>
    <w:p>
      <w:pPr>
        <w:spacing w:after="0" w:line="20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As of December 31, 2020, $166.9 million in principal amount of the 2025 Notes were outstanding, $80.4 million of which was held by related parties. Assuming no repurchases or conversion of the 2025 Notes prior to May 1, 2025, the entire principal balance of $166.9 million of the 2025 Notes, is due on May 1,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0040" w:type="dxa"/>
            <w:vAlign w:val="bottom"/>
          </w:tcPr>
          <w:p>
            <w:pPr>
              <w:ind w:left="4920"/>
              <w:spacing w:after="0"/>
              <w:rPr>
                <w:sz w:val="20"/>
                <w:szCs w:val="20"/>
                <w:color w:val="auto"/>
              </w:rPr>
            </w:pPr>
            <w:r>
              <w:rPr>
                <w:rFonts w:ascii="Arial" w:cs="Arial" w:eastAsia="Arial" w:hAnsi="Arial"/>
                <w:sz w:val="18"/>
                <w:szCs w:val="18"/>
                <w:b w:val="1"/>
                <w:bCs w:val="1"/>
                <w:color w:val="auto"/>
              </w:rPr>
              <w:t>INSEEGO CORP.</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40" w:type="dxa"/>
            <w:vAlign w:val="bottom"/>
          </w:tcPr>
          <w:p>
            <w:pPr>
              <w:ind w:left="3260"/>
              <w:spacing w:after="0"/>
              <w:rPr>
                <w:sz w:val="20"/>
                <w:szCs w:val="20"/>
                <w:color w:val="auto"/>
              </w:rPr>
            </w:pPr>
            <w:r>
              <w:rPr>
                <w:rFonts w:ascii="Arial" w:cs="Arial" w:eastAsia="Arial" w:hAnsi="Arial"/>
                <w:sz w:val="18"/>
                <w:szCs w:val="18"/>
                <w:b w:val="1"/>
                <w:bCs w:val="1"/>
                <w:color w:val="auto"/>
              </w:rPr>
              <w:t>NOTES TO CONSOLIDATED FINANCIAL STATEMENTS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7"/>
        </w:trPr>
        <w:tc>
          <w:tcPr>
            <w:tcW w:w="10040" w:type="dxa"/>
            <w:vAlign w:val="bottom"/>
          </w:tcPr>
          <w:p>
            <w:pPr>
              <w:ind w:left="420"/>
              <w:spacing w:after="0"/>
              <w:rPr>
                <w:sz w:val="20"/>
                <w:szCs w:val="20"/>
                <w:color w:val="auto"/>
              </w:rPr>
            </w:pPr>
            <w:r>
              <w:rPr>
                <w:rFonts w:ascii="Arial" w:cs="Arial" w:eastAsia="Arial" w:hAnsi="Arial"/>
                <w:sz w:val="18"/>
                <w:szCs w:val="18"/>
                <w:color w:val="auto"/>
              </w:rPr>
              <w:t>The 2025 Notes consist of the following (in thousands):</w:t>
            </w:r>
          </w:p>
        </w:tc>
        <w:tc>
          <w:tcPr>
            <w:tcW w:w="140" w:type="dxa"/>
            <w:vAlign w:val="bottom"/>
          </w:tcPr>
          <w:p>
            <w:pPr>
              <w:spacing w:after="0"/>
              <w:rPr>
                <w:sz w:val="24"/>
                <w:szCs w:val="24"/>
                <w:color w:val="auto"/>
              </w:rPr>
            </w:pPr>
          </w:p>
        </w:tc>
        <w:tc>
          <w:tcPr>
            <w:tcW w:w="10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35"/>
        </w:trPr>
        <w:tc>
          <w:tcPr>
            <w:tcW w:w="10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1004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166,898</w:t>
            </w:r>
          </w:p>
        </w:tc>
        <w:tc>
          <w:tcPr>
            <w:tcW w:w="0" w:type="dxa"/>
            <w:vAlign w:val="bottom"/>
          </w:tcPr>
          <w:p>
            <w:pPr>
              <w:spacing w:after="0"/>
              <w:rPr>
                <w:sz w:val="1"/>
                <w:szCs w:val="1"/>
                <w:color w:val="auto"/>
              </w:rPr>
            </w:pPr>
          </w:p>
        </w:tc>
      </w:tr>
      <w:tr>
        <w:trPr>
          <w:trHeight w:val="213"/>
        </w:trPr>
        <w:tc>
          <w:tcPr>
            <w:tcW w:w="1004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4,898</w:t>
            </w:r>
          </w:p>
        </w:tc>
        <w:tc>
          <w:tcPr>
            <w:tcW w:w="0" w:type="dxa"/>
            <w:vAlign w:val="bottom"/>
          </w:tcPr>
          <w:p>
            <w:pPr>
              <w:spacing w:after="0"/>
              <w:rPr>
                <w:sz w:val="1"/>
                <w:szCs w:val="1"/>
                <w:color w:val="auto"/>
              </w:rPr>
            </w:pPr>
          </w:p>
        </w:tc>
      </w:tr>
      <w:tr>
        <w:trPr>
          <w:trHeight w:val="219"/>
        </w:trPr>
        <w:tc>
          <w:tcPr>
            <w:tcW w:w="10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0" w:type="dxa"/>
            <w:vAlign w:val="bottom"/>
          </w:tcPr>
          <w:p>
            <w:pPr>
              <w:spacing w:after="0"/>
              <w:rPr>
                <w:sz w:val="1"/>
                <w:szCs w:val="1"/>
                <w:color w:val="auto"/>
              </w:rPr>
            </w:pPr>
          </w:p>
        </w:tc>
      </w:tr>
      <w:tr>
        <w:trPr>
          <w:trHeight w:val="213"/>
        </w:trPr>
        <w:tc>
          <w:tcPr>
            <w:tcW w:w="10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 costs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w:t>
            </w:r>
          </w:p>
        </w:tc>
        <w:tc>
          <w:tcPr>
            <w:tcW w:w="0" w:type="dxa"/>
            <w:vAlign w:val="bottom"/>
          </w:tcPr>
          <w:p>
            <w:pPr>
              <w:spacing w:after="0"/>
              <w:rPr>
                <w:sz w:val="1"/>
                <w:szCs w:val="1"/>
                <w:color w:val="auto"/>
              </w:rPr>
            </w:pPr>
          </w:p>
        </w:tc>
      </w:tr>
      <w:tr>
        <w:trPr>
          <w:trHeight w:val="238"/>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165,147</w:t>
            </w:r>
          </w:p>
        </w:tc>
        <w:tc>
          <w:tcPr>
            <w:tcW w:w="0" w:type="dxa"/>
            <w:vAlign w:val="bottom"/>
          </w:tcPr>
          <w:p>
            <w:pPr>
              <w:spacing w:after="0"/>
              <w:rPr>
                <w:sz w:val="1"/>
                <w:szCs w:val="1"/>
                <w:color w:val="auto"/>
              </w:rPr>
            </w:pP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effective interest rate on the liability component of the 2025 Notes was 4.10% for the twelve months ended December 31, 2020. The following table sets forth total interest expense recognized related to the 2025 Notes (in thousands):</w:t>
      </w:r>
    </w:p>
    <w:p>
      <w:pPr>
        <w:spacing w:after="0" w:line="21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Year Ended December 31,</w:t>
      </w:r>
    </w:p>
    <w:p>
      <w:pPr>
        <w:jc w:val="center"/>
        <w:ind w:left="91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5485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Contractual interest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issuance costs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3,434</w:t>
            </w:r>
          </w:p>
        </w:tc>
      </w:tr>
      <w:tr>
        <w:trPr>
          <w:trHeight w:val="216"/>
        </w:trPr>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9"/>
        </w:trPr>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r>
      <w:tr>
        <w:trPr>
          <w:trHeight w:val="209"/>
        </w:trPr>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w:t>
            </w:r>
          </w:p>
        </w:tc>
      </w:tr>
      <w:tr>
        <w:trPr>
          <w:trHeight w:val="23"/>
        </w:trPr>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540" w:space="720"/>
            <w:col w:w="1980"/>
          </w:cols>
          <w:pgMar w:left="320" w:top="607" w:right="339" w:bottom="1440" w:gutter="0" w:footer="0" w:header="0"/>
          <w:type w:val="continuous"/>
        </w:sectPr>
      </w:pPr>
    </w:p>
    <w:p>
      <w:pPr>
        <w:spacing w:after="0" w:line="137"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As the offering of the 2025 Notes took place during the twelve months ended December 31, 2020, there was no interest expense in the comparable twelve months of 2019.</w:t>
      </w:r>
    </w:p>
    <w:p>
      <w:pPr>
        <w:spacing w:after="0" w:line="198"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Subsequent to December 31, 2020, $5.0 million of the 2025 Notes were converted into 428,669 shares, pursuant to original terms of the 2025 Notes, including 32,221 shares of common stock in satisfaction of the interest-make-whole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158"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On January 9, 2017, in connection with the Note Exchange (as defined below), the Company issued approximately $119.8 million aggregate principal amount of 2022 Notes.</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 xml:space="preserve">During the three months ended March 31, 2020, the Company entered into privately-negotiated exchange agreements with certain investors holding the 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requires the recognition through earnings of an inducement charge equal to the fair value of the consideration delivered in excess of the consideration issuable under the original conversion terms. This resulted in a non-cash charge of $7.9 million, which was recorded as inducement expense within loss on debt conversion and extinguishment, net, in the consolidated statement of operations.</w:t>
      </w:r>
    </w:p>
    <w:p>
      <w:pPr>
        <w:spacing w:after="0" w:line="196" w:lineRule="exact"/>
        <w:rPr>
          <w:sz w:val="20"/>
          <w:szCs w:val="20"/>
          <w:color w:val="auto"/>
        </w:rPr>
      </w:pPr>
    </w:p>
    <w:p>
      <w:pPr>
        <w:jc w:val="both"/>
        <w:ind w:right="120" w:firstLine="405"/>
        <w:spacing w:after="0" w:line="243" w:lineRule="auto"/>
        <w:rPr>
          <w:sz w:val="20"/>
          <w:szCs w:val="20"/>
          <w:color w:val="auto"/>
        </w:rPr>
      </w:pPr>
      <w:r>
        <w:rPr>
          <w:rFonts w:ascii="Arial" w:cs="Arial" w:eastAsia="Arial" w:hAnsi="Arial"/>
          <w:sz w:val="18"/>
          <w:szCs w:val="18"/>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the Company redeemed the remaining $2,000 principal amount of the 2022 Notes.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9980" w:type="dxa"/>
            <w:vAlign w:val="bottom"/>
          </w:tcPr>
          <w:p>
            <w:pPr>
              <w:ind w:left="4920"/>
              <w:spacing w:after="0"/>
              <w:rPr>
                <w:sz w:val="20"/>
                <w:szCs w:val="20"/>
                <w:color w:val="auto"/>
              </w:rPr>
            </w:pPr>
            <w:r>
              <w:rPr>
                <w:rFonts w:ascii="Arial" w:cs="Arial" w:eastAsia="Arial" w:hAnsi="Arial"/>
                <w:sz w:val="18"/>
                <w:szCs w:val="18"/>
                <w:b w:val="1"/>
                <w:bCs w:val="1"/>
                <w:color w:val="auto"/>
              </w:rPr>
              <w:t>INSEEGO CORP.</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9980" w:type="dxa"/>
            <w:vAlign w:val="bottom"/>
          </w:tcPr>
          <w:p>
            <w:pPr>
              <w:ind w:left="3260"/>
              <w:spacing w:after="0"/>
              <w:rPr>
                <w:sz w:val="20"/>
                <w:szCs w:val="20"/>
                <w:color w:val="auto"/>
              </w:rPr>
            </w:pPr>
            <w:r>
              <w:rPr>
                <w:rFonts w:ascii="Arial" w:cs="Arial" w:eastAsia="Arial" w:hAnsi="Arial"/>
                <w:sz w:val="18"/>
                <w:szCs w:val="18"/>
                <w:b w:val="1"/>
                <w:bCs w:val="1"/>
                <w:color w:val="auto"/>
              </w:rPr>
              <w:t>NOTES TO CONSOLIDATED FINANCIAL STATEMENTS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40"/>
        </w:trPr>
        <w:tc>
          <w:tcPr>
            <w:tcW w:w="9980" w:type="dxa"/>
            <w:vAlign w:val="bottom"/>
          </w:tcPr>
          <w:p>
            <w:pPr>
              <w:ind w:left="420"/>
              <w:spacing w:after="0"/>
              <w:rPr>
                <w:sz w:val="20"/>
                <w:szCs w:val="20"/>
                <w:color w:val="auto"/>
              </w:rPr>
            </w:pPr>
            <w:r>
              <w:rPr>
                <w:rFonts w:ascii="Arial" w:cs="Arial" w:eastAsia="Arial" w:hAnsi="Arial"/>
                <w:sz w:val="18"/>
                <w:szCs w:val="18"/>
                <w:color w:val="auto"/>
              </w:rPr>
              <w:t>The 2022 Notes consist of the following (in thousands):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48"/>
        </w:trPr>
        <w:tc>
          <w:tcPr>
            <w:tcW w:w="9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03"/>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86"/>
        </w:trPr>
        <w:tc>
          <w:tcPr>
            <w:tcW w:w="9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196"/>
        </w:trPr>
        <w:tc>
          <w:tcPr>
            <w:tcW w:w="998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105,125</w:t>
            </w:r>
          </w:p>
        </w:tc>
      </w:tr>
      <w:tr>
        <w:trPr>
          <w:trHeight w:val="213"/>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w:t>
            </w:r>
          </w:p>
        </w:tc>
      </w:tr>
      <w:tr>
        <w:trPr>
          <w:trHeight w:val="23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101,334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405"/>
        <w:spacing w:after="0" w:line="235" w:lineRule="auto"/>
        <w:rPr>
          <w:sz w:val="20"/>
          <w:szCs w:val="20"/>
          <w:color w:val="auto"/>
        </w:rPr>
      </w:pPr>
      <w:r>
        <w:rPr>
          <w:rFonts w:ascii="Arial" w:cs="Arial" w:eastAsia="Arial" w:hAnsi="Arial"/>
          <w:sz w:val="18"/>
          <w:szCs w:val="18"/>
          <w:color w:val="auto"/>
        </w:rPr>
        <w:t>The effective interest rate on the liability component of the 2022 Notes was 12.89% for the twelve months ended December 31, 2020. The following table sets forth total interest expense recognized related to the 2022 Notes (in thousands):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500" w:type="dxa"/>
            <w:vAlign w:val="bottom"/>
            <w:tcBorders>
              <w:bottom w:val="single" w:sz="8" w:color="auto"/>
            </w:tcBorders>
            <w:gridSpan w:val="5"/>
          </w:tcPr>
          <w:p>
            <w:pPr>
              <w:jc w:val="right"/>
              <w:ind w:right="38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6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Contractual interest expense</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5,782</w:t>
            </w:r>
          </w:p>
        </w:tc>
      </w:tr>
      <w:tr>
        <w:trPr>
          <w:trHeight w:val="213"/>
        </w:trPr>
        <w:tc>
          <w:tcPr>
            <w:tcW w:w="8680" w:type="dxa"/>
            <w:vAlign w:val="bottom"/>
          </w:tcPr>
          <w:p>
            <w:pPr>
              <w:spacing w:after="0"/>
              <w:rPr>
                <w:sz w:val="20"/>
                <w:szCs w:val="20"/>
                <w:color w:val="auto"/>
              </w:rPr>
            </w:pPr>
            <w:r>
              <w:rPr>
                <w:rFonts w:ascii="Arial" w:cs="Arial" w:eastAsia="Arial" w:hAnsi="Arial"/>
                <w:sz w:val="16"/>
                <w:szCs w:val="16"/>
                <w:color w:val="auto"/>
              </w:rPr>
              <w:t>Amortization of debt discount</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1,952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debt issuance costs</w:t>
            </w: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13"/>
        </w:trPr>
        <w:tc>
          <w:tcPr>
            <w:tcW w:w="8680" w:type="dxa"/>
            <w:vAlign w:val="bottom"/>
          </w:tcPr>
          <w:p>
            <w:pPr>
              <w:spacing w:after="0"/>
              <w:rPr>
                <w:sz w:val="20"/>
                <w:szCs w:val="20"/>
                <w:color w:val="auto"/>
              </w:rPr>
            </w:pPr>
            <w:r>
              <w:rPr>
                <w:rFonts w:ascii="Arial" w:cs="Arial" w:eastAsia="Arial" w:hAnsi="Arial"/>
                <w:sz w:val="16"/>
                <w:szCs w:val="16"/>
                <w:color w:val="auto"/>
              </w:rPr>
              <w:t>Total interest expense</w:t>
            </w: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2,831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14,062</w:t>
            </w:r>
          </w:p>
        </w:tc>
      </w:tr>
      <w:tr>
        <w:trPr>
          <w:trHeight w:val="20"/>
        </w:trPr>
        <w:tc>
          <w:tcPr>
            <w:tcW w:w="8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Novatel Wireless Notes</w:t>
      </w:r>
    </w:p>
    <w:p>
      <w:pPr>
        <w:spacing w:after="0" w:line="104" w:lineRule="exact"/>
        <w:rPr>
          <w:sz w:val="20"/>
          <w:szCs w:val="20"/>
          <w:color w:val="auto"/>
        </w:rPr>
      </w:pPr>
    </w:p>
    <w:p>
      <w:pPr>
        <w:ind w:right="40" w:firstLine="405"/>
        <w:spacing w:after="0" w:line="251" w:lineRule="auto"/>
        <w:rPr>
          <w:sz w:val="20"/>
          <w:szCs w:val="20"/>
          <w:color w:val="auto"/>
        </w:rPr>
      </w:pPr>
      <w:r>
        <w:rPr>
          <w:rFonts w:ascii="Arial" w:cs="Arial" w:eastAsia="Arial" w:hAnsi="Arial"/>
          <w:sz w:val="17"/>
          <w:szCs w:val="17"/>
          <w:color w:val="auto"/>
        </w:rPr>
        <w:t>On June 10, 2015, Novatel Wireless issued $120.0 million of 5.50% convertible senior notes due 2020 (the “Novatel Wireless Notes”). The Company incurred issuance costs of approximately $3.9 million, which were governed by the terms of an indenture, dated June 10, 2015, between Novatel Wireless, as issuer, Inseego and Wilmington Trust, National Association, as trustee, as amended by certain supplemental indentures (“the Novatel Indenture”). On January 9, 2017, in connection with the settlement of an exchange offer and consent solicitation with respect to the Novatel Wireless Notes (the “Note Exchange”), approximately $119.8 million aggregate principal amount of outstanding Novatel Wireless Notes were validly tendered and accepted for exchange and subsequently canceled. In February 2020, the holders of the remaining $250,000 of the aggregate</w:t>
      </w:r>
    </w:p>
    <w:p>
      <w:pPr>
        <w:spacing w:after="0" w:line="4" w:lineRule="exact"/>
        <w:rPr>
          <w:sz w:val="20"/>
          <w:szCs w:val="20"/>
          <w:color w:val="auto"/>
        </w:rPr>
      </w:pPr>
    </w:p>
    <w:p>
      <w:pPr>
        <w:ind w:right="2200"/>
        <w:spacing w:after="0" w:line="301" w:lineRule="auto"/>
        <w:rPr>
          <w:sz w:val="20"/>
          <w:szCs w:val="20"/>
          <w:color w:val="auto"/>
        </w:rPr>
      </w:pPr>
      <w:r>
        <w:rPr>
          <w:rFonts w:ascii="Arial" w:cs="Arial" w:eastAsia="Arial" w:hAnsi="Arial"/>
          <w:sz w:val="16"/>
          <w:szCs w:val="16"/>
          <w:color w:val="auto"/>
        </w:rPr>
        <w:t>principal amount of Novatel Wireless Notes that remained outstanding following the Note Exchange, converted their Novatel Wireless Notes into 50,000 shares of Inseego Corp. common stock, at the conversion price of $5.00 per share, in accordance with the terms of the Novatel Indenture. Accordingly, no Novatel Wireless Notes were outstanding as of December 31, 2020.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loss before income taxes for the years ended December 31, 2020 and 2019 is comprised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(39,187)</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r>
      <w:tr>
        <w:trPr>
          <w:trHeight w:val="23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(110,438)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(39,574)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for the years ended December 31, 2020 and 2019 is comprised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186"/>
        </w:trPr>
        <w:tc>
          <w:tcPr>
            <w:tcW w:w="8700" w:type="dxa"/>
            <w:vAlign w:val="bottom"/>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196"/>
        </w:trPr>
        <w:tc>
          <w:tcPr>
            <w:tcW w:w="8700" w:type="dxa"/>
            <w:vAlign w:val="bottom"/>
          </w:tcPr>
          <w:p>
            <w:pPr>
              <w:ind w:left="20"/>
              <w:spacing w:after="0"/>
              <w:rPr>
                <w:sz w:val="20"/>
                <w:szCs w:val="20"/>
                <w:color w:val="auto"/>
              </w:rPr>
            </w:pPr>
            <w:r>
              <w:rPr>
                <w:rFonts w:ascii="Arial" w:cs="Arial" w:eastAsia="Arial" w:hAnsi="Arial"/>
                <w:sz w:val="16"/>
                <w:szCs w:val="16"/>
                <w:color w:val="auto"/>
              </w:rPr>
              <w:t>Current:</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State</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1,148</w:t>
            </w:r>
          </w:p>
        </w:tc>
      </w:tr>
      <w:tr>
        <w:trPr>
          <w:trHeight w:val="20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w:t>
            </w: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1,134</w:t>
            </w:r>
          </w:p>
        </w:tc>
      </w:tr>
      <w:tr>
        <w:trPr>
          <w:trHeight w:val="19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Federal</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8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r>
      <w:tr>
        <w:trPr>
          <w:trHeight w:val="21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w:t>
            </w: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06"/>
        </w:trPr>
        <w:tc>
          <w:tcPr>
            <w:tcW w:w="87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r>
      <w:tr>
        <w:trPr>
          <w:trHeight w:val="24"/>
        </w:trPr>
        <w:tc>
          <w:tcPr>
            <w:tcW w:w="8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deferred tax liabilities consist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6"/>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196"/>
        </w:trPr>
        <w:tc>
          <w:tcPr>
            <w:tcW w:w="86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13"/>
        </w:trPr>
        <w:tc>
          <w:tcPr>
            <w:tcW w:w="8680" w:type="dxa"/>
            <w:vAlign w:val="bottom"/>
          </w:tcPr>
          <w:p>
            <w:pPr>
              <w:ind w:left="220"/>
              <w:spacing w:after="0"/>
              <w:rPr>
                <w:sz w:val="20"/>
                <w:szCs w:val="20"/>
                <w:color w:val="auto"/>
              </w:rPr>
            </w:pPr>
            <w:r>
              <w:rPr>
                <w:rFonts w:ascii="Arial" w:cs="Arial" w:eastAsia="Arial" w:hAnsi="Arial"/>
                <w:sz w:val="16"/>
                <w:szCs w:val="16"/>
                <w:color w:val="auto"/>
              </w:rPr>
              <w:t>Provision for excess and obsolete inventory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2,003</w:t>
            </w: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Convertible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80" w:type="dxa"/>
            <w:vAlign w:val="bottom"/>
          </w:tcPr>
          <w:p>
            <w:pPr>
              <w:ind w:left="220"/>
              <w:spacing w:after="0"/>
              <w:rPr>
                <w:sz w:val="20"/>
                <w:szCs w:val="20"/>
                <w:color w:val="auto"/>
              </w:rPr>
            </w:pPr>
            <w:r>
              <w:rPr>
                <w:rFonts w:ascii="Arial" w:cs="Arial" w:eastAsia="Arial" w:hAnsi="Arial"/>
                <w:sz w:val="16"/>
                <w:szCs w:val="16"/>
                <w:color w:val="auto"/>
              </w:rPr>
              <w:t>Interest expense limitation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5,562</w:t>
            </w: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operating loss and tax credit carryforwards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95,258</w:t>
            </w:r>
          </w:p>
        </w:tc>
      </w:tr>
      <w:tr>
        <w:trPr>
          <w:trHeight w:val="213"/>
        </w:trPr>
        <w:tc>
          <w:tcPr>
            <w:tcW w:w="868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1,226</w:t>
            </w: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Right-of-use-asset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3"/>
        </w:trPr>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Unrecognized tax benefits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r>
      <w:tr>
        <w:trPr>
          <w:trHeight w:val="212"/>
        </w:trPr>
        <w:tc>
          <w:tcPr>
            <w:tcW w:w="8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106,634</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3"/>
        </w:trPr>
        <w:tc>
          <w:tcPr>
            <w:tcW w:w="8680" w:type="dxa"/>
            <w:vAlign w:val="bottom"/>
          </w:tcPr>
          <w:p>
            <w:pPr>
              <w:ind w:left="220"/>
              <w:spacing w:after="0"/>
              <w:rPr>
                <w:sz w:val="20"/>
                <w:szCs w:val="20"/>
                <w:color w:val="auto"/>
              </w:rPr>
            </w:pPr>
            <w:r>
              <w:rPr>
                <w:rFonts w:ascii="Arial" w:cs="Arial" w:eastAsia="Arial" w:hAnsi="Arial"/>
                <w:sz w:val="16"/>
                <w:szCs w:val="16"/>
                <w:color w:val="auto"/>
              </w:rPr>
              <w:t>Acquired intangible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(3,623)</w:t>
            </w: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Convertible debt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r>
      <w:tr>
        <w:trPr>
          <w:trHeight w:val="213"/>
        </w:trPr>
        <w:tc>
          <w:tcPr>
            <w:tcW w:w="86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(1,742)</w:t>
            </w: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foreign currency gains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680" w:type="dxa"/>
            <w:vAlign w:val="bottom"/>
          </w:tcPr>
          <w:p>
            <w:pPr>
              <w:ind w:left="48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(10,134)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(6,881)</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(133,369)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(103,702)</w:t>
            </w:r>
          </w:p>
        </w:tc>
      </w:tr>
      <w:tr>
        <w:trPr>
          <w:trHeight w:val="212"/>
        </w:trPr>
        <w:tc>
          <w:tcPr>
            <w:tcW w:w="8680" w:type="dxa"/>
            <w:vAlign w:val="bottom"/>
          </w:tcPr>
          <w:p>
            <w:pPr>
              <w:ind w:left="20"/>
              <w:spacing w:after="0"/>
              <w:rPr>
                <w:sz w:val="20"/>
                <w:szCs w:val="20"/>
                <w:color w:val="auto"/>
              </w:rPr>
            </w:pPr>
            <w:r>
              <w:rPr>
                <w:rFonts w:ascii="Arial" w:cs="Arial" w:eastAsia="Arial" w:hAnsi="Arial"/>
                <w:sz w:val="16"/>
                <w:szCs w:val="16"/>
                <w:color w:val="auto"/>
              </w:rPr>
              <w:t>Net deferred tax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w:t>
            </w:r>
          </w:p>
        </w:tc>
      </w:tr>
      <w:tr>
        <w:trPr>
          <w:trHeight w:val="21"/>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45"/>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117"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At December 31, 2020 and 2019, the Company recognized valuation allowances of $26.4 million and $9.2 million, respectively, related to its deferred tax assets created in those respective years. As a result, no net income tax benefits resulted in the Company’s statements of operations from the operating losses created during those years.</w:t>
      </w:r>
    </w:p>
    <w:p>
      <w:pPr>
        <w:spacing w:after="0" w:line="13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of 21% in 2020 and 2019 to loss before income taxes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tax benefit, at statutory rate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State benefit, net of federal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rate difference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Valuation allowance against future tax benefits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9,168</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conversion of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(1,456)</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including true-up of prior year provisions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At December 31, 2020, the Company had U.S. federal net operating loss carryforwards (“NOLs”) related to tax years 2020 and prior of approximately $429.3 million. Approximately $81.5 million of these NOLs have no expiration date. The remainder begin to expire in 2021, unless previously utilized. Some of these NOLs may be limited by either past or future changes in control events. The Company has California net operating loss carryforwards at December 31, 2020 of approximately $55.0 million, which begin to expire in 2028, unless previously utilized, and foreign net operating losses for its active foreign subsidiaries of approximately $46.7 million, which generally have no expiration date. At December 31, 2020, the Company had federal research and development tax credit carryforwards of approximately $12.8 million, which begin to expire in 2026, unless previously utilized, and California research and development tax credit carryforwards of approximately $14.0 million, which have no expiration date.</w:t>
      </w:r>
    </w:p>
    <w:p>
      <w:pPr>
        <w:spacing w:after="0" w:line="12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2020 and did not identify any events of cumulative change in ownership during the review period. The Company will continue monitoring any future changes in stock ownership.</w:t>
      </w:r>
    </w:p>
    <w:p>
      <w:pPr>
        <w:spacing w:after="0" w:line="133"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U.S. income taxes which may become payable if undistributed earnings of the foreign subsidiary were paid as dividends to the Company.</w:t>
      </w:r>
    </w:p>
    <w:p>
      <w:pPr>
        <w:spacing w:after="0" w:line="13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which includes modifications to the limitation on business interest expense and net operating loss provisions, and provides a payment delay of employer payroll taxes during 2020 after the date of enactment. Payments of approximately $1.4 million of employer payroll taxes otherwise due in 2020, were delayed with 50% due by December 31, 2021 and the remaining 50% by December 31, 2022. The CARES Act did not have a material impact on the Company’s consolidated financial statements.</w:t>
      </w:r>
    </w:p>
    <w:p>
      <w:pPr>
        <w:spacing w:after="0" w:line="21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2020 and 2019. At December 31, 2020 and 2019, the Company did not have interest expense related to uncertain tax positions or a liability for unrecognized tax benefits. The Company does not expect changes to its uncertain tax position in the next twelve months.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36,906</w:t>
            </w:r>
          </w:p>
        </w:tc>
      </w:tr>
      <w:tr>
        <w:trPr>
          <w:trHeight w:val="213"/>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r>
      <w:tr>
        <w:trPr>
          <w:trHeight w:val="21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37,835</w:t>
            </w:r>
          </w:p>
        </w:tc>
      </w:tr>
      <w:tr>
        <w:trPr>
          <w:trHeight w:val="213"/>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r>
      <w:tr>
        <w:trPr>
          <w:trHeight w:val="237"/>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2020.</w:t>
      </w:r>
    </w:p>
    <w:p>
      <w:pPr>
        <w:spacing w:after="0" w:line="116"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2016 and 2015,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On August 6, 2018, the Company completed a private placement of 12,062,000 shares of its common stock and warrants (the “2018 Warrants”) to purchase an additional 4,221,700 shares of its common stock, subject to adjustment for stock splits, reverse stock splits, stock dividends and similar transactions, to certain accredited investors for gross proceeds of $19.7 million in cash. Each warrant had an initial exercise price of $2.52 per share, subject to adjustment for stock splits, reverse stock splits, stock dividends and similar transactions.</w:t>
      </w:r>
    </w:p>
    <w:p>
      <w:pPr>
        <w:spacing w:after="0" w:line="6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6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fourth quarter of 2019, the Company received $6.9 million in net cash proceeds from the exercise of 1,255,129 of the Company’s common stock purchase warrants issued in 2015.</w:t>
      </w:r>
    </w:p>
    <w:p>
      <w:pPr>
        <w:spacing w:after="0" w:line="11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w:t>
      </w:r>
    </w:p>
    <w:p>
      <w:pPr>
        <w:spacing w:after="0" w:line="11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On August 9, 2019, the Company completed a private placement of 10,000 shares of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12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March 6, 2020, the Company entered into a Securities Purchase Agreement with an accredited investor pursuant to which, among other things, the Company issued and sold to the investor, in a private placement transaction, an aggregate of 25,000 shares of the Company’s Series E Preferred Stock, for a purchase price of $1,000 per share of Series E Preferred Stock, resulting in gross proceeds to the Company of $25.0 million.</w:t>
      </w:r>
    </w:p>
    <w:p>
      <w:pPr>
        <w:spacing w:after="0" w:line="111" w:lineRule="exact"/>
        <w:rPr>
          <w:sz w:val="20"/>
          <w:szCs w:val="20"/>
          <w:color w:val="auto"/>
        </w:rPr>
      </w:pPr>
    </w:p>
    <w:p>
      <w:pPr>
        <w:ind w:left="420" w:right="380"/>
        <w:spacing w:after="0" w:line="352" w:lineRule="auto"/>
        <w:rPr>
          <w:sz w:val="20"/>
          <w:szCs w:val="20"/>
          <w:color w:val="auto"/>
        </w:rPr>
      </w:pPr>
      <w:r>
        <w:rPr>
          <w:rFonts w:ascii="Arial" w:cs="Arial" w:eastAsia="Arial" w:hAnsi="Arial"/>
          <w:sz w:val="18"/>
          <w:szCs w:val="18"/>
          <w:color w:val="auto"/>
        </w:rPr>
        <w:t xml:space="preserve">There were no dividends declared and $2.9 million and $0.4 million of dividends were accrued as of December 31, 2020, and 2019, respectively. </w:t>
      </w:r>
      <w:r>
        <w:rPr>
          <w:rFonts w:ascii="Arial" w:cs="Arial" w:eastAsia="Arial" w:hAnsi="Arial"/>
          <w:sz w:val="18"/>
          <w:szCs w:val="18"/>
          <w:i w:val="1"/>
          <w:iCs w:val="1"/>
          <w:color w:val="auto"/>
        </w:rPr>
        <w:t>Rights Agreement</w:t>
      </w:r>
    </w:p>
    <w:p>
      <w:pPr>
        <w:spacing w:after="0" w:line="1" w:lineRule="exact"/>
        <w:rPr>
          <w:sz w:val="20"/>
          <w:szCs w:val="20"/>
          <w:color w:val="auto"/>
        </w:rPr>
      </w:pPr>
    </w:p>
    <w:p>
      <w:pPr>
        <w:ind w:right="100" w:firstLine="405"/>
        <w:spacing w:after="0" w:line="237" w:lineRule="auto"/>
        <w:rPr>
          <w:sz w:val="20"/>
          <w:szCs w:val="20"/>
          <w:color w:val="auto"/>
        </w:rPr>
      </w:pPr>
      <w:r>
        <w:rPr>
          <w:rFonts w:ascii="Arial" w:cs="Arial" w:eastAsia="Arial" w:hAnsi="Arial"/>
          <w:sz w:val="18"/>
          <w:szCs w:val="18"/>
          <w:color w:val="auto"/>
        </w:rPr>
        <w:t>On January 22, 2018, the Company entered into a Rights Agreement with Computershare Trust Company, N.A., a federally chartered trust company, as rights agent (as subsequently amended, the “Rights Agreement”) and issued a dividend of one preferred share purchase right (a “Right”) to each of the stockholders of record of each share of common stock outstanding on February 2, 2018. Each Right entitled the registered holder to purchase from the Company one one-thousandth of a share of Series D Preferred Stock, par value $0.001 per share (the “Preferred Shares”), of the Company, at a price of $10.00 per one one-thousandth of a Preferred Share represented by a Right (the “Purchase Price”), subject to adjustment. The description and terms of the Rights are set forth in the Rights Agreement.</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Rights were not exercisable until the Distribution Date (as defined in the Rights Agreement). The Rights expired on January 22, 2021.</w:t>
      </w:r>
    </w:p>
    <w:p>
      <w:pPr>
        <w:spacing w:after="0" w:line="183" w:lineRule="exact"/>
        <w:rPr>
          <w:sz w:val="20"/>
          <w:szCs w:val="20"/>
          <w:color w:val="auto"/>
        </w:rPr>
      </w:pPr>
    </w:p>
    <w:p>
      <w:pPr>
        <w:ind w:right="60" w:firstLine="180"/>
        <w:spacing w:after="0" w:line="255" w:lineRule="auto"/>
        <w:rPr>
          <w:sz w:val="20"/>
          <w:szCs w:val="20"/>
          <w:color w:val="auto"/>
        </w:rPr>
      </w:pPr>
      <w:r>
        <w:rPr>
          <w:rFonts w:ascii="Arial" w:cs="Arial" w:eastAsia="Arial" w:hAnsi="Arial"/>
          <w:sz w:val="18"/>
          <w:szCs w:val="18"/>
          <w:color w:val="auto"/>
        </w:rPr>
        <w:t>In connection with the issuance of the 2019 Warrants, on March 28, 2019, the Company entered into an Amendment No. 3 to the Rights Agreement, dated January 22, 2018, as amended by that certain Amendment No. 1 to Rights Agreement, dated August 6, 2018, and as amended by that certain Amendment No. 2 to Rights Agreement, dated December 4, 2018, between the Company and Computershare Trust Company, N.A., as rights agent, for the purpose of modifying the definition of “Acquiring Person” under the Rights Agreement to permit each of the Investors to remain a Grandfathered Stockholder (as defined in the Rights Agreement) and not be deemed an “Acquiring Person” under the Rights Agreement in connection with the Investors’ purchase of the 2019 Warrants.</w:t>
      </w:r>
    </w:p>
    <w:p>
      <w:pPr>
        <w:spacing w:after="0" w:line="219" w:lineRule="exact"/>
        <w:rPr>
          <w:sz w:val="20"/>
          <w:szCs w:val="20"/>
          <w:color w:val="auto"/>
        </w:rPr>
      </w:pPr>
    </w:p>
    <w:p>
      <w:pPr>
        <w:jc w:val="both"/>
        <w:ind w:right="20" w:firstLine="177"/>
        <w:spacing w:after="0" w:line="311" w:lineRule="auto"/>
        <w:rPr>
          <w:sz w:val="20"/>
          <w:szCs w:val="20"/>
          <w:color w:val="auto"/>
        </w:rPr>
      </w:pPr>
      <w:r>
        <w:rPr>
          <w:rFonts w:ascii="Arial" w:cs="Arial" w:eastAsia="Arial" w:hAnsi="Arial"/>
          <w:sz w:val="16"/>
          <w:szCs w:val="16"/>
          <w:color w:val="auto"/>
        </w:rPr>
        <w:t>The Investors will remain Grandfathered Stockholders under the terms of the Rights Agreement as long as they do not acquire, after the date of the Third Amendment to Rights Agreement, beneficial ownership of Company securities (other than as a result of any adjustment provision or the accrual of interest under any outstanding convertible notes) equal to more than 0.50% of the then-outstanding common stock. The Rights expired on January 22,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reserved shares of common stock for possible future issuance as of December 31, 2020 and 2019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00" w:type="dxa"/>
            <w:vAlign w:val="bottom"/>
            <w:shd w:val="clear" w:color="auto" w:fill="CCEEFF"/>
          </w:tcPr>
          <w:p>
            <w:pPr>
              <w:spacing w:after="0"/>
              <w:rPr>
                <w:sz w:val="16"/>
                <w:szCs w:val="16"/>
                <w:color w:val="auto"/>
              </w:rPr>
            </w:pPr>
          </w:p>
        </w:tc>
        <w:tc>
          <w:tcPr>
            <w:tcW w:w="170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shd w:val="clear" w:color="auto" w:fill="CCEEFF"/>
          </w:tcPr>
          <w:p>
            <w:pPr>
              <w:spacing w:after="0"/>
              <w:rPr>
                <w:sz w:val="16"/>
                <w:szCs w:val="16"/>
                <w:color w:val="auto"/>
              </w:rPr>
            </w:pPr>
          </w:p>
        </w:tc>
      </w:tr>
      <w:tr>
        <w:trPr>
          <w:trHeight w:val="204"/>
        </w:trPr>
        <w:tc>
          <w:tcPr>
            <w:tcW w:w="87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warrants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2,838,454</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Stock options outstanding</w:t>
            </w:r>
          </w:p>
        </w:tc>
        <w:tc>
          <w:tcPr>
            <w:tcW w:w="1200" w:type="dxa"/>
            <w:vAlign w:val="bottom"/>
          </w:tcPr>
          <w:p>
            <w:pPr>
              <w:jc w:val="right"/>
              <w:spacing w:after="0"/>
              <w:rPr>
                <w:sz w:val="20"/>
                <w:szCs w:val="20"/>
                <w:color w:val="auto"/>
              </w:rPr>
            </w:pPr>
            <w:r>
              <w:rPr>
                <w:rFonts w:ascii="Arial" w:cs="Arial" w:eastAsia="Arial" w:hAnsi="Arial"/>
                <w:sz w:val="16"/>
                <w:szCs w:val="16"/>
                <w:color w:val="auto"/>
              </w:rPr>
              <w:t>8,479,979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9,044,304</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400,315</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Shares available for issuance pursuant to Convertible Notes</w:t>
            </w:r>
          </w:p>
        </w:tc>
        <w:tc>
          <w:tcPr>
            <w:tcW w:w="1200" w:type="dxa"/>
            <w:vAlign w:val="bottom"/>
          </w:tcPr>
          <w:p>
            <w:pPr>
              <w:jc w:val="right"/>
              <w:spacing w:after="0"/>
              <w:rPr>
                <w:sz w:val="20"/>
                <w:szCs w:val="20"/>
                <w:color w:val="auto"/>
              </w:rPr>
            </w:pPr>
            <w:r>
              <w:rPr>
                <w:rFonts w:ascii="Arial" w:cs="Arial" w:eastAsia="Arial" w:hAnsi="Arial"/>
                <w:sz w:val="16"/>
                <w:szCs w:val="16"/>
                <w:color w:val="auto"/>
              </w:rPr>
              <w:t>15,879,948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40,649,225</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available for future grants of awards under the 2018 Omnibus Incentive Compensation Plan</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2,849,488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2,488,221</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available under the 2000 Employee Stock Purchase Plan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622,476</w:t>
            </w:r>
          </w:p>
        </w:tc>
      </w:tr>
      <w:tr>
        <w:trPr>
          <w:trHeight w:val="237"/>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shares of common stock reserved for issuance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30,517,721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56,042,995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During the year ended December 31, 2020,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2019, the Board approved and transferred all available shares from the 2015 Plan to the 2018 Plan. Under the</w:t>
      </w:r>
    </w:p>
    <w:p>
      <w:pPr>
        <w:spacing w:after="0" w:line="46"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2018 Plan, a maximum of 8,897,084 shares of common stock may be issued upon the exercise of stock options, in the form of restricted stock, or in settlement of RSUs or other awards, including awards with alternative vesting schedules such as performance-based criteria.</w:t>
      </w:r>
    </w:p>
    <w:p>
      <w:pPr>
        <w:spacing w:after="0" w:line="107"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For the years ended December 31, 2020 and 2019, the following table presents total share-based compensation expense in each functional line item on the consolidated statements of operations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1,133</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1,548</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1,669</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2,952</w:t>
            </w:r>
          </w:p>
        </w:tc>
      </w:tr>
      <w:tr>
        <w:trPr>
          <w:trHeight w:val="23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7,302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6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each stock option granted:</w:t>
      </w:r>
    </w:p>
    <w:p>
      <w:pPr>
        <w:spacing w:after="0" w:line="8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11"/>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932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4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9"/>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10"/>
        </w:trPr>
        <w:tc>
          <w:tcPr>
            <w:tcW w:w="9320" w:type="dxa"/>
            <w:vAlign w:val="bottom"/>
            <w:gridSpan w:val="2"/>
          </w:tcPr>
          <w:p>
            <w:pPr>
              <w:ind w:left="20"/>
              <w:spacing w:after="0"/>
              <w:rPr>
                <w:sz w:val="20"/>
                <w:szCs w:val="20"/>
                <w:color w:val="auto"/>
              </w:rPr>
            </w:pPr>
            <w:r>
              <w:rPr>
                <w:rFonts w:ascii="Arial" w:cs="Arial" w:eastAsia="Arial" w:hAnsi="Arial"/>
                <w:sz w:val="16"/>
                <w:szCs w:val="16"/>
                <w:color w:val="auto"/>
              </w:rPr>
              <w:t>Expected term (in years)</w:t>
            </w:r>
          </w:p>
        </w:tc>
        <w:tc>
          <w:tcPr>
            <w:tcW w:w="4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154"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The weighted-average fair value of stock option awards granted during the years ended December 31, 2020 and 2019 was $7.11 and $3.56, respectively.</w:t>
      </w:r>
    </w:p>
    <w:p>
      <w:pPr>
        <w:spacing w:after="0" w:line="4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for the years ended December 31, 2020 and 2019 (dollars in thousands, except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1"/>
                <w:szCs w:val="11"/>
                <w:color w:val="auto"/>
              </w:rPr>
            </w:pPr>
          </w:p>
        </w:tc>
        <w:tc>
          <w:tcPr>
            <w:tcW w:w="10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Price Per</w:t>
            </w: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1"/>
                <w:szCs w:val="11"/>
                <w:color w:val="auto"/>
              </w:rPr>
            </w:pPr>
          </w:p>
        </w:tc>
        <w:tc>
          <w:tcPr>
            <w:tcW w:w="10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60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9,044,304</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1,526,000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(732,705)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8,479,979</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97,315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40" w:type="dxa"/>
            <w:vAlign w:val="bottom"/>
          </w:tcPr>
          <w:p>
            <w:pPr>
              <w:ind w:left="20"/>
              <w:spacing w:after="0"/>
              <w:rPr>
                <w:sz w:val="20"/>
                <w:szCs w:val="20"/>
                <w:color w:val="auto"/>
              </w:rPr>
            </w:pPr>
            <w:r>
              <w:rPr>
                <w:rFonts w:ascii="Arial" w:cs="Arial" w:eastAsia="Arial" w:hAnsi="Arial"/>
                <w:sz w:val="16"/>
                <w:szCs w:val="16"/>
                <w:color w:val="auto"/>
              </w:rPr>
              <w:t>Vested and Expected to Vest — December 31,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7,667,800</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90,150</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 December 31,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4,293,975</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57,398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20" w:firstLine="445"/>
        <w:spacing w:after="0" w:line="342" w:lineRule="auto"/>
        <w:rPr>
          <w:sz w:val="20"/>
          <w:szCs w:val="20"/>
          <w:color w:val="auto"/>
        </w:rPr>
      </w:pPr>
      <w:r>
        <w:rPr>
          <w:rFonts w:ascii="Arial" w:cs="Arial" w:eastAsia="Arial" w:hAnsi="Arial"/>
          <w:sz w:val="16"/>
          <w:szCs w:val="16"/>
          <w:color w:val="auto"/>
        </w:rPr>
        <w:t>During the year ended December 31, 2019, 1,489,067 shares were issued upon the exercise of stock options. The total intrinsic value of stock options exercised to purchase common stock during the years ended December 31, 2020 and 2019 was approximately $11.7 million and $5.6 million, respectively.</w:t>
      </w:r>
    </w:p>
    <w:p>
      <w:pPr>
        <w:spacing w:after="0" w:line="70" w:lineRule="exact"/>
        <w:rPr>
          <w:sz w:val="20"/>
          <w:szCs w:val="20"/>
          <w:color w:val="auto"/>
        </w:rPr>
      </w:pPr>
    </w:p>
    <w:p>
      <w:pPr>
        <w:ind w:right="340" w:firstLine="445"/>
        <w:spacing w:after="0" w:line="259" w:lineRule="auto"/>
        <w:rPr>
          <w:sz w:val="20"/>
          <w:szCs w:val="20"/>
          <w:color w:val="auto"/>
        </w:rPr>
      </w:pPr>
      <w:r>
        <w:rPr>
          <w:rFonts w:ascii="Arial" w:cs="Arial" w:eastAsia="Arial" w:hAnsi="Arial"/>
          <w:sz w:val="18"/>
          <w:szCs w:val="18"/>
          <w:color w:val="auto"/>
        </w:rPr>
        <w:t>As of December 31, 2020, total unrecognized share-based compensation expense related to non-vested stock options was $12.3 million, which is expected to be recognized over a weighted-average period of approximately 2.5 years. The Company recognized approximately $5.8 million and $3.5 million of share-based compensation expense related to the vesting of stock option awards during the years ended December 31,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under all plans for the year ended December 31, 2020 is presented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85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220" w:type="dxa"/>
            <w:vAlign w:val="bottom"/>
          </w:tcPr>
          <w:p>
            <w:pPr>
              <w:spacing w:after="0"/>
              <w:rPr>
                <w:sz w:val="11"/>
                <w:szCs w:val="11"/>
                <w:color w:val="auto"/>
              </w:rPr>
            </w:pPr>
          </w:p>
        </w:tc>
        <w:tc>
          <w:tcPr>
            <w:tcW w:w="1200" w:type="dxa"/>
            <w:vAlign w:val="bottom"/>
            <w:gridSpan w:val="2"/>
          </w:tcPr>
          <w:p>
            <w:pPr>
              <w:jc w:val="right"/>
              <w:ind w:right="21"/>
              <w:spacing w:after="0" w:line="135"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88"/>
        </w:trPr>
        <w:tc>
          <w:tcPr>
            <w:tcW w:w="85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400,315</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3"/>
        </w:trPr>
        <w:tc>
          <w:tcPr>
            <w:tcW w:w="85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570,368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(548,160)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3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December 31,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417,105</w:t>
            </w:r>
          </w:p>
        </w:tc>
        <w:tc>
          <w:tcPr>
            <w:tcW w:w="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year ended December 31, 2019, the weighted-average grant-date fair value of RSUs granted was $5.07. During the years ended December 31, 2020 and 2019, the total fair value of shares vested was $5.1 million and $4.0 million, respectively.</w:t>
      </w:r>
    </w:p>
    <w:p>
      <w:pPr>
        <w:spacing w:after="0" w:line="116"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As of December 31, 2020, there was $1.8 million of unrecognized share-based compensation expense related to non-vested RSUs, which is expected to be recognized over a weighted-average period of 2.2 years. The Company recognized approximately $4.1 million and $3.5 million of share-based compensation expense related to the vesting of RSUs during the years ended December 31, 2020 and 2019,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Employee Stock Purchase Plan</w:t>
      </w:r>
    </w:p>
    <w:p>
      <w:pPr>
        <w:spacing w:after="0" w:line="104"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5,324,000 shares of common stock may be purchased by eligible employees.</w:t>
      </w:r>
    </w:p>
    <w:p>
      <w:pPr>
        <w:spacing w:after="0" w:line="95"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During the years ended December 31, 2020 and 2019, the Company issued 231,275 shares and 203,061 shares, respectively, under the ESPP. The Company recognized approximately $0.6 million and $0.3 million of share-based compensation expense related to the ESPP during the years ended December 31, 2020 and 2019,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0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Basic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(40,486)</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6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96,111,547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78,322,496</w:t>
            </w: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For the year ended December 31, 2020, the computation of diluted EPS excluded 26,180,766 shares, primarily related to Convertible Notes, warrants, stock options and RSUs for which the effect would have been anti-dilutive.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7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134" w:lineRule="exact"/>
        <w:rPr>
          <w:sz w:val="20"/>
          <w:szCs w:val="20"/>
          <w:color w:val="auto"/>
        </w:rPr>
      </w:pPr>
    </w:p>
    <w:p>
      <w:pPr>
        <w:ind w:right="100" w:firstLine="405"/>
        <w:spacing w:after="0" w:line="267" w:lineRule="auto"/>
        <w:rPr>
          <w:sz w:val="20"/>
          <w:szCs w:val="20"/>
          <w:color w:val="auto"/>
        </w:rPr>
      </w:pPr>
      <w:r>
        <w:rPr>
          <w:rFonts w:ascii="Arial" w:cs="Arial" w:eastAsia="Arial" w:hAnsi="Arial"/>
          <w:sz w:val="16"/>
          <w:szCs w:val="16"/>
          <w:color w:val="auto"/>
        </w:rPr>
        <w:t>On May 11, 2017, the Company initiated a lawsuit against the former stockholders of R.E.R. Enterprises, Inc.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w:t>
      </w:r>
    </w:p>
    <w:p>
      <w:pPr>
        <w:spacing w:after="0" w:line="3" w:lineRule="exact"/>
        <w:rPr>
          <w:sz w:val="20"/>
          <w:szCs w:val="20"/>
          <w:color w:val="auto"/>
        </w:rPr>
      </w:pPr>
    </w:p>
    <w:p>
      <w:pPr>
        <w:ind w:firstLine="8"/>
        <w:spacing w:after="0" w:line="251" w:lineRule="auto"/>
        <w:tabs>
          <w:tab w:leader="none" w:pos="26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of common stock to the former stockholders of RER in satisfaction of all remaining liabilities under the Settlement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ASC 842, the Company has elected to account for the lease and non-lease components as a single lease component. Lease payments, which may include lease components and non-lease components, are included in the measurement of the Company’s lease liabilities to</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such payments are either fixed amounts or variable amounts based on a rate or index (fixed in substance) as stipulated in the lease contract.</w:t>
      </w:r>
    </w:p>
    <w:p>
      <w:pPr>
        <w:spacing w:after="0" w:line="19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 xml:space="preserve">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ASC 840, </w:t>
      </w:r>
      <w:r>
        <w:rPr>
          <w:rFonts w:ascii="Arial" w:cs="Arial" w:eastAsia="Arial" w:hAnsi="Arial"/>
          <w:sz w:val="18"/>
          <w:szCs w:val="18"/>
          <w:i w:val="1"/>
          <w:iCs w:val="1"/>
          <w:color w:val="auto"/>
        </w:rPr>
        <w:t xml:space="preserve">Leases </w:t>
      </w:r>
      <w:r>
        <w:rPr>
          <w:rFonts w:ascii="Arial" w:cs="Arial" w:eastAsia="Arial" w:hAnsi="Arial"/>
          <w:sz w:val="18"/>
          <w:szCs w:val="18"/>
          <w:color w:val="auto"/>
        </w:rPr>
        <w:t>have been classified as operating leases under ASC 842. Lease expense for payments related to the Company’s operating leases is recognized on a</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basis over the related lease term, which includes options to extend or terminate the lease when it is reasonably certain that the Company will exercise that option.</w:t>
      </w:r>
    </w:p>
    <w:p>
      <w:pPr>
        <w:spacing w:after="0" w:line="138" w:lineRule="exact"/>
        <w:rPr>
          <w:sz w:val="20"/>
          <w:szCs w:val="20"/>
          <w:color w:val="auto"/>
        </w:rPr>
      </w:pPr>
    </w:p>
    <w:p>
      <w:pPr>
        <w:ind w:right="200" w:firstLine="405"/>
        <w:spacing w:after="0" w:line="288" w:lineRule="auto"/>
        <w:rPr>
          <w:sz w:val="20"/>
          <w:szCs w:val="20"/>
          <w:color w:val="auto"/>
        </w:rPr>
      </w:pPr>
      <w:r>
        <w:rPr>
          <w:rFonts w:ascii="Arial" w:cs="Arial" w:eastAsia="Arial" w:hAnsi="Arial"/>
          <w:sz w:val="16"/>
          <w:szCs w:val="16"/>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lease term and the information available surrounding the Company’s borrowing rates at the lease commencement date in determining the present value of lease payments. The right-of-use asset also includes any lease payments made at or before lease commencement less any lease incentives. As of December 31, 2020, the Company had right-of-use assets of $9.1 million and lease liabilities related to its operating leases of $9.9 million. Right-of-use assets are included in right-of-use assets, net, on the consolidated balance sheet and lease liabilities related to the Company’s operating leases are included in accrued expenses and other liabilities and other long-term liabilities on the consolidated balance sheet. As of December 31, 2020, the Company’s weighted-average remaining lease term and weighted-average discount rate related to its operating leases were 5.8 years and 9.1%, respectively.</w:t>
      </w:r>
    </w:p>
    <w:p>
      <w:pPr>
        <w:spacing w:after="0" w:line="114" w:lineRule="exact"/>
        <w:rPr>
          <w:sz w:val="20"/>
          <w:szCs w:val="20"/>
          <w:color w:val="auto"/>
        </w:rPr>
      </w:pPr>
    </w:p>
    <w:p>
      <w:pPr>
        <w:ind w:right="200" w:firstLine="405"/>
        <w:spacing w:after="0" w:line="276" w:lineRule="auto"/>
        <w:rPr>
          <w:sz w:val="20"/>
          <w:szCs w:val="20"/>
          <w:color w:val="auto"/>
        </w:rPr>
      </w:pPr>
      <w:r>
        <w:rPr>
          <w:rFonts w:ascii="Arial" w:cs="Arial" w:eastAsia="Arial" w:hAnsi="Arial"/>
          <w:sz w:val="16"/>
          <w:szCs w:val="16"/>
          <w:color w:val="auto"/>
        </w:rPr>
        <w:t>During the years ended December 31, 2020 and 2019, the cash paid for amounts included in the measurement of lease liabilities related to the Company’s operating leases was approximately $1.9 million and $2.2 million, respectively, which is included as an operating cash outflow within the consolidated statements of cash flows. During the twelve months ended December 31, 2020 and 2019, the operating lease costs related to the Company’s operating leases were approximately $2.2 million and $2.4 million, respectively, which is included in operating costs and expenses in the consolidated statements of operations. During the twelve months ended December 31, 2020, the Company entered into a lease agreement for its new corporate offices and renewed the lease on a research and development facility for which right-of-use assets were recorded in exchange for new lease liabilities.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420"/>
              <w:spacing w:after="0"/>
              <w:rPr>
                <w:sz w:val="20"/>
                <w:szCs w:val="20"/>
                <w:color w:val="auto"/>
              </w:rPr>
            </w:pPr>
            <w:r>
              <w:rPr>
                <w:rFonts w:ascii="Arial" w:cs="Arial" w:eastAsia="Arial" w:hAnsi="Arial"/>
                <w:sz w:val="18"/>
                <w:szCs w:val="18"/>
                <w:color w:val="auto"/>
              </w:rPr>
              <w:t>The future minimum payments under operating leases were as follows at December 31, 2020 (in thousands):</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22"/>
        </w:trPr>
        <w:tc>
          <w:tcPr>
            <w:tcW w:w="9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2,225</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1,787</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r>
      <w:tr>
        <w:trPr>
          <w:trHeight w:val="213"/>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12,825</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(2,921)</w:t>
            </w:r>
          </w:p>
        </w:tc>
      </w:tr>
      <w:tr>
        <w:trPr>
          <w:trHeight w:val="213"/>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9,904</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r>
      <w:tr>
        <w:trPr>
          <w:trHeight w:val="235"/>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8,285</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1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consolidated balance sheets.</w:t>
      </w:r>
    </w:p>
    <w:p>
      <w:pPr>
        <w:spacing w:after="0" w:line="3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will account for the combined component as a single performance obligation under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ind w:right="6900" w:firstLine="8"/>
        <w:spacing w:after="0" w:line="391" w:lineRule="auto"/>
        <w:tabs>
          <w:tab w:leader="none" w:pos="27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Geographic Information and Concentrations of Risk </w:t>
      </w:r>
      <w:r>
        <w:rPr>
          <w:rFonts w:ascii="Arial" w:cs="Arial" w:eastAsia="Arial" w:hAnsi="Arial"/>
          <w:sz w:val="18"/>
          <w:szCs w:val="18"/>
          <w:i w:val="1"/>
          <w:iCs w:val="1"/>
          <w:color w:val="auto"/>
        </w:rPr>
        <w:t>Geographic Information</w:t>
      </w:r>
    </w:p>
    <w:p>
      <w:pPr>
        <w:spacing w:after="0" w:line="1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geographic concentration of the Company’s assets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7"/>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148,485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81,769</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48,211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53,610</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25,994</w:t>
            </w:r>
          </w:p>
        </w:tc>
      </w:tr>
      <w:tr>
        <w:trPr>
          <w:trHeight w:val="209"/>
        </w:trPr>
        <w:tc>
          <w:tcPr>
            <w:tcW w:w="86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227,394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161,373</w:t>
            </w:r>
          </w:p>
        </w:tc>
      </w:tr>
      <w:tr>
        <w:trPr>
          <w:trHeight w:val="2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26"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Year Ended</w:t>
      </w:r>
    </w:p>
    <w:p>
      <w:pPr>
        <w:jc w:val="center"/>
        <w:ind w:left="86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1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158,756</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35,001</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25,739</w:t>
            </w:r>
          </w:p>
        </w:tc>
      </w:tr>
      <w:tr>
        <w:trPr>
          <w:trHeight w:val="212"/>
        </w:trPr>
        <w:tc>
          <w:tcPr>
            <w:tcW w:w="870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219,496</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04"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For the years ended December 31, 2020 and 2019, one customer accounted for 54.5% and 52.5% of net revenues, respectively. At December 31, 2020, two customers accounted for 33.3% and 17.2% of total accounts receivable. At December 31, 2019, two customers accounted for 25.0% and 11.2% of total accounts receivable.</w:t>
      </w:r>
    </w:p>
    <w:p>
      <w:pPr>
        <w:spacing w:after="0" w:line="76"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During the years ended December 31, 2020 and 2019, the Company recorded net foreign currency transaction losses of approximately $0.7 million and $0.3 million, respectively, primarily related to outstanding intercompany loans that Ctrack has with certain of its subsidiaries, which are remeasured at each reporting period and payable upon demand.</w:t>
      </w:r>
    </w:p>
    <w:p>
      <w:pPr>
        <w:spacing w:after="0" w:line="76"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All recorded gains and losses on foreign currency transactions are recorded in other income (expense), net, in the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Savings Plan</w:t>
      </w:r>
    </w:p>
    <w:p>
      <w:pPr>
        <w:spacing w:after="0" w:line="175"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amounted to approximately $0.7 million and $0.4 million for the years ended December 31, 2020 and 2019, respectively. Employer matching contributions vest immediately.</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Information (Unaudited)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7"/>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5"/>
              </w:rPr>
              <w:t>Second Quarter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Fourth Quarter</w:t>
            </w:r>
          </w:p>
        </w:tc>
      </w:tr>
      <w:tr>
        <w:trPr>
          <w:trHeight w:val="218"/>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8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86,063</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26,447</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(13,593)</w:t>
            </w: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color w:val="auto"/>
              </w:rPr>
              <w:t>Basic and diluted net loss per share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445"/>
        </w:trPr>
        <w:tc>
          <w:tcPr>
            <w:tcW w:w="5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7"/>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5"/>
              </w:rPr>
              <w:t>Second Quarter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Fourth Quarter</w:t>
            </w:r>
          </w:p>
        </w:tc>
      </w:tr>
      <w:tr>
        <w:trPr>
          <w:trHeight w:val="218"/>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8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52,333</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15,031</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stockholders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(13,285)</w:t>
            </w: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Basic and diluted net income (loss) per share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(0.17)</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pursuant to the Company’s Registration Statement on Form S-3ASR (File No. 333-238057), which was filed with the Securities and Exchange Commission on May 7, 2020, and the 424(b) prospectus supplement relating to the Offering dated January 25, 2021.</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January 2021, the Company sold 1,516,073 shares of common stock, at a public offering price of $20.11 per share, for net proceeds of $29.6 million, pursuant to the ATM Offering.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Ctrack South African Operations</w:t>
      </w:r>
    </w:p>
    <w:p>
      <w:pPr>
        <w:spacing w:after="0" w:line="25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February 24, 2021, the Company announced its entry into a Share Purchase Agreement with an affiliate of Convergence, to sell its South African operations, in an all-cash transaction for 528.9 million South African Rand (ZAR) (approximately $36.2 million United States Dollar (“USD”) based on an exchange rate on February 24, 2021 of 14.62 ZAR to 1 USD), subject to certain regulatory approvals and other closing conditions. The transaction is expected to close during the second quarter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320" w:top="607" w:right="3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Equity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Exchange Act</w:t>
      </w:r>
    </w:p>
    <w:p>
      <w:pPr>
        <w:spacing w:after="0" w:line="200" w:lineRule="exact"/>
        <w:rPr>
          <w:sz w:val="20"/>
          <w:szCs w:val="20"/>
          <w:color w:val="auto"/>
        </w:rPr>
      </w:pPr>
    </w:p>
    <w:p>
      <w:pPr>
        <w:spacing w:after="0" w:line="254"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following information describes the common stock, par value $0.001 per share (“Common Stock”) of Inssego Corp. (the “Company”), as well as certain provisions of our amended and restated certificate of incorporation (as amended, our “Certificate of Incorporation”) and our amended and restated bylaws (“Bylaws”). This description is only a summary. You should also refer to our Certificate of Incorporation and Bylaws, which have been filed with the Securities and Exchange Commission as exhibits to the Annual Report on Form 10-K of which this Exhibit 4.2 is a part.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121" w:lineRule="exact"/>
        <w:rPr>
          <w:sz w:val="20"/>
          <w:szCs w:val="20"/>
          <w:color w:val="auto"/>
        </w:rPr>
      </w:pPr>
    </w:p>
    <w:p>
      <w:pPr>
        <w:ind w:right="240" w:firstLine="441"/>
        <w:spacing w:after="0" w:line="275" w:lineRule="auto"/>
        <w:rPr>
          <w:sz w:val="20"/>
          <w:szCs w:val="20"/>
          <w:color w:val="auto"/>
        </w:rPr>
      </w:pPr>
      <w:r>
        <w:rPr>
          <w:rFonts w:ascii="Arial" w:cs="Arial" w:eastAsia="Arial" w:hAnsi="Arial"/>
          <w:sz w:val="17"/>
          <w:szCs w:val="17"/>
          <w:color w:val="auto"/>
        </w:rPr>
        <w:t>Our authorized capital stock consists of 150,000,000 shares of Common Stock and 2,000,000 shares of preferred stock, par value $0.001 per share (the “Preferred Stock”), issuable in one or more series designated by the board of directors of the Company (the “Board”), of which 150,000 shares have been designated as Series D Preferred Stock (as defined below) and of which 39,500 shares have been designated as Series E Fixed-Rate Cumulative Perpetual Preferred Stock, par value $0.001 per share (the “Series E Preferred Stock”). As of February 23, 2021, there were 101,932,128 shares of Common Stock and 35,000 shares of Series E Preferred Stock issued and outstanding.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Subject to the rights of holders of all classes of stock at the time outstanding having prior rights as to dividends, the holders of Common Stock are entitled to receive such dividends, if any, as may from time to time be declared by the Board out of funds legally available for that purpose. Pursuant to our Certificate of Incorporation, holders of Common Stock are entitled to one vote per share, and are entitled to vote upon such matters and in such manner as may be provided by law. Holders of Common Stock have no preemptive, conversion, redemption or sinking fund rights. Subject to the rights of holders of all classes of stock at the time outstanding having prior rights as to liquidation, holders of Common Stock, upon the liquidation, dissolution or winding up of the Company, are entitled to share equally and ratably in the assets of the Company. The outstanding shares of Common Stock are validly issued, fully paid and nonassessable. The rights, preferences and privileges of holders of Common Stock are subject to the rights, preferences and privileges of any series of Preferred Stock that we may issue in the future.</w:t>
      </w:r>
    </w:p>
    <w:p>
      <w:pPr>
        <w:spacing w:after="0" w:line="178" w:lineRule="exact"/>
        <w:rPr>
          <w:sz w:val="20"/>
          <w:szCs w:val="20"/>
          <w:color w:val="auto"/>
        </w:rPr>
      </w:pPr>
    </w:p>
    <w:p>
      <w:pPr>
        <w:ind w:right="400" w:firstLine="441"/>
        <w:spacing w:after="0" w:line="257" w:lineRule="auto"/>
        <w:rPr>
          <w:sz w:val="20"/>
          <w:szCs w:val="20"/>
          <w:color w:val="auto"/>
        </w:rPr>
      </w:pPr>
      <w:r>
        <w:rPr>
          <w:rFonts w:ascii="Arial" w:cs="Arial" w:eastAsia="Arial" w:hAnsi="Arial"/>
          <w:sz w:val="18"/>
          <w:szCs w:val="18"/>
          <w:color w:val="auto"/>
        </w:rPr>
        <w:t>Each share of Common Stock includes Series D Preferred Stock purchase rights (the “Rights”) pursuant to the rights agreement, dated as of January 22, 2018, between the Company and the rights agent named therein, as amended (the “Rights Agreement”). Prior to the occurrence of certain events, the Rights will not be exercisable or evidenced separately from the Common Stock. The Rights have no value except as reflected in the market price of the shares of the Common Stock to which they are attached, and can be transferred only with the shares of Common Stock to which they are attached. The Rights expired on January 22, 2021.</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NASDAQ Global Select Market under the symbol “INSG.”</w:t>
      </w:r>
    </w:p>
    <w:p>
      <w:pPr>
        <w:spacing w:after="0" w:line="225" w:lineRule="exact"/>
        <w:rPr>
          <w:sz w:val="20"/>
          <w:szCs w:val="20"/>
          <w:color w:val="auto"/>
        </w:rPr>
      </w:pPr>
    </w:p>
    <w:p>
      <w:pPr>
        <w:ind w:right="320" w:firstLine="441"/>
        <w:spacing w:after="0" w:line="324" w:lineRule="auto"/>
        <w:rPr>
          <w:sz w:val="20"/>
          <w:szCs w:val="20"/>
          <w:color w:val="auto"/>
        </w:rPr>
      </w:pPr>
      <w:r>
        <w:rPr>
          <w:rFonts w:ascii="Arial" w:cs="Arial" w:eastAsia="Arial" w:hAnsi="Arial"/>
          <w:sz w:val="18"/>
          <w:szCs w:val="18"/>
          <w:color w:val="auto"/>
        </w:rPr>
        <w:t>The transfer agent and registrar for our Common Stock and related rights to purchase Series D Preferred Stock is Computershare Trust Company, N.A. Its address is 250 Royall Street, Canton, MA 02021, and its telephone number is (877) 290-2245.</w:t>
      </w:r>
    </w:p>
    <w:p>
      <w:pPr>
        <w:sectPr>
          <w:pgSz w:w="11900" w:h="16838" w:orient="portrait"/>
          <w:cols w:equalWidth="0" w:num="1">
            <w:col w:w="11240"/>
          </w:cols>
          <w:pgMar w:left="320" w:top="141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Our Certificate of Incorporation provides that we may issue shares of Preferred Stock from time to time in one or more series. Our Board is authorized to fix the voting rights, if any, designations, powers, preferences, qualifications, limitations and restrictions thereof, applicable to the shares of each series of Preferred Stock. The Board may, without stockholder approval, issue Preferred Stock with voting and other rights that could adversely affect the voting power and other rights of the holders of our Common Stock and could have anti-takeover effects. The ability of the Board to issue Preferred Stock without stockholder approval could have the effect of delaying, deferring or preventing a change of control or the removal of our existing management.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Stock</w:t>
      </w:r>
    </w:p>
    <w:p>
      <w:pPr>
        <w:spacing w:after="0" w:line="117" w:lineRule="exact"/>
        <w:rPr>
          <w:sz w:val="20"/>
          <w:szCs w:val="20"/>
          <w:color w:val="auto"/>
        </w:rPr>
      </w:pPr>
    </w:p>
    <w:p>
      <w:pPr>
        <w:ind w:right="380" w:firstLine="441"/>
        <w:spacing w:after="0" w:line="258" w:lineRule="auto"/>
        <w:rPr>
          <w:sz w:val="20"/>
          <w:szCs w:val="20"/>
          <w:color w:val="auto"/>
        </w:rPr>
      </w:pPr>
      <w:r>
        <w:rPr>
          <w:rFonts w:ascii="Arial" w:cs="Arial" w:eastAsia="Arial" w:hAnsi="Arial"/>
          <w:sz w:val="18"/>
          <w:szCs w:val="18"/>
          <w:color w:val="auto"/>
        </w:rPr>
        <w:t>The Series D Preferred Stock, par value $0.001 per share (the “Series D Preferred Stock”), is reserved for issuance in connection with the Rights outstanding under our Rights Agreement. The Series D Preferred Stock</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will not be redeemable at the option of the holder thereof. Each share of Series D Preferred Stock will be entitled to receive quarterly dividends when, and if declared by the Board, out of funds legally available for such purpose, equal to 1,000 times the aggregate of all dividends declared per share of Common Stock since the immediately preceding quarterly dividend payment date. In the event of our liquidation, the holders of Series D Preferred Stock will be entitled to an aggregate payment equal to 1,000 times the payment made per share of Common Stock, plus any accrued and unpaid dividends. Each share of Series D Preferred Stock shall be entitled to 1,000 votes, voting together with the shares of Common Stock, on any matter submitted to a vote of our stockholders. In the event of any merger, consolidation or other transaction in which shares of Common Stock are exchanged, each share of Series D Preferred Stock will be exchanged for 1,000 times the amount of consideration into which each share of Common Stock is exchanged. Because of the nature of the Series D Preferred Stock dividend, liquidation and voting rights, the value of the one one-thousandth share of Series D Preferred Stock purchasable upon exercise of each Right should approximate the value of one share of Common Stock. The Series D Preferred Stock would rank junior to any other series of Preferred Stock. There are currently no shares of Series D Preferred Stock issued and outstanding and the Rights expired on January 22, 2021.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Preferred Stock</w:t>
      </w:r>
    </w:p>
    <w:p>
      <w:pPr>
        <w:spacing w:after="0" w:line="117"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The Series E Preferred Stock was issued pursuant to a Securities Purchase Agreement, between the Company and two accredited investors. Each share of Series E Preferred Stock entitles the holder thereof to receive, when, as and if declared by the Board out of assets legally available therefor, cumulative cash dividends at an annual rate of 9.00% payable quarterly in arrears on January 1, April 1, July 1 and October 1 of each year, beginning on October 1, 2019. The Series E Preferred Stock has no voting rights unless otherwise required by law. The Series E Preferred Stock is perpetual and has no maturity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 of Delaware Law</w:t>
      </w:r>
    </w:p>
    <w:p>
      <w:pPr>
        <w:spacing w:after="0" w:line="12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Provisions of Delaware law and our Certificate of Incorporation and Bylaws could make the acquisition of the Company through a tender offer, a proxy contest or other means more difficult and could make the removal of incumbent officers and directors more difficult. We expect these provisions to discourage coercive takeover practices and inadequate takeover bids and to encourage persons seeking to acquire control of the Company to first negotiate with our Board. We believe that the benefits provided by our ability to negotiate with the proponent of an unfriendly or unsolicited proposal outweigh the disadvantages of discouraging these proposals. We believe the negotiation of an unfriendly or unsolicited proposal could result in an improvement of its terms.</w:t>
      </w:r>
    </w:p>
    <w:p>
      <w:pPr>
        <w:spacing w:after="0" w:line="192"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ectPr>
          <w:pgSz w:w="11900" w:h="16838" w:orient="portrait"/>
          <w:cols w:equalWidth="0" w:num="1">
            <w:col w:w="11240"/>
          </w:cols>
          <w:pgMar w:left="320" w:top="1417" w:right="339" w:bottom="1440" w:gutter="0" w:footer="0" w:header="0"/>
        </w:sectPr>
      </w:pPr>
    </w:p>
    <w:bookmarkStart w:id="95" w:name="page96"/>
    <w:bookmarkEnd w:id="95"/>
    <w:p>
      <w:pPr>
        <w:spacing w:after="0" w:line="36" w:lineRule="exact"/>
        <w:rPr>
          <w:sz w:val="20"/>
          <w:szCs w:val="20"/>
          <w:color w:val="auto"/>
        </w:rPr>
      </w:pPr>
    </w:p>
    <w:p>
      <w:pPr>
        <w:ind w:left="1060" w:right="660" w:hanging="481"/>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359" w:lineRule="exact"/>
        <w:rPr>
          <w:rFonts w:ascii="Arial" w:cs="Arial" w:eastAsia="Arial" w:hAnsi="Arial"/>
          <w:sz w:val="18"/>
          <w:szCs w:val="18"/>
          <w:color w:val="auto"/>
        </w:rPr>
      </w:pPr>
    </w:p>
    <w:p>
      <w:pPr>
        <w:ind w:left="1060" w:right="280" w:hanging="481"/>
        <w:spacing w:after="0" w:line="25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363" w:lineRule="exact"/>
        <w:rPr>
          <w:rFonts w:ascii="Arial" w:cs="Arial" w:eastAsia="Arial" w:hAnsi="Arial"/>
          <w:sz w:val="18"/>
          <w:szCs w:val="18"/>
          <w:color w:val="auto"/>
        </w:rPr>
      </w:pPr>
    </w:p>
    <w:p>
      <w:pPr>
        <w:ind w:left="1060" w:right="220" w:hanging="481"/>
        <w:spacing w:after="0" w:line="263"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35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defines a business combination to include:</w:t>
      </w:r>
    </w:p>
    <w:p>
      <w:pPr>
        <w:spacing w:after="0" w:line="185" w:lineRule="exact"/>
        <w:rPr>
          <w:sz w:val="20"/>
          <w:szCs w:val="20"/>
          <w:color w:val="auto"/>
        </w:rPr>
      </w:pPr>
    </w:p>
    <w:p>
      <w:pPr>
        <w:ind w:left="1060" w:hanging="48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48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1060" w:right="360" w:hanging="481"/>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359" w:lineRule="exact"/>
        <w:rPr>
          <w:rFonts w:ascii="Arial" w:cs="Arial" w:eastAsia="Arial" w:hAnsi="Arial"/>
          <w:sz w:val="18"/>
          <w:szCs w:val="18"/>
          <w:color w:val="auto"/>
        </w:rPr>
      </w:pPr>
    </w:p>
    <w:p>
      <w:pPr>
        <w:ind w:left="1060" w:right="260" w:hanging="481"/>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359" w:lineRule="exact"/>
        <w:rPr>
          <w:rFonts w:ascii="Arial" w:cs="Arial" w:eastAsia="Arial" w:hAnsi="Arial"/>
          <w:sz w:val="18"/>
          <w:szCs w:val="18"/>
          <w:color w:val="auto"/>
        </w:rPr>
      </w:pPr>
    </w:p>
    <w:p>
      <w:pPr>
        <w:ind w:left="1060" w:right="260" w:hanging="481"/>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7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A Delaware corporation may “opt out” of this provision with an express provision in its original certificate of incorporation or an express provision in its amended and restated certificate of incorporation or bylaws resulting from a stockholders’ amendment approved by at least a majority of the outstanding voting shares. However, the Company has not “opted out” of this provision. Section 203 could prohibit or delay mergers or other takeover or change-in-control attempts and, accordingly, may discourage attempts to acquire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Charter Documents</w:t>
      </w:r>
    </w:p>
    <w:p>
      <w:pPr>
        <w:spacing w:after="0" w:line="121" w:lineRule="exact"/>
        <w:rPr>
          <w:sz w:val="20"/>
          <w:szCs w:val="20"/>
          <w:color w:val="auto"/>
        </w:rPr>
      </w:pPr>
    </w:p>
    <w:p>
      <w:pPr>
        <w:jc w:val="both"/>
        <w:ind w:right="320" w:firstLine="441"/>
        <w:spacing w:after="0" w:line="263" w:lineRule="auto"/>
        <w:rPr>
          <w:sz w:val="20"/>
          <w:szCs w:val="20"/>
          <w:color w:val="auto"/>
        </w:rPr>
      </w:pPr>
      <w:r>
        <w:rPr>
          <w:rFonts w:ascii="Arial" w:cs="Arial" w:eastAsia="Arial" w:hAnsi="Arial"/>
          <w:sz w:val="18"/>
          <w:szCs w:val="18"/>
          <w:color w:val="auto"/>
        </w:rPr>
        <w:t>Our Certificate of Incorporation provides for our Board to be divided into three classes serving staggered terms. Approximately one-third of the Board will be elected each year. The provision for a classified board could prevent a party who acquires control of a majority of the outstanding voting stock from obtaining control of the</w:t>
      </w:r>
    </w:p>
    <w:p>
      <w:pPr>
        <w:sectPr>
          <w:pgSz w:w="11900" w:h="16838" w:orient="portrait"/>
          <w:cols w:equalWidth="0" w:num="1">
            <w:col w:w="11180"/>
          </w:cols>
          <w:pgMar w:left="320" w:top="1440" w:right="399" w:bottom="1440" w:gutter="0" w:footer="0" w:header="0"/>
        </w:sectPr>
      </w:pPr>
    </w:p>
    <w:bookmarkStart w:id="96" w:name="page97"/>
    <w:bookmarkEnd w:id="96"/>
    <w:p>
      <w:pPr>
        <w:spacing w:after="0" w:line="9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Board until the second annual stockholders meeting following the date the acquirer obtains the controlling stock interest. The classified board provision could discourage a potential acquirer from making a tender offer or otherwise attempting to obtain control of the Company and could increase the likelihood that incumbent directors will retain their positions.</w:t>
      </w:r>
    </w:p>
    <w:p>
      <w:pPr>
        <w:spacing w:after="0" w:line="184"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Our Bylaws establish an advance notice procedure for stockholder proposals to be brought before an annual or special meeting of our stockholders, including proposed nominations of persons for election to the Board. Among other requirements, the advance notice provisions provide that (i) a stockholder must provide to the secretary of the Company timely notice (generally 90-120 days prior to the one-year anniversary of the previous year’s annual meeting of stockholders) of any business, including director nominations, proposed to be brought before the annual or special meeting, which notice must conform to the substantive requirements set forth in the Bylaws, (ii) a stockholder must deliver certain information regarding the person(s) making the proposal, and in the case of any nominee for election to the Board, information regarding such nominee, in each case as set forth in the Bylaws, and</w:t>
      </w:r>
    </w:p>
    <w:p>
      <w:pPr>
        <w:spacing w:after="0" w:line="4" w:lineRule="exact"/>
        <w:rPr>
          <w:sz w:val="20"/>
          <w:szCs w:val="20"/>
          <w:color w:val="auto"/>
        </w:rPr>
      </w:pPr>
    </w:p>
    <w:p>
      <w:pPr>
        <w:ind w:right="20" w:firstLine="8"/>
        <w:spacing w:after="0" w:line="265" w:lineRule="auto"/>
        <w:tabs>
          <w:tab w:leader="none" w:pos="3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nominee for election to the Board must provide both an executed questionnaire regarding his or her background, qualifications, stock ownership and independence, and an executed representation agreement regarding voting commitments, indemnification or similar arrangements and compliance with Company policies applicable to members of the Board. These provisions may discourage or deter a potential acquirer from conducting a solicitation of proxies to elect the acquirer’s own slate of directors or otherwise attempting to obtain control of the Company.</w:t>
      </w:r>
    </w:p>
    <w:p>
      <w:pPr>
        <w:ind w:firstLine="441"/>
        <w:spacing w:after="0" w:line="271" w:lineRule="auto"/>
        <w:rPr>
          <w:rFonts w:ascii="Arial" w:cs="Arial" w:eastAsia="Arial" w:hAnsi="Arial"/>
          <w:sz w:val="17"/>
          <w:szCs w:val="17"/>
          <w:color w:val="auto"/>
        </w:rPr>
      </w:pPr>
      <w:r>
        <w:rPr>
          <w:rFonts w:ascii="Arial" w:cs="Arial" w:eastAsia="Arial" w:hAnsi="Arial"/>
          <w:sz w:val="17"/>
          <w:szCs w:val="17"/>
          <w:color w:val="auto"/>
        </w:rPr>
        <w:t>Our Bylaws provide that our Board, our chairperson of the Board or our chief executive officer may call a special meeting of stockholders. Because our stockholders do not have the right to call a special meeting, a stockholder could not force stockholder consideration of a proposal over the opposition of the Board by calling a special meeting of stockholders prior to such time as a majority of the Board believed the matter should be considered or until the next annual meeting provided that the requestor met the notice and other requirements. The restriction on the ability of stockholders to call a special meeting means that a proposal to replace the Board also could be delayed until the next annual meeting.</w:t>
      </w:r>
    </w:p>
    <w:p>
      <w:pPr>
        <w:spacing w:after="0" w:line="17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Our Certificate of Incorporation provides that our Bylaws may be altered or amended or new bylaws adopted by the affirmative vote of at least 66 2/3% of the voting power of all of the then-outstanding shares of our voting stock entitled to vote.</w:t>
      </w:r>
    </w:p>
    <w:p>
      <w:pPr>
        <w:spacing w:after="0" w:line="170"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Our Board is expressly authorized to adopt, amend or repeal our Bylaws. This provision may not be repealed, amended or altered in any respect without the affirmative vote of the holders of at least 66 2/3% of the voting power of all of the then-outstanding shares of our voting stock entitled to vote.</w:t>
      </w:r>
    </w:p>
    <w:p>
      <w:pPr>
        <w:spacing w:after="0" w:line="124"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Our Certificate of Incorporation does not allow stockholders to act by written consent without a meeting. Without the availability of stockholder action by written consent, a holder of the requisite number of shares of our capital stock would not be able to amend our Bylaws or remove directors without holding a stockholders’ meeting. The holder would have to obtain the consent of a majority of our Board, our chairperson of the Board or our chief executive officer to call a stockholders’ meeting and satisfy the notice periods determined by our Board.</w:t>
      </w:r>
    </w:p>
    <w:p>
      <w:pPr>
        <w:sectPr>
          <w:pgSz w:w="11900" w:h="16838" w:orient="portrait"/>
          <w:cols w:equalWidth="0" w:num="1">
            <w:col w:w="11220"/>
          </w:cols>
          <w:pgMar w:left="320" w:top="1440" w:right="359" w:bottom="1440" w:gutter="0" w:footer="0" w:header="0"/>
        </w:sectPr>
      </w:pPr>
    </w:p>
    <w:bookmarkStart w:id="97" w:name="page98"/>
    <w:bookmarkEnd w:id="97"/>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Registered Public Accounting Firm’s Consent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47"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Registration Statement (Form S-3 No. 333-207255) of Novatel Wireless, Inc. (predecessor issuer to Inseego Corp.);</w:t>
      </w:r>
    </w:p>
    <w:p>
      <w:pPr>
        <w:spacing w:after="0" w:line="281" w:lineRule="exact"/>
        <w:rPr>
          <w:rFonts w:ascii="Arial" w:cs="Arial" w:eastAsia="Arial" w:hAnsi="Arial"/>
          <w:sz w:val="19"/>
          <w:szCs w:val="19"/>
          <w:color w:val="auto"/>
        </w:rPr>
      </w:pPr>
    </w:p>
    <w:p>
      <w:pPr>
        <w:ind w:left="660" w:hanging="328"/>
        <w:spacing w:after="0" w:line="263" w:lineRule="auto"/>
        <w:tabs>
          <w:tab w:leader="none" w:pos="651"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Registration Statement (Form S-3 Nos. 333-246353, 333-239728, 333-238057, 333-233206, 333-231350, 333-228315, 333-226753, and 333-221404) of Inseego Corp.; and</w:t>
      </w:r>
    </w:p>
    <w:p>
      <w:pPr>
        <w:spacing w:after="0" w:line="201" w:lineRule="exact"/>
        <w:rPr>
          <w:rFonts w:ascii="Arial" w:cs="Arial" w:eastAsia="Arial" w:hAnsi="Arial"/>
          <w:sz w:val="22"/>
          <w:szCs w:val="22"/>
          <w:color w:val="auto"/>
        </w:rPr>
      </w:pPr>
    </w:p>
    <w:p>
      <w:pPr>
        <w:jc w:val="both"/>
        <w:ind w:left="660" w:hanging="328"/>
        <w:spacing w:after="0" w:line="253" w:lineRule="auto"/>
        <w:tabs>
          <w:tab w:leader="none" w:pos="651"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Registration Statements (Form S-8 Nos. 333-246367, 333-226754, 333-221405, 333-214965, 333-207233, 333-202648, 333-190879, 333-190878, 333-176490, 333-176489, 333-163033, 333-163032, 333-159287, 333-145482, 333-139730, and 333-53692) of Inseego Corp.</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of our report dated March 1, 2021, with respect to our audits of the consolidated financial statements of Inseego Corp. as of December 31, 2020 and 2019 and for the years ended December 31, 2020 and 2019 and our report dated March 1, 2021 with respect to our audit of internal control over financial reporting of Inseego Corp. as of December 31, 2020 which reports are included in this Annual Report on Form 10-K of Inseego Corp. for the year ended December 31, 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Marcum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Marcum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March 1, 2021</w:t>
      </w:r>
    </w:p>
    <w:p>
      <w:pPr>
        <w:sectPr>
          <w:pgSz w:w="11900" w:h="16838" w:orient="portrait"/>
          <w:cols w:equalWidth="0" w:num="1">
            <w:col w:w="11240"/>
          </w:cols>
          <w:pgMar w:left="320" w:top="1440"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71" w:lineRule="exact"/>
        <w:rPr>
          <w:sz w:val="20"/>
          <w:szCs w:val="20"/>
          <w:color w:val="auto"/>
        </w:rPr>
      </w:pPr>
    </w:p>
    <w:p>
      <w:pPr>
        <w:ind w:left="680" w:hanging="186"/>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L. Foster, certify that:</w:t>
      </w:r>
    </w:p>
    <w:p>
      <w:pPr>
        <w:spacing w:after="0" w:line="171" w:lineRule="exact"/>
        <w:rPr>
          <w:sz w:val="20"/>
          <w:szCs w:val="20"/>
          <w:color w:val="auto"/>
        </w:rPr>
      </w:pPr>
    </w:p>
    <w:p>
      <w:pPr>
        <w:ind w:left="680" w:hanging="18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Craig L.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Craig L. Foster</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8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520" w:right="520" w:hanging="833"/>
        <w:spacing w:after="0" w:line="235" w:lineRule="auto"/>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480" w:right="160" w:hanging="833"/>
        <w:spacing w:after="0" w:line="235"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8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Craig L. Foster,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20" w:right="720" w:hanging="822"/>
        <w:spacing w:after="0" w:line="235" w:lineRule="auto"/>
        <w:tabs>
          <w:tab w:leader="none" w:pos="1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340" w:right="300" w:hanging="828"/>
        <w:spacing w:after="0" w:line="235" w:lineRule="auto"/>
        <w:tabs>
          <w:tab w:leader="none" w:pos="13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Craig L.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Craig L. Foster</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lowerLetter"/>
      <w:start w:val="2"/>
    </w:lvl>
  </w:abstractNum>
  <w:abstractNum w:abstractNumId="32">
    <w:nsid w:val="51EAD36B"/>
    <w:multiLevelType w:val="hybridMultilevel"/>
    <w:lvl w:ilvl="0">
      <w:lvlJc w:val="left"/>
      <w:lvlText w:val="%1"/>
      <w:numFmt w:val="decimal"/>
      <w:start w:val="2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lowerRoman"/>
      <w:start w:val="2"/>
    </w:lvl>
  </w:abstractNum>
  <w:abstractNum w:abstractNumId="37">
    <w:nsid w:val="70A64E2A"/>
    <w:multiLevelType w:val="hybridMultilevel"/>
    <w:lvl w:ilvl="0">
      <w:lvlJc w:val="left"/>
      <w:lvlText w:val="%1."/>
      <w:numFmt w:val="decimal"/>
      <w:start w:val="12"/>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lowerRoman"/>
      <w:start w:val="3"/>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
      <w:numFmt w:val="bullet"/>
      <w:start w:val="1"/>
    </w:lvl>
    <w:lvl w:ilvl="1">
      <w:lvlJc w:val="left"/>
      <w:lvlText w:val="•"/>
      <w:numFmt w:val="bullet"/>
      <w:start w:val="1"/>
    </w:lvl>
  </w:abstractNum>
  <w:abstractNum w:abstractNumId="45">
    <w:nsid w:val="4B588F5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61" Type="http://schemas.openxmlformats.org/officeDocument/2006/relationships/hyperlink" Target="https://www.sec.gov/Archives/edgar/data/1022652/000102265221000009/insg20210224ex101sharepurc.htm" TargetMode="External"/><Relationship Id="rId62" Type="http://schemas.openxmlformats.org/officeDocument/2006/relationships/hyperlink" Target="http://www.sec.gov/Archives/edgar/data/1022652/000119312516763609/d261554dex31.htm" TargetMode="External"/><Relationship Id="rId63" Type="http://schemas.openxmlformats.org/officeDocument/2006/relationships/hyperlink" Target="http://www.sec.gov/Archives/edgar/data/1022652/000119312516763609/d261554dex32.htm" TargetMode="External"/><Relationship Id="rId64" Type="http://schemas.openxmlformats.org/officeDocument/2006/relationships/hyperlink" Target="http://www.sec.gov/Archives/edgar/data/1022652/000119312518015371/d525985dex31.htm" TargetMode="External"/><Relationship Id="rId65" Type="http://schemas.openxmlformats.org/officeDocument/2006/relationships/hyperlink" Target="http://www.sec.gov/Archives/edgar/data/1022652/000119312519219943/d792529dex31.htm" TargetMode="External"/><Relationship Id="rId66" Type="http://schemas.openxmlformats.org/officeDocument/2006/relationships/hyperlink" Target="http://www.sec.gov/Archives/edgar/data/1022652/000119312520067668/d824727dex31.htm" TargetMode="External"/><Relationship Id="rId67" Type="http://schemas.openxmlformats.org/officeDocument/2006/relationships/hyperlink" Target="http://www.sec.gov/Archives/edgar/data/1022652/000119312516763609/d261554dex41.htm" TargetMode="External"/><Relationship Id="rId68" Type="http://schemas.openxmlformats.org/officeDocument/2006/relationships/hyperlink" Target="https://www.sec.gov/Archives/edgar/data/1022652/000119312520140582/d915288dex41.htm" TargetMode="External"/><Relationship Id="rId69" Type="http://schemas.openxmlformats.org/officeDocument/2006/relationships/hyperlink" Target="https://www.sec.gov/Archives/edgar/data/1022652/000119312520140582/d915288dex42.htm" TargetMode="External"/><Relationship Id="rId70" Type="http://schemas.openxmlformats.org/officeDocument/2006/relationships/hyperlink" Target="http://www.sec.gov/Archives/edgar/data/1022652/000119312519092697/d728442dex41.htm" TargetMode="External"/><Relationship Id="rId71" Type="http://schemas.openxmlformats.org/officeDocument/2006/relationships/hyperlink" Target="http://www.sec.gov/Archives/edgar/data/1022652/000119312519092697/d728442dex42.htm" TargetMode="External"/><Relationship Id="rId72" Type="http://schemas.openxmlformats.org/officeDocument/2006/relationships/hyperlink" Target="http://www.sec.gov/Archives/edgar/data/1022652/000119312518240301/d590620dex43.htm" TargetMode="External"/><Relationship Id="rId73" Type="http://schemas.openxmlformats.org/officeDocument/2006/relationships/hyperlink" Target="http://www.sec.gov/Archives/edgar/data/1022652/000102265217000061/insg20170614ex101amendedan.htm" TargetMode="External"/><Relationship Id="rId76" Type="http://schemas.openxmlformats.org/officeDocument/2006/relationships/hyperlink" Target="https://www.sec.gov/Archives/edgar/data/1022652/000102265220000021/craigfosterofferletter.htm" TargetMode="External"/><Relationship Id="rId77" Type="http://schemas.openxmlformats.org/officeDocument/2006/relationships/hyperlink" Target="https://www.sec.gov/Archives/edgar/data/1022652/000102265220000021/cfosterchangeincontrol.htm" TargetMode="External"/><Relationship Id="rId78" Type="http://schemas.openxmlformats.org/officeDocument/2006/relationships/hyperlink" Target="http://www.sec.gov/Archives/edgar/data/1022652/000102265217000075/insg20170818ex103formofind.htm" TargetMode="External"/><Relationship Id="rId79" Type="http://schemas.openxmlformats.org/officeDocument/2006/relationships/hyperlink" Target="http://www.sec.gov/Archives/edgar/data/1022652/000102265217000055/insg20170605ex101mondoroff.htm" TargetMode="External"/><Relationship Id="rId80" Type="http://schemas.openxmlformats.org/officeDocument/2006/relationships/hyperlink" Target="http://www.sec.gov/Archives/edgar/data/1022652/000102265218000034/insg20180606ex101mondorcha.htm" TargetMode="External"/><Relationship Id="rId81" Type="http://schemas.openxmlformats.org/officeDocument/2006/relationships/hyperlink" Target="http://www.sec.gov/Archives/edgar/data/1022652/000102265217000055/insg20170605ex103mondorind.htm" TargetMode="External"/><Relationship Id="rId82" Type="http://schemas.openxmlformats.org/officeDocument/2006/relationships/hyperlink" Target="http://www.sec.gov/Archives/edgar/data/1022652/000102265217000088/insg20170930ex108amendment.htm" TargetMode="External"/><Relationship Id="rId83" Type="http://schemas.openxmlformats.org/officeDocument/2006/relationships/hyperlink" Target="http://www.sec.gov/Archives/edgar/data/1022652/000102265218000015/insg20171231ex1026inseegoc.htm" TargetMode="External"/><Relationship Id="rId84" Type="http://schemas.openxmlformats.org/officeDocument/2006/relationships/hyperlink" Target="http://www.sec.gov/Archives/edgar/data/1022652/000102265218000015/insg20171231ex1027inseegoc.htm" TargetMode="External"/><Relationship Id="rId85" Type="http://schemas.openxmlformats.org/officeDocument/2006/relationships/hyperlink" Target="https://www.sec.gov/Archives/edgar/data/1022652/000168316820002356/inseego_ex1001.htm" TargetMode="External"/><Relationship Id="rId86" Type="http://schemas.openxmlformats.org/officeDocument/2006/relationships/hyperlink" Target="http://www.sec.gov/Archives/edgar/data/1022652/000119312518240301/d590620dex101.htm" TargetMode="External"/><Relationship Id="rId87" Type="http://schemas.openxmlformats.org/officeDocument/2006/relationships/hyperlink" Target="http://www.sec.gov/Archives/edgar/data/1022652/000119312519219943/d792529dex101.htm" TargetMode="External"/><Relationship Id="rId88" Type="http://schemas.openxmlformats.org/officeDocument/2006/relationships/hyperlink" Target="http://www.sec.gov/Archives/edgar/data/1022652/000119312520067668/d824727dex101.htm" TargetMode="External"/><Relationship Id="rId89" Type="http://schemas.openxmlformats.org/officeDocument/2006/relationships/hyperlink" Target="https://www.sec.gov/Archives/edgar/data/1022652/000102265221000009/insg20210224ex102assignmen.htm" TargetMode="External"/><Relationship Id="rId90" Type="http://schemas.openxmlformats.org/officeDocument/2006/relationships/hyperlink" Target="https://www.sec.gov/Archives/edgar/data/1022652/000102265221000009/insg20210224ex103transitio.htm" TargetMode="External"/><Relationship Id="rId91" Type="http://schemas.openxmlformats.org/officeDocument/2006/relationships/hyperlink" Target="https://www.sec.gov/Archives/edgar/data/1022652/000102265221000009/insg20210224ex104trademark.htm" TargetMode="External"/><Relationship Id="rId92" Type="http://schemas.openxmlformats.org/officeDocument/2006/relationships/hyperlink" Target="https://www.sec.gov/Archives/edgar/data/1022652/000102265220000007/insg20191231ex21subsi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2021-03-01T16:26:14Z</dcterms:created>
  <dcterms:modified xsi:type="dcterms:W3CDTF">2021-03-01T16:26:14Z</dcterms:modified>
</cp:coreProperties>
</file>