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133350</wp:posOffset>
            </wp:positionV>
            <wp:extent cx="1320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7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41275</wp:posOffset>
            </wp:positionV>
            <wp:extent cx="1320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8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ind w:left="380" w:hanging="345"/>
        <w:spacing w:after="0" w:line="226" w:lineRule="auto"/>
        <w:tabs>
          <w:tab w:leader="none" w:pos="3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960" w:type="dxa"/>
            <w:vAlign w:val="bottom"/>
            <w:tcBorders>
              <w:bottom w:val="single" w:sz="8" w:color="auto"/>
            </w:tcBorders>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4540" w:type="dxa"/>
            <w:vAlign w:val="bottom"/>
            <w:gridSpan w:val="4"/>
          </w:tcPr>
          <w:p>
            <w:pPr>
              <w:ind w:left="920"/>
              <w:spacing w:after="0"/>
              <w:rPr>
                <w:sz w:val="20"/>
                <w:szCs w:val="20"/>
                <w:color w:val="auto"/>
              </w:rPr>
            </w:pPr>
            <w:r>
              <w:rPr>
                <w:rFonts w:ascii="Arial" w:cs="Arial" w:eastAsia="Arial" w:hAnsi="Arial"/>
                <w:sz w:val="18"/>
                <w:szCs w:val="18"/>
                <w:b w:val="1"/>
                <w:bCs w:val="1"/>
                <w:color w:val="auto"/>
              </w:rPr>
              <w:t>Commission File Number: 001-38358</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120015</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49" w:lineRule="exact"/>
        <w:rPr>
          <w:sz w:val="24"/>
          <w:szCs w:val="24"/>
          <w:color w:val="auto"/>
        </w:rPr>
      </w:pPr>
    </w:p>
    <w:tbl>
      <w:tblPr>
        <w:tblLayout w:type="fixed"/>
        <w:tblInd w:w="1440" w:type="dxa"/>
        <w:tblCellMar>
          <w:top w:w="0" w:type="dxa"/>
          <w:left w:w="0" w:type="dxa"/>
          <w:bottom w:w="0" w:type="dxa"/>
          <w:right w:w="0" w:type="dxa"/>
        </w:tblCellMar>
      </w:tblPr>
      <w:tr>
        <w:trPr>
          <w:trHeight w:val="383"/>
        </w:trPr>
        <w:tc>
          <w:tcPr>
            <w:tcW w:w="2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80" w:type="dxa"/>
            <w:vAlign w:val="bottom"/>
            <w:gridSpan w:val="2"/>
          </w:tcPr>
          <w:p>
            <w:pPr>
              <w:jc w:val="center"/>
              <w:ind w:right="1928"/>
              <w:spacing w:after="0"/>
              <w:rPr>
                <w:sz w:val="20"/>
                <w:szCs w:val="20"/>
                <w:color w:val="auto"/>
              </w:rPr>
            </w:pPr>
            <w:r>
              <w:rPr>
                <w:rFonts w:ascii="Arial" w:cs="Arial" w:eastAsia="Arial" w:hAnsi="Arial"/>
                <w:sz w:val="32"/>
                <w:szCs w:val="32"/>
                <w:b w:val="1"/>
                <w:bCs w:val="1"/>
                <w:color w:val="auto"/>
                <w:w w:val="99"/>
              </w:rPr>
              <w:t>INSEEGO CORP.</w:t>
            </w:r>
          </w:p>
        </w:tc>
      </w:tr>
      <w:tr>
        <w:trPr>
          <w:trHeight w:val="192"/>
        </w:trPr>
        <w:tc>
          <w:tcPr>
            <w:tcW w:w="22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jc w:val="center"/>
              <w:ind w:right="41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80" w:type="dxa"/>
            <w:vAlign w:val="bottom"/>
          </w:tcPr>
          <w:p>
            <w:pPr>
              <w:spacing w:after="0"/>
              <w:rPr>
                <w:sz w:val="16"/>
                <w:szCs w:val="16"/>
                <w:color w:val="auto"/>
              </w:rPr>
            </w:pPr>
          </w:p>
        </w:tc>
      </w:tr>
      <w:tr>
        <w:trPr>
          <w:trHeight w:val="378"/>
        </w:trPr>
        <w:tc>
          <w:tcPr>
            <w:tcW w:w="2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8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81-3377646</w:t>
            </w:r>
          </w:p>
        </w:tc>
      </w:tr>
      <w:tr>
        <w:trPr>
          <w:trHeight w:val="180"/>
        </w:trPr>
        <w:tc>
          <w:tcPr>
            <w:tcW w:w="2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(State or Other Jurisdiction</w:t>
            </w:r>
          </w:p>
        </w:tc>
        <w:tc>
          <w:tcPr>
            <w:tcW w:w="3700" w:type="dxa"/>
            <w:vAlign w:val="bottom"/>
          </w:tcPr>
          <w:p>
            <w:pPr>
              <w:spacing w:after="0"/>
              <w:rPr>
                <w:sz w:val="15"/>
                <w:szCs w:val="15"/>
                <w:color w:val="auto"/>
              </w:rPr>
            </w:pPr>
          </w:p>
        </w:tc>
        <w:tc>
          <w:tcPr>
            <w:tcW w:w="1480" w:type="dxa"/>
            <w:vAlign w:val="bottom"/>
          </w:tcPr>
          <w:p>
            <w:pPr>
              <w:jc w:val="center"/>
              <w:ind w:left="28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of Incorporation or Organization)</w:t>
            </w:r>
          </w:p>
        </w:tc>
        <w:tc>
          <w:tcPr>
            <w:tcW w:w="3700" w:type="dxa"/>
            <w:vAlign w:val="bottom"/>
          </w:tcPr>
          <w:p>
            <w:pPr>
              <w:spacing w:after="0"/>
              <w:rPr>
                <w:sz w:val="16"/>
                <w:szCs w:val="16"/>
                <w:color w:val="auto"/>
              </w:rPr>
            </w:pPr>
          </w:p>
        </w:tc>
        <w:tc>
          <w:tcPr>
            <w:tcW w:w="14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12600 Deerfield Parkway, Suite 100</w:t>
            </w:r>
          </w:p>
        </w:tc>
        <w:tc>
          <w:tcPr>
            <w:tcW w:w="37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2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Alpharetta, Georgia</w:t>
            </w:r>
          </w:p>
        </w:tc>
        <w:tc>
          <w:tcPr>
            <w:tcW w:w="518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rPr>
              <w:t>30004</w:t>
            </w:r>
          </w:p>
        </w:tc>
      </w:tr>
      <w:tr>
        <w:trPr>
          <w:trHeight w:val="218"/>
        </w:trPr>
        <w:tc>
          <w:tcPr>
            <w:tcW w:w="2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700" w:type="dxa"/>
            <w:vAlign w:val="bottom"/>
          </w:tcPr>
          <w:p>
            <w:pPr>
              <w:spacing w:after="0"/>
              <w:rPr>
                <w:sz w:val="18"/>
                <w:szCs w:val="18"/>
                <w:color w:val="auto"/>
              </w:rPr>
            </w:pPr>
          </w:p>
        </w:tc>
        <w:tc>
          <w:tcPr>
            <w:tcW w:w="1480" w:type="dxa"/>
            <w:vAlign w:val="bottom"/>
          </w:tcPr>
          <w:p>
            <w:pPr>
              <w:jc w:val="center"/>
              <w:ind w:left="288"/>
              <w:spacing w:after="0"/>
              <w:rPr>
                <w:sz w:val="20"/>
                <w:szCs w:val="20"/>
                <w:color w:val="auto"/>
              </w:rPr>
            </w:pPr>
            <w:r>
              <w:rPr>
                <w:rFonts w:ascii="Arial" w:cs="Arial" w:eastAsia="Arial" w:hAnsi="Arial"/>
                <w:sz w:val="14"/>
                <w:szCs w:val="14"/>
                <w:b w:val="1"/>
                <w:bCs w:val="1"/>
                <w:color w:val="auto"/>
                <w:w w:val="98"/>
              </w:rPr>
              <w:t>(Zip Code)</w:t>
            </w:r>
          </w:p>
        </w:tc>
      </w:tr>
    </w:tbl>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94" w:lineRule="exact"/>
        <w:rPr>
          <w:sz w:val="24"/>
          <w:szCs w:val="24"/>
          <w:color w:val="auto"/>
        </w:rPr>
      </w:pPr>
    </w:p>
    <w:p>
      <w:pPr>
        <w:ind w:right="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9" w:lineRule="exact"/>
        <w:rPr>
          <w:sz w:val="24"/>
          <w:szCs w:val="24"/>
          <w:color w:val="auto"/>
        </w:rPr>
      </w:pPr>
    </w:p>
    <w:p>
      <w:pPr>
        <w:ind w:right="120" w:firstLine="432"/>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00" w:val="left"/>
        </w:tabs>
        <w:rPr>
          <w:sz w:val="20"/>
          <w:szCs w:val="20"/>
          <w:color w:val="auto"/>
        </w:rPr>
      </w:pPr>
      <w:r>
        <w:rPr>
          <w:rFonts w:ascii="Arial" w:cs="Arial" w:eastAsia="Arial" w:hAnsi="Arial"/>
          <w:sz w:val="18"/>
          <w:szCs w:val="18"/>
          <w:color w:val="auto"/>
        </w:rPr>
        <w:t>files).</w:t>
        <w:tab/>
        <w:t>Yes x</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1" w:lineRule="exact"/>
        <w:rPr>
          <w:sz w:val="24"/>
          <w:szCs w:val="24"/>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04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04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283"/>
        </w:trPr>
        <w:tc>
          <w:tcPr>
            <w:tcW w:w="1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40" w:type="dxa"/>
            <w:vAlign w:val="bottom"/>
          </w:tcPr>
          <w:p>
            <w:pPr>
              <w:ind w:left="304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w:t>
      </w:r>
      <w:r>
        <w:rPr>
          <w:rFonts w:ascii="Arial" w:cs="Arial" w:eastAsia="Arial" w:hAnsi="Arial"/>
          <w:sz w:val="16"/>
          <w:szCs w:val="16"/>
          <w:color w:val="auto"/>
        </w:rPr>
        <w:t>(as defined in Rule 12b-2 of the Exchange Act)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4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each class</w:t>
            </w:r>
          </w:p>
        </w:tc>
        <w:tc>
          <w:tcPr>
            <w:tcW w:w="2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22"/>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par value $0.001 per share</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INSG</w:t>
            </w: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Nasdaq Global Select Market</w:t>
            </w:r>
          </w:p>
        </w:tc>
      </w:tr>
      <w:tr>
        <w:trPr>
          <w:trHeight w:val="230"/>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Preferred Stock Purchase Rights</w:t>
            </w:r>
          </w:p>
        </w:tc>
        <w:tc>
          <w:tcPr>
            <w:tcW w:w="286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May 3, 2019 was 78,733,610.</w:t>
      </w:r>
    </w:p>
    <w:p>
      <w:pPr>
        <w:sectPr>
          <w:pgSz w:w="11900" w:h="16838" w:orient="portrait"/>
          <w:cols w:equalWidth="0" w:num="1">
            <w:col w:w="11440"/>
          </w:cols>
          <w:pgMar w:left="240" w:top="247"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11"/>
        </w:trPr>
        <w:tc>
          <w:tcPr>
            <w:tcW w:w="874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I—FINANCIAL INFORMATION</w:t>
              </w:r>
            </w:hyperlink>
          </w:p>
        </w:tc>
        <w:tc>
          <w:tcPr>
            <w:tcW w:w="460" w:type="dxa"/>
            <w:vAlign w:val="bottom"/>
          </w:tcPr>
          <w:p>
            <w:pPr>
              <w:spacing w:after="0"/>
              <w:rPr>
                <w:sz w:val="24"/>
                <w:szCs w:val="24"/>
                <w:color w:val="auto"/>
              </w:rPr>
            </w:pPr>
          </w:p>
        </w:tc>
      </w:tr>
      <w:tr>
        <w:trPr>
          <w:trHeight w:val="527"/>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8040" w:type="dxa"/>
            <w:vAlign w:val="bottom"/>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4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Condensed Consolidated Balance Sheets (Unaudited)</w:t>
              </w:r>
            </w:hyperlink>
          </w:p>
        </w:tc>
        <w:tc>
          <w:tcPr>
            <w:tcW w:w="4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Operations (Unaudited)</w:t>
              </w:r>
            </w:hyperlink>
          </w:p>
        </w:tc>
        <w:tc>
          <w:tcPr>
            <w:tcW w:w="46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Comprehensive Loss (Unaudited)</w:t>
              </w:r>
            </w:hyperlink>
          </w:p>
        </w:tc>
        <w:tc>
          <w:tcPr>
            <w:tcW w:w="46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Condensed Consolidated Statements of Stockholders’ Deficit (Unaudited)</w:t>
            </w:r>
          </w:p>
        </w:tc>
        <w:tc>
          <w:tcPr>
            <w:tcW w:w="46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7">
              <w:r>
                <w:rPr>
                  <w:rFonts w:ascii="Arial" w:cs="Arial" w:eastAsia="Arial" w:hAnsi="Arial"/>
                  <w:sz w:val="18"/>
                  <w:szCs w:val="18"/>
                  <w:color w:val="auto"/>
                </w:rPr>
                <w:t>Condensed Consolidated Statements of Cash Flows (Unaudited)</w:t>
              </w:r>
            </w:hyperlink>
          </w:p>
        </w:tc>
        <w:tc>
          <w:tcPr>
            <w:tcW w:w="46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46"/>
        </w:trPr>
        <w:tc>
          <w:tcPr>
            <w:tcW w:w="700" w:type="dxa"/>
            <w:vAlign w:val="bottom"/>
          </w:tcPr>
          <w:p>
            <w:pPr>
              <w:spacing w:after="0"/>
              <w:rPr>
                <w:sz w:val="24"/>
                <w:szCs w:val="24"/>
                <w:color w:val="auto"/>
              </w:rPr>
            </w:pPr>
          </w:p>
        </w:tc>
        <w:tc>
          <w:tcPr>
            <w:tcW w:w="8040" w:type="dxa"/>
            <w:vAlign w:val="bottom"/>
          </w:tcPr>
          <w:p>
            <w:pPr>
              <w:ind w:left="60"/>
              <w:spacing w:after="0"/>
              <w:rPr>
                <w:rFonts w:ascii="Arial" w:cs="Arial" w:eastAsia="Arial" w:hAnsi="Arial"/>
                <w:sz w:val="18"/>
                <w:szCs w:val="18"/>
                <w:color w:val="auto"/>
              </w:rPr>
            </w:pPr>
            <w:hyperlink w:anchor="page8">
              <w:r>
                <w:rPr>
                  <w:rFonts w:ascii="Arial" w:cs="Arial" w:eastAsia="Arial" w:hAnsi="Arial"/>
                  <w:sz w:val="18"/>
                  <w:szCs w:val="18"/>
                  <w:color w:val="auto"/>
                </w:rPr>
                <w:t>Notes to Condensed Consolidated Financial Statements (Unaudited)</w:t>
              </w:r>
            </w:hyperlink>
          </w:p>
        </w:tc>
        <w:tc>
          <w:tcPr>
            <w:tcW w:w="46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tcPr>
          <w:p>
            <w:pPr>
              <w:ind w:left="60"/>
              <w:spacing w:after="0"/>
              <w:rPr>
                <w:rFonts w:ascii="Arial" w:cs="Arial" w:eastAsia="Arial" w:hAnsi="Arial"/>
                <w:sz w:val="18"/>
                <w:szCs w:val="18"/>
                <w:color w:val="auto"/>
              </w:rPr>
            </w:pPr>
            <w:hyperlink w:anchor="page21">
              <w:r>
                <w:rPr>
                  <w:rFonts w:ascii="Arial" w:cs="Arial" w:eastAsia="Arial" w:hAnsi="Arial"/>
                  <w:sz w:val="18"/>
                  <w:szCs w:val="18"/>
                  <w:color w:val="auto"/>
                </w:rPr>
                <w:t>Management’s Discussion and Analysis of Financial Condition and Results of Operations</w:t>
              </w:r>
            </w:hyperlink>
          </w:p>
        </w:tc>
        <w:tc>
          <w:tcPr>
            <w:tcW w:w="460" w:type="dxa"/>
            <w:vAlign w:val="bottom"/>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8040" w:type="dxa"/>
            <w:vAlign w:val="bottom"/>
          </w:tcPr>
          <w:p>
            <w:pPr>
              <w:ind w:left="60"/>
              <w:spacing w:after="0"/>
              <w:rPr>
                <w:rFonts w:ascii="Arial" w:cs="Arial" w:eastAsia="Arial" w:hAnsi="Arial"/>
                <w:sz w:val="18"/>
                <w:szCs w:val="18"/>
                <w:color w:val="auto"/>
              </w:rPr>
            </w:pPr>
            <w:hyperlink w:anchor="page30">
              <w:r>
                <w:rPr>
                  <w:rFonts w:ascii="Arial" w:cs="Arial" w:eastAsia="Arial" w:hAnsi="Arial"/>
                  <w:sz w:val="18"/>
                  <w:szCs w:val="18"/>
                  <w:color w:val="auto"/>
                </w:rPr>
                <w:t>Quantitative and Qualitative Disclosures About Market Risk</w:t>
              </w:r>
            </w:hyperlink>
          </w:p>
        </w:tc>
        <w:tc>
          <w:tcPr>
            <w:tcW w:w="46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8040" w:type="dxa"/>
            <w:vAlign w:val="bottom"/>
          </w:tcPr>
          <w:p>
            <w:pPr>
              <w:ind w:left="60"/>
              <w:spacing w:after="0"/>
              <w:rPr>
                <w:rFonts w:ascii="Arial" w:cs="Arial" w:eastAsia="Arial" w:hAnsi="Arial"/>
                <w:sz w:val="18"/>
                <w:szCs w:val="18"/>
                <w:color w:val="auto"/>
              </w:rPr>
            </w:pPr>
            <w:hyperlink w:anchor="page30">
              <w:r>
                <w:rPr>
                  <w:rFonts w:ascii="Arial" w:cs="Arial" w:eastAsia="Arial" w:hAnsi="Arial"/>
                  <w:sz w:val="18"/>
                  <w:szCs w:val="18"/>
                  <w:color w:val="auto"/>
                </w:rPr>
                <w:t>Controls and Procedures</w:t>
              </w:r>
            </w:hyperlink>
          </w:p>
        </w:tc>
        <w:tc>
          <w:tcPr>
            <w:tcW w:w="46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446"/>
        </w:trPr>
        <w:tc>
          <w:tcPr>
            <w:tcW w:w="8740" w:type="dxa"/>
            <w:vAlign w:val="bottom"/>
            <w:gridSpan w:val="2"/>
          </w:tcPr>
          <w:p>
            <w:pPr>
              <w:spacing w:after="0"/>
              <w:rPr>
                <w:rFonts w:ascii="Arial" w:cs="Arial" w:eastAsia="Arial" w:hAnsi="Arial"/>
                <w:sz w:val="18"/>
                <w:szCs w:val="18"/>
                <w:color w:val="auto"/>
              </w:rPr>
            </w:pPr>
            <w:hyperlink w:anchor="page31">
              <w:r>
                <w:rPr>
                  <w:rFonts w:ascii="Arial" w:cs="Arial" w:eastAsia="Arial" w:hAnsi="Arial"/>
                  <w:sz w:val="18"/>
                  <w:szCs w:val="18"/>
                  <w:color w:val="auto"/>
                </w:rPr>
                <w:t>PART II—OTHER INFORMATION</w:t>
              </w:r>
            </w:hyperlink>
          </w:p>
        </w:tc>
        <w:tc>
          <w:tcPr>
            <w:tcW w:w="460" w:type="dxa"/>
            <w:vAlign w:val="bottom"/>
          </w:tcPr>
          <w:p>
            <w:pPr>
              <w:spacing w:after="0"/>
              <w:rPr>
                <w:sz w:val="24"/>
                <w:szCs w:val="24"/>
                <w:color w:val="auto"/>
              </w:rPr>
            </w:pPr>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8040" w:type="dxa"/>
            <w:vAlign w:val="bottom"/>
          </w:tcPr>
          <w:p>
            <w:pPr>
              <w:ind w:left="60"/>
              <w:spacing w:after="0"/>
              <w:rPr>
                <w:rFonts w:ascii="Arial" w:cs="Arial" w:eastAsia="Arial" w:hAnsi="Arial"/>
                <w:sz w:val="18"/>
                <w:szCs w:val="18"/>
                <w:color w:val="auto"/>
              </w:rPr>
            </w:pPr>
            <w:hyperlink w:anchor="page31">
              <w:r>
                <w:rPr>
                  <w:rFonts w:ascii="Arial" w:cs="Arial" w:eastAsia="Arial" w:hAnsi="Arial"/>
                  <w:sz w:val="18"/>
                  <w:szCs w:val="18"/>
                  <w:color w:val="auto"/>
                </w:rPr>
                <w:t>Legal Proceedings</w:t>
              </w:r>
            </w:hyperlink>
          </w:p>
        </w:tc>
        <w:tc>
          <w:tcPr>
            <w:tcW w:w="46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1A.</w:t>
            </w:r>
          </w:p>
        </w:tc>
        <w:tc>
          <w:tcPr>
            <w:tcW w:w="8040" w:type="dxa"/>
            <w:vAlign w:val="bottom"/>
          </w:tcPr>
          <w:p>
            <w:pPr>
              <w:ind w:left="60"/>
              <w:spacing w:after="0"/>
              <w:rPr>
                <w:rFonts w:ascii="Arial" w:cs="Arial" w:eastAsia="Arial" w:hAnsi="Arial"/>
                <w:sz w:val="18"/>
                <w:szCs w:val="18"/>
                <w:color w:val="auto"/>
              </w:rPr>
            </w:pPr>
            <w:hyperlink w:anchor="page31">
              <w:r>
                <w:rPr>
                  <w:rFonts w:ascii="Arial" w:cs="Arial" w:eastAsia="Arial" w:hAnsi="Arial"/>
                  <w:sz w:val="18"/>
                  <w:szCs w:val="18"/>
                  <w:color w:val="auto"/>
                </w:rPr>
                <w:t>Risk Factors</w:t>
              </w:r>
            </w:hyperlink>
          </w:p>
        </w:tc>
        <w:tc>
          <w:tcPr>
            <w:tcW w:w="46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tcPr>
          <w:p>
            <w:pPr>
              <w:ind w:left="60"/>
              <w:spacing w:after="0"/>
              <w:rPr>
                <w:rFonts w:ascii="Arial" w:cs="Arial" w:eastAsia="Arial" w:hAnsi="Arial"/>
                <w:sz w:val="18"/>
                <w:szCs w:val="18"/>
                <w:color w:val="auto"/>
              </w:rPr>
            </w:pPr>
            <w:hyperlink w:anchor="page31">
              <w:r>
                <w:rPr>
                  <w:rFonts w:ascii="Arial" w:cs="Arial" w:eastAsia="Arial" w:hAnsi="Arial"/>
                  <w:sz w:val="18"/>
                  <w:szCs w:val="18"/>
                  <w:color w:val="auto"/>
                </w:rPr>
                <w:t>Unregistered Sales of Equity Securities and Use of Proceeds</w:t>
              </w:r>
            </w:hyperlink>
          </w:p>
        </w:tc>
        <w:tc>
          <w:tcPr>
            <w:tcW w:w="46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8040" w:type="dxa"/>
            <w:vAlign w:val="bottom"/>
          </w:tcPr>
          <w:p>
            <w:pPr>
              <w:ind w:left="60"/>
              <w:spacing w:after="0"/>
              <w:rPr>
                <w:rFonts w:ascii="Arial" w:cs="Arial" w:eastAsia="Arial" w:hAnsi="Arial"/>
                <w:sz w:val="18"/>
                <w:szCs w:val="18"/>
                <w:color w:val="auto"/>
              </w:rPr>
            </w:pPr>
            <w:hyperlink w:anchor="page31">
              <w:r>
                <w:rPr>
                  <w:rFonts w:ascii="Arial" w:cs="Arial" w:eastAsia="Arial" w:hAnsi="Arial"/>
                  <w:sz w:val="18"/>
                  <w:szCs w:val="18"/>
                  <w:color w:val="auto"/>
                </w:rPr>
                <w:t>Defaults Upon Senior Securities</w:t>
              </w:r>
            </w:hyperlink>
          </w:p>
        </w:tc>
        <w:tc>
          <w:tcPr>
            <w:tcW w:w="46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8040" w:type="dxa"/>
            <w:vAlign w:val="bottom"/>
          </w:tcPr>
          <w:p>
            <w:pPr>
              <w:ind w:left="60"/>
              <w:spacing w:after="0"/>
              <w:rPr>
                <w:rFonts w:ascii="Arial" w:cs="Arial" w:eastAsia="Arial" w:hAnsi="Arial"/>
                <w:sz w:val="18"/>
                <w:szCs w:val="18"/>
                <w:color w:val="auto"/>
              </w:rPr>
            </w:pPr>
            <w:hyperlink w:anchor="page31">
              <w:r>
                <w:rPr>
                  <w:rFonts w:ascii="Arial" w:cs="Arial" w:eastAsia="Arial" w:hAnsi="Arial"/>
                  <w:sz w:val="18"/>
                  <w:szCs w:val="18"/>
                  <w:color w:val="auto"/>
                </w:rPr>
                <w:t>Mine Safety Disclosures</w:t>
              </w:r>
            </w:hyperlink>
          </w:p>
        </w:tc>
        <w:tc>
          <w:tcPr>
            <w:tcW w:w="46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5.</w:t>
            </w:r>
          </w:p>
        </w:tc>
        <w:tc>
          <w:tcPr>
            <w:tcW w:w="8040" w:type="dxa"/>
            <w:vAlign w:val="bottom"/>
          </w:tcPr>
          <w:p>
            <w:pPr>
              <w:ind w:left="60"/>
              <w:spacing w:after="0"/>
              <w:rPr>
                <w:rFonts w:ascii="Arial" w:cs="Arial" w:eastAsia="Arial" w:hAnsi="Arial"/>
                <w:sz w:val="18"/>
                <w:szCs w:val="18"/>
                <w:color w:val="auto"/>
              </w:rPr>
            </w:pPr>
            <w:hyperlink w:anchor="page31">
              <w:r>
                <w:rPr>
                  <w:rFonts w:ascii="Arial" w:cs="Arial" w:eastAsia="Arial" w:hAnsi="Arial"/>
                  <w:sz w:val="18"/>
                  <w:szCs w:val="18"/>
                  <w:color w:val="auto"/>
                </w:rPr>
                <w:t>Other Information</w:t>
              </w:r>
            </w:hyperlink>
          </w:p>
        </w:tc>
        <w:tc>
          <w:tcPr>
            <w:tcW w:w="46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446"/>
        </w:trPr>
        <w:tc>
          <w:tcPr>
            <w:tcW w:w="700" w:type="dxa"/>
            <w:vAlign w:val="bottom"/>
          </w:tcPr>
          <w:p>
            <w:pPr>
              <w:spacing w:after="0"/>
              <w:rPr>
                <w:sz w:val="20"/>
                <w:szCs w:val="20"/>
                <w:color w:val="auto"/>
              </w:rPr>
            </w:pPr>
            <w:r>
              <w:rPr>
                <w:rFonts w:ascii="Arial" w:cs="Arial" w:eastAsia="Arial" w:hAnsi="Arial"/>
                <w:sz w:val="18"/>
                <w:szCs w:val="18"/>
                <w:color w:val="auto"/>
              </w:rPr>
              <w:t>Item 6.</w:t>
            </w:r>
          </w:p>
        </w:tc>
        <w:tc>
          <w:tcPr>
            <w:tcW w:w="8040" w:type="dxa"/>
            <w:vAlign w:val="bottom"/>
          </w:tcPr>
          <w:p>
            <w:pPr>
              <w:ind w:left="60"/>
              <w:spacing w:after="0"/>
              <w:rPr>
                <w:rFonts w:ascii="Arial" w:cs="Arial" w:eastAsia="Arial" w:hAnsi="Arial"/>
                <w:sz w:val="18"/>
                <w:szCs w:val="18"/>
                <w:color w:val="auto"/>
              </w:rPr>
            </w:pPr>
            <w:hyperlink w:anchor="page32">
              <w:r>
                <w:rPr>
                  <w:rFonts w:ascii="Arial" w:cs="Arial" w:eastAsia="Arial" w:hAnsi="Arial"/>
                  <w:sz w:val="18"/>
                  <w:szCs w:val="18"/>
                  <w:color w:val="auto"/>
                </w:rPr>
                <w:t>Exhibits</w:t>
              </w:r>
            </w:hyperlink>
          </w:p>
        </w:tc>
        <w:tc>
          <w:tcPr>
            <w:tcW w:w="46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446"/>
        </w:trPr>
        <w:tc>
          <w:tcPr>
            <w:tcW w:w="8740" w:type="dxa"/>
            <w:vAlign w:val="bottom"/>
            <w:gridSpan w:val="2"/>
          </w:tcPr>
          <w:p>
            <w:pPr>
              <w:spacing w:after="0"/>
              <w:rPr>
                <w:rFonts w:ascii="Arial" w:cs="Arial" w:eastAsia="Arial" w:hAnsi="Arial"/>
                <w:sz w:val="18"/>
                <w:szCs w:val="18"/>
                <w:color w:val="auto"/>
              </w:rPr>
            </w:pPr>
            <w:hyperlink w:anchor="page33">
              <w:r>
                <w:rPr>
                  <w:rFonts w:ascii="Arial" w:cs="Arial" w:eastAsia="Arial" w:hAnsi="Arial"/>
                  <w:sz w:val="18"/>
                  <w:szCs w:val="18"/>
                  <w:color w:val="auto"/>
                </w:rPr>
                <w:t>SIGNATURES</w:t>
              </w:r>
            </w:hyperlink>
          </w:p>
        </w:tc>
        <w:tc>
          <w:tcPr>
            <w:tcW w:w="46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bl>
    <w:p>
      <w:pPr>
        <w:sectPr>
          <w:pgSz w:w="11900" w:h="16838" w:orient="portrait"/>
          <w:cols w:equalWidth="0" w:num="1">
            <w:col w:w="9200"/>
          </w:cols>
          <w:pgMar w:left="1360" w:top="364" w:right="1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par value and share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10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8"/>
        </w:trPr>
        <w:tc>
          <w:tcPr>
            <w:tcW w:w="8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800" w:type="dxa"/>
            <w:vAlign w:val="bottom"/>
          </w:tcPr>
          <w:p>
            <w:pPr>
              <w:ind w:left="410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8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31,015</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 of allowance for doubtful accounts of $1,859 and $1,841,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20,633</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33,288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26,431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6,212</w:t>
            </w:r>
          </w:p>
        </w:tc>
        <w:tc>
          <w:tcPr>
            <w:tcW w:w="0" w:type="dxa"/>
            <w:vAlign w:val="bottom"/>
          </w:tcPr>
          <w:p>
            <w:pPr>
              <w:spacing w:after="0"/>
              <w:rPr>
                <w:sz w:val="1"/>
                <w:szCs w:val="1"/>
                <w:color w:val="auto"/>
              </w:rPr>
            </w:pP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94,800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84,352</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 of accumulated depreciation of $19,016 and $18,436,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6,698</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Rental assets, net of accumulated depreciation of $11,248 and $10,879, respectively</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5,404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5,769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 of accumulated amortization of $24,003 and $22,101,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31,985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32,776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32,942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Right-of-use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177,602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162,256</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620"/>
              <w:spacing w:after="0"/>
              <w:rPr>
                <w:sz w:val="20"/>
                <w:szCs w:val="20"/>
                <w:color w:val="auto"/>
              </w:rPr>
            </w:pPr>
            <w:r>
              <w:rPr>
                <w:rFonts w:ascii="Arial" w:cs="Arial" w:eastAsia="Arial" w:hAnsi="Arial"/>
                <w:sz w:val="16"/>
                <w:szCs w:val="16"/>
                <w:b w:val="1"/>
                <w:bCs w:val="1"/>
                <w:color w:val="auto"/>
              </w:rPr>
              <w:t>LIABILITIES AND STOCKHOLDERS’ DEFICIT</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42,732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39,245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13,024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DigiCore bank facilities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61,394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53,681</w:t>
            </w:r>
          </w:p>
        </w:tc>
        <w:tc>
          <w:tcPr>
            <w:tcW w:w="0" w:type="dxa"/>
            <w:vAlign w:val="bottom"/>
          </w:tcPr>
          <w:p>
            <w:pPr>
              <w:spacing w:after="0"/>
              <w:rPr>
                <w:sz w:val="1"/>
                <w:szCs w:val="1"/>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Convertible senior notes,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93,054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Term loan, net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45,419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45,046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tax liabilities,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3,871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2,543</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198,781</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Preferred stock, par value $0.001; 2,000,000 shares authorized and none outstanding</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8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Common stock, par value $0.001; 150,000,000 shares authorized, 78,699,005 and 73,979,882 shares issued and outstanding,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558,208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546,230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(4,877)</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(585,302)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(577,817)</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deficit attributable to Inseego Corp.</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(36,390)</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(36,525)</w:t>
            </w:r>
          </w:p>
        </w:tc>
        <w:tc>
          <w:tcPr>
            <w:tcW w:w="0" w:type="dxa"/>
            <w:vAlign w:val="bottom"/>
          </w:tcPr>
          <w:p>
            <w:pPr>
              <w:spacing w:after="0"/>
              <w:rPr>
                <w:sz w:val="1"/>
                <w:szCs w:val="1"/>
                <w:color w:val="auto"/>
              </w:rPr>
            </w:pPr>
          </w:p>
        </w:tc>
      </w:tr>
      <w:tr>
        <w:trPr>
          <w:trHeight w:val="244"/>
        </w:trPr>
        <w:tc>
          <w:tcPr>
            <w:tcW w:w="8800" w:type="dxa"/>
            <w:vAlign w:val="bottom"/>
          </w:tcPr>
          <w:p>
            <w:pPr>
              <w:ind w:left="720"/>
              <w:spacing w:after="0"/>
              <w:rPr>
                <w:sz w:val="20"/>
                <w:szCs w:val="20"/>
                <w:color w:val="auto"/>
              </w:rPr>
            </w:pPr>
            <w:r>
              <w:rPr>
                <w:rFonts w:ascii="Arial" w:cs="Arial" w:eastAsia="Arial" w:hAnsi="Arial"/>
                <w:sz w:val="16"/>
                <w:szCs w:val="16"/>
                <w:color w:val="auto"/>
              </w:rPr>
              <w:t>Total liabilities and stockholders’ deficit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177,602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162,256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44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45"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29"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IoT &amp; Mobile Solutions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32,781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28,880</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Enterprise SaaS Solutions</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15,775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17,853</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net revenues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48,556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46,733</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IoT &amp; Mobile Solutions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23,752</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Enterprise SaaS Solutions</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6,196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6,862</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abandoned product line, net of recoveries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17"/>
        </w:trPr>
        <w:tc>
          <w:tcPr>
            <w:tcW w:w="9020" w:type="dxa"/>
            <w:vAlign w:val="bottom"/>
          </w:tcPr>
          <w:p>
            <w:pPr>
              <w:ind w:left="500"/>
              <w:spacing w:after="0"/>
              <w:rPr>
                <w:sz w:val="20"/>
                <w:szCs w:val="20"/>
                <w:color w:val="auto"/>
              </w:rPr>
            </w:pPr>
            <w:r>
              <w:rPr>
                <w:rFonts w:ascii="Arial" w:cs="Arial" w:eastAsia="Arial" w:hAnsi="Arial"/>
                <w:sz w:val="16"/>
                <w:szCs w:val="16"/>
                <w:color w:val="auto"/>
              </w:rPr>
              <w:t>Total cost of net revenues</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33,796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31,190</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15,543</w:t>
            </w:r>
          </w:p>
        </w:tc>
        <w:tc>
          <w:tcPr>
            <w:tcW w:w="0" w:type="dxa"/>
            <w:vAlign w:val="bottom"/>
          </w:tcPr>
          <w:p>
            <w:pPr>
              <w:spacing w:after="0"/>
              <w:rPr>
                <w:sz w:val="1"/>
                <w:szCs w:val="1"/>
                <w:color w:val="auto"/>
              </w:rPr>
            </w:pPr>
          </w:p>
        </w:tc>
      </w:tr>
      <w:tr>
        <w:trPr>
          <w:trHeight w:val="231"/>
        </w:trPr>
        <w:tc>
          <w:tcPr>
            <w:tcW w:w="902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4,976</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6,391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5,415</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6,495</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Amortization of purchased intangible assets</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charges, net of recoveries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7"/>
        </w:trPr>
        <w:tc>
          <w:tcPr>
            <w:tcW w:w="9020" w:type="dxa"/>
            <w:vAlign w:val="bottom"/>
          </w:tcPr>
          <w:p>
            <w:pPr>
              <w:ind w:left="500"/>
              <w:spacing w:after="0"/>
              <w:rPr>
                <w:sz w:val="20"/>
                <w:szCs w:val="20"/>
                <w:color w:val="auto"/>
              </w:rPr>
            </w:pPr>
            <w:r>
              <w:rPr>
                <w:rFonts w:ascii="Arial" w:cs="Arial" w:eastAsia="Arial" w:hAnsi="Arial"/>
                <w:sz w:val="16"/>
                <w:szCs w:val="16"/>
                <w:color w:val="auto"/>
              </w:rPr>
              <w:t>Total operating costs and expenses</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17,221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18,127</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(5,100)</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(7,620)</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Income tax provision</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(8,060)</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Less: Net loss (income) attributable to noncontrolling interests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Inseego Corp.</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(8,050)</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6"/>
                <w:szCs w:val="16"/>
                <w:color w:val="auto"/>
              </w:rPr>
              <w:t>Per share data:</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shares used in computation of net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02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9"/>
              </w:rPr>
              <w:t>74,366,879</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60,721,518</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29"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(7,471)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(8,060)</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3,177</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(8,054)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(4,883)</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64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24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0"/>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0"/>
        </w:trPr>
        <w:tc>
          <w:tcPr>
            <w:tcW w:w="4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9"/>
                <w:szCs w:val="9"/>
                <w:color w:val="auto"/>
              </w:rPr>
            </w:pPr>
          </w:p>
        </w:tc>
        <w:tc>
          <w:tcPr>
            <w:tcW w:w="98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120" w:type="dxa"/>
            <w:vAlign w:val="bottom"/>
          </w:tcPr>
          <w:p>
            <w:pPr>
              <w:spacing w:after="0"/>
              <w:rPr>
                <w:sz w:val="9"/>
                <w:szCs w:val="9"/>
                <w:color w:val="auto"/>
              </w:rPr>
            </w:pPr>
          </w:p>
        </w:tc>
        <w:tc>
          <w:tcPr>
            <w:tcW w:w="11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Noncontrolling</w:t>
            </w:r>
          </w:p>
        </w:tc>
        <w:tc>
          <w:tcPr>
            <w:tcW w:w="120" w:type="dxa"/>
            <w:vAlign w:val="bottom"/>
          </w:tcPr>
          <w:p>
            <w:pPr>
              <w:spacing w:after="0"/>
              <w:rPr>
                <w:sz w:val="9"/>
                <w:szCs w:val="9"/>
                <w:color w:val="auto"/>
              </w:rPr>
            </w:pPr>
          </w:p>
        </w:tc>
        <w:tc>
          <w:tcPr>
            <w:tcW w:w="900" w:type="dxa"/>
            <w:vAlign w:val="bottom"/>
          </w:tcPr>
          <w:p>
            <w:pPr>
              <w:jc w:val="center"/>
              <w:ind w:right="50"/>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Interests</w:t>
            </w:r>
          </w:p>
        </w:tc>
        <w:tc>
          <w:tcPr>
            <w:tcW w:w="120" w:type="dxa"/>
            <w:vAlign w:val="bottom"/>
          </w:tcPr>
          <w:p>
            <w:pPr>
              <w:spacing w:after="0"/>
              <w:rPr>
                <w:sz w:val="15"/>
                <w:szCs w:val="15"/>
                <w:color w:val="auto"/>
              </w:rPr>
            </w:pPr>
          </w:p>
        </w:tc>
        <w:tc>
          <w:tcPr>
            <w:tcW w:w="900" w:type="dxa"/>
            <w:vAlign w:val="bottom"/>
          </w:tcPr>
          <w:p>
            <w:pPr>
              <w:jc w:val="center"/>
              <w:ind w:right="3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57"/>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December 31, 2017</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58,645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519,531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(569,759)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4,604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(45,615)</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(8,060)</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3,177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3,177</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Exercise of stock options and vesting of restricted stock units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withheld on net settled vesting of restricted stock units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880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March 31, 2018</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59,222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520,793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7,781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(49,236)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2018</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73,980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546,230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(577,817)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(36,525)</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(7,471)</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Exercise of stock options and vesting of restricted stock units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withheld on net settled vesting of restricted stock units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Exercise of warrants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4,222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10,635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10,639</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1,057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4"/>
                <w:szCs w:val="14"/>
                <w:color w:val="auto"/>
              </w:rPr>
              <w:t>Balance, March 31, 2019</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78,699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558,208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(585,302)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(5,460)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(32,596)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0"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3,887</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Provision for bad debts, net of recoveries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Provision for excess and obsolete inventory, net of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Share-based compensation expense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880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debt discount and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2,443</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(3,141)</w:t>
            </w: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2,798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3,555</w:t>
            </w:r>
          </w:p>
        </w:tc>
      </w:tr>
      <w:tr>
        <w:trPr>
          <w:trHeight w:val="237"/>
        </w:trPr>
        <w:tc>
          <w:tcPr>
            <w:tcW w:w="8800" w:type="dxa"/>
            <w:vAlign w:val="bottom"/>
          </w:tcPr>
          <w:p>
            <w:pPr>
              <w:ind w:left="72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(9,093)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Accrued expenses, income taxes,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r>
      <w:tr>
        <w:trPr>
          <w:trHeight w:val="217"/>
        </w:trPr>
        <w:tc>
          <w:tcPr>
            <w:tcW w:w="8800" w:type="dxa"/>
            <w:vAlign w:val="bottom"/>
          </w:tcPr>
          <w:p>
            <w:pPr>
              <w:ind w:left="9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(5,033)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Additions to capitalized software development costs and purchases of intangible assets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exercise of warrant to purchase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Net repayment of DigiCore bank and overdraft facilities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under 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Principal payments on mortgage bond</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stock option exercises, net of taxes paid on vested restricted stock units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w:t>
            </w:r>
          </w:p>
        </w:tc>
      </w:tr>
      <w:tr>
        <w:trPr>
          <w:trHeight w:val="217"/>
        </w:trPr>
        <w:tc>
          <w:tcPr>
            <w:tcW w:w="8800" w:type="dxa"/>
            <w:vAlign w:val="bottom"/>
          </w:tcPr>
          <w:p>
            <w:pPr>
              <w:ind w:left="9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10,623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17"/>
        </w:trPr>
        <w:tc>
          <w:tcPr>
            <w:tcW w:w="8800" w:type="dxa"/>
            <w:vAlign w:val="bottom"/>
          </w:tcPr>
          <w:p>
            <w:pPr>
              <w:ind w:left="11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(5,086)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21,259</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31,939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16,173</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Cash paid during the year for:</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Interest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1,212</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Income taxes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Transfer of inventories to rental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1,142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Capital expenditures financed through 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Right-of-use assets obtained in exchange for operating leases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3,554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64"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right="180" w:firstLine="432"/>
        <w:spacing w:after="0" w:line="269" w:lineRule="auto"/>
        <w:rPr>
          <w:sz w:val="20"/>
          <w:szCs w:val="20"/>
          <w:color w:val="auto"/>
        </w:rPr>
      </w:pPr>
      <w:r>
        <w:rPr>
          <w:rFonts w:ascii="Arial" w:cs="Arial" w:eastAsia="Arial" w:hAnsi="Arial"/>
          <w:sz w:val="17"/>
          <w:szCs w:val="17"/>
          <w:color w:val="auto"/>
        </w:rPr>
        <w:t>The information contained herein has been prepared by Inseego Corp. (the “Company”) in accordance with the rules of the Securities and Exchange Commission (the “SEC”). The information at March 31, 2019 and the results of the Company’s operations for the three months ended March 31, 2019 and 2018 are unaudited. The condensed consolidated financial statements reflect all adjustments, consisting of only normal recurring accruals, which are, in the opinion of management, necessary for a fair statement of the results of the interim periods presented. These unaudited condensed consolidated financial statements and notes hereto should be read in conjunction with the audited financial statements and notes thereto included in the Company’s Annual Report on Form 10-K for the year ended December 31, 2018. The year-end condensed consolidated balance sheet data as of December 31, 2018 was derived from the Company’s audited consolidated financial statements and may not include all disclosures required by accounting principles generally accepted in the United States. Certain prior period amounts were reclassified to conform to the current period presentation. These reclassifications did not affect total revenues, costs and expenses, net loss, assets, liabilities or stockholders’ deficit. Except as set forth below, the accounting policies used in preparing these unaudited condensed consolidated financial statements are the same as those described in the Company’s Annual Report on Form 10-K for the year ended December 31, 2018. The results of operations for the interim periods presented are not necessarily indicative of results to be expected for any other interim period or for the year as a whole.</w:t>
      </w:r>
    </w:p>
    <w:p>
      <w:pPr>
        <w:spacing w:after="0" w:line="126"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Company has a history of operating and net losses and overall usage of cash from operating and investing activities. The Company’s management believes that its cash and cash equivalents, together with anticipated cash flows from operations, will be sufficient to meet its cash flow needs for the next twelve months following the filing date of this report. The Company’s ability to attain more profitable operations and continue to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which could have an adverse impact on its ability to achieve its intended business objectives.</w:t>
      </w:r>
    </w:p>
    <w:p>
      <w:pPr>
        <w:spacing w:after="0" w:line="59"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Company may decide to raise additional funds to accelerate development of new and existing services and products, to respond to competitive pressures or to acquire complementary products, businesses or technologies. There can be no assurance that any required or desired additional financing will be available on terms favorable to the Company, or at all. In addition, in order to obtain additional borrowings, the Company must comply with certain requirements under the Credit Agreement and the Inseego Indenture (each as defined below). If additional funds are raised by the issuance of equity securities, the Company’s stockholders could experience dilution of their ownership interests and securities issued may have rights senior to those of the holders of the Company’s common stock. If additional funds are raised by the issuance of debt securities, the Company may be subject to additional limitations on its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wholly- and majority-owned subsidiaries. All intercompany transactions and balances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392"/>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the disclosure of contingent liabilities. Actual results could differ materially from these estimates. Significant estimates include allowance for doubtful accounts receivable, provision for excess and obsolete inventory, valuation of intangible and long-lived assets, valuation of goodwill, valuation of debt obligations, royalty costs, accruals relating to litigation and restructuring, provision for warranty costs, income taxes, share-based compensation expense and the Company’s ability to continue as a going concern.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53"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w:t>
      </w:r>
    </w:p>
    <w:p>
      <w:pPr>
        <w:spacing w:after="0" w:line="333"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Company generates revenue from a broad range of product sales including intelligent wireless hardware products for the worldwide mobile communications and industrial Internet of Things (“IoT”) markets. The Company’s products principally include intelligent 4G and 5G mobile hotspots, wireless gateways and routers for IoT applications, 1 Gigabit speed 4G LTE hotspots and USB modems, integrated telematics and mobile tracking hardware devices, which are supported by applications software and cloud services designed to enable customers to easily analyze data insights and configure and manage their hardware.</w:t>
      </w:r>
    </w:p>
    <w:p>
      <w:pPr>
        <w:spacing w:after="0" w:line="296" w:lineRule="exact"/>
        <w:rPr>
          <w:sz w:val="20"/>
          <w:szCs w:val="20"/>
          <w:color w:val="auto"/>
        </w:rPr>
      </w:pPr>
    </w:p>
    <w:p>
      <w:pPr>
        <w:ind w:right="380" w:firstLine="392"/>
        <w:spacing w:after="0" w:line="264"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289" w:lineRule="exact"/>
        <w:rPr>
          <w:sz w:val="20"/>
          <w:szCs w:val="20"/>
          <w:color w:val="auto"/>
        </w:rPr>
      </w:pPr>
    </w:p>
    <w:p>
      <w:pPr>
        <w:ind w:right="20" w:firstLine="405"/>
        <w:spacing w:after="0" w:line="232"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gateways, routers, modems, hotspots, HD quality VoLTE based wireless home phones, cloud management software and an advanced 5G portfolio of products (currently in various stages of development). The solutions are offered under the MiFi and MiFi</w:t>
      </w:r>
      <w:r>
        <w:rPr>
          <w:rFonts w:ascii="Arial" w:cs="Arial" w:eastAsia="Arial" w:hAnsi="Arial"/>
          <w:sz w:val="25"/>
          <w:szCs w:val="25"/>
          <w:color w:val="auto"/>
          <w:vertAlign w:val="superscript"/>
        </w:rPr>
        <w:t>iQ</w:t>
      </w:r>
      <w:r>
        <w:rPr>
          <w:rFonts w:ascii="Arial" w:cs="Arial" w:eastAsia="Arial" w:hAnsi="Arial"/>
          <w:sz w:val="18"/>
          <w:szCs w:val="18"/>
          <w:color w:val="auto"/>
        </w:rPr>
        <w:t xml:space="preserve"> brands for consumer and business markets, and under the Skyus brand for industrial IoT markets.</w:t>
      </w:r>
    </w:p>
    <w:p>
      <w:pPr>
        <w:spacing w:after="0" w:line="310"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i w:val="1"/>
          <w:iCs w:val="1"/>
          <w:color w:val="auto"/>
        </w:rPr>
        <w:t>Enterprise SaaS Solutions</w:t>
      </w:r>
      <w:r>
        <w:rPr>
          <w:rFonts w:ascii="Arial" w:cs="Arial" w:eastAsia="Arial" w:hAnsi="Arial"/>
          <w:sz w:val="17"/>
          <w:szCs w:val="17"/>
          <w:color w:val="auto"/>
        </w:rPr>
        <w:t>. The Enterprise SaaS Solutions consist of various subscription offerings to gain access to the Company’s Ctrack telematics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platforms, which provide fleet vehicle, aviation ground vehicle and asset tracking and performance information, and other telematics applications, and the Company’s Device Management System (“DMS”), a hosted software-as-a-service (“SaaS”) platform that helps organizations manage the selection, deployment and spend of their customer’s wireless assets, helping them save money on personnel and telecom expenses.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w:t>
      </w:r>
    </w:p>
    <w:p>
      <w:pPr>
        <w:spacing w:after="0" w:line="333"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63"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5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27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have no history of being affected by contingent events that could impact the transaction price. The Company does not offer price concessions and does not accept payment that is less than the price stated when it accepts the purchase order.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33"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w:t>
      </w:r>
    </w:p>
    <w:p>
      <w:pPr>
        <w:sectPr>
          <w:pgSz w:w="11900" w:h="16838" w:orient="portrait"/>
          <w:cols w:equalWidth="0" w:num="1">
            <w:col w:w="11380"/>
          </w:cols>
          <w:pgMar w:left="240" w:top="553" w:right="27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553" w:right="27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that may include various combinations of products and services which are generally capable of being distinct and accounted for as separate performance obligations.</w:t>
      </w:r>
    </w:p>
    <w:p>
      <w:pPr>
        <w:spacing w:after="0" w:line="27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typically at the time when the product is delivered, shipped or installed at which time the title passes to the customer, and there are no further performance obligations with regards to the hardware device.</w:t>
      </w:r>
    </w:p>
    <w:p>
      <w:pPr>
        <w:spacing w:after="0" w:line="28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i w:val="1"/>
          <w:iCs w:val="1"/>
          <w:color w:val="auto"/>
        </w:rPr>
        <w:t xml:space="preserve">SaaS and Other Services. </w:t>
      </w:r>
      <w:r>
        <w:rPr>
          <w:rFonts w:ascii="Arial" w:cs="Arial" w:eastAsia="Arial" w:hAnsi="Arial"/>
          <w:sz w:val="17"/>
          <w:szCs w:val="17"/>
          <w:color w:val="auto"/>
        </w:rPr>
        <w:t>SaaS subscription revenue is recognized over time on a ratable basis over the contract term beginning on the date that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at a point in time as discussed above in the hardware revenue recognition disclosure. Prior to adoption of the Financial Accounting Standards Board (the “FASB”)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on January 1, 2019, if the customer chose to lease the monitoring device, the Company accounted for the device lease as an operating lease, recognized the revenue for the monitoring device lease over the term of the contract and recorded such revenue in accordance with the previous lease accounting guidance in ASC 840, </w:t>
      </w:r>
      <w:r>
        <w:rPr>
          <w:rFonts w:ascii="Arial" w:cs="Arial" w:eastAsia="Arial" w:hAnsi="Arial"/>
          <w:sz w:val="17"/>
          <w:szCs w:val="17"/>
          <w:i w:val="1"/>
          <w:iCs w:val="1"/>
          <w:color w:val="auto"/>
        </w:rPr>
        <w:t>Leases</w:t>
      </w:r>
      <w:r>
        <w:rPr>
          <w:rFonts w:ascii="Arial" w:cs="Arial" w:eastAsia="Arial" w:hAnsi="Arial"/>
          <w:sz w:val="17"/>
          <w:szCs w:val="17"/>
          <w:color w:val="auto"/>
        </w:rPr>
        <w:t>. Under the new standard, because the Company’s rental asset lease contracts qualify as operating leases under ASC 842 and the contracts also include services to operate the underlying asset, and to maintain the asset, the Company has elected the practical expedient to combine the lease and the non-lease components because the service is the predominant element in the eyes of the customer and the pattern of service delivery is the same for both elements. The Company recognizes revenue over time on a ratable basis over the term of the contract.</w:t>
      </w:r>
    </w:p>
    <w:p>
      <w:pPr>
        <w:spacing w:after="0" w:line="288"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i w:val="1"/>
          <w:iCs w:val="1"/>
          <w:color w:val="auto"/>
        </w:rPr>
        <w:t xml:space="preserve">Maintenance and support services revenue. </w:t>
      </w:r>
      <w:r>
        <w:rPr>
          <w:rFonts w:ascii="Arial" w:cs="Arial" w:eastAsia="Arial" w:hAnsi="Arial"/>
          <w:sz w:val="17"/>
          <w:szCs w:val="17"/>
          <w:color w:val="auto"/>
        </w:rPr>
        <w:t>Periodically, the Company sells separately-priced warranty contracts that extend beyond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274" w:lineRule="exact"/>
        <w:rPr>
          <w:sz w:val="20"/>
          <w:szCs w:val="20"/>
          <w:color w:val="auto"/>
        </w:rPr>
      </w:pPr>
    </w:p>
    <w:p>
      <w:pPr>
        <w:ind w:left="660" w:right="480"/>
        <w:spacing w:after="0" w:line="259"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From time to time, the Company enters into special engineering design service agreements.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design services are specifically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295"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 recognizes revenue on a net basis. The portion of the gross amount billed to customers that is remitted by the Company to another party is not reflected as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333" w:lineRule="exact"/>
        <w:rPr>
          <w:sz w:val="20"/>
          <w:szCs w:val="20"/>
          <w:color w:val="auto"/>
        </w:rPr>
      </w:pPr>
    </w:p>
    <w:p>
      <w:pPr>
        <w:ind w:right="60" w:firstLine="392"/>
        <w:spacing w:after="0" w:line="302" w:lineRule="auto"/>
        <w:rPr>
          <w:sz w:val="20"/>
          <w:szCs w:val="20"/>
          <w:color w:val="auto"/>
        </w:rPr>
      </w:pPr>
      <w:r>
        <w:rPr>
          <w:rFonts w:ascii="Arial" w:cs="Arial" w:eastAsia="Arial" w:hAnsi="Arial"/>
          <w:sz w:val="16"/>
          <w:szCs w:val="16"/>
          <w:color w:val="auto"/>
        </w:rPr>
        <w:t>The Company’s contracts with customers may include commitments to transfer multiple products and services to a customer. Determining whether products and services are considered distinct performance obligations that should be accounted for separately versus together may require significant judgment. When hardware, software and services are sold in various combinations, judgment is required to determine whether each performance obligation is considered distinct and accounted for separately, or not distinct and accounted for together with other performance obligations.</w:t>
      </w:r>
    </w:p>
    <w:p>
      <w:pPr>
        <w:spacing w:after="0" w:line="262" w:lineRule="exact"/>
        <w:rPr>
          <w:sz w:val="20"/>
          <w:szCs w:val="20"/>
          <w:color w:val="auto"/>
        </w:rPr>
      </w:pPr>
    </w:p>
    <w:p>
      <w:pPr>
        <w:ind w:right="320" w:firstLine="392"/>
        <w:spacing w:after="0" w:line="342"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232" w:lineRule="exact"/>
        <w:rPr>
          <w:sz w:val="20"/>
          <w:szCs w:val="20"/>
          <w:color w:val="auto"/>
        </w:rPr>
      </w:pPr>
    </w:p>
    <w:p>
      <w:pPr>
        <w:ind w:right="160" w:firstLine="392"/>
        <w:spacing w:after="0" w:line="259"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333" w:lineRule="exact"/>
        <w:rPr>
          <w:sz w:val="20"/>
          <w:szCs w:val="20"/>
          <w:color w:val="auto"/>
        </w:rPr>
      </w:pPr>
    </w:p>
    <w:p>
      <w:pPr>
        <w:ind w:right="240" w:firstLine="392"/>
        <w:spacing w:after="0" w:line="277"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w:t>
      </w:r>
    </w:p>
    <w:p>
      <w:pPr>
        <w:sectPr>
          <w:pgSz w:w="11900" w:h="16838" w:orient="portrait"/>
          <w:cols w:equalWidth="0" w:num="1">
            <w:col w:w="11420"/>
          </w:cols>
          <w:pgMar w:left="240" w:top="553"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53"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revenue liabilities, or contract liabilities, are also recorded when the Company collects payments in advance of performing the services.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3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March 31, 2019.</w:t>
      </w:r>
    </w:p>
    <w:p>
      <w:pPr>
        <w:spacing w:after="0" w:line="2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Applying the practical expedient in paragraph ASC 340-40-25-4,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the Application of the Guidance in ASC 606</w:t>
      </w:r>
    </w:p>
    <w:p>
      <w:pPr>
        <w:spacing w:after="0" w:line="333"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Determining whether products and services are considered distinct performance obligations that should be accounted for separately versus together may require significant judgment.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25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Revenues from the Company’s SaaS subscription services represent a single promise to provide continuous access to its software solutions and their processing capabilities in the form of a service through one of the Company’s data centers or a hosted data center.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an unspecified volume of call center support and any remote system diagnostic and software upgrades as needed. These services are combined with the recurring monthly subscription service since they are highly interrelated and interdependent. Revenue from the Company’s subscription services is recognized over time on a ratable basis over the contract term beginning on the date that the service is made available to the customer.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Charges</w:t>
      </w:r>
    </w:p>
    <w:p>
      <w:pPr>
        <w:spacing w:after="0" w:line="33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Fees charged to customers for shipping and handling of products are included in product revenues, and costs for shipping and handling of products are included as a component of cost of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w:t>
      </w:r>
    </w:p>
    <w:p>
      <w:pPr>
        <w:spacing w:after="0" w:line="333"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Taxes collected on the value of transaction revenue are excluded from product and services revenues and cost of sales and are accrued in current liabilities until remitted to governmental authorities.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From time to time, new accounting pronouncements are issued by the FASB, which are adopted by the Company as of the specified date. Unless otherwise discussed, management believes the impact of recently issued standards, some of which are not yet effective, will not have a material impact on the Company’s consolidated financial statements upon adoption.</w:t>
      </w:r>
    </w:p>
    <w:p>
      <w:pPr>
        <w:spacing w:after="0" w:line="181"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 xml:space="preserve">In June 2016, the FASB issued Accounting Standard Update (“ASU”) 2016-13, </w:t>
      </w:r>
      <w:r>
        <w:rPr>
          <w:rFonts w:ascii="Arial" w:cs="Arial" w:eastAsia="Arial" w:hAnsi="Arial"/>
          <w:sz w:val="18"/>
          <w:szCs w:val="18"/>
          <w:i w:val="1"/>
          <w:iCs w:val="1"/>
          <w:color w:val="auto"/>
        </w:rPr>
        <w:t>Financial Instruments</w:t>
      </w:r>
      <w:r>
        <w:rPr>
          <w:rFonts w:ascii="Arial" w:cs="Arial" w:eastAsia="Arial" w:hAnsi="Arial"/>
          <w:sz w:val="18"/>
          <w:szCs w:val="18"/>
          <w:i w:val="1"/>
          <w:iCs w:val="1"/>
          <w:color w:val="252525"/>
        </w:rPr>
        <w:t>—</w:t>
      </w:r>
      <w:r>
        <w:rPr>
          <w:rFonts w:ascii="Arial" w:cs="Arial" w:eastAsia="Arial" w:hAnsi="Arial"/>
          <w:sz w:val="18"/>
          <w:szCs w:val="18"/>
          <w:i w:val="1"/>
          <w:iCs w:val="1"/>
          <w:color w:val="auto"/>
        </w:rPr>
        <w:t>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Instruments</w:t>
      </w:r>
      <w:r>
        <w:rPr>
          <w:rFonts w:ascii="Arial" w:cs="Arial" w:eastAsia="Arial" w:hAnsi="Arial"/>
          <w:sz w:val="18"/>
          <w:szCs w:val="18"/>
          <w:color w:val="auto"/>
        </w:rPr>
        <w:t>, which requires measurement and recognition of expected credit losses for financial assets held. This guidance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interim and annual periods beginning after December 15, 2019. Early adoption is permitted. The Company is currently assessing the impact of this guidance.</w:t>
      </w:r>
    </w:p>
    <w:p>
      <w:pPr>
        <w:spacing w:after="0" w:line="187"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sets out the principles for the recognition, measurement, presentation and disclosure of leases for both parties to a contract (i.e., lessees and lessors). The new standard requires lessees to apply a dual approach, classifying leases as either financing or operating leases based on the principle of whether or not the lease is effectively a financed purchase by the lessee. This classification determines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are accounted for similar to previous guidance for operating leases. The new standard requires lessors to account for leases using an approach that is substantially equivalent to previous guidance for sales-type leases, direct financing leases and operating leases. The Company adopted the standard on January 1, 2019, the date</w:t>
      </w:r>
    </w:p>
    <w:p>
      <w:pPr>
        <w:sectPr>
          <w:pgSz w:w="11900" w:h="16838" w:orient="portrait"/>
          <w:cols w:equalWidth="0" w:num="1">
            <w:col w:w="11420"/>
          </w:cols>
          <w:pgMar w:left="240" w:top="553"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53"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it became effective for public companies, using the modified retrospective approach whereby the cumulative effect of adoption was recognized on the adoption date and prior periods were not restated. There was no net cumulative effect adjustment to retained earnings as of January 1, 2019 as a result of this adoption. Upon adoption, the Company elected the package of practical expedients permitted within the standard, which among other things, allows for the carryforward of historical lease classification. The Company also elected the practical expedient provided in a subsequent amendment to the standard that removed the requirement to separate lease and non-lease components, provided certain conditions were met. Refer to Note 11, </w:t>
      </w:r>
      <w:r>
        <w:rPr>
          <w:rFonts w:ascii="Arial" w:cs="Arial" w:eastAsia="Arial" w:hAnsi="Arial"/>
          <w:sz w:val="17"/>
          <w:szCs w:val="17"/>
          <w:i w:val="1"/>
          <w:iCs w:val="1"/>
          <w:color w:val="auto"/>
        </w:rPr>
        <w:t>Leases,</w:t>
      </w:r>
      <w:r>
        <w:rPr>
          <w:rFonts w:ascii="Arial" w:cs="Arial" w:eastAsia="Arial" w:hAnsi="Arial"/>
          <w:sz w:val="17"/>
          <w:szCs w:val="17"/>
          <w:color w:val="auto"/>
        </w:rPr>
        <w:t xml:space="preserve"> for the impact of the adoption of this guidance on the Company’s condensed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net,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00" w:type="dxa"/>
            <w:vAlign w:val="bottom"/>
          </w:tcPr>
          <w:p>
            <w:pPr>
              <w:jc w:val="right"/>
              <w:ind w:right="14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18,994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14,797</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Raw materials and components</w:t>
            </w:r>
          </w:p>
        </w:tc>
        <w:tc>
          <w:tcPr>
            <w:tcW w:w="220" w:type="dxa"/>
            <w:vAlign w:val="bottom"/>
          </w:tcPr>
          <w:p>
            <w:pPr>
              <w:spacing w:after="0"/>
              <w:rPr>
                <w:sz w:val="19"/>
                <w:szCs w:val="19"/>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14,294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11,634</w:t>
            </w:r>
          </w:p>
        </w:tc>
      </w:tr>
      <w:tr>
        <w:trPr>
          <w:trHeight w:val="47"/>
        </w:trPr>
        <w:tc>
          <w:tcPr>
            <w:tcW w:w="88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33,288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26,431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00" w:type="dxa"/>
            <w:vAlign w:val="bottom"/>
          </w:tcPr>
          <w:p>
            <w:pPr>
              <w:jc w:val="right"/>
              <w:ind w:right="14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r>
      <w:tr>
        <w:trPr>
          <w:trHeight w:val="236"/>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1,727</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Payroll and related expenses</w:t>
            </w:r>
          </w:p>
        </w:tc>
        <w:tc>
          <w:tcPr>
            <w:tcW w:w="2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2,656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2,415</w:t>
            </w:r>
          </w:p>
        </w:tc>
      </w:tr>
      <w:tr>
        <w:trPr>
          <w:trHeight w:val="47"/>
        </w:trPr>
        <w:tc>
          <w:tcPr>
            <w:tcW w:w="8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514</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1,685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239</w:t>
            </w:r>
          </w:p>
        </w:tc>
      </w:tr>
      <w:tr>
        <w:trPr>
          <w:trHeight w:val="47"/>
        </w:trPr>
        <w:tc>
          <w:tcPr>
            <w:tcW w:w="8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2,048</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Operating lease liabilities</w:t>
            </w:r>
          </w:p>
        </w:tc>
        <w:tc>
          <w:tcPr>
            <w:tcW w:w="2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1,664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47"/>
        </w:trPr>
        <w:tc>
          <w:tcPr>
            <w:tcW w:w="8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1,000</w:t>
            </w:r>
          </w:p>
        </w:tc>
      </w:tr>
      <w:tr>
        <w:trPr>
          <w:trHeight w:val="224"/>
        </w:trPr>
        <w:tc>
          <w:tcPr>
            <w:tcW w:w="8780" w:type="dxa"/>
            <w:vAlign w:val="bottom"/>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6,106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5,081</w:t>
            </w:r>
          </w:p>
        </w:tc>
      </w:tr>
      <w:tr>
        <w:trPr>
          <w:trHeight w:val="47"/>
        </w:trPr>
        <w:tc>
          <w:tcPr>
            <w:tcW w:w="87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55"/>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accrued expenses and other current liabilities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13,024</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333"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80" w:type="dxa"/>
            <w:vAlign w:val="bottom"/>
          </w:tcPr>
          <w:p>
            <w:pPr>
              <w:jc w:val="right"/>
              <w:ind w:right="12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31,878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31,015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16,112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21,198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61</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cash equivalents and restricted cash</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31,939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31,076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16,173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21,259</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2019, restricted cash included collateral requirements related to the Company’s corporate credit card program.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w:t>
      </w:r>
    </w:p>
    <w:p>
      <w:pPr>
        <w:spacing w:after="0" w:line="12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 xml:space="preserve">The balances in goodwill and other intangible assets were primarily a result of the Company’s acquisitions of DigiCore Holdings Limited (“DigiCore”) (which has been renamed Ctrack Holdings (Pty) Ltd.) and of R.E.R. Enterprises, Inc. (“RER”) and its wholly-owned subsidiary and principal operating asset, Feeney Wireless, LLC (“FW”) (which has been renamed Inseego North America, LLC). See Note 3,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in the consolidated financial statements</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53"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included in the Company’s Annual Report on Form 10-K for the year ended December 31, 2018 for a discussion of the components of goodwill and additional information regarding other intangible assets.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 of Assets and Liabilities</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21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9" w:lineRule="exact"/>
        <w:rPr>
          <w:sz w:val="20"/>
          <w:szCs w:val="20"/>
          <w:color w:val="auto"/>
        </w:rPr>
      </w:pPr>
    </w:p>
    <w:p>
      <w:pPr>
        <w:jc w:val="both"/>
        <w:ind w:left="1060" w:right="120" w:hanging="647"/>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Pricing inputs are based on quoted market prices for identical assets or liabilities in active markets (e.g., NYSE or NASDAQ).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in sufficient frequency and volume to provide pricing information on an ongoing basis.</w:t>
      </w:r>
    </w:p>
    <w:p>
      <w:pPr>
        <w:spacing w:after="0" w:line="181" w:lineRule="exact"/>
        <w:rPr>
          <w:sz w:val="20"/>
          <w:szCs w:val="20"/>
          <w:color w:val="auto"/>
        </w:rPr>
      </w:pPr>
    </w:p>
    <w:p>
      <w:pPr>
        <w:ind w:left="1060" w:right="280" w:hanging="647"/>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and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302"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three months ended March 31, 2019.</w:t>
      </w:r>
    </w:p>
    <w:p>
      <w:pPr>
        <w:spacing w:after="0" w:line="28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March 31, 2019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March 31, 2019</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Assets:</w:t>
            </w:r>
          </w:p>
        </w:tc>
        <w:tc>
          <w:tcPr>
            <w:tcW w:w="2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2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5,115</w:t>
            </w:r>
          </w:p>
        </w:tc>
        <w:tc>
          <w:tcPr>
            <w:tcW w:w="0" w:type="dxa"/>
            <w:vAlign w:val="bottom"/>
          </w:tcPr>
          <w:p>
            <w:pPr>
              <w:spacing w:after="0"/>
              <w:rPr>
                <w:sz w:val="1"/>
                <w:szCs w:val="1"/>
                <w:color w:val="auto"/>
              </w:rPr>
            </w:pPr>
          </w:p>
        </w:tc>
      </w:tr>
      <w:tr>
        <w:trPr>
          <w:trHeight w:val="217"/>
        </w:trPr>
        <w:tc>
          <w:tcPr>
            <w:tcW w:w="8000" w:type="dxa"/>
            <w:vAlign w:val="bottom"/>
          </w:tcPr>
          <w:p>
            <w:pPr>
              <w:ind w:left="380"/>
              <w:spacing w:after="0"/>
              <w:rPr>
                <w:sz w:val="20"/>
                <w:szCs w:val="20"/>
                <w:color w:val="auto"/>
              </w:rPr>
            </w:pPr>
            <w:r>
              <w:rPr>
                <w:rFonts w:ascii="Arial" w:cs="Arial" w:eastAsia="Arial" w:hAnsi="Arial"/>
                <w:sz w:val="16"/>
                <w:szCs w:val="16"/>
                <w:color w:val="auto"/>
              </w:rPr>
              <w:t>Total cash equivalents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5,115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5,115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2018</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Assets:</w:t>
            </w: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10,085</w:t>
            </w:r>
          </w:p>
        </w:tc>
        <w:tc>
          <w:tcPr>
            <w:tcW w:w="0" w:type="dxa"/>
            <w:vAlign w:val="bottom"/>
          </w:tcPr>
          <w:p>
            <w:pPr>
              <w:spacing w:after="0"/>
              <w:rPr>
                <w:sz w:val="1"/>
                <w:szCs w:val="1"/>
                <w:color w:val="auto"/>
              </w:rPr>
            </w:pPr>
          </w:p>
        </w:tc>
      </w:tr>
      <w:tr>
        <w:trPr>
          <w:trHeight w:val="217"/>
        </w:trPr>
        <w:tc>
          <w:tcPr>
            <w:tcW w:w="8000" w:type="dxa"/>
            <w:vAlign w:val="bottom"/>
          </w:tcPr>
          <w:p>
            <w:pPr>
              <w:ind w:left="380"/>
              <w:spacing w:after="0"/>
              <w:rPr>
                <w:sz w:val="20"/>
                <w:szCs w:val="20"/>
                <w:color w:val="auto"/>
              </w:rPr>
            </w:pPr>
            <w:r>
              <w:rPr>
                <w:rFonts w:ascii="Arial" w:cs="Arial" w:eastAsia="Arial" w:hAnsi="Arial"/>
                <w:sz w:val="16"/>
                <w:szCs w:val="16"/>
                <w:color w:val="auto"/>
              </w:rPr>
              <w:t>Total cash equivalents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10,085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10,085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$105.1 million in Convertible Notes (as defined below) (see Note 5, </w:t>
      </w:r>
      <w:r>
        <w:rPr>
          <w:rFonts w:ascii="Arial" w:cs="Arial" w:eastAsia="Arial" w:hAnsi="Arial"/>
          <w:sz w:val="18"/>
          <w:szCs w:val="18"/>
          <w:i w:val="1"/>
          <w:iCs w:val="1"/>
          <w:color w:val="auto"/>
        </w:rPr>
        <w:t>Debt</w:t>
      </w:r>
      <w:r>
        <w:rPr>
          <w:rFonts w:ascii="Arial" w:cs="Arial" w:eastAsia="Arial" w:hAnsi="Arial"/>
          <w:sz w:val="18"/>
          <w:szCs w:val="18"/>
          <w:color w:val="auto"/>
        </w:rPr>
        <w:t>). The Company carries its Convertible Notes at amortized cost. The debt and equity components of the Convertible Notes were measured using Level 3 inputs and are not measured on a recurring basis. It is not practicable to</w:t>
      </w:r>
    </w:p>
    <w:p>
      <w:pPr>
        <w:sectPr>
          <w:pgSz w:w="11900" w:h="16838" w:orient="portrait"/>
          <w:cols w:equalWidth="0" w:num="1">
            <w:col w:w="11420"/>
          </w:cols>
          <w:pgMar w:left="240" w:top="553"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53"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determine the fair value of the Convertible Notes due to the lack of information available to calculate the fair value of such notes. The carrying value of the liability component of the Convertible Notes was $95.1 million and $93.1 million as of March 31, 2019 and December 31, 2018, respectively.</w:t>
      </w:r>
    </w:p>
    <w:p>
      <w:pPr>
        <w:spacing w:after="0" w:line="251" w:lineRule="exact"/>
        <w:rPr>
          <w:sz w:val="20"/>
          <w:szCs w:val="20"/>
          <w:color w:val="auto"/>
        </w:rPr>
      </w:pPr>
    </w:p>
    <w:p>
      <w:pPr>
        <w:ind w:right="10600" w:firstLine="8"/>
        <w:spacing w:after="0" w:line="453"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w:t>
      </w:r>
      <w:r>
        <w:rPr>
          <w:rFonts w:ascii="Arial" w:cs="Arial" w:eastAsia="Arial" w:hAnsi="Arial"/>
          <w:sz w:val="16"/>
          <w:szCs w:val="16"/>
          <w:b w:val="1"/>
          <w:bCs w:val="1"/>
          <w:i w:val="1"/>
          <w:iCs w:val="1"/>
          <w:color w:val="auto"/>
        </w:rPr>
        <w:t>Term Loan</w:t>
      </w:r>
    </w:p>
    <w:p>
      <w:pPr>
        <w:spacing w:after="0" w:line="66" w:lineRule="exact"/>
        <w:rPr>
          <w:sz w:val="20"/>
          <w:szCs w:val="20"/>
          <w:color w:val="auto"/>
        </w:rPr>
      </w:pPr>
    </w:p>
    <w:p>
      <w:pPr>
        <w:ind w:right="140" w:firstLine="405"/>
        <w:spacing w:after="0" w:line="288" w:lineRule="auto"/>
        <w:rPr>
          <w:sz w:val="20"/>
          <w:szCs w:val="20"/>
          <w:color w:val="auto"/>
        </w:rPr>
      </w:pPr>
      <w:r>
        <w:rPr>
          <w:rFonts w:ascii="Arial" w:cs="Arial" w:eastAsia="Arial" w:hAnsi="Arial"/>
          <w:sz w:val="16"/>
          <w:szCs w:val="16"/>
          <w:color w:val="auto"/>
        </w:rPr>
        <w:t>On August 23, 2017, the Company and certain of its direct and indirect subsidiaries (the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the Company with a term loan in the principal amount of</w:t>
      </w:r>
    </w:p>
    <w:p>
      <w:pPr>
        <w:ind w:right="20"/>
        <w:spacing w:after="0" w:line="281" w:lineRule="auto"/>
        <w:rPr>
          <w:sz w:val="20"/>
          <w:szCs w:val="20"/>
          <w:color w:val="auto"/>
        </w:rPr>
      </w:pPr>
      <w:r>
        <w:rPr>
          <w:rFonts w:ascii="Arial" w:cs="Arial" w:eastAsia="Arial" w:hAnsi="Arial"/>
          <w:sz w:val="16"/>
          <w:szCs w:val="16"/>
          <w:color w:val="auto"/>
        </w:rPr>
        <w:t>$48.0 million (the “Term Loan”) with a maturity date of August 23, 2020 (the “Maturity Date”). In conjunction with the closing of the Term Loan, the Company received proceeds of $46.9 million, $35.0 million of which was funded to the Company in cash on the closing date, net of an original issue discount and commitment fee, and the remaining $11.9 million of which was funded through the Company’s repurchase and cancellation of approximately</w:t>
      </w:r>
    </w:p>
    <w:p>
      <w:pPr>
        <w:spacing w:after="0" w:line="2"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$14.9 million of its outstanding Inseego Notes (as defined below) pursuant to the terms of the Note Purchase Agreement (as defined below). The Company paid issuance costs of approximately $0.5 million. Additionally, the Company issued shares of its common stock and accrued an exit fee, which, when combined with the original debt discount and commitment fee, resulted in a total debt discount of approximately $4.0 million.</w:t>
      </w:r>
    </w:p>
    <w:p>
      <w:pPr>
        <w:spacing w:after="0" w:line="281" w:lineRule="exact"/>
        <w:rPr>
          <w:sz w:val="20"/>
          <w:szCs w:val="20"/>
          <w:color w:val="auto"/>
        </w:rPr>
      </w:pPr>
    </w:p>
    <w:p>
      <w:pPr>
        <w:ind w:right="380" w:firstLine="405"/>
        <w:spacing w:after="0" w:line="312" w:lineRule="auto"/>
        <w:rPr>
          <w:sz w:val="20"/>
          <w:szCs w:val="20"/>
          <w:color w:val="auto"/>
        </w:rPr>
      </w:pPr>
      <w:r>
        <w:rPr>
          <w:rFonts w:ascii="Arial" w:cs="Arial" w:eastAsia="Arial" w:hAnsi="Arial"/>
          <w:sz w:val="16"/>
          <w:szCs w:val="16"/>
          <w:color w:val="auto"/>
        </w:rPr>
        <w:t>The Term Loan is secured by a first priority lien on substantially all of the assets of the Company and the Guarantors, including equity interests in certain of the Company’s direct and indirect subsidiaries, in each case subject to certain customary exceptions and permitted liens. The Credit Agreement includes customary representations and warranties, a material adverse change clause, as well as customary reporting and financial covenants.</w:t>
      </w:r>
    </w:p>
    <w:p>
      <w:pPr>
        <w:spacing w:after="0" w:line="255"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The Term Loan bears interest at a rate per annum equal to the three-month LIBOR, but in no event less than 1.00%, plus 7.625%. Interest on the Term Loan is payable on the last business day of each calendar month and on the Maturity Date. Principal on the Term Loan is payable on the Maturity Date.</w:t>
      </w:r>
    </w:p>
    <w:p>
      <w:pPr>
        <w:spacing w:after="0" w:line="23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 xml:space="preserve">As required by the terms of the Credit Agreement, during the year ended December 31, 2018, the Company repaid $0.5 million of principal on the Term Loan in connection with the Settlement Agreement, as defined below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consists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Principal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47,500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47,500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Less: unamortized debt discount and debt issuance costs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(2,454)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45,419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45,046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effective interest rate on the Term Loan was 13.68% for the three months ended March 31, 2019. The following table sets forth total interest expense recognized related to the Term Loan (in thousands):</w:t>
      </w:r>
    </w:p>
    <w:p>
      <w:pPr>
        <w:spacing w:after="0" w:line="108"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1,094</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28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333</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r>
      <w:tr>
        <w:trPr>
          <w:trHeight w:val="244"/>
        </w:trPr>
        <w:tc>
          <w:tcPr>
            <w:tcW w:w="902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1,553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1,467</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53"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Novatel Wireless Notes</w:t>
      </w:r>
    </w:p>
    <w:p>
      <w:pPr>
        <w:spacing w:after="0" w:line="198"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On June 10, 2015, Novatel Wireless, Inc., a wholly owned subsidiary of Inseego Corp. (“Novatel Wireless”), issued $120.0 million of 5.50% convertible senior notes due 2020 (the “Novatel Wireless Notes”). The Company incurred issuance costs of approximately $3.9 million. The Company used a portion of the proceeds from the offering to finance its acquisition of Ctrack, to pay fees and expenses related to the acquisition, and for general corporate purposes.</w:t>
      </w:r>
    </w:p>
    <w:p>
      <w:pPr>
        <w:spacing w:after="0" w:line="20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Novatel Wireless Notes are governed by the terms of an indenture, dated June 10, 2015 (as amended, the “Novatel Wireless Indenture”), between Novatel Wireless, as issuer, Inseego Corp. and Wilmington Trust, National Association, as trustee.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the Company’s common stock, or a combination thereof, at the election of the Company, at an initial conversion price of $5.00 per share of the Company’s common stock.</w:t>
      </w:r>
    </w:p>
    <w:p>
      <w:pPr>
        <w:spacing w:after="0" w:line="301" w:lineRule="exact"/>
        <w:rPr>
          <w:sz w:val="20"/>
          <w:szCs w:val="20"/>
          <w:color w:val="auto"/>
        </w:rPr>
      </w:pPr>
    </w:p>
    <w:p>
      <w:pPr>
        <w:ind w:right="440" w:firstLine="392"/>
        <w:spacing w:after="0" w:line="277" w:lineRule="auto"/>
        <w:rPr>
          <w:sz w:val="20"/>
          <w:szCs w:val="20"/>
          <w:color w:val="auto"/>
        </w:rPr>
      </w:pPr>
      <w:r>
        <w:rPr>
          <w:rFonts w:ascii="Arial" w:cs="Arial" w:eastAsia="Arial" w:hAnsi="Arial"/>
          <w:sz w:val="18"/>
          <w:szCs w:val="18"/>
          <w:color w:val="auto"/>
        </w:rPr>
        <w:t>Following the settlement of the exchange offer and consent solicitation described below, approximately $0.2 million aggregate principal amount of Novatel Wireless Notes remain outstanding.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Inseego Notes</w:t>
      </w:r>
    </w:p>
    <w:p>
      <w:pPr>
        <w:spacing w:after="0" w:line="333"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On January 9, 2017, in connection with the settlement of an exchange offer and consent solicitation with respect to the Novatel Wireless Notes, the Company issued approximately $119.8 million aggregate principal amount of 5.50% convertible senior notes due 2022 (the “Inseego Notes” and collectively with the Novatel Wireless Notes, the “Convertible Notes”). The Inseego Notes were issued in exchange for approximately $119.8 million aggregate principal amount of outstanding Novatel Wireless Notes that were validly tendered and accepted for exchange and subsequently canceled.</w:t>
      </w:r>
    </w:p>
    <w:p>
      <w:pPr>
        <w:spacing w:after="0" w:line="280"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Inseego Notes are governed by the terms of an indenture, dated January 9, 2017 (the “Inseego Indenture”), between the Company, as issuer, and Wilmington Trust, National Association, as trustee. The Inseego Notes are senior unsecured obligations of the Company and bear interest at a rate of 5.50% per year, payable semi-annually in arrears on June 15 and December 15 of each year. The Inseego Notes will mature on June 15, 2022, unless earlier converted, redeemed or repurchased.</w:t>
      </w:r>
    </w:p>
    <w:p>
      <w:pPr>
        <w:spacing w:after="0" w:line="29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Inseego Notes will be convertible into cash, shares of the Company’s common stock, or a combination thereof, at the election of the Company, at an initial conversion rate of 212.7660 shares of common stock per $1,000 principal amount of the Inseego Notes, which corresponds to an initial conversion price of $4.70 per share of the Company’s common stock. The conversion rate is subject to adjustment from time to time upon the occurrence of certain events, including, but not limited to, the issuance of stock dividends and payment of cash dividends. Under certain limited circumstances which are described in the Inseego Indenture, holders may convert their Inseego Notes prior to the close of business on the business day immediately preceding December 15, 2021. On or after December 15, 2021, the holders may convert any of their Inseego Notes at any time prior to the close of business on the business day immediately preceding the maturity date.</w:t>
      </w:r>
    </w:p>
    <w:p>
      <w:pPr>
        <w:spacing w:after="0" w:line="13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Under certain limited circumstances which are described in the Inseego Indenture, the Company may redeem all or a portion of the Inseego Notes at its option, at a redemption price equal to 100% of the principal amount of the Inseego Notes to be redeemed, plus any accrued and unpaid interest on such Inseego Notes. The Inseego Notes are subject to repurchase by the Company at the option of the holders on June 15, 2020 (the “Optional Repurchase Date”) at a repurchase price in cash equal to 100% of the principal amount of the Inseego Notes to be repurchased, plus accrued and unpaid interest to, but excluding, the Optional Repurchase Date. If the Company undergoes a “fundamental change” (as defined in the Inseego Indenture), subject to certain conditions, holders may require the Company to repurchase for cash all or part of their Inseego Notes in principal amounts of $1,000, or an integral multiple of $1,000 in excess thereof. The fundamental change repurchase price will be equal to 100% of the principal amount of the Inseego Notes to be repurchased, plus accrued and unpaid interest to, but excluding, the fundamental change repurchase date, subject to the right of holders as of the close of business on an interest record date to receive the related interest.</w:t>
      </w:r>
    </w:p>
    <w:p>
      <w:pPr>
        <w:spacing w:after="0" w:line="128" w:lineRule="exact"/>
        <w:rPr>
          <w:sz w:val="20"/>
          <w:szCs w:val="20"/>
          <w:color w:val="auto"/>
        </w:rPr>
      </w:pPr>
    </w:p>
    <w:p>
      <w:pPr>
        <w:ind w:right="520" w:firstLine="392"/>
        <w:spacing w:after="0" w:line="264" w:lineRule="auto"/>
        <w:rPr>
          <w:sz w:val="20"/>
          <w:szCs w:val="20"/>
          <w:color w:val="auto"/>
        </w:rPr>
      </w:pPr>
      <w:r>
        <w:rPr>
          <w:rFonts w:ascii="Arial" w:cs="Arial" w:eastAsia="Arial" w:hAnsi="Arial"/>
          <w:sz w:val="18"/>
          <w:szCs w:val="18"/>
          <w:color w:val="auto"/>
        </w:rPr>
        <w:t>The Inseego Indenture contains certain covenants, effective until June 15, 2020, that limit the amount of debt, including secured debt, that may be incurred by the Company or its subsidiaries, and that limit the ability of the Company to pay dividends, repurchase its equity securities or make other restricted payments.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Inseego Indenture also provides for customary events of default. Upon the occurrence of certain events of bankruptcy,</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53"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4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insolvency or reorganization involving the Company, 100% of the principal and accrued and unpaid interest of the Inseego Notes will automatically become immediately due and payable.</w:t>
      </w:r>
    </w:p>
    <w:p>
      <w:pPr>
        <w:spacing w:after="0" w:line="27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Because the exchange of the Novatel Wireless Notes for the Inseego Notes described above was treated as a debt modification in accordance with applicable FASB guidance (it was between a parent and a subsidiary company and for substantially identical notes), the Company did not recognize a gain or loss with respect to the issuance of the Inseego Notes. In accordance with authoritative guidance, the Company recognized $3.6 million as an additional component of debt discount and additional paid-in capital attributed to the increase in the fair value of the embedded conversion feature of the Inseego Notes before and after modification. The Company will amortize the debt discount on the Inseego Notes as a component of interest expense using the effective interest method through June 2020.</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 Agreement</w:t>
      </w:r>
    </w:p>
    <w:p>
      <w:pPr>
        <w:spacing w:after="0" w:line="333" w:lineRule="exact"/>
        <w:rPr>
          <w:sz w:val="20"/>
          <w:szCs w:val="20"/>
          <w:color w:val="auto"/>
        </w:rPr>
      </w:pPr>
    </w:p>
    <w:p>
      <w:pPr>
        <w:ind w:right="220" w:firstLine="392"/>
        <w:spacing w:after="0" w:line="259" w:lineRule="auto"/>
        <w:rPr>
          <w:sz w:val="20"/>
          <w:szCs w:val="20"/>
          <w:color w:val="auto"/>
        </w:rPr>
      </w:pPr>
      <w:r>
        <w:rPr>
          <w:rFonts w:ascii="Arial" w:cs="Arial" w:eastAsia="Arial" w:hAnsi="Arial"/>
          <w:sz w:val="18"/>
          <w:szCs w:val="18"/>
          <w:color w:val="auto"/>
        </w:rPr>
        <w:t>On August 23, 2017, in connection with the Credit Agreement described above, the Company and certain of the Lenders entered into a Note Purchase Agreement (the “Note Purchase Agreement”) pursuant to which the Company repurchased approximately $14.9 million of outstanding Inseego Notes from such Lenders in exchange for $11.9 million deemed to have been loaned to the Company pursuant to the Credit Agreement and the accrued and unpaid interest on such notes.</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Convertible Notes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00" w:type="dxa"/>
            <w:vAlign w:val="bottom"/>
          </w:tcPr>
          <w:p>
            <w:pPr>
              <w:jc w:val="right"/>
              <w:ind w:right="142"/>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2018</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Liability component:</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105,125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105,125</w:t>
            </w:r>
          </w:p>
        </w:tc>
      </w:tr>
      <w:tr>
        <w:trPr>
          <w:trHeight w:val="237"/>
        </w:trPr>
        <w:tc>
          <w:tcPr>
            <w:tcW w:w="8780" w:type="dxa"/>
            <w:vAlign w:val="bottom"/>
          </w:tcPr>
          <w:p>
            <w:pPr>
              <w:ind w:left="380"/>
              <w:spacing w:after="0"/>
              <w:rPr>
                <w:sz w:val="20"/>
                <w:szCs w:val="20"/>
                <w:color w:val="auto"/>
              </w:rPr>
            </w:pPr>
            <w:r>
              <w:rPr>
                <w:rFonts w:ascii="Arial" w:cs="Arial" w:eastAsia="Arial" w:hAnsi="Arial"/>
                <w:sz w:val="16"/>
                <w:szCs w:val="16"/>
                <w:color w:val="auto"/>
              </w:rPr>
              <w:t>Less: unamortized debt discount and debt issuance costs</w:t>
            </w:r>
          </w:p>
        </w:tc>
        <w:tc>
          <w:tcPr>
            <w:tcW w:w="22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(10,001)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(12,071)</w:t>
            </w:r>
          </w:p>
        </w:tc>
      </w:tr>
      <w:tr>
        <w:trPr>
          <w:trHeight w:val="33"/>
        </w:trPr>
        <w:tc>
          <w:tcPr>
            <w:tcW w:w="8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95,124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93,054</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Equity component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41,905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41,905</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effective interest rate on the liability component of the Convertible Notes was 14.78% for the three months ended March 31, 2019. The following table sets forth total interest expense recognized related to the Convertible Notes (in thousands):</w:t>
      </w:r>
    </w:p>
    <w:p>
      <w:pPr>
        <w:spacing w:after="0" w:line="108"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1,446</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28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1,956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1,956</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w:t>
            </w:r>
          </w:p>
        </w:tc>
      </w:tr>
      <w:tr>
        <w:trPr>
          <w:trHeight w:val="244"/>
        </w:trPr>
        <w:tc>
          <w:tcPr>
            <w:tcW w:w="902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3,516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3,516</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121"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The Company included the following amounts for share-based compensation awards in the unaudited condensed consolidated statements of operations (in thousands):</w:t>
      </w:r>
    </w:p>
    <w:p>
      <w:pPr>
        <w:spacing w:after="0" w:line="108"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215</w:t>
            </w:r>
          </w:p>
        </w:tc>
      </w:tr>
      <w:tr>
        <w:trPr>
          <w:trHeight w:val="47"/>
        </w:trPr>
        <w:tc>
          <w:tcPr>
            <w:tcW w:w="9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398</w:t>
            </w:r>
          </w:p>
        </w:tc>
      </w:tr>
      <w:tr>
        <w:trPr>
          <w:trHeight w:val="47"/>
        </w:trPr>
        <w:tc>
          <w:tcPr>
            <w:tcW w:w="90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5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553"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0260" w:type="dxa"/>
            <w:vAlign w:val="bottom"/>
          </w:tcPr>
          <w:p>
            <w:pPr>
              <w:ind w:left="5020"/>
              <w:spacing w:after="0"/>
              <w:rPr>
                <w:sz w:val="20"/>
                <w:szCs w:val="20"/>
                <w:color w:val="auto"/>
              </w:rPr>
            </w:pPr>
            <w:r>
              <w:rPr>
                <w:rFonts w:ascii="Arial" w:cs="Arial" w:eastAsia="Arial" w:hAnsi="Arial"/>
                <w:sz w:val="18"/>
                <w:szCs w:val="18"/>
                <w:b w:val="1"/>
                <w:bCs w:val="1"/>
                <w:color w:val="auto"/>
              </w:rPr>
              <w:t>INSEEGO CORP.</w:t>
            </w:r>
          </w:p>
        </w:tc>
        <w:tc>
          <w:tcPr>
            <w:tcW w:w="1140" w:type="dxa"/>
            <w:vAlign w:val="bottom"/>
          </w:tcPr>
          <w:p>
            <w:pPr>
              <w:spacing w:after="0"/>
              <w:rPr>
                <w:sz w:val="18"/>
                <w:szCs w:val="18"/>
                <w:color w:val="auto"/>
              </w:rPr>
            </w:pPr>
          </w:p>
        </w:tc>
      </w:tr>
      <w:tr>
        <w:trPr>
          <w:trHeight w:val="234"/>
        </w:trPr>
        <w:tc>
          <w:tcPr>
            <w:tcW w:w="10260" w:type="dxa"/>
            <w:vAlign w:val="bottom"/>
          </w:tcPr>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(Unaudited)</w:t>
            </w:r>
          </w:p>
        </w:tc>
        <w:tc>
          <w:tcPr>
            <w:tcW w:w="1140" w:type="dxa"/>
            <w:vAlign w:val="bottom"/>
          </w:tcPr>
          <w:p>
            <w:pPr>
              <w:spacing w:after="0"/>
              <w:rPr>
                <w:sz w:val="20"/>
                <w:szCs w:val="20"/>
                <w:color w:val="auto"/>
              </w:rPr>
            </w:pPr>
          </w:p>
        </w:tc>
      </w:tr>
      <w:tr>
        <w:trPr>
          <w:trHeight w:val="567"/>
        </w:trPr>
        <w:tc>
          <w:tcPr>
            <w:tcW w:w="1026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140" w:type="dxa"/>
            <w:vAlign w:val="bottom"/>
          </w:tcPr>
          <w:p>
            <w:pPr>
              <w:spacing w:after="0"/>
              <w:rPr>
                <w:sz w:val="24"/>
                <w:szCs w:val="24"/>
                <w:color w:val="auto"/>
              </w:rPr>
            </w:pPr>
          </w:p>
        </w:tc>
      </w:tr>
      <w:tr>
        <w:trPr>
          <w:trHeight w:val="405"/>
        </w:trPr>
        <w:tc>
          <w:tcPr>
            <w:tcW w:w="10260" w:type="dxa"/>
            <w:vAlign w:val="bottom"/>
          </w:tcPr>
          <w:p>
            <w:pPr>
              <w:ind w:left="420"/>
              <w:spacing w:after="0"/>
              <w:rPr>
                <w:sz w:val="20"/>
                <w:szCs w:val="20"/>
                <w:color w:val="auto"/>
              </w:rPr>
            </w:pPr>
            <w:r>
              <w:rPr>
                <w:rFonts w:ascii="Arial" w:cs="Arial" w:eastAsia="Arial" w:hAnsi="Arial"/>
                <w:sz w:val="18"/>
                <w:szCs w:val="18"/>
                <w:color w:val="auto"/>
              </w:rPr>
              <w:t>The following table summarizes the Company’s stock option activity:</w:t>
            </w:r>
          </w:p>
        </w:tc>
        <w:tc>
          <w:tcPr>
            <w:tcW w:w="1140" w:type="dxa"/>
            <w:vAlign w:val="bottom"/>
          </w:tcPr>
          <w:p>
            <w:pPr>
              <w:spacing w:after="0"/>
              <w:rPr>
                <w:sz w:val="24"/>
                <w:szCs w:val="24"/>
                <w:color w:val="auto"/>
              </w:rPr>
            </w:pPr>
          </w:p>
        </w:tc>
      </w:tr>
      <w:tr>
        <w:trPr>
          <w:trHeight w:val="135"/>
        </w:trPr>
        <w:tc>
          <w:tcPr>
            <w:tcW w:w="102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37"/>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2018</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8,796,212</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489,882</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(312,724)</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140" w:type="dxa"/>
            <w:vAlign w:val="bottom"/>
          </w:tcPr>
          <w:p>
            <w:pPr>
              <w:jc w:val="right"/>
              <w:spacing w:after="0"/>
              <w:rPr>
                <w:sz w:val="20"/>
                <w:szCs w:val="20"/>
                <w:color w:val="auto"/>
              </w:rPr>
            </w:pPr>
            <w:r>
              <w:rPr>
                <w:rFonts w:ascii="Arial" w:cs="Arial" w:eastAsia="Arial" w:hAnsi="Arial"/>
                <w:sz w:val="16"/>
                <w:szCs w:val="16"/>
                <w:color w:val="auto"/>
              </w:rPr>
              <w:t>(536,599)</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March 31, 2019</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8,436,771</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10260" w:type="dxa"/>
            <w:vAlign w:val="bottom"/>
          </w:tcPr>
          <w:p>
            <w:pPr>
              <w:ind w:left="40"/>
              <w:spacing w:after="0"/>
              <w:rPr>
                <w:sz w:val="20"/>
                <w:szCs w:val="20"/>
                <w:color w:val="auto"/>
              </w:rPr>
            </w:pPr>
            <w:r>
              <w:rPr>
                <w:rFonts w:ascii="Arial" w:cs="Arial" w:eastAsia="Arial" w:hAnsi="Arial"/>
                <w:sz w:val="16"/>
                <w:szCs w:val="16"/>
                <w:color w:val="auto"/>
              </w:rPr>
              <w:t>Exercisable — March 31, 2019</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2,411,388</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At March 31, 2019, total unrecognized compensation expense related to stock options was $5.8 million, which is expected to be recognized over a weighted-average period of 2.71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restricted stock unit (“RSU”) activity: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2018</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454,382</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238,617</w:t>
            </w:r>
          </w:p>
        </w:tc>
      </w:tr>
      <w:tr>
        <w:trPr>
          <w:trHeight w:val="33"/>
        </w:trPr>
        <w:tc>
          <w:tcPr>
            <w:tcW w:w="10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0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(221,537)</w:t>
            </w:r>
          </w:p>
        </w:tc>
      </w:tr>
      <w:tr>
        <w:trPr>
          <w:trHeight w:val="224"/>
        </w:trPr>
        <w:tc>
          <w:tcPr>
            <w:tcW w:w="1026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14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33"/>
        </w:trPr>
        <w:tc>
          <w:tcPr>
            <w:tcW w:w="10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March 31, 2019</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470,212</w:t>
            </w:r>
          </w:p>
        </w:tc>
      </w:tr>
      <w:tr>
        <w:trPr>
          <w:trHeight w:val="20"/>
        </w:trPr>
        <w:tc>
          <w:tcPr>
            <w:tcW w:w="10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At March 31, 2019, total unrecognized compensation expense related to RSUs was $1.0 million, which is expected to be recognized over a weighted-average period of 1.63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Basic earnings per share (“EPS”) excludes dilution and is computed by dividing net income (loss) attributable to Inseego Corp.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Convertible Notes calculated using the if-converted and treasury stock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24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For the three months ended March 31, 2019, the computation of diluted EPS excluded 35,706,077 shares primarily related to the Convertible Notes, warrants, stock options and RSUs as their effect would have been anti-dilutive.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Private Placement</w:t>
      </w:r>
    </w:p>
    <w:p>
      <w:pPr>
        <w:spacing w:after="0" w:line="121"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On August 6, 2018, the Company completed a private placement of 12,062,000 shares of common stock, par value $0.001 per share, and warrants to purchase an additional 4,221,700 shares of common stock (the “2018 Warrants”), subject to adjustment for stock splits, reverse stock splits, stock dividends and similar transactions, to certain accredited investors for gross proceeds of $19.7 million in cash. In connection with the private placement, the Company incurred issuance costs of approximately $0.5 million.</w:t>
      </w:r>
    </w:p>
    <w:p>
      <w:pPr>
        <w:spacing w:after="0" w:line="24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“2019 Warrants”) to the accredited investors. Each 2019 Warrant has an initial exercise price of $7.00 per share, subject to adjustment for stock splits, reverse stock splits, stock dividends and similar transactions, will be exercisable at any time on or after September 28, 2019, and will expire on June 30, 2022. The 2019 Warrants may be exercisable on a cashless exercise basis if, and only if, the shares of common stock underlying such warrants cannot be immediately resold pursuant to an effective registration statement or Rule 144 of the Securities Act of 1933, as amended, without volume or manner of sale restrictions.</w:t>
      </w:r>
    </w:p>
    <w:p>
      <w:pPr>
        <w:spacing w:after="0" w:line="243"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 xml:space="preserve">The Company assessed the terms of the warrants under ASC 815, </w:t>
      </w:r>
      <w:r>
        <w:rPr>
          <w:rFonts w:ascii="Arial" w:cs="Arial" w:eastAsia="Arial" w:hAnsi="Arial"/>
          <w:sz w:val="18"/>
          <w:szCs w:val="18"/>
          <w:i w:val="1"/>
          <w:iCs w:val="1"/>
          <w:color w:val="auto"/>
        </w:rPr>
        <w:t>Derivatives and Hedges</w:t>
      </w:r>
      <w:r>
        <w:rPr>
          <w:rFonts w:ascii="Arial" w:cs="Arial" w:eastAsia="Arial" w:hAnsi="Arial"/>
          <w:sz w:val="18"/>
          <w:szCs w:val="18"/>
          <w:color w:val="auto"/>
        </w:rPr>
        <w:t>. Pursuant to this guidance, the Company has determined that the warrants do not require liability accounting and has classified the warrants as equity.</w:t>
      </w:r>
    </w:p>
    <w:p>
      <w:pPr>
        <w:sectPr>
          <w:pgSz w:w="11900" w:h="16838" w:orient="portrait"/>
          <w:cols w:equalWidth="0" w:num="1">
            <w:col w:w="11400"/>
          </w:cols>
          <w:pgMar w:left="240" w:top="553" w:right="2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553" w:right="25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Geographic Information and Concentrations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163"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33,494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30,106</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28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8,369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10,685</w:t>
            </w:r>
          </w:p>
        </w:tc>
      </w:tr>
      <w:tr>
        <w:trPr>
          <w:trHeight w:val="47"/>
        </w:trPr>
        <w:tc>
          <w:tcPr>
            <w:tcW w:w="9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6,693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5,942</w:t>
            </w:r>
          </w:p>
        </w:tc>
      </w:tr>
      <w:tr>
        <w:trPr>
          <w:trHeight w:val="244"/>
        </w:trPr>
        <w:tc>
          <w:tcPr>
            <w:tcW w:w="902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48,556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46,733</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225"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For the three months ended March 31, 2019, one customer accounted for 53.3% of net revenues. For the three months ended March 31, 2018, one customer accounted for 48.9% of net revenues.</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As of March 31, 2019, one customer accounted for 38.6% of accounts receivable, net. As of December 31, 2018, two customers accounted for 30.5% and 12.8% of accounts receivable, net.</w:t>
      </w:r>
    </w:p>
    <w:p>
      <w:pPr>
        <w:spacing w:after="0" w:line="220" w:lineRule="exact"/>
        <w:rPr>
          <w:sz w:val="20"/>
          <w:szCs w:val="20"/>
          <w:color w:val="auto"/>
        </w:rPr>
      </w:pPr>
    </w:p>
    <w:p>
      <w:pPr>
        <w:ind w:right="8600" w:firstLine="8"/>
        <w:spacing w:after="0" w:line="362" w:lineRule="auto"/>
        <w:tabs>
          <w:tab w:leader="none" w:pos="27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w:t>
      </w:r>
    </w:p>
    <w:p>
      <w:pPr>
        <w:spacing w:after="0" w:line="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Company is, from time to time, party to various legal proceedings arising in the ordinary course of business. For example, the Company is currently named as a defendant or co-defendant in some patent infringement lawsuits in the U.S. and may be required to indirectly participate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173"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On May 27, 2015, a patent infringement action was brought against Novatel Wireless by Carucel Investments, L.P. (“Carucel”), a non-practicing entity (</w:t>
      </w:r>
      <w:r>
        <w:rPr>
          <w:rFonts w:ascii="Arial" w:cs="Arial" w:eastAsia="Arial" w:hAnsi="Arial"/>
          <w:sz w:val="18"/>
          <w:szCs w:val="18"/>
          <w:i w:val="1"/>
          <w:iCs w:val="1"/>
          <w:color w:val="auto"/>
        </w:rPr>
        <w:t>Carucel Investments, L.P. v. Novatel Wireless, Inc., et al., U.S.D.C. S.D. Florida, Civil Action No. 0:15-cv-61116-BB</w:t>
      </w:r>
      <w:r>
        <w:rPr>
          <w:rFonts w:ascii="Arial" w:cs="Arial" w:eastAsia="Arial" w:hAnsi="Arial"/>
          <w:sz w:val="18"/>
          <w:szCs w:val="18"/>
          <w:color w:val="auto"/>
        </w:rPr>
        <w:t>). The complaint alleged that certain MiFi mobile hotspots manufactured by Novatel Wireless infringed claims of patents owned by Carucel. On April 10, 2017, judgment was entered in favor of Novatel Wireless. Carucel filed to appeal certain orders in the litigation and on July 13, 2018, the U.S. Federal Circuit Court of Appeals affirmed the judgment.</w:t>
      </w:r>
    </w:p>
    <w:p>
      <w:pPr>
        <w:spacing w:after="0" w:line="188"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w:t>
      </w:r>
    </w:p>
    <w:p>
      <w:pPr>
        <w:spacing w:after="0" w:line="3" w:lineRule="exact"/>
        <w:rPr>
          <w:sz w:val="20"/>
          <w:szCs w:val="20"/>
          <w:color w:val="auto"/>
        </w:rPr>
      </w:pPr>
    </w:p>
    <w:p>
      <w:pPr>
        <w:ind w:right="100" w:firstLine="8"/>
        <w:spacing w:after="0" w:line="252"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The Company’s remaining liability under the Settlement Agreement at March 31, 2019 consists of approximately $1.0 million in current liabilities and $1.0 million in long-term liabilities.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3" w:right="2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25" w:lineRule="exact"/>
        <w:rPr>
          <w:sz w:val="20"/>
          <w:szCs w:val="20"/>
          <w:color w:val="auto"/>
        </w:rPr>
      </w:pPr>
    </w:p>
    <w:p>
      <w:pPr>
        <w:jc w:val="both"/>
        <w:ind w:right="40" w:firstLine="405"/>
        <w:spacing w:after="0" w:line="279"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Company is a lessee in lease agreements for office space, automobiles and certain equipment. Certain of the Company’s leases contain provisions that provide for one or more options to renew at the Company’s sole discretion. The majority of the Company’s leases are comprised of fixed lease payments, with a small percentage of its real estate leases including lease payments subject to a rate or index which may be variable. Certain real estate leases also include executory costs such as common area maintenance (non-lease component). As a practical expedient permitted under ASC 842, the Company has elected to account for the lease and non-lease components as a single lease component. Lease payments, which may include lease components and non-lease components, are included in the measurement of the Company’s lease liabilities to the extent that such payments are either fixed amounts or variable amounts based on a rate or index (fixed in substance) as stipulated in the lease contract.</w:t>
      </w:r>
    </w:p>
    <w:p>
      <w:pPr>
        <w:spacing w:after="0" w:line="178"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None of the Company’s lease agreements contain any material residual value guarantees or material restrictive covenants. As a result of the Company’s election of the package of practical expedients permitted within ASC 842, which among other things, allows for the carryforward of historical lease classification, all of the Company’s lease agreements in existence at the date of adoption that were classified as operating leases under ASC 840 have been classified as operating leases under ASC 842. Lease expense for payments related to the Company’s operating leases is recognized on a straight-line basis over the related lease term, which includes options to extend or terminate the lease when it is reasonably certain that the Company will exercise that option.</w:t>
      </w:r>
    </w:p>
    <w:p>
      <w:pPr>
        <w:spacing w:after="0" w:line="158"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Right-of-use assets represent the Company’s right to use an underlying asset during the lease term and lease liabilities represent the Company’s obligation to make lease payments as specified in the lease. Right-of-use assets and lease liabilities related to the Company’s operating leases are recognized at the lease commencement date based on the present value of the remaining lease payments over the lease term. When the Company’s leases do not provide an implicit rate, the Company uses its incremental borrowing rate based on the information available surrounding the Company’s borrowing rates at the lease commencement date in determining the present value of lease payments. The right-of-use asset also includes any lease payments made at or before lease commencement less any lease incentives. As of March 31, 2019, the Company had right-of-use assets of $3.1 million and lease liabilities related to its operating leases of $3.2 million. Right-of-use assets are included in right-of-use assets, net, on the condensed consolidated balance sheet and lease liabilities related to the Company’s operating leases are included in accrued expenses and other liabilities and other long-term liabilities on the condensed consolidated balance sheet. As of March 31, 2019, the Company’s weighted-average remaining lease term and weighted-average discount rate related to its operating leases were 2.4 years and 9.1%, respectively.</w:t>
      </w:r>
    </w:p>
    <w:p>
      <w:pPr>
        <w:spacing w:after="0" w:line="17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During the three months ended March 31, 2019, the cash paid for amounts included in the measurement of lease liabilities related to the Company’s operating leases was approximately $0.5 million, which is included as an operating cash outflow within the consolidated statements of cash flows. During the three months ended March 31, 2019, the operating lease costs related to the Company’s operating leases was approximately $0.5 million, which is included in operating costs and expenses in the condensed consolidated statements of operations. During the three months ended March 31, 2019, the Company did not enter into any lease agreements set to commence in the future and there were no newly leased assets for which a right-of-use asset was recorded in exchange for a new lease liability, other than those lease assets recorded upon implementation.</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53" w:right="2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9920" w:type="dxa"/>
            <w:vAlign w:val="bottom"/>
          </w:tcPr>
          <w:p>
            <w:pPr>
              <w:ind w:left="5020"/>
              <w:spacing w:after="0"/>
              <w:rPr>
                <w:sz w:val="20"/>
                <w:szCs w:val="20"/>
                <w:color w:val="auto"/>
              </w:rPr>
            </w:pPr>
            <w:r>
              <w:rPr>
                <w:rFonts w:ascii="Arial" w:cs="Arial" w:eastAsia="Arial" w:hAnsi="Arial"/>
                <w:sz w:val="18"/>
                <w:szCs w:val="18"/>
                <w:b w:val="1"/>
                <w:bCs w:val="1"/>
                <w:color w:val="auto"/>
              </w:rPr>
              <w:t>INSEEGO CORP.</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9920" w:type="dxa"/>
            <w:vAlign w:val="bottom"/>
          </w:tcPr>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(Unaudited)</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21"/>
        </w:trPr>
        <w:tc>
          <w:tcPr>
            <w:tcW w:w="9920" w:type="dxa"/>
            <w:vAlign w:val="bottom"/>
          </w:tcPr>
          <w:p>
            <w:pPr>
              <w:ind w:left="420"/>
              <w:spacing w:after="0"/>
              <w:rPr>
                <w:sz w:val="20"/>
                <w:szCs w:val="20"/>
                <w:color w:val="auto"/>
              </w:rPr>
            </w:pPr>
            <w:r>
              <w:rPr>
                <w:rFonts w:ascii="Arial" w:cs="Arial" w:eastAsia="Arial" w:hAnsi="Arial"/>
                <w:sz w:val="18"/>
                <w:szCs w:val="18"/>
                <w:color w:val="auto"/>
              </w:rPr>
              <w:t>The future minimum payments under operating leases were as follows at March 31, 2019 (in thousands):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35"/>
        </w:trPr>
        <w:tc>
          <w:tcPr>
            <w:tcW w:w="9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 (remainder)</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1,549</w:t>
            </w: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2020</w:t>
            </w:r>
          </w:p>
        </w:tc>
        <w:tc>
          <w:tcPr>
            <w:tcW w:w="5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1,016</w:t>
            </w:r>
          </w:p>
        </w:tc>
      </w:tr>
      <w:tr>
        <w:trPr>
          <w:trHeight w:val="33"/>
        </w:trPr>
        <w:tc>
          <w:tcPr>
            <w:tcW w:w="9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w:t>
            </w: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2022</w:t>
            </w:r>
          </w:p>
        </w:tc>
        <w:tc>
          <w:tcPr>
            <w:tcW w:w="5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347</w:t>
            </w:r>
          </w:p>
        </w:tc>
      </w:tr>
      <w:tr>
        <w:trPr>
          <w:trHeight w:val="33"/>
        </w:trPr>
        <w:tc>
          <w:tcPr>
            <w:tcW w:w="9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r>
      <w:tr>
        <w:trPr>
          <w:trHeight w:val="217"/>
        </w:trPr>
        <w:tc>
          <w:tcPr>
            <w:tcW w:w="9920" w:type="dxa"/>
            <w:vAlign w:val="bottom"/>
          </w:tcPr>
          <w:p>
            <w:pPr>
              <w:ind w:left="280"/>
              <w:spacing w:after="0"/>
              <w:rPr>
                <w:sz w:val="20"/>
                <w:szCs w:val="20"/>
                <w:color w:val="auto"/>
              </w:rPr>
            </w:pPr>
            <w:r>
              <w:rPr>
                <w:rFonts w:ascii="Arial" w:cs="Arial" w:eastAsia="Arial" w:hAnsi="Arial"/>
                <w:sz w:val="16"/>
                <w:szCs w:val="16"/>
                <w:color w:val="auto"/>
              </w:rPr>
              <w:t>Total minimum operating lease payments</w:t>
            </w: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3,590</w:t>
            </w:r>
          </w:p>
        </w:tc>
      </w:tr>
      <w:tr>
        <w:trPr>
          <w:trHeight w:val="33"/>
        </w:trPr>
        <w:tc>
          <w:tcPr>
            <w:tcW w:w="9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amounts representing interest</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r>
      <w:tr>
        <w:trPr>
          <w:trHeight w:val="217"/>
        </w:trPr>
        <w:tc>
          <w:tcPr>
            <w:tcW w:w="9920" w:type="dxa"/>
            <w:vAlign w:val="bottom"/>
          </w:tcPr>
          <w:p>
            <w:pPr>
              <w:ind w:left="280"/>
              <w:spacing w:after="0"/>
              <w:rPr>
                <w:sz w:val="20"/>
                <w:szCs w:val="20"/>
                <w:color w:val="auto"/>
              </w:rPr>
            </w:pPr>
            <w:r>
              <w:rPr>
                <w:rFonts w:ascii="Arial" w:cs="Arial" w:eastAsia="Arial" w:hAnsi="Arial"/>
                <w:sz w:val="16"/>
                <w:szCs w:val="16"/>
                <w:color w:val="auto"/>
              </w:rPr>
              <w:t>Present value of net minimum operating lease payments</w:t>
            </w: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3,229</w:t>
            </w:r>
          </w:p>
        </w:tc>
      </w:tr>
      <w:tr>
        <w:trPr>
          <w:trHeight w:val="33"/>
        </w:trPr>
        <w:tc>
          <w:tcPr>
            <w:tcW w:w="9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w:t>
            </w:r>
          </w:p>
        </w:tc>
      </w:tr>
      <w:tr>
        <w:trPr>
          <w:trHeight w:val="217"/>
        </w:trPr>
        <w:tc>
          <w:tcPr>
            <w:tcW w:w="9920" w:type="dxa"/>
            <w:vAlign w:val="bottom"/>
          </w:tcPr>
          <w:p>
            <w:pPr>
              <w:ind w:left="280"/>
              <w:spacing w:after="0"/>
              <w:rPr>
                <w:sz w:val="20"/>
                <w:szCs w:val="20"/>
                <w:color w:val="auto"/>
              </w:rPr>
            </w:pPr>
            <w:r>
              <w:rPr>
                <w:rFonts w:ascii="Arial" w:cs="Arial" w:eastAsia="Arial" w:hAnsi="Arial"/>
                <w:sz w:val="16"/>
                <w:szCs w:val="16"/>
                <w:color w:val="auto"/>
              </w:rPr>
              <w:t>Long-term portion of operating lease obligations</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1,565</w:t>
            </w:r>
          </w:p>
        </w:tc>
      </w:tr>
      <w:tr>
        <w:trPr>
          <w:trHeight w:val="33"/>
        </w:trPr>
        <w:tc>
          <w:tcPr>
            <w:tcW w:w="99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 xml:space="preserve">Prior to January 1, 2019, and as previously disclosed in the Company’s Form 10-K for the year ended December 31, 2018, the Company derived revenue from customers who lease the Company’s monitoring devices. The Company recorded such revenue in accordance with the previous lease accounting guidance ASC 840, </w:t>
      </w:r>
      <w:r>
        <w:rPr>
          <w:rFonts w:ascii="Arial" w:cs="Arial" w:eastAsia="Arial" w:hAnsi="Arial"/>
          <w:sz w:val="18"/>
          <w:szCs w:val="18"/>
          <w:i w:val="1"/>
          <w:iCs w:val="1"/>
          <w:color w:val="auto"/>
        </w:rPr>
        <w:t>Leases</w:t>
      </w:r>
      <w:r>
        <w:rPr>
          <w:rFonts w:ascii="Arial" w:cs="Arial" w:eastAsia="Arial" w:hAnsi="Arial"/>
          <w:sz w:val="18"/>
          <w:szCs w:val="18"/>
          <w:color w:val="auto"/>
        </w:rPr>
        <w:t>, and determined that the leases qualify as operating leases.</w:t>
      </w:r>
    </w:p>
    <w:p>
      <w:pPr>
        <w:spacing w:after="0" w:line="181"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Monitoring device leases in which the Company serves as lessor are classified as operating leases. Accordingly, rental devices are carried at historical cost less accumulated depreciation and impairment, if any, and are included in rental assets, net, on the condensed consolidated balance sheets.</w:t>
      </w:r>
    </w:p>
    <w:p>
      <w:pPr>
        <w:spacing w:after="0" w:line="1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 xml:space="preserve">Since the lease components meet the criteria for an operating lease under ASC 842, the Company has elected the practical expedient to combine the lease and the non-lease components because the service is the predominant element in the eyes of the customer and the pattern of service delivery is the same for both elements. The Company will account for the combined component as a single performance obligation under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Company’s income tax provision of $0.2 million and $0.4 million for the three months ended March 31, 2019 and 2018, respectively, consists primarily of foreign income taxes at certain of the Company’s international entities and minimum state taxes for its U.S.-based entities. The Company has income tax expense rather than an expected benefit based on statutory rates due primarily to losses at U.S. and international subsidiaries whose net operating losses are fully reserved.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w:t>
      </w:r>
    </w:p>
    <w:p>
      <w:pPr>
        <w:spacing w:after="0" w:line="121"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In the third quarter of 2015, the Company approved a restructuring initiative to better position the Company to operate in current market conditions and more closely align operating expenses with revenues, which included employee severance costs and facility exit related costs. In the fourth quarter of 2015, the Company commenced certain initiatives relating to the reorganization of executive level management (collectively, the “2015 Initiatives”). The Company continued these initiatives in 2016 with a reduction-in-force and the completion of the closure of its facility in Richardson, TX. The 2015 Initiatives are expected to cost a total of approximately $6.1 million and be completed when the Richardson, TX lease expires in June 2020.</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activity in the restructuring liability for the three months ended March 31, 2019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Balance at</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Balance at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4"/>
              <w:spacing w:after="0"/>
              <w:rPr>
                <w:sz w:val="20"/>
                <w:szCs w:val="20"/>
                <w:color w:val="auto"/>
              </w:rPr>
            </w:pPr>
            <w:r>
              <w:rPr>
                <w:rFonts w:ascii="Arial" w:cs="Arial" w:eastAsia="Arial" w:hAnsi="Arial"/>
                <w:sz w:val="14"/>
                <w:szCs w:val="14"/>
                <w:b w:val="1"/>
                <w:bCs w:val="1"/>
                <w:color w:val="auto"/>
                <w:w w:val="86"/>
              </w:rPr>
              <w:t>Cumulative Costs</w:t>
            </w:r>
          </w:p>
        </w:tc>
      </w:tr>
      <w:tr>
        <w:trPr>
          <w:trHeight w:val="182"/>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December 31, 2018</w:t>
            </w:r>
          </w:p>
        </w:tc>
        <w:tc>
          <w:tcPr>
            <w:tcW w:w="14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Costs Incurred</w:t>
            </w:r>
          </w:p>
        </w:tc>
        <w:tc>
          <w:tcPr>
            <w:tcW w:w="22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5"/>
                <w:szCs w:val="15"/>
                <w:color w:val="auto"/>
              </w:rPr>
            </w:pPr>
          </w:p>
        </w:tc>
        <w:tc>
          <w:tcPr>
            <w:tcW w:w="12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March 31, 2019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Arial" w:cs="Arial" w:eastAsia="Arial" w:hAnsi="Arial"/>
                <w:sz w:val="14"/>
                <w:szCs w:val="14"/>
                <w:b w:val="1"/>
                <w:bCs w:val="1"/>
                <w:color w:val="auto"/>
                <w:w w:val="91"/>
              </w:rPr>
              <w:t>Incurred to Date</w:t>
            </w:r>
          </w:p>
        </w:tc>
      </w:tr>
      <w:tr>
        <w:trPr>
          <w:trHeight w:val="203"/>
        </w:trPr>
        <w:tc>
          <w:tcPr>
            <w:tcW w:w="4580" w:type="dxa"/>
            <w:vAlign w:val="bottom"/>
            <w:gridSpan w:val="3"/>
          </w:tcPr>
          <w:p>
            <w:pPr>
              <w:ind w:left="40"/>
              <w:spacing w:after="0"/>
              <w:rPr>
                <w:sz w:val="20"/>
                <w:szCs w:val="20"/>
                <w:color w:val="auto"/>
              </w:rPr>
            </w:pPr>
            <w:r>
              <w:rPr>
                <w:rFonts w:ascii="Arial" w:cs="Arial" w:eastAsia="Arial" w:hAnsi="Arial"/>
                <w:sz w:val="16"/>
                <w:szCs w:val="16"/>
                <w:b w:val="1"/>
                <w:bCs w:val="1"/>
                <w:color w:val="auto"/>
              </w:rPr>
              <w:t>2015 Initiatives</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3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4,131</w:t>
            </w:r>
          </w:p>
        </w:tc>
      </w:tr>
      <w:tr>
        <w:trPr>
          <w:trHeight w:val="237"/>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Facility Exit Related Costs</w:t>
            </w:r>
          </w:p>
        </w:tc>
        <w:tc>
          <w:tcPr>
            <w:tcW w:w="24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634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ind w:left="8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537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Arial" w:cs="Arial" w:eastAsia="Arial" w:hAnsi="Arial"/>
                <w:sz w:val="16"/>
                <w:szCs w:val="16"/>
                <w:color w:val="auto"/>
              </w:rPr>
              <w:t>1,864</w:t>
            </w:r>
          </w:p>
        </w:tc>
      </w:tr>
      <w:tr>
        <w:trPr>
          <w:trHeight w:val="33"/>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634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537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5,995</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balance of the restructuring liability at March 31, 2019 consists of approximately $0.4 million in current liabilities and $0.1 million in long-term liabilities.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53" w:right="239" w:bottom="1440" w:gutter="0" w:footer="0" w:header="0"/>
        </w:sectPr>
      </w:pPr>
    </w:p>
    <w:bookmarkStart w:id="20" w:name="page21"/>
    <w:bookmarkEnd w:id="20"/>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221" w:lineRule="exact"/>
        <w:rPr>
          <w:sz w:val="20"/>
          <w:szCs w:val="20"/>
          <w:color w:val="auto"/>
        </w:rPr>
      </w:pPr>
    </w:p>
    <w:p>
      <w:pPr>
        <w:ind w:left="620" w:right="340" w:hanging="315"/>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 successfully;</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meet the price and performance standards of the evolving 5G New Radio (“5G NR”) products and technologies;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expand our customer reach/reduce customer concentration;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the Internet of Things (“IoT”) and mobile portfolio outside of North America;</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our Ctrack/asset tracking solutions within North America;</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225" w:lineRule="exact"/>
        <w:rPr>
          <w:rFonts w:ascii="Arial" w:cs="Arial" w:eastAsia="Arial" w:hAnsi="Arial"/>
          <w:sz w:val="18"/>
          <w:szCs w:val="18"/>
          <w:color w:val="auto"/>
        </w:rPr>
      </w:pPr>
    </w:p>
    <w:p>
      <w:pPr>
        <w:ind w:left="620" w:right="440" w:hanging="315"/>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realize the benefits of recent restructuring activities and cost-reduction initiatives including reductions-in-force, reorganization of executive level management and the consolidation of certain of our facilities;</w:t>
      </w:r>
    </w:p>
    <w:p>
      <w:pPr>
        <w:spacing w:after="0" w:line="170" w:lineRule="exact"/>
        <w:rPr>
          <w:rFonts w:ascii="Arial" w:cs="Arial" w:eastAsia="Arial" w:hAnsi="Arial"/>
          <w:sz w:val="18"/>
          <w:szCs w:val="18"/>
          <w:color w:val="auto"/>
        </w:rPr>
      </w:pPr>
    </w:p>
    <w:p>
      <w:pPr>
        <w:ind w:left="620" w:right="680" w:hanging="315"/>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make scheduled payments of the principal of, to pay interest on, or to refinance our indebtedness, including our term loan and convertible notes obligations;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225" w:lineRule="exact"/>
        <w:rPr>
          <w:rFonts w:ascii="Arial" w:cs="Arial" w:eastAsia="Arial" w:hAnsi="Arial"/>
          <w:sz w:val="18"/>
          <w:szCs w:val="18"/>
          <w:color w:val="auto"/>
        </w:rPr>
      </w:pPr>
    </w:p>
    <w:p>
      <w:pPr>
        <w:ind w:left="620" w:right="420" w:hanging="315"/>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contract manufacturer’s ability to secure necessary supply to build our devices;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mitigate the impact of tariffs or other government-imposed sanctions;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and devices used in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geopolitical instability on our business;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impact that new or adjusted tariffs may have on the costs of components or our products, and our ability to sell products internationally;</w:t>
      </w:r>
    </w:p>
    <w:p>
      <w:pPr>
        <w:spacing w:after="0" w:line="236" w:lineRule="exact"/>
        <w:rPr>
          <w:rFonts w:ascii="Arial" w:cs="Arial" w:eastAsia="Arial" w:hAnsi="Arial"/>
          <w:sz w:val="17"/>
          <w:szCs w:val="17"/>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wireless broadband data access in industrial IoT markets;</w:t>
      </w:r>
    </w:p>
    <w:p>
      <w:pPr>
        <w:sectPr>
          <w:pgSz w:w="11900" w:h="16838" w:orient="portrait"/>
          <w:cols w:equalWidth="0" w:num="1">
            <w:col w:w="11340"/>
          </w:cols>
          <w:pgMar w:left="240" w:top="796" w:right="319" w:bottom="1440" w:gutter="0" w:footer="0" w:header="0"/>
        </w:sect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40"/>
          </w:cols>
          <w:pgMar w:left="240" w:top="796" w:right="319" w:bottom="1440" w:gutter="0" w:footer="0" w:header="0"/>
          <w:type w:val="continuous"/>
        </w:sectPr>
      </w:pPr>
    </w:p>
    <w:bookmarkStart w:id="21" w:name="page22"/>
    <w:bookmarkEnd w:id="21"/>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conducting business abroad, including foreign currency risks;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pace of 5G wireless network rollouts globally and their adoption by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279"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2018 (“Form 10-K”). If one or more events related to these or other risks or uncertainties materialize, or if our underlying assumptions prove to be incorrect, actual results may differ materially from what we anticipate.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firstLine="432"/>
        <w:spacing w:after="0" w:line="226" w:lineRule="auto"/>
        <w:rPr>
          <w:sz w:val="20"/>
          <w:szCs w:val="20"/>
          <w:color w:val="auto"/>
        </w:rPr>
      </w:pPr>
      <w:r>
        <w:rPr>
          <w:rFonts w:ascii="Arial" w:cs="Arial" w:eastAsia="Arial" w:hAnsi="Arial"/>
          <w:sz w:val="18"/>
          <w:szCs w:val="18"/>
          <w:color w:val="auto"/>
        </w:rPr>
        <w:t>“Inseego”, the Inseego logo, “Novatel Wireless”, the Novatel Wireless logo, “MiFi”, “MiFi</w:t>
      </w:r>
      <w:r>
        <w:rPr>
          <w:rFonts w:ascii="Arial" w:cs="Arial" w:eastAsia="Arial" w:hAnsi="Arial"/>
          <w:sz w:val="25"/>
          <w:szCs w:val="25"/>
          <w:color w:val="auto"/>
          <w:vertAlign w:val="superscript"/>
        </w:rPr>
        <w:t>iQ</w:t>
      </w:r>
      <w:r>
        <w:rPr>
          <w:rFonts w:ascii="Arial" w:cs="Arial" w:eastAsia="Arial" w:hAnsi="Arial"/>
          <w:sz w:val="18"/>
          <w:szCs w:val="18"/>
          <w:color w:val="auto"/>
        </w:rPr>
        <w:t>”, “MiFi Intelligent Mobile Hotspot”, “MiFi Freedom. My Way.”, “Ctrack”, the Ctrack logo, “Inseego North America”, “Skyus” and “Crossroads” are trademarks or registered trademarks of Inseego and its subsidiaries. Other trademarks, trade names or service marks used in this report are the property of their respective owners.</w:t>
      </w:r>
    </w:p>
    <w:p>
      <w:pPr>
        <w:spacing w:after="0" w:line="31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used in this report on Form 10-Q, unless the context otherwise requires, the terms “we,” “us,” “our,” the “Company” and “Inseego” refer to Inseego Corp., a Delaware corporation, and its wholly owned subsidiaries.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76" w:right="299" w:bottom="1440" w:gutter="0" w:footer="0" w:header="0"/>
        </w:sectPr>
      </w:pPr>
    </w:p>
    <w:bookmarkStart w:id="22" w:name="page23"/>
    <w:bookmarkEnd w:id="22"/>
    <w:p>
      <w:pPr>
        <w:ind w:right="120" w:firstLine="392"/>
        <w:spacing w:after="0" w:line="286" w:lineRule="auto"/>
        <w:rPr>
          <w:sz w:val="20"/>
          <w:szCs w:val="20"/>
          <w:color w:val="auto"/>
        </w:rPr>
      </w:pPr>
      <w:r>
        <w:rPr>
          <w:rFonts w:ascii="Arial" w:cs="Arial" w:eastAsia="Arial" w:hAnsi="Arial"/>
          <w:sz w:val="17"/>
          <w:szCs w:val="17"/>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2018, contained in our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ind w:right="100" w:firstLine="392"/>
        <w:spacing w:after="0" w:line="293" w:lineRule="auto"/>
        <w:rPr>
          <w:sz w:val="20"/>
          <w:szCs w:val="20"/>
          <w:color w:val="auto"/>
        </w:rPr>
      </w:pPr>
      <w:r>
        <w:rPr>
          <w:rFonts w:ascii="Arial" w:cs="Arial" w:eastAsia="Arial" w:hAnsi="Arial"/>
          <w:sz w:val="16"/>
          <w:szCs w:val="16"/>
          <w:color w:val="auto"/>
        </w:rPr>
        <w:t>Inseego Corp. is a leader in the design and development of mobile (advanced 4G and 5G NR), IoT and cloud solutions for large enterprise verticals, service providers and small and medium-sized businesses around the globe. Our product portfolio consists of fixed and mobile device-to-cloud solutions that provide compelling, intelligent, reliable and secure end-to-end IoT services with deep business intelligence. Inseego’s products and solutions power mission critical applications with a “zero unscheduled downtime” mandate, such as 5G fixed wireless access gateway solutions, 4G and 5G mobile broadband, industrial IoT, SD WAN failover management, asset tracking and fleet management services. Our solutions are powered by our key innovations in purpose-built SaaS cloud platforms, IoT and mobile technologies, including a suite of products employing the 5G NR standards.</w:t>
      </w:r>
    </w:p>
    <w:p>
      <w:pPr>
        <w:spacing w:after="0" w:line="27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have invented and reinvented ways in which the world stays connected, accesses information and derives intelligence from that information. With multiple first-to-market innovations and a strong and growing portfolio of hardware and software innovations for IoT, Inseego has been advancing technology and driving industry transformation for over 30 years. It is this proven expertise, commitment to quality and obsession with innovation and relentless execution that makes us a preferred global partner of service providers, distributors, value-added resellers, system integrators, enterprises and small and medium-sized businesses.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83" w:lineRule="exact"/>
        <w:rPr>
          <w:sz w:val="20"/>
          <w:szCs w:val="20"/>
          <w:color w:val="auto"/>
        </w:rPr>
      </w:pPr>
    </w:p>
    <w:p>
      <w:pPr>
        <w:ind w:firstLine="405"/>
        <w:spacing w:after="0" w:line="258" w:lineRule="auto"/>
        <w:rPr>
          <w:sz w:val="20"/>
          <w:szCs w:val="20"/>
          <w:color w:val="auto"/>
        </w:rPr>
      </w:pPr>
      <w:r>
        <w:rPr>
          <w:rFonts w:ascii="Arial" w:cs="Arial" w:eastAsia="Arial" w:hAnsi="Arial"/>
          <w:sz w:val="17"/>
          <w:szCs w:val="17"/>
          <w:color w:val="auto"/>
        </w:rPr>
        <w:t>We provide intelligent wireless 3G, 4G and 5G hardware products for the worldwide mobile communications and industrial IoT markets. Our hardware products address multiple vertical markets including fleet and commercial telematics, aftermarket telematics, smart city infrastructure management, remote monitoring and control, wireless surveillance systems, security and connected home and fixed wireless access and mobile broadband devices. Our broad range of products principally includes intelligent 4G and 5G mobile hotspots, wireless gateways and routers for IoT applications, 1Gigabit (“Gb”) 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cellular wireless technology platforms. Our mobile hotspots, sold under the MiFi and MiFi</w:t>
      </w:r>
      <w:r>
        <w:rPr>
          <w:rFonts w:ascii="Arial" w:cs="Arial" w:eastAsia="Arial" w:hAnsi="Arial"/>
          <w:sz w:val="24"/>
          <w:szCs w:val="24"/>
          <w:color w:val="auto"/>
          <w:vertAlign w:val="superscript"/>
        </w:rPr>
        <w:t>iQ</w:t>
      </w:r>
      <w:r>
        <w:rPr>
          <w:rFonts w:ascii="Arial" w:cs="Arial" w:eastAsia="Arial" w:hAnsi="Arial"/>
          <w:sz w:val="17"/>
          <w:szCs w:val="17"/>
          <w:color w:val="auto"/>
        </w:rPr>
        <w:t xml:space="preserve"> brands, have been sold to millions of customers to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30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provide intelligent mobile 4G and 5G devices primarily to wireless operators either directly or through strategic relationships. Our MiFi customer base is comprised of wireless operators, including Verizon Wireless in the United States, Rogers in Canada and Telstra in Australia, as well as distributors and various companies in other vertical markets and geographies.</w:t>
      </w:r>
    </w:p>
    <w:p>
      <w:pPr>
        <w:spacing w:after="0" w:line="28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We sell our wireless routers for industrial IoT, integrated telematics and mobile tracking hardware devices through our direct sales force, value-added resellers and through distributors. The customer base for our wireless products is comprised of transportation companies, industrial enterprises, manufacturers, application service providers, system integrators and distributors in various industries, including fleet and vehicle transportation, ground aviation, energy and industrial automation, security and safety, medical monitoring and government. Integrated telematics and asset tracking devices are also sold under our Ctrack brand and provided as part of our integrated SaaS solutions.</w:t>
      </w:r>
    </w:p>
    <w:p>
      <w:pPr>
        <w:spacing w:after="0" w:line="296"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sell SaaS, software and services solutions across multiple mobile and industrial IoT vertical markets, including fleet management, vehicle telematics, aviation (ground service) telematics, usage-based insurance, stolen vehicle recovery, asset tracking, monitoring, business connectivity and subscription management.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29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SaaS delivery platforms include our Ctrack platforms, which provide fleet, vehicle, aviation, asset and other telematics applications, and our Device Management System, a hosted SaaS platform that helps organizations manage the selection, deployment and spend of their wireless assets by helping them to save money on personnel and telecom expenses.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7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will be influenced by a number of factors including:</w:t>
      </w:r>
    </w:p>
    <w:p>
      <w:pPr>
        <w:spacing w:after="0" w:line="6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117"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phase-out of earlier generation wireless technologies (such as 3G);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application of any tariffs;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333"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We anticipate introducing additional products during the next twelve months, including SaaS telematics solutions and additional service offerings, industrial IoT hardware and services, and other mobile and fixed wireless devices targeting the emerging 5G market. We continue to develop and maintain strategic relationships with service providers and other wireless industry leaders such as Verizon Wireless, T-Mobile, Sprint,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2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Cost of Net Revenues. </w:t>
      </w:r>
      <w:r>
        <w:rPr>
          <w:rFonts w:ascii="Arial" w:cs="Arial" w:eastAsia="Arial" w:hAnsi="Arial"/>
          <w:sz w:val="18"/>
          <w:szCs w:val="18"/>
          <w:color w:val="auto"/>
        </w:rPr>
        <w:t>Cost of net revenues includes all costs associated with our contract manufacturers, distribution, fulfillment and repair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SaaS services, warranty costs, amortization of intangible assets, royalties, operations overhead, costs associated with cancellation of purchase orders, tariffs and costs related to outside services. Also included in cost of net revenues are costs related to inventory adjustments, as well as any write downs for excess and obsolete inventory and abandoned product lines. Inventory adjustments are impacted primarily by demand for our products, which is influenced by the factors discussed above.</w:t>
      </w:r>
    </w:p>
    <w:p>
      <w:pPr>
        <w:spacing w:after="0" w:line="29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costs.</w:t>
      </w:r>
    </w:p>
    <w:p>
      <w:pPr>
        <w:spacing w:after="0" w:line="279"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279"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255"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296"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exit-related costs.</w:t>
      </w:r>
    </w:p>
    <w:p>
      <w:pPr>
        <w:sectPr>
          <w:pgSz w:w="11900" w:h="16838" w:orient="portrait"/>
          <w:cols w:equalWidth="0" w:num="1">
            <w:col w:w="11400"/>
          </w:cols>
          <w:pgMar w:left="240" w:top="526" w:right="25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526" w:right="259" w:bottom="1440" w:gutter="0" w:footer="0" w:header="0"/>
          <w:type w:val="continuous"/>
        </w:sectPr>
      </w:pPr>
    </w:p>
    <w:bookmarkStart w:id="24" w:name="page25"/>
    <w:bookmarkEnd w:id="24"/>
    <w:p>
      <w:pPr>
        <w:ind w:right="40" w:firstLine="405"/>
        <w:spacing w:after="0" w:line="279" w:lineRule="auto"/>
        <w:rPr>
          <w:sz w:val="20"/>
          <w:szCs w:val="20"/>
          <w:color w:val="auto"/>
        </w:rPr>
      </w:pPr>
      <w:r>
        <w:rPr>
          <w:rFonts w:ascii="Arial" w:cs="Arial" w:eastAsia="Arial" w:hAnsi="Arial"/>
          <w:sz w:val="17"/>
          <w:szCs w:val="17"/>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In the notes to our consolidated financial statements and in “Item 7. Management’s Discussion and Analysis of Financial Condition and Results of Operations” included in our Form 10-K, we have disclosed those accounting policies that we consider to be significant in determining our results of operations and financial condition. Except as disclosed below, there have been no material changes to those policies that we consider to be significant since the filing of our Form 10-K. The accounting principles used in preparing our unaudited condensed consolidated financial statements conform in all material respects to accounting principles generally accepted in the U.S.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225"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 xml:space="preserve">We serve as lessee in lease agreements for office space, automobiles and certain equipment. Certain of our leases contain provisions that provide for one or more options to renew at our sole discretion. The majority of our leases are comprised of fixed lease payments, with a small percentage of our real estate leases including lease payments subject to a rate or index which may be variable. Certain real estate leases also include executory costs such as common area maintenance (non-lease component). As a practical expedient permitted under the Financial Accounting Standards Board Accounting Standards Codification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we have elected to account for the lease and non-lease components as a single lease component. Lease payments, which may include lease components and non-lease components, are included in the measurement of our lease liabilities to the extent that such payments are either fixed amounts or variable amounts based on a rate or index (fixed in substance) as stipulated in the lease contract.</w:t>
      </w:r>
    </w:p>
    <w:p>
      <w:pPr>
        <w:spacing w:after="0" w:line="16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 xml:space="preserve">None of our lease agreements contain any material residual value guarantees or material restrictive covenants. As a result of our election of the package of practical expedients permitted within ASC 842, which among other things, allows for the carryforward of historical lease classification, all of our lease agreements in existence at the date of adoption that were classified as operating leases under ASC 840, </w:t>
      </w:r>
      <w:r>
        <w:rPr>
          <w:rFonts w:ascii="Arial" w:cs="Arial" w:eastAsia="Arial" w:hAnsi="Arial"/>
          <w:sz w:val="17"/>
          <w:szCs w:val="17"/>
          <w:i w:val="1"/>
          <w:iCs w:val="1"/>
          <w:color w:val="auto"/>
        </w:rPr>
        <w:t>Leases</w:t>
      </w:r>
      <w:r>
        <w:rPr>
          <w:rFonts w:ascii="Arial" w:cs="Arial" w:eastAsia="Arial" w:hAnsi="Arial"/>
          <w:sz w:val="17"/>
          <w:szCs w:val="17"/>
          <w:color w:val="auto"/>
        </w:rPr>
        <w:t>, have been classified as operating leases under ASC 842. Lease expense for payments related to our operating leases is recognized on a straight-line basis over the related lease term, which includes options to extend or terminate the lease when it is reasonably certain that we will exercise that option.</w:t>
      </w:r>
    </w:p>
    <w:p>
      <w:pPr>
        <w:spacing w:after="0" w:line="173"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Right-of-use assets represent our right to use an underlying asset during the lease term and lease liabilities represent our obligation to make lease payments as specified in the lease. Right-of-use assets and lease liabilities related to our operating leases are recognized at the lease commencement date based on the present value of the remaining lease payments over the lease term. When our leases do not provide an implicit rate, we use our incremental borrowing rate based on the information available surrounding our borrowing rates at the lease commencement date in determining the present value of lease payments. The right-of-use asset also includes any lease payments made at or before lease commencement less any lease incentives.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Prior to January 1, 2019, and as previously disclosed in our Form 10-K for the year ended December 31, 2018, we derived revenue from customers who lease our monitoring devices. We recorded such revenue in accordance with the previous lease accounting guidance ASC 840, </w:t>
      </w:r>
      <w:r>
        <w:rPr>
          <w:rFonts w:ascii="Arial" w:cs="Arial" w:eastAsia="Arial" w:hAnsi="Arial"/>
          <w:sz w:val="18"/>
          <w:szCs w:val="18"/>
          <w:i w:val="1"/>
          <w:iCs w:val="1"/>
          <w:color w:val="auto"/>
        </w:rPr>
        <w:t>Leases</w:t>
      </w:r>
      <w:r>
        <w:rPr>
          <w:rFonts w:ascii="Arial" w:cs="Arial" w:eastAsia="Arial" w:hAnsi="Arial"/>
          <w:sz w:val="18"/>
          <w:szCs w:val="18"/>
          <w:color w:val="auto"/>
        </w:rPr>
        <w:t>, and determined that the leases qualify as operating leases.</w:t>
      </w:r>
    </w:p>
    <w:p>
      <w:pPr>
        <w:spacing w:after="0" w:line="181"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Monitoring device leases in which we serve as lessor are classified as operating leases. Accordingly, rental devices are carried at historical cost less accumulated depreciation and impairment, if any, and are included in rental assets, net, on the condensed consolidated balance sheets.</w:t>
      </w:r>
    </w:p>
    <w:p>
      <w:pPr>
        <w:spacing w:after="0" w:line="38"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 xml:space="preserve">Since the lease components meet the criteria for an operating lease under ASC 842, we have elected the practical expedient to combine the lease and the non-lease components because the service is the predominant element in the eyes of the customer and the pattern of service delivery is the same for both elements. We will account for the combined component as a single performance obligation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3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2019 Compared to Three Months Ended March 31, 2018</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for the three months ended March 31, 2019 were $48.6 million, compared to $46.7 million for the same period in 2018.</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net revenues by product grouping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32,781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28,880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224"/>
        </w:trPr>
        <w:tc>
          <w:tcPr>
            <w:tcW w:w="6720" w:type="dxa"/>
            <w:vAlign w:val="bottom"/>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15,775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17,853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47"/>
        </w:trPr>
        <w:tc>
          <w:tcPr>
            <w:tcW w:w="67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48,556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46,733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net revenues is primarily a result of increased sales in the MiFi business,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a reduction in IoT sales.</w:t>
      </w:r>
    </w:p>
    <w:p>
      <w:pPr>
        <w:spacing w:after="0" w:line="22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The decrease in Enterprise SaaS Solutions net revenues is primarily a result of the movement in the South African Rand to</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 foreign exchange rate, partially offset by increased Device Management System revenues.</w:t>
      </w:r>
    </w:p>
    <w:p>
      <w:pPr>
        <w:spacing w:after="0" w:line="170"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March 31, 2019 was $33.8 million, or 69.6% of net revenues,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$31.2 million, or 66.7% of net revenues, for the same period in 2018.</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cost of net revenues by product grouping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5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shd w:val="clear" w:color="auto" w:fill="CCEEFF"/>
              </w:rPr>
              <w:t>IoT &amp; Mobile Solutions</w:t>
            </w:r>
          </w:p>
        </w:tc>
        <w:tc>
          <w:tcPr>
            <w:tcW w:w="5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27,600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23,752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0" w:type="dxa"/>
            <w:vAlign w:val="bottom"/>
          </w:tcPr>
          <w:p>
            <w:pPr>
              <w:spacing w:after="0"/>
              <w:rPr>
                <w:sz w:val="1"/>
                <w:szCs w:val="1"/>
                <w:color w:val="auto"/>
              </w:rPr>
            </w:pPr>
          </w:p>
        </w:tc>
      </w:tr>
      <w:tr>
        <w:trPr>
          <w:trHeight w:val="224"/>
        </w:trPr>
        <w:tc>
          <w:tcPr>
            <w:tcW w:w="6720" w:type="dxa"/>
            <w:vAlign w:val="bottom"/>
            <w:gridSpan w:val="3"/>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6,196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6,862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Impairment of abandoned product line,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7"/>
        </w:trPr>
        <w:tc>
          <w:tcPr>
            <w:tcW w:w="672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33,796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31,190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2,606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IoT &amp; Mobile Solutions. </w:t>
      </w:r>
      <w:r>
        <w:rPr>
          <w:rFonts w:ascii="Arial" w:cs="Arial" w:eastAsia="Arial" w:hAnsi="Arial"/>
          <w:sz w:val="17"/>
          <w:szCs w:val="17"/>
          <w:color w:val="auto"/>
        </w:rPr>
        <w:t>The increase in IoT &amp; Mobile Solutions cost of net revenues is primarily a result of the increase in related net revenues.</w:t>
      </w:r>
    </w:p>
    <w:p>
      <w:pPr>
        <w:spacing w:after="0" w:line="29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The decrease in Enterprise SaaS Solutions cost of net revenues is primarily a result of the movement in the South African</w:t>
      </w:r>
      <w:r>
        <w:rPr>
          <w:rFonts w:ascii="Arial" w:cs="Arial" w:eastAsia="Arial" w:hAnsi="Arial"/>
          <w:sz w:val="18"/>
          <w:szCs w:val="18"/>
          <w:i w:val="1"/>
          <w:iCs w:val="1"/>
          <w:color w:val="auto"/>
        </w:rPr>
        <w:t xml:space="preserve"> </w:t>
      </w:r>
      <w:r>
        <w:rPr>
          <w:rFonts w:ascii="Arial" w:cs="Arial" w:eastAsia="Arial" w:hAnsi="Arial"/>
          <w:sz w:val="18"/>
          <w:szCs w:val="18"/>
          <w:color w:val="auto"/>
        </w:rPr>
        <w:t>Rand to U.S. Dollar foreign exchange rate.</w:t>
      </w:r>
    </w:p>
    <w:p>
      <w:pPr>
        <w:spacing w:after="0" w:line="27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Impairment of abandoned product line, net of recoveries</w:t>
      </w:r>
      <w:r>
        <w:rPr>
          <w:rFonts w:ascii="Arial" w:cs="Arial" w:eastAsia="Arial" w:hAnsi="Arial"/>
          <w:sz w:val="18"/>
          <w:szCs w:val="18"/>
          <w:color w:val="auto"/>
        </w:rPr>
        <w:t>. The impairment of abandoned product line reflects the additional write down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related to product lines which were abandoned during the fourth quarter of 2016, net of recoveries related to the subsequent sale of such abandoned products.</w:t>
      </w:r>
    </w:p>
    <w:p>
      <w:pPr>
        <w:spacing w:after="0" w:line="235"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three months ended March 31, 2019 was $14.8 million, or a gross margin of 30.4%, compared to $15.5 million, 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margin of 33.3%, for the same period in 2018. The decrease in gross profit was primarily attributable to an increase in sales of lower-margin products.</w:t>
      </w:r>
    </w:p>
    <w:p>
      <w:pPr>
        <w:spacing w:after="0" w:line="17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March 31, 2019 were $3.5 million, or 7.2%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$5.0 million, or 10.6% of net revenues, for the same period in 2018. The decrease was primarily a result of the Company starting to capitalize certain additional research and development costs beginning in 2019.</w:t>
      </w:r>
    </w:p>
    <w:p>
      <w:pPr>
        <w:spacing w:after="0" w:line="23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March 31, 2019 were $6.4 million, or 13.2% of net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$5.4 million, or 11.6% of net revenues, for the same period in 2018. The increase was primarily a result of an increase in employment costs attributable to an increase in headcount.</w:t>
      </w:r>
    </w:p>
    <w:p>
      <w:pPr>
        <w:spacing w:after="0" w:line="23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March 31, 2019 were $6.5 million, or 13.3%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$6.5 million, or 13.9% of net revenues, for the same period in 2018.</w:t>
      </w:r>
    </w:p>
    <w:p>
      <w:pPr>
        <w:sectPr>
          <w:pgSz w:w="11900" w:h="16838" w:orient="portrait"/>
          <w:cols w:equalWidth="0" w:num="1">
            <w:col w:w="11420"/>
          </w:cols>
          <w:pgMar w:left="240" w:top="526"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526" w:right="239" w:bottom="1440" w:gutter="0" w:footer="0" w:header="0"/>
          <w:type w:val="continuous"/>
        </w:sectPr>
      </w:pPr>
    </w:p>
    <w:bookmarkStart w:id="26" w:name="page27"/>
    <w:bookmarkEnd w:id="26"/>
    <w:p>
      <w:pPr>
        <w:ind w:right="40" w:firstLine="405"/>
        <w:spacing w:after="0" w:line="28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three months ended March 31, 2019 and 2018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$0.9 million and $1.0 million, respectively.</w:t>
      </w:r>
    </w:p>
    <w:p>
      <w:pPr>
        <w:spacing w:after="0" w:line="220"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b w:val="1"/>
          <w:bCs w:val="1"/>
          <w:i w:val="1"/>
          <w:iCs w:val="1"/>
          <w:color w:val="auto"/>
        </w:rPr>
        <w:t xml:space="preserve">Restructuring charges, net of recoveries. </w:t>
      </w:r>
      <w:r>
        <w:rPr>
          <w:rFonts w:ascii="Arial" w:cs="Arial" w:eastAsia="Arial" w:hAnsi="Arial"/>
          <w:sz w:val="18"/>
          <w:szCs w:val="18"/>
          <w:color w:val="auto"/>
        </w:rPr>
        <w:t>Restructuring charges, net of recoveries, for the three months ended March 31, 2019 and 2018 were $22,000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$0.3 million, respectively, and predominantly consisted of severance costs incurred in connection with the reduction of our workforce, as well as facility exit related costs.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for the three months ended March 31, 2019 and 2018 was $5.1 million and $5.1 million, respectively.</w:t>
      </w:r>
    </w:p>
    <w:p>
      <w:pPr>
        <w:spacing w:after="0" w:line="30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for the three months ended March 31, 2019 and 2018 was $0.3 million and $0.1 million, respectively,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consisted of foreign currency transaction gains and losses.</w:t>
      </w:r>
    </w:p>
    <w:p>
      <w:pPr>
        <w:spacing w:after="0" w:line="19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for the three months ended March 31, 2019 and 2018 was $0.2 million and $0.4 million,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primarily related to certain of our profitable entities in foreign jurisdictions.</w:t>
      </w:r>
    </w:p>
    <w:p>
      <w:pPr>
        <w:spacing w:after="0" w:line="27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b w:val="1"/>
          <w:bCs w:val="1"/>
          <w:i w:val="1"/>
          <w:iCs w:val="1"/>
          <w:color w:val="auto"/>
        </w:rPr>
        <w:t xml:space="preserve">Net loss (income) attributable to noncontrolling interests. </w:t>
      </w:r>
      <w:r>
        <w:rPr>
          <w:rFonts w:ascii="Arial" w:cs="Arial" w:eastAsia="Arial" w:hAnsi="Arial"/>
          <w:sz w:val="18"/>
          <w:szCs w:val="18"/>
          <w:color w:val="auto"/>
        </w:rPr>
        <w:t>Net income attributable to noncontrolling interests was $14,000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2019, compared to net loss attributable to noncontrolling interests of $10,000 for the same period in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Our principal sources of liquidity are our existing cash and cash equivalents and cash generated from operations. As of March 31, 2019, we had cash and cash equivalents of $31.9 million compared with cash and cash equivalents of $31.0 million as of December 31, 2018.</w:t>
      </w:r>
    </w:p>
    <w:p>
      <w:pPr>
        <w:spacing w:after="0" w:line="25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August 6, 2018, the Company completed a private placement of 12,062,000 shares of common stock and warrants to purchase an additional 4,221,700 shares of common stock (the “2018 Warrants”), for gross proceeds of $19.7 million in cash. In connection with the private placement, the Company incurred issuance costs of approximately $0.5 million.</w:t>
      </w:r>
    </w:p>
    <w:p>
      <w:pPr>
        <w:spacing w:after="0" w:line="289"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new warrants have an initial exercise price of $7.00 per share, subject to adjustment for stock splits, reverse stock splits, stock dividends and similar transactions, will be exercisable at any time on or after September 28, 2019, and will expire on June 30, 2022.</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79"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On August 23, 2017, we, and certain of our direct and indirect subsidiaries (the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us with a term loan in the principal amount of $48.0 million (the “Term Loan”) with a maturity date of August 23, 2020 (the “Maturity Date”). In conjunction with the closing of the Term Loan, we received proceeds of</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$46.9 million, $35.0 million of which was funded to us in cash on the closing date, net of approximately $1.1 million related to an original issue discount and commitment fee, and the remaining $11.9 million of which was funded through our repurchase and cancellation of approximately $14.9 million of our outstanding Inseego Notes (as defined below) pursuant to the terms of the Note Purchase Agreement (as defined below).</w:t>
      </w:r>
    </w:p>
    <w:p>
      <w:pPr>
        <w:spacing w:after="0" w:line="298"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The Term Loan bears interest at a rate per annum equal to the three-month LIBOR, but in no event less than 1.00%, plus 7.625%. Interest on the Term Loan is payable on the last business day of each calendar month and on the Maturity Date. Principal on the Term Loan is payable on the Maturity Date.</w:t>
      </w:r>
    </w:p>
    <w:p>
      <w:pPr>
        <w:spacing w:after="0" w:line="23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required by the terms of the Credit Agreement, during the year ended December 31, 2018, the Company repaid $0.5 million of principal on the Term Loan in connection with the Settlement Agreement, as defined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On June 10, 2015, Novatel Wireless issued $120.0 million of 5.50% convertible senior notes due 2020 (the “Novatel Wireless Notes”) which are governed by the terms of an indenture, dated June 10, 2015, between Novatel Wireless, as issuer, Inseego and Wilmington Trust, National Association, as trustee, as amended by certain supplemental indentures.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w:t>
      </w:r>
    </w:p>
    <w:p>
      <w:pPr>
        <w:sectPr>
          <w:pgSz w:w="11900" w:h="16838" w:orient="portrait"/>
          <w:cols w:equalWidth="0" w:num="1">
            <w:col w:w="11420"/>
          </w:cols>
          <w:pgMar w:left="240" w:top="472"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72"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color w:val="auto"/>
        </w:rPr>
        <w:t>cash, shares of our common stock, or a combination thereof, at our election, at an initial conversion price of $5.00 per share of our common stock.</w:t>
      </w:r>
    </w:p>
    <w:p>
      <w:pPr>
        <w:spacing w:after="0" w:line="291"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color w:val="auto"/>
        </w:rPr>
        <w:t>On January 9, 2017, in connection with the settlement of an exchange offer and consent solicitation with respect to the Novatel Wireless Notes, the Company issued approximately $119.8 million aggregate principal amount of the 5.50% convertible senior notes due 2022 (the “Inseego Notes” and collectively with the Novatel Wireless Notes, the “Convertible Notes”). The Inseego Notes were issued in exchange for approximately $119.8 million aggregate principal amount of outstanding Novatel Wireless Notes that were validly tendered and accepted for exchange and subsequently canceled. The Inseego Notes are governed by the terms of an indenture, dated January 9, 2017 (the “Inseego Indenture”), between the Company, as issuer, and Wilmington Trust, National Association, as trustee. The Inseego Notes are senior unsecured obligations of the Company and bear interest at a rate of 5.50% per year, payable semi-annually in arrears on June 15 and December 15 of each year, beginning on June 15, 2017. The Inseego Notes permit the Company to have a senior credit facility up to a maximum amount of $48.0 million.</w:t>
      </w:r>
    </w:p>
    <w:p>
      <w:pPr>
        <w:spacing w:after="0" w:line="1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certain limited circumstances which are described in the Inseego Indenture, the Company may redeem all or a portion of the Inseego Notes at its option at a redemption price equal to 100% of the principal amount of the Inseego Notes to be redeemed, plus any accrued and unpaid interest on such Inseego Notes. The Inseego Notes are subject to repurchase by the Company at the option of the holders on June 15, 2020 (the “Optional Repurchase Date”) at a repurchase price in cash equal to 100% of the principal amount of the Inseego Notes to be repurchased, plus accrued and unpaid interest to, but excluding, the Optional Repurchase Date.</w:t>
      </w:r>
    </w:p>
    <w:p>
      <w:pPr>
        <w:spacing w:after="0" w:line="188"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The Inseego Notes will mature on June 15, 2022, unless earlier converted, redeemed or repurchased. The Inseego Notes will be convertible into cash, shares of our common stock, or a combination thereof, at our election, at an initial conversion price of $4.70 per share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 Agreement</w:t>
      </w:r>
    </w:p>
    <w:p>
      <w:pPr>
        <w:spacing w:after="0" w:line="333" w:lineRule="exact"/>
        <w:rPr>
          <w:sz w:val="20"/>
          <w:szCs w:val="20"/>
          <w:color w:val="auto"/>
        </w:rPr>
      </w:pPr>
    </w:p>
    <w:p>
      <w:pPr>
        <w:ind w:right="160" w:firstLine="392"/>
        <w:spacing w:after="0" w:line="312" w:lineRule="auto"/>
        <w:rPr>
          <w:sz w:val="20"/>
          <w:szCs w:val="20"/>
          <w:color w:val="auto"/>
        </w:rPr>
      </w:pPr>
      <w:r>
        <w:rPr>
          <w:rFonts w:ascii="Arial" w:cs="Arial" w:eastAsia="Arial" w:hAnsi="Arial"/>
          <w:sz w:val="16"/>
          <w:szCs w:val="16"/>
          <w:color w:val="auto"/>
        </w:rPr>
        <w:t>On August 23, 2017, in connection with the Credit Agreement described above, we entered into a Note Purchase Agreement (the “Note Purchase Agreement”) with the Lenders pursuant to which we repurchased approximately $14.9 million of outstanding Inseego Notes from such Lenders in exchange for $11.9 million deemed to have been loaned to us pursuant to the Credit Agreement and the accrued and unpaid interest on such notes.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Agreement</w:t>
      </w:r>
    </w:p>
    <w:p>
      <w:pPr>
        <w:spacing w:after="0" w:line="22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Pursuant to the amended merger agreement with respect to our acquisition of R.E.R. Enterprises, Inc. (“RER”) and its wholly-owned subsidiary and principal operating asset, Feeney Wireless, LLC (which has been renamed Inseego North America, LLC) (“FW”), the Company agreed to pay a total of $15.0 million in deferred purchase price in five cash installments over a four-year period, beginning in March 2016. The Company also agreed to provide earn-out consideration to the former stockholders of RER in the form of $6.1 million in cash over a four-year period, beginning in March 2016, and issuance of up to 2,920,000 shares of the Company’s common stock in three equal annual installments, beginning in March 2016, contingent upon retention of certain key personnel of RER.</w:t>
      </w:r>
    </w:p>
    <w:p>
      <w:pPr>
        <w:spacing w:after="0" w:line="139" w:lineRule="exact"/>
        <w:rPr>
          <w:sz w:val="20"/>
          <w:szCs w:val="20"/>
          <w:color w:val="auto"/>
        </w:rPr>
      </w:pPr>
    </w:p>
    <w:p>
      <w:pPr>
        <w:ind w:right="240" w:firstLine="405"/>
        <w:spacing w:after="0" w:line="287" w:lineRule="auto"/>
        <w:rPr>
          <w:sz w:val="20"/>
          <w:szCs w:val="20"/>
          <w:color w:val="auto"/>
        </w:rPr>
      </w:pPr>
      <w:r>
        <w:rPr>
          <w:rFonts w:ascii="Arial" w:cs="Arial" w:eastAsia="Arial" w:hAnsi="Arial"/>
          <w:sz w:val="16"/>
          <w:szCs w:val="16"/>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issue 500,000 shares of the Company’s common stock to the former stockholders of RER, (iii) within 12 months following the execution of the Settlement Agreement, deliver to the former stockholders of RER an additional $1.0 million in cash, common stock, or a combination thereof, at the Company’s option, (iv) within 24 months following the execution of the Settlement Agreement deliver to the former stockholders of RER an additional $1.0 million in cash, common stock, or a combination thereof, at the Company’s option, and (v) file one or more registration statements with respect to the resale of the shares of the Company’s common stock issued to the former stockholders of RER pursuant to the Settlement Agreement. The Company’s remaining liability under the Settlement Agreement at March 31, 2019 consists of approximately $1.0 million in current liabilities and $1.0 million in long-term liabilities.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Historical Cash Flows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unaudited condensed consolidated statements of cash flows for the periods indicated (in thousands):</w:t>
      </w:r>
    </w:p>
    <w:p>
      <w:pPr>
        <w:spacing w:after="0" w:line="163"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(856)</w:t>
            </w: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rates on cash</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280</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(5,086)</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31,076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21,259</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16,173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used in operating activities was $5.0 million for the three months ended March 31, 2019, compared to net cash used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activities of $4.4 million for the same period in 2018. Net cash used in operating activities for the three months ended March 31, 2019 was primarily attributable to the net loss in the period and net cash used in working capital, partially offset by non-cash charges for depreciation and amortization, including the amortization of debt discount and debt issuance costs, provision for excess and obsolete inventory and share-based compensation expense. Net cash used in operating activities for the three months ended March 31, 2018 was primarily attributable to the net loss in the period and net cash used in working capital, partially offset by non-cash charges for depreciation and amortization, including the amortization of debt discount and debt issuance costs, provision for excess and obsolete inventory and share-based compensation expense.</w:t>
      </w:r>
    </w:p>
    <w:p>
      <w:pPr>
        <w:spacing w:after="0" w:line="28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during the three months ended March 31, 2019 was $4.3 million, compared to net cash used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activities of $0.9 million for the same period in 2018. Cash used in investing activities during the three months ended March 31, 2019 and 2018 was primarily related to the purchases of property, plant and equipment and capitalization of certain costs related to the research and development of software to be sold in our solutions.</w:t>
      </w:r>
    </w:p>
    <w:p>
      <w:pPr>
        <w:spacing w:after="0" w:line="295"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provided by financing activities during the three months ended March 31, 2019 was $10.6 million, compared to net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used in financing activities of $0.1 million for the same period in 2018. Net cash provided by financing activities during the three months ended March 31, 2019 was primarily related to proceeds received from the exercise of warrants to purchase common stock and proceeds received from stock option exercises, partially offset by principal payments under finance lease obligations and taxes paid on vested restricted stock units. Net cash used in financing activities for the same period in 2018 was primarily related to repayments of DigiCore bank and overdraft facilities, principal payments under finance lease obligations, principal payments on a mortgage bond and taxes paid on vested restricted stock units.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2019, we had available cash and cash equivalents totaling $31.9 million and working capital of $33.4 million.</w:t>
      </w:r>
    </w:p>
    <w:p>
      <w:pPr>
        <w:spacing w:after="0" w:line="279"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Our ability to attain more profitable operations and continue to generate positive cash flow is dependent upon achieving a level of revenues adequate to support our evolving cost structure. If events or circumstances occur such that we do not meet our operating plan as expected, we may be required to raise capital, reduce planned research and development activities, incur additional restructuring charges or reduce other operating expenses which could have an adverse impact on our ability to achieve our intended business objectives. We believe that our cash and cash equivalents, together with anticipated cash flows from operations, will be sufficient to meet our cash flow needs for the next twelve months following the filing date of this report.</w:t>
      </w:r>
    </w:p>
    <w:p>
      <w:pPr>
        <w:spacing w:after="0" w:line="26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224" w:lineRule="exact"/>
        <w:rPr>
          <w:sz w:val="20"/>
          <w:szCs w:val="20"/>
          <w:color w:val="auto"/>
        </w:rPr>
      </w:pPr>
    </w:p>
    <w:p>
      <w:pPr>
        <w:jc w:val="both"/>
        <w:ind w:right="100" w:firstLine="405"/>
        <w:spacing w:after="0" w:line="302" w:lineRule="auto"/>
        <w:rPr>
          <w:sz w:val="20"/>
          <w:szCs w:val="20"/>
          <w:color w:val="auto"/>
        </w:rPr>
      </w:pPr>
      <w:r>
        <w:rPr>
          <w:rFonts w:ascii="Arial" w:cs="Arial" w:eastAsia="Arial" w:hAnsi="Arial"/>
          <w:sz w:val="16"/>
          <w:szCs w:val="16"/>
          <w:color w:val="auto"/>
        </w:rPr>
        <w:t>We may decide to raise additional funds to accelerate development of new and existing services and products, to respond to competitive pressures or to acquire complementary products, businesses or technologies. There can be no assurance that any required or desired additional financing will be available on terms favorable to us, or at all. In addition, in order to obtain additional borrowings, we must comply with certain requirements under the Credit Agreement. If additional funds are raised by the issuance of equity securities, our stockholders could experience dilution of their ownership interests and securities issued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30" w:right="239" w:bottom="1440" w:gutter="0" w:footer="0" w:header="0"/>
        </w:sectPr>
      </w:pPr>
    </w:p>
    <w:bookmarkStart w:id="29" w:name="page30"/>
    <w:bookmarkEnd w:id="29"/>
    <w:p>
      <w:pPr>
        <w:ind w:right="360"/>
        <w:spacing w:after="0" w:line="277" w:lineRule="auto"/>
        <w:rPr>
          <w:sz w:val="20"/>
          <w:szCs w:val="20"/>
          <w:color w:val="auto"/>
        </w:rPr>
      </w:pPr>
      <w:r>
        <w:rPr>
          <w:rFonts w:ascii="Arial" w:cs="Arial" w:eastAsia="Arial" w:hAnsi="Arial"/>
          <w:sz w:val="18"/>
          <w:szCs w:val="18"/>
          <w:color w:val="auto"/>
        </w:rPr>
        <w:t>may have rights senior to those of the holders of our common stock. If additional funds are raised by the issuance of debt securities, we may be subject to additional limitations on our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During the three months ended March 31, 2019, there were no material changes to our contractual obligations and commercial commitments from those disclosed in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engage in any off-balance sheet arrangements.</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337" w:lineRule="exact"/>
        <w:rPr>
          <w:sz w:val="20"/>
          <w:szCs w:val="20"/>
          <w:color w:val="auto"/>
        </w:rPr>
      </w:pPr>
    </w:p>
    <w:p>
      <w:pPr>
        <w:ind w:right="740" w:firstLine="405"/>
        <w:spacing w:after="0" w:line="308" w:lineRule="auto"/>
        <w:rPr>
          <w:sz w:val="20"/>
          <w:szCs w:val="20"/>
          <w:color w:val="auto"/>
        </w:rPr>
      </w:pPr>
      <w:r>
        <w:rPr>
          <w:rFonts w:ascii="Arial" w:cs="Arial" w:eastAsia="Arial" w:hAnsi="Arial"/>
          <w:sz w:val="17"/>
          <w:szCs w:val="17"/>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25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 xml:space="preserve">During the three months ended March 31, 2019, there were no material changes in the quantitative or qualitative aspects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included in our Form 10-K.</w:t>
      </w:r>
    </w:p>
    <w:p>
      <w:pPr>
        <w:spacing w:after="0" w:line="2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Company maintains disclosure controls and procedures, as defined in Rule 13a-15(e)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As required by Rule 13a-15(b) promulgated under the Exchange Act, the Company carried out an evaluation, under the supervision and with the participation of the Company’s management, including the Company’s principal executive officer and principal financial officer, of the effectiveness of the design and operation of the Company’s disclosure controls and procedures as of March 31, 2019, the end of the period covered by this report. Based on the foregoing, our principal executive officer and principal financial officer concluded that our disclosure controls and procedures were effective as of March 31,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March 31, 2019, that have materially affected, or are reasonably likely to materially affect, the Company’s internal control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7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 xml:space="preserve">The disclosure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unaudited condensed consolidated financial statements includes a discussion of our legal proceedings and is incorporated herein by reference.</w:t>
      </w:r>
    </w:p>
    <w:p>
      <w:pPr>
        <w:spacing w:after="0" w:line="11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177"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the Form 10-K.</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2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Except as previously disclosed in the Company’s Current Report on Form 8-K filed with the SEC on March 28, 2019, there were no unregistered sales of the Company’s equity securities during the three-month period ended March 31, 2019.</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580" w:right="2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28"/>
          </w:tcPr>
          <w:p>
            <w:pPr>
              <w:ind w:left="120"/>
              <w:spacing w:after="0"/>
              <w:rPr>
                <w:sz w:val="20"/>
                <w:szCs w:val="20"/>
                <w:color w:val="auto"/>
              </w:rPr>
            </w:pPr>
            <w:r>
              <w:rPr>
                <w:rFonts w:ascii="Arial" w:cs="Arial" w:eastAsia="Arial" w:hAnsi="Arial"/>
                <w:sz w:val="18"/>
                <w:szCs w:val="18"/>
                <w:b w:val="1"/>
                <w:bCs w:val="1"/>
                <w:i w:val="1"/>
                <w:iCs w:val="1"/>
                <w:color w:val="auto"/>
              </w:rPr>
              <w:t>Exhibits.</w:t>
            </w:r>
          </w:p>
        </w:tc>
      </w:tr>
      <w:tr>
        <w:trPr>
          <w:trHeight w:val="399"/>
        </w:trPr>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gridSpan w:val="25"/>
          </w:tcPr>
          <w:p>
            <w:pPr>
              <w:spacing w:after="0"/>
              <w:rPr>
                <w:sz w:val="20"/>
                <w:szCs w:val="20"/>
                <w:color w:val="auto"/>
              </w:rPr>
            </w:pPr>
            <w:r>
              <w:rPr>
                <w:rFonts w:ascii="Arial" w:cs="Arial" w:eastAsia="Arial" w:hAnsi="Arial"/>
                <w:sz w:val="14"/>
                <w:szCs w:val="14"/>
                <w:b w:val="1"/>
                <w:bCs w:val="1"/>
                <w:color w:val="auto"/>
              </w:rPr>
              <w:t>Description</w:t>
            </w:r>
          </w:p>
        </w:tc>
      </w:tr>
      <w:tr>
        <w:trPr>
          <w:trHeight w:val="378"/>
        </w:trPr>
        <w:tc>
          <w:tcPr>
            <w:tcW w:w="860" w:type="dxa"/>
            <w:vAlign w:val="bottom"/>
          </w:tcPr>
          <w:p>
            <w:pPr>
              <w:ind w:left="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5"/>
          </w:tcPr>
          <w:p>
            <w:pPr>
              <w:spacing w:after="0"/>
              <w:rPr>
                <w:rFonts w:ascii="Arial" w:cs="Arial" w:eastAsia="Arial" w:hAnsi="Arial"/>
                <w:sz w:val="18"/>
                <w:szCs w:val="18"/>
                <w:color w:val="0000FF"/>
                <w:w w:val="94"/>
              </w:rPr>
            </w:pPr>
            <w:hyperlink r:id="rId19">
              <w:r>
                <w:rPr>
                  <w:rFonts w:ascii="Arial" w:cs="Arial" w:eastAsia="Arial" w:hAnsi="Arial"/>
                  <w:sz w:val="18"/>
                  <w:szCs w:val="18"/>
                  <w:color w:val="0000FF"/>
                  <w:w w:val="94"/>
                </w:rPr>
                <w:t>Agreement and Plan of Merger, dated March 27, 2015, by and among Novatel Wireless, Inc., Duck Acquisition, Inc., R.E.R. Enterprises,</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Inc., the stockholders of R.E.R. Enterprises, Inc. and Ethan Ralston, as the representative of the stockholders of R.E.R. Enterprises, Inc.</w:t>
              </w:r>
            </w:hyperlink>
          </w:p>
        </w:tc>
        <w:tc>
          <w:tcPr>
            <w:tcW w:w="80" w:type="dxa"/>
            <w:vAlign w:val="bottom"/>
            <w:tcBorders>
              <w:top w:val="single" w:sz="8" w:color="0000FF"/>
            </w:tcBorders>
          </w:tcPr>
          <w:p>
            <w:pPr>
              <w:spacing w:after="0"/>
              <w:rPr>
                <w:sz w:val="17"/>
                <w:szCs w:val="17"/>
                <w:color w:val="auto"/>
              </w:rPr>
            </w:pPr>
          </w:p>
        </w:tc>
        <w:tc>
          <w:tcPr>
            <w:tcW w:w="380" w:type="dxa"/>
            <w:vAlign w:val="bottom"/>
            <w:gridSpan w:val="10"/>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5"/>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(incorporated by reference to Exhibit 2.1 to the Company’s Current Report on Form 8-K, filed April 1, 2015).</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18"/>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Amendment No. 1 to Agreement and Plan of Merger, dated January 5, 2016, by and among Novatel Wireless, Inc., Duck Acquisition, Inc.,</w:t>
              </w:r>
            </w:hyperlink>
          </w:p>
        </w:tc>
        <w:tc>
          <w:tcPr>
            <w:tcW w:w="240" w:type="dxa"/>
            <w:vAlign w:val="bottom"/>
            <w:gridSpan w:val="7"/>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r:id="rId20">
              <w:r>
                <w:rPr>
                  <w:rFonts w:ascii="Arial" w:cs="Arial" w:eastAsia="Arial" w:hAnsi="Arial"/>
                  <w:sz w:val="18"/>
                  <w:szCs w:val="18"/>
                  <w:color w:val="0000FF"/>
                  <w:w w:val="89"/>
                </w:rPr>
                <w:t>R.E.R. Enterprises, Inc., certain stockholders of R.E.R. Enterprises, Inc. and Ethan Ralston, as the representative of the R.E.R. stockholders</w:t>
              </w:r>
            </w:hyperlink>
          </w:p>
        </w:tc>
        <w:tc>
          <w:tcPr>
            <w:tcW w:w="180" w:type="dxa"/>
            <w:vAlign w:val="bottom"/>
            <w:gridSpan w:val="5"/>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5"/>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(incorporated by reference to Exhibit 2.1 to the Company’s Current Report on Form 8-K, filed January 11, 2016).</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2"/>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Transaction Implementation Agreement, dated June 18, 2015, by and between Novatel Wireless, Inc. and DigiCore Holdings Limited</w:t>
              </w:r>
            </w:hyperlink>
          </w:p>
        </w:tc>
        <w:tc>
          <w:tcPr>
            <w:tcW w:w="620" w:type="dxa"/>
            <w:vAlign w:val="bottom"/>
            <w:gridSpan w:val="13"/>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5"/>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(incorporated by reference to Exhibit 2.1 to the Company’s Current Report on Form 8-K, filed June 24, 2015).</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Borders>
              <w:bottom w:val="single" w:sz="8" w:color="0000FF"/>
            </w:tcBorders>
            <w:gridSpan w:val="23"/>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Amended and Restated Certificate of Incorporation (incorporated by reference to Exhibit 3.1 to the Company’s Current Report on Form 8-K,</w:t>
              </w:r>
            </w:hyperlink>
          </w:p>
        </w:tc>
        <w:tc>
          <w:tcPr>
            <w:tcW w:w="80" w:type="dxa"/>
            <w:vAlign w:val="bottom"/>
            <w:gridSpan w:val="2"/>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5"/>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filed November 9, 2016).</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21"/>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Amended and Restated Bylaws (incorporated by reference to Exhibit 3.2 to the Company’s Current Report on Form 8-K, filed November 9,</w:t>
              </w:r>
            </w:hyperlink>
          </w:p>
        </w:tc>
        <w:tc>
          <w:tcPr>
            <w:tcW w:w="160" w:type="dxa"/>
            <w:vAlign w:val="bottom"/>
            <w:gridSpan w:val="4"/>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320" w:type="dxa"/>
            <w:vAlign w:val="bottom"/>
            <w:gridSpan w:val="3"/>
          </w:tcPr>
          <w:p>
            <w:pPr>
              <w:spacing w:after="0"/>
              <w:rPr>
                <w:sz w:val="17"/>
                <w:szCs w:val="17"/>
                <w:color w:val="auto"/>
              </w:rPr>
            </w:pPr>
          </w:p>
        </w:tc>
        <w:tc>
          <w:tcPr>
            <w:tcW w:w="46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23">
              <w:r>
                <w:rPr>
                  <w:rFonts w:ascii="Arial" w:cs="Arial" w:eastAsia="Arial" w:hAnsi="Arial"/>
                  <w:sz w:val="18"/>
                  <w:szCs w:val="18"/>
                  <w:color w:val="0000FF"/>
                  <w:w w:val="86"/>
                </w:rPr>
                <w:t>2016).</w:t>
              </w:r>
            </w:hyperlink>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19"/>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Certificate of Designation of Series D Junior Participating Preferred Stock of Inseego Corp. (incorporated by reference to Exhibit 3.1 to the</w:t>
              </w:r>
            </w:hyperlink>
          </w:p>
        </w:tc>
        <w:tc>
          <w:tcPr>
            <w:tcW w:w="200" w:type="dxa"/>
            <w:vAlign w:val="bottom"/>
            <w:gridSpan w:val="6"/>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5"/>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Company’s Current Report on Form 8-K, filed January 22, 2018).</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5"/>
          </w:tcPr>
          <w:p>
            <w:pPr>
              <w:spacing w:after="0"/>
              <w:rPr>
                <w:rFonts w:ascii="Arial" w:cs="Arial" w:eastAsia="Arial" w:hAnsi="Arial"/>
                <w:sz w:val="18"/>
                <w:szCs w:val="18"/>
                <w:color w:val="0000FF"/>
                <w:w w:val="94"/>
              </w:rPr>
            </w:pPr>
            <w:hyperlink r:id="rId25">
              <w:r>
                <w:rPr>
                  <w:rFonts w:ascii="Arial" w:cs="Arial" w:eastAsia="Arial" w:hAnsi="Arial"/>
                  <w:sz w:val="18"/>
                  <w:szCs w:val="18"/>
                  <w:color w:val="0000FF"/>
                  <w:w w:val="94"/>
                </w:rPr>
                <w:t>Common Stock Purchase Warrant issued to Golden Harbor Ltd., dated March 28, 2019, by Inseego Corp. (incorporated by reference to</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Exhibit 4.1 to the Company’s Current Report on Form 8-K, filed March 28, 2019).</w:t>
              </w:r>
            </w:hyperlink>
          </w:p>
        </w:tc>
        <w:tc>
          <w:tcPr>
            <w:tcW w:w="520" w:type="dxa"/>
            <w:vAlign w:val="bottom"/>
            <w:gridSpan w:val="12"/>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040" w:type="dxa"/>
            <w:vAlign w:val="bottom"/>
            <w:gridSpan w:val="3"/>
            <w:shd w:val="clear" w:color="auto" w:fill="0000FF"/>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5"/>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Common Stock Purchase Warrant issued to North Sound Trading, L.P., dated March 28, 2019, by Inseego Corp. (incorporated by reference to</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Exhibit 4.2 to the Company’s Current Report on Form 8-K, filed March 28, 2019).</w:t>
              </w:r>
            </w:hyperlink>
          </w:p>
        </w:tc>
        <w:tc>
          <w:tcPr>
            <w:tcW w:w="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040" w:type="dxa"/>
            <w:vAlign w:val="bottom"/>
            <w:gridSpan w:val="3"/>
            <w:shd w:val="clear" w:color="auto" w:fill="0000FF"/>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5"/>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Amendment No. 3 to Rights Agreement, dated March 28, 2019, by and between Inseego Corp. and Computershare Trust Company, N.A., as</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rights agent (incorporated by reference to Exhibit 4.3 to the Company’s Current Report on Form 8-K, filed March 28, 2019).</w:t>
              </w:r>
            </w:hyperlink>
          </w:p>
        </w:tc>
        <w:tc>
          <w:tcPr>
            <w:tcW w:w="1120" w:type="dxa"/>
            <w:vAlign w:val="bottom"/>
            <w:tcBorders>
              <w:top w:val="single" w:sz="8" w:color="0000FF"/>
            </w:tcBorders>
            <w:gridSpan w:val="11"/>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5"/>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Certification of our Principal Executive Officer adopted pursuant to Section 302 of the Sarbanes-Oxley Act of 2002.</w:t>
              </w:r>
            </w:hyperlink>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4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Certification of our Principal Financial Officer adopted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1860" w:type="dxa"/>
            <w:vAlign w:val="bottom"/>
            <w:gridSpan w:val="15"/>
          </w:tcPr>
          <w:p>
            <w:pPr>
              <w:spacing w:after="0"/>
              <w:rPr>
                <w:sz w:val="24"/>
                <w:szCs w:val="24"/>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5"/>
          </w:tcPr>
          <w:p>
            <w:pPr>
              <w:spacing w:after="0"/>
              <w:rPr>
                <w:rFonts w:ascii="Arial" w:cs="Arial" w:eastAsia="Arial" w:hAnsi="Arial"/>
                <w:sz w:val="18"/>
                <w:szCs w:val="18"/>
                <w:color w:val="0000FF"/>
                <w:w w:val="93"/>
              </w:rPr>
            </w:pPr>
            <w:hyperlink w:anchor="page36">
              <w:r>
                <w:rPr>
                  <w:rFonts w:ascii="Arial" w:cs="Arial" w:eastAsia="Arial" w:hAnsi="Arial"/>
                  <w:sz w:val="18"/>
                  <w:szCs w:val="18"/>
                  <w:color w:val="0000FF"/>
                  <w:w w:val="93"/>
                </w:rPr>
                <w:t>Certification of Principal Executive Officer pursuant to 18 U.S.C. Section 1350, as adopted pursuant to Section 906 of the Sarbanes-Oxley</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Act of 2002.</w:t>
              </w:r>
            </w:hyperlink>
          </w:p>
        </w:tc>
        <w:tc>
          <w:tcPr>
            <w:tcW w:w="260" w:type="dxa"/>
            <w:vAlign w:val="bottom"/>
            <w:gridSpan w:val="8"/>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40" w:type="dxa"/>
            <w:vAlign w:val="bottom"/>
            <w:gridSpan w:val="14"/>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358"/>
        </w:trPr>
        <w:tc>
          <w:tcPr>
            <w:tcW w:w="860" w:type="dxa"/>
            <w:vAlign w:val="bottom"/>
          </w:tcPr>
          <w:p>
            <w:pPr>
              <w:ind w:left="4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Certification of Principal Financial Officer pursuant to 18 U.S.C. Section 1350, as adopted pursuant to Section 906 of the Sarbanes-Oxley</w:t>
              </w:r>
            </w:hyperlink>
          </w:p>
        </w:tc>
        <w:tc>
          <w:tcPr>
            <w:tcW w:w="300" w:type="dxa"/>
            <w:vAlign w:val="bottom"/>
            <w:gridSpan w:val="9"/>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5"/>
          </w:tcPr>
          <w:p>
            <w:pPr>
              <w:spacing w:after="0" w:line="196" w:lineRule="exact"/>
              <w:rPr>
                <w:rFonts w:ascii="Arial" w:cs="Arial" w:eastAsia="Arial" w:hAnsi="Arial"/>
                <w:sz w:val="18"/>
                <w:szCs w:val="18"/>
                <w:color w:val="0000FF"/>
              </w:rPr>
            </w:pPr>
            <w:hyperlink w:anchor="page37">
              <w:r>
                <w:rPr>
                  <w:rFonts w:ascii="Arial" w:cs="Arial" w:eastAsia="Arial" w:hAnsi="Arial"/>
                  <w:sz w:val="18"/>
                  <w:szCs w:val="18"/>
                  <w:color w:val="0000FF"/>
                </w:rPr>
                <w:t>Act of 2002.</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340" w:type="dxa"/>
            <w:vAlign w:val="bottom"/>
            <w:gridSpan w:val="23"/>
          </w:tcPr>
          <w:p>
            <w:pPr>
              <w:spacing w:after="0" w:line="20" w:lineRule="exact"/>
              <w:rPr>
                <w:sz w:val="1"/>
                <w:szCs w:val="1"/>
                <w:color w:val="auto"/>
              </w:rPr>
            </w:pPr>
          </w:p>
        </w:tc>
      </w:tr>
      <w:tr>
        <w:trPr>
          <w:trHeight w:val="384"/>
        </w:trPr>
        <w:tc>
          <w:tcPr>
            <w:tcW w:w="860" w:type="dxa"/>
            <w:vAlign w:val="bottom"/>
          </w:tcPr>
          <w:p>
            <w:pPr>
              <w:ind w:left="4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5"/>
          </w:tcPr>
          <w:p>
            <w:pPr>
              <w:spacing w:after="0"/>
              <w:rPr>
                <w:sz w:val="20"/>
                <w:szCs w:val="20"/>
                <w:color w:val="auto"/>
              </w:rPr>
            </w:pPr>
            <w:r>
              <w:rPr>
                <w:rFonts w:ascii="Arial" w:cs="Arial" w:eastAsia="Arial" w:hAnsi="Arial"/>
                <w:sz w:val="18"/>
                <w:szCs w:val="18"/>
                <w:color w:val="auto"/>
                <w:w w:val="94"/>
              </w:rPr>
              <w:t>The following financial statements and footnotes from the Inseego Corp. Quarterly Report on Form 10-Q for the quarter ended March 31,</w:t>
            </w: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40" w:type="dxa"/>
            <w:vAlign w:val="bottom"/>
            <w:gridSpan w:val="25"/>
          </w:tcPr>
          <w:p>
            <w:pPr>
              <w:spacing w:after="0"/>
              <w:rPr>
                <w:sz w:val="20"/>
                <w:szCs w:val="20"/>
                <w:color w:val="auto"/>
              </w:rPr>
            </w:pPr>
            <w:r>
              <w:rPr>
                <w:rFonts w:ascii="Arial" w:cs="Arial" w:eastAsia="Arial" w:hAnsi="Arial"/>
                <w:sz w:val="18"/>
                <w:szCs w:val="18"/>
                <w:color w:val="auto"/>
                <w:w w:val="99"/>
              </w:rPr>
              <w:t>2019 formatted in eXtensible Business Reporting Language (XBRL): (i) Condensed Consolidated Balance Sheets; (ii) Condensed</w:t>
            </w: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5"/>
          </w:tcPr>
          <w:p>
            <w:pPr>
              <w:spacing w:after="0"/>
              <w:rPr>
                <w:sz w:val="20"/>
                <w:szCs w:val="20"/>
                <w:color w:val="auto"/>
              </w:rPr>
            </w:pPr>
            <w:r>
              <w:rPr>
                <w:rFonts w:ascii="Arial" w:cs="Arial" w:eastAsia="Arial" w:hAnsi="Arial"/>
                <w:sz w:val="18"/>
                <w:szCs w:val="18"/>
                <w:color w:val="auto"/>
                <w:w w:val="93"/>
              </w:rPr>
              <w:t>Consolidated Statements of Operations; (iii) Condensed Consolidated Statements of Comprehensive Loss; (iv) Condensed Consolidated</w:t>
            </w:r>
          </w:p>
        </w:tc>
      </w:tr>
    </w:tbl>
    <w:p>
      <w:pPr>
        <w:ind w:left="1180" w:right="220"/>
        <w:spacing w:after="0" w:line="261" w:lineRule="auto"/>
        <w:rPr>
          <w:sz w:val="20"/>
          <w:szCs w:val="20"/>
          <w:color w:val="auto"/>
        </w:rPr>
      </w:pPr>
      <w:r>
        <w:rPr>
          <w:rFonts w:ascii="Arial" w:cs="Arial" w:eastAsia="Arial" w:hAnsi="Arial"/>
          <w:sz w:val="18"/>
          <w:szCs w:val="18"/>
          <w:color w:val="auto"/>
        </w:rPr>
        <w:t>Statements of Stockholders' Deficit; (v) Condensed Consolidated Statements of Cash Flows; and (vi) the Notes to Condensed Consolidated Financial Statements.</w:t>
      </w:r>
    </w:p>
    <w:p>
      <w:pPr>
        <w:spacing w:after="0" w:line="130" w:lineRule="exact"/>
        <w:rPr>
          <w:sz w:val="20"/>
          <w:szCs w:val="20"/>
          <w:color w:val="auto"/>
        </w:rPr>
      </w:pPr>
    </w:p>
    <w:p>
      <w:pPr>
        <w:ind w:left="1180" w:right="400" w:hanging="1145"/>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schedules and exhibits to this agreement have been omitted in accordance with Item 601(b)(2) of Regulation S-K. A copy of any omitted schedule and/or exhibit will be furnished supplementally to the SEC upon request.</w:t>
      </w:r>
    </w:p>
    <w:p>
      <w:pPr>
        <w:spacing w:after="0" w:line="116" w:lineRule="exact"/>
        <w:rPr>
          <w:sz w:val="20"/>
          <w:szCs w:val="20"/>
          <w:color w:val="auto"/>
        </w:rPr>
      </w:pPr>
    </w:p>
    <w:p>
      <w:pPr>
        <w:ind w:left="1180" w:hanging="1145"/>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May 9, 2019</w:t>
            </w:r>
          </w:p>
        </w:tc>
        <w:tc>
          <w:tcPr>
            <w:tcW w:w="4620" w:type="dxa"/>
            <w:vAlign w:val="bottom"/>
            <w:gridSpan w:val="2"/>
          </w:tcPr>
          <w:p>
            <w:pPr>
              <w:ind w:left="3160"/>
              <w:spacing w:after="0"/>
              <w:rPr>
                <w:sz w:val="20"/>
                <w:szCs w:val="20"/>
                <w:color w:val="auto"/>
              </w:rPr>
            </w:pPr>
            <w:r>
              <w:rPr>
                <w:rFonts w:ascii="Arial" w:cs="Arial" w:eastAsia="Arial" w:hAnsi="Arial"/>
                <w:sz w:val="18"/>
                <w:szCs w:val="18"/>
                <w:color w:val="auto"/>
              </w:rPr>
              <w:t>Inseego Corp.</w:t>
            </w:r>
          </w:p>
        </w:tc>
        <w:tc>
          <w:tcPr>
            <w:tcW w:w="74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392"/>
        </w:trPr>
        <w:tc>
          <w:tcPr>
            <w:tcW w:w="3460" w:type="dxa"/>
            <w:vAlign w:val="bottom"/>
          </w:tcPr>
          <w:p>
            <w:pPr>
              <w:spacing w:after="0"/>
              <w:rPr>
                <w:sz w:val="24"/>
                <w:szCs w:val="24"/>
                <w:color w:val="auto"/>
              </w:rPr>
            </w:pPr>
          </w:p>
        </w:tc>
        <w:tc>
          <w:tcPr>
            <w:tcW w:w="4620" w:type="dxa"/>
            <w:vAlign w:val="bottom"/>
            <w:gridSpan w:val="2"/>
          </w:tcPr>
          <w:p>
            <w:pPr>
              <w:ind w:left="3160"/>
              <w:spacing w:after="0"/>
              <w:rPr>
                <w:sz w:val="20"/>
                <w:szCs w:val="20"/>
                <w:color w:val="auto"/>
              </w:rPr>
            </w:pPr>
            <w:r>
              <w:rPr>
                <w:rFonts w:ascii="Arial" w:cs="Arial" w:eastAsia="Arial" w:hAnsi="Arial"/>
                <w:sz w:val="18"/>
                <w:szCs w:val="18"/>
                <w:color w:val="auto"/>
              </w:rPr>
              <w:t>By:</w:t>
            </w:r>
          </w:p>
        </w:tc>
        <w:tc>
          <w:tcPr>
            <w:tcW w:w="740" w:type="dxa"/>
            <w:vAlign w:val="bottom"/>
          </w:tcPr>
          <w:p>
            <w:pPr>
              <w:ind w:left="540"/>
              <w:spacing w:after="0"/>
              <w:rPr>
                <w:sz w:val="20"/>
                <w:szCs w:val="20"/>
                <w:color w:val="auto"/>
              </w:rPr>
            </w:pPr>
            <w:r>
              <w:rPr>
                <w:rFonts w:ascii="Arial" w:cs="Arial" w:eastAsia="Arial" w:hAnsi="Arial"/>
                <w:sz w:val="16"/>
                <w:szCs w:val="16"/>
                <w:color w:val="auto"/>
              </w:rPr>
              <w:t>/s/</w:t>
            </w:r>
          </w:p>
        </w:tc>
        <w:tc>
          <w:tcPr>
            <w:tcW w:w="2560" w:type="dxa"/>
            <w:vAlign w:val="bottom"/>
          </w:tcPr>
          <w:p>
            <w:pPr>
              <w:jc w:val="center"/>
              <w:ind w:right="1163"/>
              <w:spacing w:after="0"/>
              <w:rPr>
                <w:sz w:val="20"/>
                <w:szCs w:val="20"/>
                <w:color w:val="auto"/>
              </w:rPr>
            </w:pPr>
            <w:r>
              <w:rPr>
                <w:rFonts w:ascii="Arial" w:cs="Arial" w:eastAsia="Arial" w:hAnsi="Arial"/>
                <w:sz w:val="16"/>
                <w:szCs w:val="16"/>
                <w:color w:val="auto"/>
              </w:rPr>
              <w:t>DAN MONDOR</w:t>
            </w:r>
          </w:p>
        </w:tc>
      </w:tr>
      <w:tr>
        <w:trPr>
          <w:trHeight w:val="27"/>
        </w:trPr>
        <w:tc>
          <w:tcPr>
            <w:tcW w:w="34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84"/>
        </w:trPr>
        <w:tc>
          <w:tcPr>
            <w:tcW w:w="34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jc w:val="center"/>
              <w:ind w:right="1483"/>
              <w:spacing w:after="0"/>
              <w:rPr>
                <w:sz w:val="20"/>
                <w:szCs w:val="20"/>
                <w:color w:val="auto"/>
              </w:rPr>
            </w:pPr>
            <w:r>
              <w:rPr>
                <w:rFonts w:ascii="Arial" w:cs="Arial" w:eastAsia="Arial" w:hAnsi="Arial"/>
                <w:sz w:val="14"/>
                <w:szCs w:val="14"/>
                <w:b w:val="1"/>
                <w:bCs w:val="1"/>
                <w:color w:val="auto"/>
                <w:w w:val="97"/>
              </w:rPr>
              <w:t>Dan Mondor</w:t>
            </w:r>
          </w:p>
        </w:tc>
      </w:tr>
      <w:tr>
        <w:trPr>
          <w:trHeight w:val="257"/>
        </w:trPr>
        <w:tc>
          <w:tcPr>
            <w:tcW w:w="346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300" w:type="dxa"/>
            <w:vAlign w:val="bottom"/>
            <w:gridSpan w:val="2"/>
          </w:tcPr>
          <w:p>
            <w:pPr>
              <w:jc w:val="center"/>
              <w:ind w:right="723"/>
              <w:spacing w:after="0"/>
              <w:rPr>
                <w:sz w:val="20"/>
                <w:szCs w:val="20"/>
                <w:color w:val="auto"/>
              </w:rPr>
            </w:pPr>
            <w:r>
              <w:rPr>
                <w:rFonts w:ascii="Arial" w:cs="Arial" w:eastAsia="Arial" w:hAnsi="Arial"/>
                <w:sz w:val="14"/>
                <w:szCs w:val="14"/>
                <w:b w:val="1"/>
                <w:bCs w:val="1"/>
                <w:color w:val="auto"/>
                <w:w w:val="95"/>
              </w:rPr>
              <w:t>Chief Executive Officer</w:t>
            </w:r>
          </w:p>
        </w:tc>
      </w:tr>
      <w:tr>
        <w:trPr>
          <w:trHeight w:val="755"/>
        </w:trPr>
        <w:tc>
          <w:tcPr>
            <w:tcW w:w="3460" w:type="dxa"/>
            <w:vAlign w:val="bottom"/>
          </w:tcPr>
          <w:p>
            <w:pPr>
              <w:spacing w:after="0"/>
              <w:rPr>
                <w:sz w:val="24"/>
                <w:szCs w:val="24"/>
                <w:color w:val="auto"/>
              </w:rPr>
            </w:pPr>
          </w:p>
        </w:tc>
        <w:tc>
          <w:tcPr>
            <w:tcW w:w="4620" w:type="dxa"/>
            <w:vAlign w:val="bottom"/>
            <w:gridSpan w:val="2"/>
          </w:tcPr>
          <w:p>
            <w:pPr>
              <w:ind w:left="3160"/>
              <w:spacing w:after="0"/>
              <w:rPr>
                <w:sz w:val="20"/>
                <w:szCs w:val="20"/>
                <w:color w:val="auto"/>
              </w:rPr>
            </w:pPr>
            <w:r>
              <w:rPr>
                <w:rFonts w:ascii="Arial" w:cs="Arial" w:eastAsia="Arial" w:hAnsi="Arial"/>
                <w:sz w:val="18"/>
                <w:szCs w:val="18"/>
                <w:color w:val="auto"/>
              </w:rPr>
              <w:t>By:</w:t>
            </w:r>
          </w:p>
        </w:tc>
        <w:tc>
          <w:tcPr>
            <w:tcW w:w="740" w:type="dxa"/>
            <w:vAlign w:val="bottom"/>
          </w:tcPr>
          <w:p>
            <w:pPr>
              <w:ind w:left="460"/>
              <w:spacing w:after="0"/>
              <w:rPr>
                <w:sz w:val="20"/>
                <w:szCs w:val="20"/>
                <w:color w:val="auto"/>
              </w:rPr>
            </w:pPr>
            <w:r>
              <w:rPr>
                <w:rFonts w:ascii="Arial" w:cs="Arial" w:eastAsia="Arial" w:hAnsi="Arial"/>
                <w:sz w:val="16"/>
                <w:szCs w:val="16"/>
                <w:color w:val="auto"/>
              </w:rPr>
              <w:t>/s/</w:t>
            </w:r>
          </w:p>
        </w:tc>
        <w:tc>
          <w:tcPr>
            <w:tcW w:w="2560" w:type="dxa"/>
            <w:vAlign w:val="bottom"/>
          </w:tcPr>
          <w:p>
            <w:pPr>
              <w:jc w:val="center"/>
              <w:ind w:right="1143"/>
              <w:spacing w:after="0"/>
              <w:rPr>
                <w:sz w:val="20"/>
                <w:szCs w:val="20"/>
                <w:color w:val="auto"/>
              </w:rPr>
            </w:pPr>
            <w:r>
              <w:rPr>
                <w:rFonts w:ascii="Arial" w:cs="Arial" w:eastAsia="Arial" w:hAnsi="Arial"/>
                <w:sz w:val="16"/>
                <w:szCs w:val="16"/>
                <w:color w:val="auto"/>
                <w:w w:val="97"/>
              </w:rPr>
              <w:t>STEPHEN SMITH</w:t>
            </w:r>
          </w:p>
        </w:tc>
      </w:tr>
      <w:tr>
        <w:trPr>
          <w:trHeight w:val="27"/>
        </w:trPr>
        <w:tc>
          <w:tcPr>
            <w:tcW w:w="34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84"/>
        </w:trPr>
        <w:tc>
          <w:tcPr>
            <w:tcW w:w="34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jc w:val="center"/>
              <w:ind w:right="1463"/>
              <w:spacing w:after="0"/>
              <w:rPr>
                <w:sz w:val="20"/>
                <w:szCs w:val="20"/>
                <w:color w:val="auto"/>
              </w:rPr>
            </w:pPr>
            <w:r>
              <w:rPr>
                <w:rFonts w:ascii="Arial" w:cs="Arial" w:eastAsia="Arial" w:hAnsi="Arial"/>
                <w:sz w:val="14"/>
                <w:szCs w:val="14"/>
                <w:b w:val="1"/>
                <w:bCs w:val="1"/>
                <w:color w:val="auto"/>
                <w:w w:val="91"/>
              </w:rPr>
              <w:t>Stephen Smith</w:t>
            </w:r>
          </w:p>
        </w:tc>
      </w:tr>
      <w:tr>
        <w:trPr>
          <w:trHeight w:val="257"/>
        </w:trPr>
        <w:tc>
          <w:tcPr>
            <w:tcW w:w="346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300" w:type="dxa"/>
            <w:vAlign w:val="bottom"/>
            <w:gridSpan w:val="2"/>
          </w:tcPr>
          <w:p>
            <w:pPr>
              <w:jc w:val="center"/>
              <w:ind w:right="723"/>
              <w:spacing w:after="0"/>
              <w:rPr>
                <w:sz w:val="20"/>
                <w:szCs w:val="20"/>
                <w:color w:val="auto"/>
              </w:rPr>
            </w:pPr>
            <w:r>
              <w:rPr>
                <w:rFonts w:ascii="Arial" w:cs="Arial" w:eastAsia="Arial" w:hAnsi="Arial"/>
                <w:sz w:val="14"/>
                <w:szCs w:val="14"/>
                <w:b w:val="1"/>
                <w:bCs w:val="1"/>
                <w:color w:val="auto"/>
                <w:w w:val="95"/>
              </w:rPr>
              <w:t>Chief Financial Officer</w:t>
            </w:r>
          </w:p>
        </w:tc>
      </w:tr>
      <w:tr>
        <w:trPr>
          <w:trHeight w:val="836"/>
        </w:trPr>
        <w:tc>
          <w:tcPr>
            <w:tcW w:w="3460" w:type="dxa"/>
            <w:vAlign w:val="bottom"/>
          </w:tcPr>
          <w:p>
            <w:pPr>
              <w:spacing w:after="0"/>
              <w:rPr>
                <w:sz w:val="24"/>
                <w:szCs w:val="24"/>
                <w:color w:val="auto"/>
              </w:rPr>
            </w:pPr>
          </w:p>
        </w:tc>
        <w:tc>
          <w:tcPr>
            <w:tcW w:w="3820" w:type="dxa"/>
            <w:vAlign w:val="bottom"/>
          </w:tcPr>
          <w:p>
            <w:pPr>
              <w:jc w:val="right"/>
              <w:ind w:right="1430"/>
              <w:spacing w:after="0"/>
              <w:rPr>
                <w:sz w:val="20"/>
                <w:szCs w:val="20"/>
                <w:color w:val="auto"/>
              </w:rPr>
            </w:pPr>
            <w:r>
              <w:rPr>
                <w:rFonts w:ascii="Arial" w:cs="Arial" w:eastAsia="Arial" w:hAnsi="Arial"/>
                <w:sz w:val="18"/>
                <w:szCs w:val="18"/>
                <w:color w:val="auto"/>
              </w:rPr>
              <w:t>33</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Dan Mondor, certify that:</w:t>
      </w:r>
    </w:p>
    <w:p>
      <w:pPr>
        <w:spacing w:after="0" w:line="117" w:lineRule="exact"/>
        <w:rPr>
          <w:sz w:val="20"/>
          <w:szCs w:val="20"/>
          <w:color w:val="auto"/>
        </w:rPr>
      </w:pPr>
    </w:p>
    <w:p>
      <w:pPr>
        <w:ind w:left="620" w:hanging="180"/>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1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2941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Dan Mondor</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Stephen Smith, certify that:</w:t>
      </w:r>
    </w:p>
    <w:p>
      <w:pPr>
        <w:spacing w:after="0" w:line="117" w:lineRule="exact"/>
        <w:rPr>
          <w:sz w:val="20"/>
          <w:szCs w:val="20"/>
          <w:color w:val="auto"/>
        </w:rPr>
      </w:pPr>
    </w:p>
    <w:p>
      <w:pPr>
        <w:ind w:left="620" w:hanging="180"/>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2941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Stephen Smith</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 Dan Mondor, Chief Executive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319" w:lineRule="exact"/>
        <w:rPr>
          <w:sz w:val="20"/>
          <w:szCs w:val="20"/>
          <w:color w:val="auto"/>
        </w:rPr>
      </w:pPr>
    </w:p>
    <w:p>
      <w:pPr>
        <w:ind w:left="1360" w:right="760" w:hanging="305"/>
        <w:spacing w:after="0" w:line="277"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2019 (the “Report”) fully complies with the requirements of Section 13(a) or 15(d) of the Securities Exchange Act of 1934, as amended;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28555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Dan Mondor</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 Stephen Smith, Chief Financial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5" w:lineRule="exact"/>
        <w:rPr>
          <w:sz w:val="20"/>
          <w:szCs w:val="20"/>
          <w:color w:val="auto"/>
        </w:rPr>
      </w:pPr>
    </w:p>
    <w:p>
      <w:pPr>
        <w:ind w:left="1360" w:right="760" w:hanging="305"/>
        <w:spacing w:after="0" w:line="277"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2019 (the “Report”) fully complies with the requirements of Section 13(a) or 15(d) of the Securities Exchange Act of 1934, as amended;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28555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Stephen Smith</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5"/>
    </w:lvl>
  </w:abstractNum>
  <w:abstractNum w:abstractNumId="4">
    <w:nsid w:val="4DB127F8"/>
    <w:multiLevelType w:val="hybridMultilevel"/>
    <w:lvl w:ilvl="0">
      <w:lvlJc w:val="left"/>
      <w:lvlText w:val="%1."/>
      <w:numFmt w:val="decimal"/>
      <w:start w:val="10"/>
    </w:lvl>
  </w:abstractNum>
  <w:abstractNum w:abstractNumId="5">
    <w:nsid w:val="216231B"/>
    <w:multiLevelType w:val="hybridMultilevel"/>
    <w:lvl w:ilvl="0">
      <w:lvlJc w:val="left"/>
      <w:lvlText w:val="(%1)"/>
      <w:numFmt w:val="lowerRoman"/>
      <w:start w:val="3"/>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19" Type="http://schemas.openxmlformats.org/officeDocument/2006/relationships/hyperlink" Target="http://www.sec.gov/Archives/edgar/data/1022652/000162828015002127/exhibit21-mergeragreement.htm" TargetMode="External"/><Relationship Id="rId20" Type="http://schemas.openxmlformats.org/officeDocument/2006/relationships/hyperlink" Target="http://www.sec.gov/Archives/edgar/data/1022652/000102265216000071/mifi20160105ex21fwmergeram.htm" TargetMode="External"/><Relationship Id="rId21" Type="http://schemas.openxmlformats.org/officeDocument/2006/relationships/hyperlink" Target="http://www.sec.gov/Archives/edgar/data/1022652/000102265215000016/a20150618exhibit21.htm" TargetMode="External"/><Relationship Id="rId22" Type="http://schemas.openxmlformats.org/officeDocument/2006/relationships/hyperlink" Target="http://www.sec.gov/Archives/edgar/data/1022652/000119312516763609/d261554dex31.htm" TargetMode="External"/><Relationship Id="rId23" Type="http://schemas.openxmlformats.org/officeDocument/2006/relationships/hyperlink" Target="http://www.sec.gov/Archives/edgar/data/1022652/000119312516763609/d261554dex32.htm" TargetMode="External"/><Relationship Id="rId24" Type="http://schemas.openxmlformats.org/officeDocument/2006/relationships/hyperlink" Target="http://www.sec.gov/Archives/edgar/data/1022652/000119312518015371/d525985dex31.htm" TargetMode="External"/><Relationship Id="rId25" Type="http://schemas.openxmlformats.org/officeDocument/2006/relationships/hyperlink" Target="http://www.sec.gov/Archives/edgar/data/1022652/000119312519092697/d728442dex41.htm" TargetMode="External"/><Relationship Id="rId26" Type="http://schemas.openxmlformats.org/officeDocument/2006/relationships/hyperlink" Target="http://www.sec.gov/Archives/edgar/data/1022652/000119312519092697/d728442dex42.htm" TargetMode="External"/><Relationship Id="rId27" Type="http://schemas.openxmlformats.org/officeDocument/2006/relationships/hyperlink" Target="http://www.sec.gov/Archives/edgar/data/1022652/000119312519092697/d728442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2019-12-28T12:28:05Z</dcterms:created>
  <dcterms:modified xsi:type="dcterms:W3CDTF">2019-12-28T12:28:05Z</dcterms:modified>
</cp:coreProperties>
</file>