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060" w:right="2040" w:hanging="4052"/>
        <w:spacing w:after="0" w:line="434" w:lineRule="auto"/>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2013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20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580" w:type="dxa"/>
        <w:tblCellMar>
          <w:top w:w="0" w:type="dxa"/>
          <w:left w:w="0" w:type="dxa"/>
          <w:bottom w:w="0" w:type="dxa"/>
          <w:right w:w="0" w:type="dxa"/>
        </w:tblCellMar>
      </w:tblPr>
      <w:tr>
        <w:trPr>
          <w:trHeight w:val="253"/>
        </w:trPr>
        <w:tc>
          <w:tcPr>
            <w:tcW w:w="2640" w:type="dxa"/>
            <w:vAlign w:val="bottom"/>
          </w:tcPr>
          <w:p>
            <w:pPr>
              <w:spacing w:after="0"/>
              <w:rPr>
                <w:sz w:val="20"/>
                <w:szCs w:val="20"/>
                <w:color w:val="auto"/>
              </w:rPr>
            </w:pPr>
            <w:r>
              <w:rPr>
                <w:rFonts w:ascii="Arial" w:cs="Arial" w:eastAsia="Arial" w:hAnsi="Arial"/>
                <w:sz w:val="22"/>
                <w:szCs w:val="22"/>
                <w:color w:val="auto"/>
                <w:w w:val="92"/>
              </w:rPr>
              <w:t>For the transition period from</w:t>
            </w:r>
          </w:p>
        </w:tc>
        <w:tc>
          <w:tcPr>
            <w:tcW w:w="640" w:type="dxa"/>
            <w:vAlign w:val="bottom"/>
            <w:tcBorders>
              <w:bottom w:val="single" w:sz="8" w:color="auto"/>
            </w:tcBorders>
          </w:tcPr>
          <w:p>
            <w:pPr>
              <w:spacing w:after="0"/>
              <w:rPr>
                <w:sz w:val="21"/>
                <w:szCs w:val="21"/>
                <w:color w:val="auto"/>
              </w:rPr>
            </w:pPr>
          </w:p>
        </w:tc>
        <w:tc>
          <w:tcPr>
            <w:tcW w:w="280" w:type="dxa"/>
            <w:vAlign w:val="bottom"/>
          </w:tcPr>
          <w:p>
            <w:pPr>
              <w:ind w:left="60"/>
              <w:spacing w:after="0"/>
              <w:rPr>
                <w:sz w:val="20"/>
                <w:szCs w:val="20"/>
                <w:color w:val="auto"/>
              </w:rPr>
            </w:pPr>
            <w:r>
              <w:rPr>
                <w:rFonts w:ascii="Arial" w:cs="Arial" w:eastAsia="Arial" w:hAnsi="Arial"/>
                <w:sz w:val="22"/>
                <w:szCs w:val="22"/>
                <w:color w:val="auto"/>
              </w:rPr>
              <w:t>to</w:t>
            </w:r>
          </w:p>
        </w:tc>
        <w:tc>
          <w:tcPr>
            <w:tcW w:w="640" w:type="dxa"/>
            <w:vAlign w:val="bottom"/>
            <w:tcBorders>
              <w:bottom w:val="single" w:sz="8" w:color="auto"/>
            </w:tcBorders>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r>
      <w:tr>
        <w:trPr>
          <w:trHeight w:val="397"/>
        </w:trPr>
        <w:tc>
          <w:tcPr>
            <w:tcW w:w="3560" w:type="dxa"/>
            <w:vAlign w:val="bottom"/>
            <w:gridSpan w:val="3"/>
          </w:tcPr>
          <w:p>
            <w:pPr>
              <w:ind w:left="840"/>
              <w:spacing w:after="0"/>
              <w:rPr>
                <w:sz w:val="20"/>
                <w:szCs w:val="20"/>
                <w:color w:val="auto"/>
              </w:rPr>
            </w:pPr>
            <w:r>
              <w:rPr>
                <w:rFonts w:ascii="Arial" w:cs="Arial" w:eastAsia="Arial" w:hAnsi="Arial"/>
                <w:sz w:val="18"/>
                <w:szCs w:val="18"/>
                <w:color w:val="auto"/>
                <w:w w:val="93"/>
              </w:rPr>
              <w:t>Commission file number: 000-31659</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2960" w:type="dxa"/>
            <w:vAlign w:val="bottom"/>
          </w:tcPr>
          <w:p>
            <w:pPr>
              <w:jc w:val="right"/>
              <w:ind w:right="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884"/>
              <w:spacing w:after="0" w:line="149" w:lineRule="exact"/>
              <w:rPr>
                <w:sz w:val="20"/>
                <w:szCs w:val="20"/>
                <w:color w:val="auto"/>
              </w:rPr>
            </w:pPr>
            <w:r>
              <w:rPr>
                <w:rFonts w:ascii="Arial" w:cs="Arial" w:eastAsia="Arial" w:hAnsi="Arial"/>
                <w:sz w:val="14"/>
                <w:szCs w:val="14"/>
                <w:color w:val="auto"/>
                <w:w w:val="88"/>
              </w:rPr>
              <w:t>(State or Other Jurisdiction of</w:t>
            </w:r>
          </w:p>
        </w:tc>
        <w:tc>
          <w:tcPr>
            <w:tcW w:w="2960" w:type="dxa"/>
            <w:vAlign w:val="bottom"/>
          </w:tcPr>
          <w:p>
            <w:pPr>
              <w:jc w:val="center"/>
              <w:ind w:left="1884"/>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660" w:type="dxa"/>
            <w:vAlign w:val="bottom"/>
          </w:tcPr>
          <w:p>
            <w:pPr>
              <w:jc w:val="center"/>
              <w:ind w:right="1884"/>
              <w:spacing w:after="0"/>
              <w:rPr>
                <w:sz w:val="20"/>
                <w:szCs w:val="20"/>
                <w:color w:val="auto"/>
              </w:rPr>
            </w:pPr>
            <w:r>
              <w:rPr>
                <w:rFonts w:ascii="Arial" w:cs="Arial" w:eastAsia="Arial" w:hAnsi="Arial"/>
                <w:sz w:val="14"/>
                <w:szCs w:val="14"/>
                <w:color w:val="auto"/>
                <w:w w:val="89"/>
              </w:rPr>
              <w:t>Incorporation or Organization)</w:t>
            </w:r>
          </w:p>
        </w:tc>
        <w:tc>
          <w:tcPr>
            <w:tcW w:w="2960" w:type="dxa"/>
            <w:vAlign w:val="bottom"/>
          </w:tcPr>
          <w:p>
            <w:pPr>
              <w:jc w:val="center"/>
              <w:ind w:left="1864"/>
              <w:spacing w:after="0"/>
              <w:rPr>
                <w:sz w:val="20"/>
                <w:szCs w:val="20"/>
                <w:color w:val="auto"/>
              </w:rPr>
            </w:pPr>
            <w:r>
              <w:rPr>
                <w:rFonts w:ascii="Arial" w:cs="Arial" w:eastAsia="Arial" w:hAnsi="Arial"/>
                <w:sz w:val="14"/>
                <w:szCs w:val="14"/>
                <w:color w:val="auto"/>
                <w:w w:val="93"/>
              </w:rPr>
              <w:t>Identification No.)</w:t>
            </w:r>
          </w:p>
        </w:tc>
      </w:tr>
      <w:tr>
        <w:trPr>
          <w:trHeight w:val="40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2960" w:type="dxa"/>
            <w:vAlign w:val="bottom"/>
          </w:tcPr>
          <w:p>
            <w:pPr>
              <w:jc w:val="right"/>
              <w:ind w:right="204"/>
              <w:spacing w:after="0"/>
              <w:rPr>
                <w:sz w:val="20"/>
                <w:szCs w:val="20"/>
                <w:color w:val="auto"/>
              </w:rPr>
            </w:pPr>
            <w:r>
              <w:rPr>
                <w:rFonts w:ascii="Arial" w:cs="Arial" w:eastAsia="Arial" w:hAnsi="Arial"/>
                <w:sz w:val="18"/>
                <w:szCs w:val="18"/>
                <w:b w:val="1"/>
                <w:bCs w:val="1"/>
                <w:color w:val="auto"/>
              </w:rPr>
              <w:t>92121</w:t>
            </w:r>
          </w:p>
        </w:tc>
      </w:tr>
      <w:tr>
        <w:trPr>
          <w:trHeight w:val="172"/>
        </w:trPr>
        <w:tc>
          <w:tcPr>
            <w:tcW w:w="4660" w:type="dxa"/>
            <w:vAlign w:val="bottom"/>
          </w:tcPr>
          <w:p>
            <w:pPr>
              <w:jc w:val="center"/>
              <w:ind w:right="1864"/>
              <w:spacing w:after="0"/>
              <w:rPr>
                <w:sz w:val="20"/>
                <w:szCs w:val="20"/>
                <w:color w:val="auto"/>
              </w:rPr>
            </w:pPr>
            <w:r>
              <w:rPr>
                <w:rFonts w:ascii="Arial" w:cs="Arial" w:eastAsia="Arial" w:hAnsi="Arial"/>
                <w:sz w:val="14"/>
                <w:szCs w:val="14"/>
                <w:color w:val="auto"/>
                <w:w w:val="89"/>
              </w:rPr>
              <w:t>(Address of Principal Executive Offices)</w:t>
            </w:r>
          </w:p>
        </w:tc>
        <w:tc>
          <w:tcPr>
            <w:tcW w:w="2960" w:type="dxa"/>
            <w:vAlign w:val="bottom"/>
          </w:tcPr>
          <w:p>
            <w:pPr>
              <w:jc w:val="center"/>
              <w:ind w:left="1864"/>
              <w:spacing w:after="0"/>
              <w:rPr>
                <w:sz w:val="20"/>
                <w:szCs w:val="20"/>
                <w:color w:val="auto"/>
              </w:rPr>
            </w:pPr>
            <w:r>
              <w:rPr>
                <w:rFonts w:ascii="Arial" w:cs="Arial" w:eastAsia="Arial" w:hAnsi="Arial"/>
                <w:sz w:val="14"/>
                <w:szCs w:val="14"/>
                <w:color w:val="auto"/>
                <w:w w:val="87"/>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0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360" w:type="dxa"/>
            <w:vAlign w:val="bottom"/>
          </w:tcPr>
          <w:p>
            <w:pPr>
              <w:ind w:left="9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324"/>
        </w:trPr>
        <w:tc>
          <w:tcPr>
            <w:tcW w:w="80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78"/>
        </w:trPr>
        <w:tc>
          <w:tcPr>
            <w:tcW w:w="8060" w:type="dxa"/>
            <w:vAlign w:val="bottom"/>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33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060" w:type="dxa"/>
            <w:vAlign w:val="bottom"/>
          </w:tcPr>
          <w:p>
            <w:pPr>
              <w:ind w:left="460"/>
              <w:spacing w:after="0"/>
              <w:rPr>
                <w:sz w:val="20"/>
                <w:szCs w:val="20"/>
                <w:color w:val="auto"/>
              </w:rPr>
            </w:pPr>
            <w:r>
              <w:rPr>
                <w:rFonts w:ascii="Arial" w:cs="Arial" w:eastAsia="Arial" w:hAnsi="Arial"/>
                <w:sz w:val="18"/>
                <w:szCs w:val="18"/>
                <w:color w:val="auto"/>
                <w:w w:val="92"/>
              </w:rPr>
              <w:t>The number of shares of the registrant’s common stock outstanding as of May 6, 2013 was 33,909,937.</w:t>
            </w:r>
          </w:p>
        </w:tc>
        <w:tc>
          <w:tcPr>
            <w:tcW w:w="3360" w:type="dxa"/>
            <w:vAlign w:val="bottom"/>
          </w:tcPr>
          <w:p>
            <w:pPr>
              <w:spacing w:after="0"/>
              <w:rPr>
                <w:sz w:val="24"/>
                <w:szCs w:val="24"/>
                <w:color w:val="auto"/>
              </w:rPr>
            </w:pPr>
          </w:p>
        </w:tc>
      </w:tr>
      <w:tr>
        <w:trPr>
          <w:trHeight w:val="205"/>
        </w:trPr>
        <w:tc>
          <w:tcPr>
            <w:tcW w:w="80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r>
      <w:tr>
        <w:trPr>
          <w:trHeight w:val="34"/>
        </w:trPr>
        <w:tc>
          <w:tcPr>
            <w:tcW w:w="80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435" w:right="239" w:bottom="1440" w:gutter="0" w:footer="0" w:header="0"/>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 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integrate the operations of Enfora and any other business, products, technologies or personnel that we may acquire in the future;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marketability of our products is dependent on wireless telecommunication operators delivering acceptable wireless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properly manage the growth of our business to avoid significant strains on our management and operations and disruptions to our business;</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introducing new products that could contain errors or defects;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including the information in “Item 1A. Risk Factors” in Part I of our Annual Report on Form 10-K for the year ended December 31, 2012. If one or more events related to these or other risks or uncertainties materialize, or if our underlying assumptions prove to be incorrect, actual results may differ materially from what we anticipate.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“Novatel Wireless”, the Novatel Wireless logo, “MiFi”, “MiFi Intelligent Mobile Hotspot”, “MiFi OS”, “MiFi Home”, “MobiLink”, “Ovation,” “Expedite” and “MiFi.Freedom. My Way” are trademarks of Novatel Wireless, Inc. “Enfora”, the Enfora logo, “Spider”, “Enabling Information Anywhere”, “Enabler”, “eWide” and “N4A” are trademarks of Enfora, Inc. Other trademarks, trade names or service marks used in this report are the property of their respective owners.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8500" w:type="dxa"/>
            <w:vAlign w:val="bottom"/>
          </w:tcPr>
          <w:p>
            <w:pPr>
              <w:jc w:val="center"/>
              <w:ind w:left="1652"/>
              <w:spacing w:after="0"/>
              <w:rPr>
                <w:sz w:val="20"/>
                <w:szCs w:val="20"/>
                <w:color w:val="auto"/>
              </w:rPr>
            </w:pPr>
            <w:r>
              <w:rPr>
                <w:rFonts w:ascii="Arial" w:cs="Arial" w:eastAsia="Arial" w:hAnsi="Arial"/>
                <w:sz w:val="18"/>
                <w:szCs w:val="18"/>
                <w:b w:val="1"/>
                <w:bCs w:val="1"/>
                <w:color w:val="auto"/>
              </w:rPr>
              <w:t>PART I—FINANCIAL INFORMATION</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5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00" w:type="dxa"/>
            <w:vAlign w:val="bottom"/>
          </w:tcPr>
          <w:p>
            <w:pPr>
              <w:spacing w:after="0"/>
              <w:rPr>
                <w:sz w:val="24"/>
                <w:szCs w:val="24"/>
                <w:color w:val="auto"/>
              </w:rPr>
            </w:pPr>
          </w:p>
        </w:tc>
        <w:tc>
          <w:tcPr>
            <w:tcW w:w="8500" w:type="dxa"/>
            <w:vAlign w:val="bottom"/>
          </w:tcPr>
          <w:p>
            <w:pPr>
              <w:jc w:val="center"/>
              <w:ind w:left="1652"/>
              <w:spacing w:after="0"/>
              <w:rPr>
                <w:sz w:val="20"/>
                <w:szCs w:val="20"/>
                <w:color w:val="auto"/>
              </w:rPr>
            </w:pPr>
            <w:r>
              <w:rPr>
                <w:rFonts w:ascii="Arial" w:cs="Arial" w:eastAsia="Arial" w:hAnsi="Arial"/>
                <w:sz w:val="18"/>
                <w:szCs w:val="18"/>
                <w:b w:val="1"/>
                <w:bCs w:val="1"/>
                <w:color w:val="auto"/>
                <w:w w:val="96"/>
              </w:rPr>
              <w:t>NOVATEL WIRELESS, INC.</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8500" w:type="dxa"/>
            <w:vAlign w:val="bottom"/>
          </w:tcPr>
          <w:p>
            <w:pPr>
              <w:jc w:val="center"/>
              <w:ind w:left="163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8500" w:type="dxa"/>
            <w:vAlign w:val="bottom"/>
          </w:tcPr>
          <w:p>
            <w:pPr>
              <w:jc w:val="center"/>
              <w:ind w:left="1652"/>
              <w:spacing w:after="0"/>
              <w:rPr>
                <w:sz w:val="20"/>
                <w:szCs w:val="20"/>
                <w:color w:val="auto"/>
              </w:rPr>
            </w:pPr>
            <w:r>
              <w:rPr>
                <w:rFonts w:ascii="Arial" w:cs="Arial" w:eastAsia="Arial" w:hAnsi="Arial"/>
                <w:sz w:val="18"/>
                <w:szCs w:val="18"/>
                <w:b w:val="1"/>
                <w:bCs w:val="1"/>
                <w:color w:val="auto"/>
                <w:w w:val="86"/>
              </w:rPr>
              <w:t>(in thousands, except per share data)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5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16,044</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25,834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38,064</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Restricted marketable securities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Accounts receivable, net of allowance for doubtful accounts of $787 at March 31, 2013 and $627 at December 31, 2012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43,521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42,652</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30,190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39,016</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127,545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140,731</w:t>
            </w:r>
          </w:p>
        </w:tc>
        <w:tc>
          <w:tcPr>
            <w:tcW w:w="0" w:type="dxa"/>
            <w:vAlign w:val="bottom"/>
          </w:tcPr>
          <w:p>
            <w:pPr>
              <w:spacing w:after="0"/>
              <w:rPr>
                <w:sz w:val="1"/>
                <w:szCs w:val="1"/>
                <w:color w:val="auto"/>
              </w:rPr>
            </w:pPr>
          </w:p>
        </w:tc>
      </w:tr>
      <w:tr>
        <w:trPr>
          <w:trHeight w:val="322"/>
        </w:trPr>
        <w:tc>
          <w:tcPr>
            <w:tcW w:w="9100" w:type="dxa"/>
            <w:vAlign w:val="bottom"/>
            <w:gridSpan w:val="2"/>
          </w:tcPr>
          <w:p>
            <w:pPr>
              <w:spacing w:after="0"/>
              <w:rPr>
                <w:sz w:val="20"/>
                <w:szCs w:val="20"/>
                <w:color w:val="auto"/>
              </w:rPr>
            </w:pPr>
            <w:r>
              <w:rPr>
                <w:rFonts w:ascii="Arial" w:cs="Arial" w:eastAsia="Arial" w:hAnsi="Arial"/>
                <w:sz w:val="18"/>
                <w:szCs w:val="18"/>
                <w:color w:val="auto"/>
                <w:w w:val="92"/>
              </w:rPr>
              <w:t>Property and equipment, net of accumulated depreciation of $61,702 at March 31, 2013 and $59,702 at December 31, 2012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14,236</w:t>
            </w: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15,229</w:t>
            </w:r>
          </w:p>
        </w:tc>
        <w:tc>
          <w:tcPr>
            <w:tcW w:w="0" w:type="dxa"/>
            <w:vAlign w:val="bottom"/>
          </w:tcPr>
          <w:p>
            <w:pPr>
              <w:spacing w:after="0"/>
              <w:rPr>
                <w:sz w:val="1"/>
                <w:szCs w:val="1"/>
                <w:color w:val="auto"/>
              </w:rPr>
            </w:pPr>
          </w:p>
        </w:tc>
      </w:tr>
      <w:tr>
        <w:trPr>
          <w:trHeight w:val="218"/>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9,862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w w:val="97"/>
              </w:rPr>
              <w:t>Intangible assets, net of accumulated amortization of $12,226 at March 31, 2013 and $11,951 at December 31, 2012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155,683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161,531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500" w:type="dxa"/>
            <w:vAlign w:val="bottom"/>
            <w:vMerge w:val="restart"/>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0" w:type="dxa"/>
            <w:vAlign w:val="bottom"/>
          </w:tcPr>
          <w:p>
            <w:pPr>
              <w:spacing w:after="0"/>
              <w:rPr>
                <w:sz w:val="18"/>
                <w:szCs w:val="18"/>
                <w:color w:val="auto"/>
              </w:rPr>
            </w:pPr>
          </w:p>
        </w:tc>
        <w:tc>
          <w:tcPr>
            <w:tcW w:w="85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43,207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45,732</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28,234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Short-term margin loan facility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4,822</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76,263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73,532</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2,454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78,717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76,084</w:t>
            </w:r>
          </w:p>
        </w:tc>
        <w:tc>
          <w:tcPr>
            <w:tcW w:w="0" w:type="dxa"/>
            <w:vAlign w:val="bottom"/>
          </w:tcPr>
          <w:p>
            <w:pPr>
              <w:spacing w:after="0"/>
              <w:rPr>
                <w:sz w:val="1"/>
                <w:szCs w:val="1"/>
                <w:color w:val="auto"/>
              </w:rPr>
            </w:pPr>
          </w:p>
        </w:tc>
      </w:tr>
      <w:tr>
        <w:trPr>
          <w:trHeight w:val="222"/>
        </w:trPr>
        <w:tc>
          <w:tcPr>
            <w:tcW w:w="91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9100" w:type="dxa"/>
            <w:vAlign w:val="bottom"/>
            <w:gridSpan w:val="2"/>
          </w:tcPr>
          <w:p>
            <w:pPr>
              <w:ind w:left="440"/>
              <w:spacing w:after="0"/>
              <w:rPr>
                <w:sz w:val="20"/>
                <w:szCs w:val="20"/>
                <w:color w:val="auto"/>
              </w:rPr>
            </w:pPr>
            <w:r>
              <w:rPr>
                <w:rFonts w:ascii="Arial" w:cs="Arial" w:eastAsia="Arial" w:hAnsi="Arial"/>
                <w:sz w:val="18"/>
                <w:szCs w:val="18"/>
                <w:color w:val="auto"/>
                <w:w w:val="95"/>
              </w:rPr>
              <w:t>Common stock, par value $0.001; 50,000 shares authorized, 33,893 and 33,655 shares issued and outstanding at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March 31, 2013 and December 31, 2012, respectively</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439,121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438,477</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(337,200)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(328,078)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101,966</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110,447</w:t>
            </w:r>
          </w:p>
        </w:tc>
        <w:tc>
          <w:tcPr>
            <w:tcW w:w="0" w:type="dxa"/>
            <w:vAlign w:val="bottom"/>
          </w:tcPr>
          <w:p>
            <w:pPr>
              <w:spacing w:after="0"/>
              <w:rPr>
                <w:sz w:val="1"/>
                <w:szCs w:val="1"/>
                <w:color w:val="auto"/>
              </w:rPr>
            </w:pPr>
          </w:p>
        </w:tc>
      </w:tr>
      <w:tr>
        <w:trPr>
          <w:trHeight w:val="217"/>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2,436 common shares at March 31, 2013 and December 31, 2012, respectively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500" w:type="dxa"/>
            <w:vAlign w:val="bottom"/>
            <w:vMerge w:val="restart"/>
          </w:tcPr>
          <w:p>
            <w:pPr>
              <w:ind w:left="70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85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76,966</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85,447</w:t>
            </w:r>
          </w:p>
        </w:tc>
        <w:tc>
          <w:tcPr>
            <w:tcW w:w="0" w:type="dxa"/>
            <w:vAlign w:val="bottom"/>
          </w:tcPr>
          <w:p>
            <w:pPr>
              <w:spacing w:after="0"/>
              <w:rPr>
                <w:sz w:val="1"/>
                <w:szCs w:val="1"/>
                <w:color w:val="auto"/>
              </w:rPr>
            </w:pPr>
          </w:p>
        </w:tc>
      </w:tr>
      <w:tr>
        <w:trPr>
          <w:trHeight w:val="28"/>
        </w:trPr>
        <w:tc>
          <w:tcPr>
            <w:tcW w:w="6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5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155,683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161,531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85,921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Cost of net revenues</w:t>
            </w:r>
          </w:p>
        </w:tc>
        <w:tc>
          <w:tcPr>
            <w:tcW w:w="1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69,073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16,848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20,988</w:t>
            </w: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9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13,811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5,756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Goodwill and intangible assets impairment</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1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9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26,033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(9,185)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income (expense):</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(9,205)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(9,122)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(37,921)</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84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(0.27)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computation of basic and diluted net loss per share: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33,717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0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$(9,122)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(37,921)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20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0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(9,125)</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(37,897)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(9,122)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goodwill and purchased intangible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Arial" w:cs="Arial" w:eastAsia="Arial" w:hAnsi="Arial"/>
                <w:sz w:val="18"/>
                <w:szCs w:val="18"/>
                <w:color w:val="auto"/>
              </w:rPr>
              <w:t>Provision for bad debts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provision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Arial" w:cs="Arial" w:eastAsia="Arial" w:hAnsi="Arial"/>
                <w:sz w:val="18"/>
                <w:szCs w:val="18"/>
                <w:color w:val="auto"/>
              </w:rPr>
              <w:t>Share-based compensation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 (benefit)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8,761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(2,852)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(3,754)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Marketable securities maturities / sales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(6,841)</w:t>
            </w: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short-term debt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Principal repayments of short-term debt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(2,178)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relating to short-term debt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 and ESPP net of taxes paid on vested restricted stock units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46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46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(25,289)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16,044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18,272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March 31, 2013 and the results of the Company’s operations for the three months ended March 31, 2013 and 2012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2012. The accounting policies used in preparing these condensed consolidated financial statements are the same as those described in the Company’s Form 10-K.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valuation of goodwill, litigation, provision for warranty costs, income taxes and share-based compensation expense.</w:t>
      </w:r>
    </w:p>
    <w:p>
      <w:pPr>
        <w:spacing w:after="0" w:line="1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particularly those related to the condition of the economy, actual results could differ significantly from these estimates.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7" w:name="page8"/>
    <w:bookmarkEnd w:id="7"/>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6"/>
              <w:spacing w:after="0"/>
              <w:rPr>
                <w:sz w:val="20"/>
                <w:szCs w:val="20"/>
                <w:color w:val="auto"/>
              </w:rPr>
            </w:pPr>
            <w:r>
              <w:rPr>
                <w:rFonts w:ascii="Arial" w:cs="Arial" w:eastAsia="Arial" w:hAnsi="Arial"/>
                <w:sz w:val="14"/>
                <w:szCs w:val="14"/>
                <w:b w:val="1"/>
                <w:bCs w:val="1"/>
                <w:color w:val="auto"/>
                <w:w w:val="83"/>
              </w:rPr>
              <w:t>Gross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 2013</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Maturity</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3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660" w:type="dxa"/>
            <w:vAlign w:val="bottom"/>
            <w:gridSpan w:val="4"/>
            <w:vMerge w:val="continue"/>
          </w:tcPr>
          <w:p>
            <w:pPr>
              <w:spacing w:after="0"/>
              <w:rPr>
                <w:sz w:val="12"/>
                <w:szCs w:val="12"/>
                <w:color w:val="auto"/>
              </w:rPr>
            </w:pPr>
          </w:p>
        </w:tc>
        <w:tc>
          <w:tcPr>
            <w:tcW w:w="10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4"/>
              </w:rPr>
              <w:t>in Years</w:t>
            </w:r>
          </w:p>
        </w:tc>
        <w:tc>
          <w:tcPr>
            <w:tcW w:w="100" w:type="dxa"/>
            <w:vAlign w:val="bottom"/>
          </w:tcPr>
          <w:p>
            <w:pPr>
              <w:spacing w:after="0"/>
              <w:rPr>
                <w:sz w:val="12"/>
                <w:szCs w:val="12"/>
                <w:color w:val="auto"/>
              </w:rPr>
            </w:pPr>
          </w:p>
        </w:tc>
        <w:tc>
          <w:tcPr>
            <w:tcW w:w="9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50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w w:val="87"/>
              </w:rPr>
              <w:t>Gains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4,272</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11,377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4,999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tcPr>
          <w:p>
            <w:pPr>
              <w:ind w:left="860"/>
              <w:spacing w:after="0"/>
              <w:rPr>
                <w:sz w:val="20"/>
                <w:szCs w:val="20"/>
                <w:color w:val="auto"/>
              </w:rPr>
            </w:pPr>
            <w:r>
              <w:rPr>
                <w:rFonts w:ascii="Arial" w:cs="Arial" w:eastAsia="Arial" w:hAnsi="Arial"/>
                <w:sz w:val="18"/>
                <w:szCs w:val="18"/>
                <w:color w:val="auto"/>
              </w:rPr>
              <w:t>Total short-term marketable securities</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29,982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Municipal bonds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 to 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 to 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Corporate debentures / bonds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 to 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6,279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long-term marketable securities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$ 39,849</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$ 39,857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56"/>
              <w:spacing w:after="0"/>
              <w:rPr>
                <w:sz w:val="20"/>
                <w:szCs w:val="20"/>
                <w:color w:val="auto"/>
              </w:rPr>
            </w:pPr>
            <w:r>
              <w:rPr>
                <w:rFonts w:ascii="Arial" w:cs="Arial" w:eastAsia="Arial" w:hAnsi="Arial"/>
                <w:sz w:val="14"/>
                <w:szCs w:val="14"/>
                <w:b w:val="1"/>
                <w:bCs w:val="1"/>
                <w:color w:val="auto"/>
                <w:w w:val="83"/>
              </w:rPr>
              <w:t>Gross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2012</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Maturity</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3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660" w:type="dxa"/>
            <w:vAlign w:val="bottom"/>
            <w:gridSpan w:val="4"/>
            <w:vMerge w:val="continue"/>
          </w:tcPr>
          <w:p>
            <w:pPr>
              <w:spacing w:after="0"/>
              <w:rPr>
                <w:sz w:val="12"/>
                <w:szCs w:val="12"/>
                <w:color w:val="auto"/>
              </w:rPr>
            </w:pPr>
          </w:p>
        </w:tc>
        <w:tc>
          <w:tcPr>
            <w:tcW w:w="10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4"/>
              </w:rPr>
              <w:t>in Years</w:t>
            </w:r>
          </w:p>
        </w:tc>
        <w:tc>
          <w:tcPr>
            <w:tcW w:w="100" w:type="dxa"/>
            <w:vAlign w:val="bottom"/>
          </w:tcPr>
          <w:p>
            <w:pPr>
              <w:spacing w:after="0"/>
              <w:rPr>
                <w:sz w:val="12"/>
                <w:szCs w:val="12"/>
                <w:color w:val="auto"/>
              </w:rPr>
            </w:pPr>
          </w:p>
        </w:tc>
        <w:tc>
          <w:tcPr>
            <w:tcW w:w="9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50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w w:val="87"/>
              </w:rPr>
              <w:t>Gains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3,265</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11,246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17,330</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tcPr>
          <w:p>
            <w:pPr>
              <w:ind w:left="860"/>
              <w:spacing w:after="0"/>
              <w:rPr>
                <w:sz w:val="20"/>
                <w:szCs w:val="20"/>
                <w:color w:val="auto"/>
              </w:rPr>
            </w:pPr>
            <w:r>
              <w:rPr>
                <w:rFonts w:ascii="Arial" w:cs="Arial" w:eastAsia="Arial" w:hAnsi="Arial"/>
                <w:sz w:val="18"/>
                <w:szCs w:val="18"/>
                <w:color w:val="auto"/>
              </w:rPr>
              <w:t>Total short-term marketable securities</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38,041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 to 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long-term marketable securities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$ 39,241</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$ 39,265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Company’s available-for-sale securities are carried on the condensed consolidated balance sheet at fair market value with the related unrealized gains and losses included in accumulated other comprehensive income (loss) on the condensed consolidated balance sheet, which is a separate component of stockholders’ equity. Realized gains and losses on the sale of available-for-sale marketable securities are determined using the specific-identification method.</w:t>
      </w:r>
    </w:p>
    <w:p>
      <w:pPr>
        <w:spacing w:after="0" w:line="10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Company has a credit facility with a bank to allow margin borrowings based on the Company’s investments in cash equivalents and marketable securities held with the bank. This facility is collateralized by the Company’s cash equivalents and marketable securities held with the bank. At March 31, 2013, the Company had approximately $18.0 million in cash equivalents and marketable securities held at this bank. Any monies borrowed and interest incurred are payable on demand, and there is no express expiration date to the credit facility. During the three months ended March 31, 2013, the Company borrowed approximately $7.0 million, and had outstanding borrowings of $4.8 million under this facility at March 31, 2013. Under the terms of the credit facility, the bank may liquidate any of the Company’s cash equivalents or marketable securities held at any time in order to recoup the outstanding balance of the facility. Accordingly, a like amount of cash equivalents and marketable equity securities have been classified by the Company as restricted cash and restricted marketable securities on the balance sheet at March 31, 2013. At March 31, 2013 the Company had restricted cash of $661,000 and restricted marketable securities of $4.2 million related to the outstanding borrowings under the credit facility. The restricted marketable securities of $4.2 million are included in the March 31, 2013 marketable securities presented in the table above.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2013, the Company recorded a net unrealized gain of $8,000. The Company’s net unrealized gain is the result of market conditions affecting its fixed-income, debt and equity securities, which are included in accumulated other comprehensive income (loss) in the condensed consolidated balance sheet for the period then ended.</w:t>
      </w:r>
    </w:p>
    <w:p>
      <w:pPr>
        <w:spacing w:after="0" w:line="12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240" w:top="280" w:right="75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March 31,</w:t>
            </w:r>
          </w:p>
        </w:tc>
        <w:tc>
          <w:tcPr>
            <w:tcW w:w="4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1476"/>
              <w:spacing w:after="0"/>
              <w:rPr>
                <w:sz w:val="20"/>
                <w:szCs w:val="20"/>
                <w:color w:val="auto"/>
              </w:rPr>
            </w:pPr>
            <w:r>
              <w:rPr>
                <w:rFonts w:ascii="Arial" w:cs="Arial" w:eastAsia="Arial" w:hAnsi="Arial"/>
                <w:sz w:val="14"/>
                <w:szCs w:val="14"/>
                <w:b w:val="1"/>
                <w:bCs w:val="1"/>
                <w:color w:val="auto"/>
                <w:w w:val="83"/>
              </w:rPr>
              <w:t>2013</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$ 21,516</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8,674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$ 30,190</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March 31,</w:t>
            </w:r>
          </w:p>
        </w:tc>
        <w:tc>
          <w:tcPr>
            <w:tcW w:w="44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1476"/>
              <w:spacing w:after="0"/>
              <w:rPr>
                <w:sz w:val="20"/>
                <w:szCs w:val="20"/>
                <w:color w:val="auto"/>
              </w:rPr>
            </w:pPr>
            <w:r>
              <w:rPr>
                <w:rFonts w:ascii="Arial" w:cs="Arial" w:eastAsia="Arial" w:hAnsi="Arial"/>
                <w:sz w:val="14"/>
                <w:szCs w:val="14"/>
                <w:b w:val="1"/>
                <w:bCs w:val="1"/>
                <w:color w:val="auto"/>
                <w:w w:val="83"/>
              </w:rPr>
              <w:t>2013</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$ 5,002</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right"/>
              <w:ind w:right="140"/>
              <w:spacing w:after="0"/>
              <w:rPr>
                <w:sz w:val="20"/>
                <w:szCs w:val="20"/>
                <w:color w:val="auto"/>
              </w:rPr>
            </w:pPr>
            <w:r>
              <w:rPr>
                <w:rFonts w:ascii="Arial" w:cs="Arial" w:eastAsia="Arial" w:hAnsi="Arial"/>
                <w:sz w:val="18"/>
                <w:szCs w:val="18"/>
                <w:color w:val="auto"/>
              </w:rPr>
              <w:t>8,250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2,664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Market development funds and price protection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right"/>
              <w:ind w:right="140"/>
              <w:spacing w:after="0"/>
              <w:rPr>
                <w:sz w:val="20"/>
                <w:szCs w:val="20"/>
                <w:color w:val="auto"/>
              </w:rPr>
            </w:pPr>
            <w:r>
              <w:rPr>
                <w:rFonts w:ascii="Arial" w:cs="Arial" w:eastAsia="Arial" w:hAnsi="Arial"/>
                <w:sz w:val="18"/>
                <w:szCs w:val="18"/>
                <w:color w:val="auto"/>
              </w:rPr>
              <w:t>2,176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667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right"/>
              <w:ind w:right="140"/>
              <w:spacing w:after="0"/>
              <w:rPr>
                <w:sz w:val="20"/>
                <w:szCs w:val="20"/>
                <w:color w:val="auto"/>
              </w:rPr>
            </w:pPr>
            <w:r>
              <w:rPr>
                <w:rFonts w:ascii="Arial" w:cs="Arial" w:eastAsia="Arial" w:hAnsi="Arial"/>
                <w:sz w:val="18"/>
                <w:szCs w:val="18"/>
                <w:color w:val="auto"/>
              </w:rPr>
              <w:t>1,738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4,025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3,712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$ 28,234</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Arial" w:cs="Arial" w:eastAsia="Arial" w:hAnsi="Arial"/>
                <w:sz w:val="18"/>
                <w:szCs w:val="18"/>
                <w:color w:val="auto"/>
              </w:rPr>
              <w:t>Accrued warranty obligations consist of the following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w w:val="92"/>
              </w:rPr>
              <w:t>March 31, 2013</w:t>
            </w: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liability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center"/>
              <w:ind w:left="636"/>
              <w:spacing w:after="0"/>
              <w:rPr>
                <w:sz w:val="20"/>
                <w:szCs w:val="20"/>
                <w:color w:val="auto"/>
              </w:rPr>
            </w:pPr>
            <w:r>
              <w:rPr>
                <w:rFonts w:ascii="Arial" w:cs="Arial" w:eastAsia="Arial" w:hAnsi="Arial"/>
                <w:sz w:val="18"/>
                <w:szCs w:val="18"/>
                <w:color w:val="auto"/>
                <w:w w:val="84"/>
              </w:rPr>
              <w:t>2,329</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636"/>
              <w:spacing w:after="0"/>
              <w:rPr>
                <w:sz w:val="20"/>
                <w:szCs w:val="20"/>
                <w:color w:val="auto"/>
              </w:rPr>
            </w:pPr>
            <w:r>
              <w:rPr>
                <w:rFonts w:ascii="Arial" w:cs="Arial" w:eastAsia="Arial" w:hAnsi="Arial"/>
                <w:sz w:val="18"/>
                <w:szCs w:val="18"/>
                <w:color w:val="auto"/>
                <w:w w:val="84"/>
              </w:rPr>
              <w:t>2,256</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87"/>
              </w:rPr>
              <w:t>(1,921)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36"/>
              <w:spacing w:after="0"/>
              <w:rPr>
                <w:sz w:val="20"/>
                <w:szCs w:val="20"/>
                <w:color w:val="auto"/>
              </w:rPr>
            </w:pPr>
            <w:r>
              <w:rPr>
                <w:rFonts w:ascii="Arial" w:cs="Arial" w:eastAsia="Arial" w:hAnsi="Arial"/>
                <w:sz w:val="18"/>
                <w:szCs w:val="18"/>
                <w:color w:val="auto"/>
                <w:w w:val="84"/>
              </w:rPr>
              <w:t>2,664</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accrues warranty costs based on estimates of future warranty-related replacement, repairs or rework of products. The Company generally provides one to three years of coverage for products following the date of purchase and the Company accrues the estimated cost of warranty coverage as a component of cost of net revenues in the condensed consolidated statements of operations at the time revenue is recognized. In estimating our future warranty obligations, we consider various relevant factors, including the historical frequency and volume of claims, and the cost to replace or repair products under warranty.</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240" w:top="280" w:right="5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March 31, 2013</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Impairment</w:t>
            </w:r>
          </w:p>
        </w:tc>
        <w:tc>
          <w:tcPr>
            <w:tcW w:w="80" w:type="dxa"/>
            <w:vAlign w:val="bottom"/>
          </w:tcPr>
          <w:p>
            <w:pPr>
              <w:spacing w:after="0"/>
              <w:rPr>
                <w:sz w:val="14"/>
                <w:szCs w:val="14"/>
                <w:color w:val="auto"/>
              </w:rPr>
            </w:pPr>
          </w:p>
        </w:tc>
        <w:tc>
          <w:tcPr>
            <w:tcW w:w="420" w:type="dxa"/>
            <w:vAlign w:val="bottom"/>
          </w:tcPr>
          <w:p>
            <w:pPr>
              <w:jc w:val="right"/>
              <w:ind w:right="76"/>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technologies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$26,000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(19,547)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7"/>
              </w:rPr>
              <w:t>(5,786)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(19,547)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Trade name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(8,582)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1,941</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12,800</w:t>
            </w:r>
          </w:p>
        </w:tc>
        <w:tc>
          <w:tcPr>
            <w:tcW w:w="20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3,720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Total amortizable purchased intangible assets</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42,520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(10,080)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(29,749)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2,691</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42,520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(9,856)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(29,749)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included in the cost of net revenues and general and administrative expense categories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2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quarter ended March 31, 2012, the Company recorded an impairment loss of $22.8 million related to a decrease in the estimated fair values of the purchased intangible assets fair values.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represents details of the amortization of existing purchased intangible assets that is currently estimated to be expensed in the remainder of 2013 and thereafter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26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2013 (remaining 9 months)</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2014</w:t>
            </w:r>
          </w:p>
        </w:tc>
        <w:tc>
          <w:tcPr>
            <w:tcW w:w="38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8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2016</w:t>
            </w:r>
          </w:p>
        </w:tc>
        <w:tc>
          <w:tcPr>
            <w:tcW w:w="38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2,691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Additionally, at March 31, 2013 and December 31, 2012, the Company had $196,000 and $248,000, respectively, of acquired software licenses, net of accumulated amortization of $2.1 million and $2.1 million, respectively. The acquired software licenses represent rights to use certain software necessary for commercial sale of the Company’s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goodwill impairment charges recorded during the twelve months ended December 31, 2012, the carrying amount of goodwill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and March 31, 2013 was zero. The carrying amount of goodwill at December 31, 2011 was $19.8 million. The Company recorded goodwill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charges during the first and third quarters of 2012 of $6.6 million and $13.2 million, respectively.</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first and third quarters of 2012, based on actual operating results, and reductions in management’s then estimates of forecasted operating results of the M2M Products and Solutions reporting unit principally due to updated views of competitive pressures impacting average selling prices, customer product and technology selections, and the loss of certain customers, the Company determined there were sufficient indicators of impairment present to require an interim impairment analysis during the respective impacted quarters.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Based upon fair value tests performed with the assistance of third party independent appraisals, during the first quarter of 2012 the Company recorded pre-tax goodwill impairment charges of $6.6 million and a purchased intangible asset impairment charge of $22.8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Fair Value Measurement of Assets and Liabilities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financial instruments consist principally of cash and cash equivalents, and short-term and long-term marketable debt securities. The Company’s cash and cash equivalents consist of its investment in money market securities and treasury bills. The Company’s marketable debt securities consist primarily of government agency securities, municipal bonds, time deposits and investment-grade corporate bonds.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Assets and liabilities measured at fair value are categorized based on whether or not the inputs are observable in the market and the degree to which the inputs are observable.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asset or liability occur in sufficient frequency and volume to provide pricing information on an ongoing basis.</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Pricing inputs include benchmark yields, trade data, reported trades and broker dealer quotes, two-sided markets and industry &amp; economic events,</w:t>
      </w:r>
      <w:r>
        <w:rPr>
          <w:rFonts w:ascii="Arial" w:cs="Arial" w:eastAsia="Arial" w:hAnsi="Arial"/>
          <w:sz w:val="16"/>
          <w:szCs w:val="16"/>
          <w:i w:val="1"/>
          <w:iCs w:val="1"/>
          <w:color w:val="auto"/>
        </w:rPr>
        <w:t xml:space="preserve"> </w:t>
      </w:r>
      <w:r>
        <w:rPr>
          <w:rFonts w:ascii="Arial" w:cs="Arial" w:eastAsia="Arial" w:hAnsi="Arial"/>
          <w:sz w:val="16"/>
          <w:szCs w:val="16"/>
          <w:color w:val="auto"/>
        </w:rPr>
        <w:t>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fair value of the majority of our cash and cash equivalents and marketable equity securities were determined based on Level 1 inputs. The fair value of our marketable debt securities was determined based on Level 2 inputs. We do not have any securities in the Level 3 category. The Company reviews the fair value hierarchy classification on a quarterly basis. Changes in the observability of valuation inputs may result in a reclassification of levels for certain securities within the fair value hierarchy.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ind w:right="4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Company’s financial instruments measured at fair value on a recurring basis in accordance with the authoritative guidance for fair value measurements as of March 31, 2013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2013</w:t>
            </w:r>
          </w:p>
        </w:tc>
        <w:tc>
          <w:tcPr>
            <w:tcW w:w="50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5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77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Government agency securities</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4,999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 / bonds</w:t>
            </w: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gridSpan w:val="3"/>
          </w:tcPr>
          <w:p>
            <w:pPr>
              <w:spacing w:after="0"/>
              <w:rPr>
                <w:sz w:val="20"/>
                <w:szCs w:val="20"/>
                <w:color w:val="auto"/>
              </w:rPr>
            </w:pPr>
            <w:r>
              <w:rPr>
                <w:rFonts w:ascii="Arial" w:cs="Arial" w:eastAsia="Arial" w:hAnsi="Arial"/>
                <w:sz w:val="18"/>
                <w:szCs w:val="18"/>
                <w:color w:val="auto"/>
              </w:rPr>
              <w:t>Total short-term marketable securities</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29,995</w:t>
            </w: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29,995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 / bonds</w:t>
            </w: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40,635</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2"/>
              </w:rPr>
              <w:t>See Note 2 for discussion of restricted cash and restricted marketable securities related to our credit facility.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20" w:type="dxa"/>
            <w:vAlign w:val="bottom"/>
            <w:gridSpan w:val="3"/>
          </w:tcPr>
          <w:p>
            <w:pPr>
              <w:ind w:left="56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3" w:name="page14"/>
    <w:bookmarkEnd w:id="13"/>
    <w:p>
      <w:pPr>
        <w:ind w:right="4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Company’s financial instruments measured at fair value on a recurring basis in accordance with the authoritative guidance for fair value measurements as of December 31, 2012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5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30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58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4800" w:type="dxa"/>
            <w:vAlign w:val="bottom"/>
            <w:tcBorders>
              <w:top w:val="single" w:sz="8" w:color="CCEEFF"/>
            </w:tcBorders>
            <w:shd w:val="clear" w:color="auto" w:fill="CCEEFF"/>
          </w:tcPr>
          <w:p>
            <w:pPr>
              <w:spacing w:after="0"/>
              <w:rPr>
                <w:sz w:val="16"/>
                <w:szCs w:val="16"/>
                <w:color w:val="auto"/>
              </w:rPr>
            </w:pPr>
          </w:p>
        </w:tc>
        <w:tc>
          <w:tcPr>
            <w:tcW w:w="25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88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US Treasury securities</w:t>
            </w:r>
          </w:p>
        </w:tc>
        <w:tc>
          <w:tcPr>
            <w:tcW w:w="2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CCEEFF"/>
          </w:tcPr>
          <w:p>
            <w:pPr>
              <w:spacing w:after="0"/>
              <w:rPr>
                <w:sz w:val="18"/>
                <w:szCs w:val="18"/>
                <w:color w:val="auto"/>
              </w:rPr>
            </w:pPr>
          </w:p>
        </w:tc>
      </w:tr>
      <w:tr>
        <w:trPr>
          <w:trHeight w:val="222"/>
        </w:trPr>
        <w:tc>
          <w:tcPr>
            <w:tcW w:w="552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25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Government agency securities</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3,266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11,260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6,205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 / bonds</w:t>
            </w:r>
          </w:p>
        </w:tc>
        <w:tc>
          <w:tcPr>
            <w:tcW w:w="25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100" w:type="dxa"/>
            <w:vAlign w:val="bottom"/>
            <w:shd w:val="clear" w:color="auto" w:fill="CCEEFF"/>
          </w:tcPr>
          <w:p>
            <w:pPr>
              <w:spacing w:after="0"/>
              <w:rPr>
                <w:sz w:val="18"/>
                <w:szCs w:val="18"/>
                <w:color w:val="auto"/>
              </w:rPr>
            </w:pPr>
          </w:p>
        </w:tc>
      </w:tr>
      <w:tr>
        <w:trPr>
          <w:trHeight w:val="230"/>
        </w:trPr>
        <w:tc>
          <w:tcPr>
            <w:tcW w:w="5520" w:type="dxa"/>
            <w:vAlign w:val="bottom"/>
            <w:gridSpan w:val="3"/>
          </w:tcPr>
          <w:p>
            <w:pPr>
              <w:spacing w:after="0"/>
              <w:rPr>
                <w:sz w:val="20"/>
                <w:szCs w:val="20"/>
                <w:color w:val="auto"/>
              </w:rPr>
            </w:pPr>
            <w:r>
              <w:rPr>
                <w:rFonts w:ascii="Arial" w:cs="Arial" w:eastAsia="Arial" w:hAnsi="Arial"/>
                <w:sz w:val="18"/>
                <w:szCs w:val="18"/>
                <w:color w:val="auto"/>
              </w:rPr>
              <w:t>Total short-term marketable securities</w:t>
            </w:r>
          </w:p>
        </w:tc>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38,064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38,064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5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5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r>
      <w:tr>
        <w:trPr>
          <w:trHeight w:val="230"/>
        </w:trPr>
        <w:tc>
          <w:tcPr>
            <w:tcW w:w="552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25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88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42,741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42,694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included the following amounts for share-based compensation awards in the accompanying unaudited condensed consolidated statements of operations for the three months ended March 31, 2013 and 2012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0"/>
              </w:rPr>
              <w:t>Three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8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291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478</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949</w:t>
            </w:r>
          </w:p>
        </w:tc>
        <w:tc>
          <w:tcPr>
            <w:tcW w:w="6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1,834</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expense resulted from change in the estimated forfeiture rate during the first quarter of 2013.</w:t>
      </w:r>
    </w:p>
    <w:p>
      <w:pPr>
        <w:spacing w:after="0" w:line="246" w:lineRule="exact"/>
        <w:rPr>
          <w:sz w:val="20"/>
          <w:szCs w:val="20"/>
          <w:color w:val="auto"/>
        </w:rPr>
      </w:pPr>
    </w:p>
    <w:p>
      <w:pPr>
        <w:ind w:left="460" w:right="7540" w:hanging="452"/>
        <w:spacing w:after="0" w:line="347" w:lineRule="auto"/>
        <w:tabs>
          <w:tab w:leader="none" w:pos="17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reports segment information based on the “management” approach. The management approach designates the internal reporting used by senior management for making decisions and assessing performance as the source of the Company’s reportable segments.</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00" w:right="8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Computing Products segment — includes our MiFi products, USB and PC-card modems and Embedded Modules that enable data transmission and services via cellular wireless networks.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left="900" w:right="44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M2M Products and Solutions segment was established as a result of our acquisition of Enfora in 2010. It includes our intelligent asset-management solutions utilizing cellular wireless technology, and M2M communication devices, and embedded modules that enable M2M data transmission and services via cellular wireless networks.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Segment revenues and segment operating income (loss) represent the primary financial measures used by senior management to assess performance and include the net revenues, cost of net revenues, sales and other operating expenses for which management is held accountable. Segment expenses include sales and marketing, research and development, administration, and amortization expenses that are directly related to individual segments. Segment earnings (loss) also includes acquisition-related costs, purchase price amortization, restructuring, impairment and integration costs. The table below presents net revenues from external customers, operating loss and identifiable assets for our reportable segments (in thousands):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5780" w:type="dxa"/>
            <w:vAlign w:val="bottom"/>
            <w:tcBorders>
              <w:bottom w:val="single" w:sz="8" w:color="CCEEFF"/>
            </w:tcBorders>
            <w:gridSpan w:val="3"/>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$75,620</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90,878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5"/>
          </w:tcPr>
          <w:p>
            <w:pPr>
              <w:spacing w:after="0"/>
              <w:rPr>
                <w:sz w:val="20"/>
                <w:szCs w:val="20"/>
                <w:color w:val="auto"/>
              </w:rPr>
            </w:pPr>
            <w:r>
              <w:rPr>
                <w:rFonts w:ascii="Arial" w:cs="Arial" w:eastAsia="Arial" w:hAnsi="Arial"/>
                <w:sz w:val="18"/>
                <w:szCs w:val="18"/>
                <w:color w:val="auto"/>
              </w:rPr>
              <w:t>Total</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85,921</w:t>
            </w:r>
          </w:p>
        </w:tc>
        <w:tc>
          <w:tcPr>
            <w:tcW w:w="2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8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6"/>
              </w:rPr>
              <w:t>Operating loss by reportable segment:</w:t>
            </w:r>
          </w:p>
        </w:tc>
        <w:tc>
          <w:tcPr>
            <w:tcW w:w="566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 (5,500)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(3,685)</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(34,357)</w:t>
            </w:r>
          </w:p>
        </w:tc>
        <w:tc>
          <w:tcPr>
            <w:tcW w:w="0" w:type="dxa"/>
            <w:vAlign w:val="bottom"/>
          </w:tcPr>
          <w:p>
            <w:pPr>
              <w:spacing w:after="0"/>
              <w:rPr>
                <w:sz w:val="1"/>
                <w:szCs w:val="1"/>
                <w:color w:val="auto"/>
              </w:rPr>
            </w:pPr>
          </w:p>
        </w:tc>
      </w:tr>
      <w:tr>
        <w:trPr>
          <w:trHeight w:val="20"/>
        </w:trPr>
        <w:tc>
          <w:tcPr>
            <w:tcW w:w="854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gridSpan w:val="5"/>
            <w:vMerge w:val="continue"/>
          </w:tcPr>
          <w:p>
            <w:pPr>
              <w:spacing w:after="0"/>
              <w:rPr>
                <w:sz w:val="19"/>
                <w:szCs w:val="19"/>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 (9,185)</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 (37,827)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2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Identifiable assets by reportable segment:</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Mobile Computing Products</w:t>
            </w:r>
          </w:p>
        </w:tc>
        <w:tc>
          <w:tcPr>
            <w:tcW w:w="5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7"/>
              </w:rPr>
              <w:t>$133,858</w:t>
            </w: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3"/>
          </w:tcPr>
          <w:p>
            <w:pPr>
              <w:jc w:val="center"/>
              <w:ind w:left="112"/>
              <w:spacing w:after="0"/>
              <w:rPr>
                <w:sz w:val="20"/>
                <w:szCs w:val="20"/>
                <w:color w:val="auto"/>
              </w:rPr>
            </w:pPr>
            <w:r>
              <w:rPr>
                <w:rFonts w:ascii="Arial" w:cs="Arial" w:eastAsia="Arial" w:hAnsi="Arial"/>
                <w:sz w:val="18"/>
                <w:szCs w:val="18"/>
                <w:color w:val="auto"/>
                <w:w w:val="87"/>
              </w:rPr>
              <w:t>$141,045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20,486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5"/>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155,683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center"/>
              <w:ind w:left="11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operations in the United States, Canada, Europe, LatAmerica and Asia. The following table details the geographic concentration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assets in the United States, Canada, Europe, Latin America and Asia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120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w w:val="99"/>
              </w:rPr>
              <w:t>March 31,</w:t>
            </w:r>
          </w:p>
        </w:tc>
        <w:tc>
          <w:tcPr>
            <w:tcW w:w="560" w:type="dxa"/>
            <w:vAlign w:val="bottom"/>
            <w:gridSpan w:val="2"/>
          </w:tcPr>
          <w:p>
            <w:pPr>
              <w:jc w:val="right"/>
              <w:ind w:right="59"/>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$151,739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$157,661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Canada</w:t>
            </w:r>
          </w:p>
        </w:tc>
        <w:tc>
          <w:tcPr>
            <w:tcW w:w="780" w:type="dxa"/>
            <w:vAlign w:val="bottom"/>
            <w:gridSpan w:val="3"/>
          </w:tcPr>
          <w:p>
            <w:pPr>
              <w:jc w:val="right"/>
              <w:ind w:right="32"/>
              <w:spacing w:after="0"/>
              <w:rPr>
                <w:sz w:val="20"/>
                <w:szCs w:val="20"/>
                <w:color w:val="auto"/>
              </w:rPr>
            </w:pPr>
            <w:r>
              <w:rPr>
                <w:rFonts w:ascii="Arial" w:cs="Arial" w:eastAsia="Arial" w:hAnsi="Arial"/>
                <w:sz w:val="18"/>
                <w:szCs w:val="18"/>
                <w:color w:val="auto"/>
              </w:rPr>
              <w:t>3,011</w:t>
            </w:r>
          </w:p>
        </w:tc>
        <w:tc>
          <w:tcPr>
            <w:tcW w:w="4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Europe, Latin America and Asia</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40" w:type="dxa"/>
            <w:vAlign w:val="bottom"/>
          </w:tcPr>
          <w:p>
            <w:pPr>
              <w:spacing w:after="0"/>
              <w:rPr>
                <w:sz w:val="19"/>
                <w:szCs w:val="19"/>
                <w:color w:val="auto"/>
              </w:rPr>
            </w:pPr>
          </w:p>
        </w:tc>
        <w:tc>
          <w:tcPr>
            <w:tcW w:w="780" w:type="dxa"/>
            <w:vAlign w:val="bottom"/>
            <w:gridSpan w:val="3"/>
          </w:tcPr>
          <w:p>
            <w:pPr>
              <w:jc w:val="right"/>
              <w:ind w:right="3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155,683</w:t>
            </w:r>
          </w:p>
        </w:tc>
        <w:tc>
          <w:tcPr>
            <w:tcW w:w="4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161,531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color w:val="auto"/>
              </w:rPr>
              <w:t>The following table details the concentration of the Company’s net revenues by geographic region: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8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85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and Canada</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Latin America</w:t>
            </w: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0.4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12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Asia and Australia</w:t>
            </w:r>
          </w:p>
        </w:tc>
        <w:tc>
          <w:tcPr>
            <w:tcW w:w="32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516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Concentrations of Risk</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cellular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A significant portion of the Company’s net revenues are derived from a small number of customers. For the three months ended March 31, 2013, sales to our largest customer accounted for 60% of net revenues. In the same period in 2012, sales to our two largest customers accounted for 55% and 13% of net revenues. The Company outsources its manufacturing to several third-party contract manufacturers. If one or more of these manufacturers were to experience delays, disruptions, capacity constraints or quality control problems in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of March 31, 2013 and 2012, basic and diluted weighted-average common shares outstanding were 33,716,594 and 32,295,942, respectively. As of March 31, 2013 and 2012, weighted-average options, RSUs, and ESPP shares to acquire a total of 6,027,732 and 6,001,156 shares of common stock, respectively, were outstanding but not included in the computation of diluted earnings per share as their effect was anti-dilutive.</w:t>
      </w:r>
    </w:p>
    <w:p>
      <w:pPr>
        <w:spacing w:after="0" w:line="182" w:lineRule="exact"/>
        <w:rPr>
          <w:sz w:val="20"/>
          <w:szCs w:val="20"/>
          <w:color w:val="auto"/>
        </w:rPr>
      </w:pPr>
    </w:p>
    <w:p>
      <w:pPr>
        <w:ind w:left="460" w:right="8740" w:hanging="452"/>
        <w:spacing w:after="0" w:line="391" w:lineRule="auto"/>
        <w:tabs>
          <w:tab w:leader="none" w:pos="17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Matters</w:t>
      </w:r>
    </w:p>
    <w:p>
      <w:pPr>
        <w:spacing w:after="0" w:line="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a number of patent infringement lawsuits in the U.S. and is indirectly participating in other U.S. patent infringement actions pursuant to its contractual indemnification obligations to certain customers. Based on evaluation of these matters and discussions with Company’s intellectual property litigation counsel, the Company believes that liabilities arising from or sums paid in settlement of these existing matters would not have a material adverse effect on its consolidated results of operations or financial condition.</w:t>
      </w:r>
    </w:p>
    <w:p>
      <w:pPr>
        <w:spacing w:after="0" w:line="11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our common stock between February 27, 2007 and September 15, 2008. On February 14, 2011, following extensive discovery, we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On November 23, 2011, the court issued an order granting in part and denying in part the motion for summary judgment. On July 9, 2012, the court vacated the final pretrial conference date. On December 14, 2012, the court issued an order denying defendants’ motion to exclude the testimony of plaintiffs’ loss causation expert. The court set a pretrial conference for March 8, 2013 and a trial date of June 3, 2013. On February 7, 2013, the court reconsidered its December 14, 2012 order and granted defendants’ motion to exclude plaintiffs’ expert on loss causation. The court, however, gave plaintiffs the opportunity to provide a new report from the expert seeking to cure the deficiencies in the expert’s testimony. The court provided a schedule for the cure process and ordered plaintiffs to bear the burden of defendants’ expenses incurred in this process. The plaintiffs moved for reconsideration of the court’s February 7, 2013 order. On March 6, 2013, the court denied the plaintiffs’ motion for reconsideration with respect to the plaintiffs’ expert report, but granted the motion with respect to shifting the costs of the defendants’ expenses. The parties have briefed the court on this issue. On May 1, 2013, the court issued an order setting the pretrial conference for October 3, 2013 and a trial date of January 6, 2014. The Company intends to defend this litigation vigorously. At this time, there can be no assurance as to the ultimate outcome of this litigation. We have not recorded any significant accruals for contingent liabilities associated with this matter based on our belief that a liability, while possible, is not probable. Further, any possible range of loss cannot be estimated at this time.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September 24, 2010, NovAtel, Inc., a Canadian company (“NovAtel Canada”) filed a trademark infringement lawsuit entitled </w:t>
      </w:r>
      <w:r>
        <w:rPr>
          <w:rFonts w:ascii="Arial" w:cs="Arial" w:eastAsia="Arial" w:hAnsi="Arial"/>
          <w:sz w:val="16"/>
          <w:szCs w:val="16"/>
          <w:i w:val="1"/>
          <w:iCs w:val="1"/>
          <w:color w:val="auto"/>
        </w:rPr>
        <w:t>NovAtel, Inc. v. Novatel</w:t>
      </w:r>
      <w:r>
        <w:rPr>
          <w:rFonts w:ascii="Arial" w:cs="Arial" w:eastAsia="Arial" w:hAnsi="Arial"/>
          <w:sz w:val="16"/>
          <w:szCs w:val="16"/>
          <w:color w:val="auto"/>
        </w:rPr>
        <w:t xml:space="preserve"> </w:t>
      </w:r>
      <w:r>
        <w:rPr>
          <w:rFonts w:ascii="Arial" w:cs="Arial" w:eastAsia="Arial" w:hAnsi="Arial"/>
          <w:sz w:val="16"/>
          <w:szCs w:val="16"/>
          <w:i w:val="1"/>
          <w:iCs w:val="1"/>
          <w:color w:val="auto"/>
        </w:rPr>
        <w:t>Wireless Technologies, Ltd., et al</w:t>
      </w:r>
      <w:r>
        <w:rPr>
          <w:rFonts w:ascii="Arial" w:cs="Arial" w:eastAsia="Arial" w:hAnsi="Arial"/>
          <w:sz w:val="16"/>
          <w:szCs w:val="16"/>
          <w:color w:val="auto"/>
        </w:rPr>
        <w:t>, Action No. 1001-14265 in the Court of Queens Bench of Alberta Canada, Judicial District of Calgary. The Statement of Claim</w:t>
      </w:r>
      <w:r>
        <w:rPr>
          <w:rFonts w:ascii="Arial" w:cs="Arial" w:eastAsia="Arial" w:hAnsi="Arial"/>
          <w:sz w:val="16"/>
          <w:szCs w:val="16"/>
          <w:i w:val="1"/>
          <w:iCs w:val="1"/>
          <w:color w:val="auto"/>
        </w:rPr>
        <w:t xml:space="preserve"> </w:t>
      </w:r>
      <w:r>
        <w:rPr>
          <w:rFonts w:ascii="Arial" w:cs="Arial" w:eastAsia="Arial" w:hAnsi="Arial"/>
          <w:sz w:val="16"/>
          <w:szCs w:val="16"/>
          <w:color w:val="auto"/>
        </w:rPr>
        <w:t>alleges that Novatel Wireless Technologies, Ltd., Novatel Wireless Solutions, Inc. and Novatel Wireless, Inc., or collectively, the Company, are infringing NovAtel Canada’s purported rights in the “Novatel” trademark in breach of a settlement agreement between NovAtel Canada and the Company. The parties resolved all claims alleged in this matter without any payment by the Company. The matter was dismissed on March 12, 2013.</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“more-likely-than-not”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a review of the four sources of taxable income as of March 31, 2013 (as described above), the Company recognized increases in the valuation allowance primarily related to its U.S.-based deferred tax amounts, resulting from carryforward net operating losses, and Canadian-based deferred tax amounts, resulting from research and development tax credits, generated during the three months ended March 31, 2013. These deferred tax benefits, combined with a corresponding charge to income tax expense related to an increased valuation allowance of $4.4 million for the three months ended March 31, 2013, resulted in an insignificant effective income tax rate. The Company’s valuation allowance was $68.3 million on net deferred tax assets of $68.9 million at March 31, 2013. The net unreserved portion of the Company’s remaining deferred tax assets at March 31, 2013 primarily related to research and development tax credits associated with the Company’s Canadian subsidiary.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jc w:val="both"/>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three months ended March 31, 2013, the Company recorded an income tax benefit, including discrete items, of $83,000. This amount varies from the income tax benefit that would be computed at the U.S. statutory rate resulting from its operating loss during the period primarily due to the aforementioned offsetting increase in the Company’s deferred tax assets valuation allowance.</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March 31, 2013 and December 31, 2012, the total liability for unrecognized tax benefits was $198,000 and $367,000, respectively, and is included in other long-term liabilities. For the three months ended March 31, 2013, the Company included $169,000 of interest benefit related to uncertain tax positions in its condensed consolidated statements of operations.</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the fourth quarter of 2013, the Company expects to release $71,000 of its liability for unrecognized tax benefits due to the expiration of the statute of limitations applicable to the 2008 taxable year.</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Company is also subject to various Federal income tax examinations for the 2003 through 2010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2012 contained in our Annual Report on Form 10-K for the year ended December 31, 2012.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modules for machine-to-machine (M2M) and mobile computing OEMs, integrated asset-management M2M devices, and communications and applications software.</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w:t>
      </w:r>
    </w:p>
    <w:p>
      <w:pPr>
        <w:spacing w:after="0" w:line="10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AT&amp;T, Sprint, and Verizon Wireless; laptop PC and other original equipment manufacturers, or OEMs, including Dell and Hewlett-Packard; as well as distributors and various companies in other vertical markets. Our M2M customer base is comprised of transportation companies, industrial companies, manufacturers of medical devices and geographical-location devices, providers of security systems, application service providers and distributors. We have strategic relationships with several of these customers for technology development and marketing.</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sell our wireless broadband solutions primarily to wireless operators either directly or through strategic relationships, as well as to OEM partners and distributors located worldwide. Most of our mobile-computing product sales to wireless operators and OEM partners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right="2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hardware used in our solutions is produced by contract manufacturers. Their services include component procurement, assembly, testing, quality control, and fulfillment. We have agreements with Inventec Appliances Corporation, or IAC; Hon Hai Precision Industry co., LTD; and Benchmark Electronics for the outsourced manufacturing of our products. Under our manufacturing agreements, contract manufacturers provide us with services including component procurement, product manufacturing, final assembly, testing, quality control, and fulfillment. In addition, we have an agreement with Mobiltron for certain distribution, fulfillment and repair services related to our business in Europe, the Middle East and Africa, or EMEA.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QUALCOMM, Sprint, Verizon Wireless, AT&amp;T, Texas Instruments,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prices of our products. This pressure has the potential to materially adversely affect our results of operations and financial condition in future periods and we cannot predict the magnitude or timing of future reductions in the average selling prices of our products.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overhead,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We have incurred these expenses in the past and expect to continue to incur these expenses in future periods prior to recognizing net revenues from sales of these products.</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purchased intangibles.</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Research and development are at the core of our ability to produce innovative, leading-edge products. This category consists primarily of engineers and technicians who design and test our highly complex products. As we work to expand our portfolio of products and remain competitive, it may be necessary to increase our research and development costs in the future.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ind w:right="1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and administrative expenses include primarily corporate functions such as accounting, human resources, professional legal fees, administrative support, and professional fees. This category also includes the expenses needed to operate as a publicly-traded company, including Sarbanes-Oxley compliance, SEC filings, stock-exchange fees, and investor-relations expense. Although general and administrative expenses have been relatively stable and are not directly related to revenue levels, certain expenses such as litigation settlements, legal expenses, and provisions for bad debts may impact future general and administrative expenses.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Amortization of purchased intangibles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subject our intangible assets and goodwill to impairment assessments when required which can result in charges when impairment occurs.</w:t>
      </w:r>
    </w:p>
    <w:p>
      <w:pPr>
        <w:spacing w:after="0" w:line="194"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valuation of goodwill, litigation, provision for warranty costs, income taxes, and share-based compensation expense.</w:t>
      </w:r>
    </w:p>
    <w:p>
      <w:pPr>
        <w:spacing w:after="0" w:line="11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i w:val="1"/>
          <w:iCs w:val="1"/>
          <w:color w:val="auto"/>
        </w:rPr>
        <w:t>Valuation of Intangible and Long-Lived Assets</w:t>
      </w:r>
      <w:r>
        <w:rPr>
          <w:rFonts w:ascii="Arial" w:cs="Arial" w:eastAsia="Arial" w:hAnsi="Arial"/>
          <w:sz w:val="18"/>
          <w:szCs w:val="18"/>
          <w:color w:val="auto"/>
        </w:rPr>
        <w:t>. 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ten years. As most of these assets are associated with technology or trade conditions that may change rapidly; such changes could have an immediate impact on our impairment analysis.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 Our goodwill resulted from the acquisition of Enfora (M2M Products and Solutions) in the fourth quarter of 2010. In accordance with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Standards Codification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Topic 350”), we review goodwill for impairment at least annually at the beginning of the fourth quarter of each year, and more frequently if events or changes in circumstances occur that indicate a potential reduction in the fair value of the reporting unit below its carrying value. During the year ended December 31, 2012 impairment charges were recorded for the full remaining amount of goodwill resulting in a zero balance in goodwill at December 31, 2012.</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20" w:name="page21"/>
    <w:bookmarkEnd w:id="20"/>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significant accounting policies used in preparation of these consolidated financial statements for the three months ended March 31, 2013 are consistent with those discussed in Note 1 to the consolidated financial statements included in our Annual Report on Form 10-K for the year ended December 31, 2012 in all material respects and in Note I to the consolidated financial statements included in this report. The critical accounting policies and the significant judgments and estimates used in the preparation of our condensed consolidated financial statements for the three months ended March 31, 2013 are consistent with those discussed in our Annual Report on Form 10-K for the year ended December 31, 2012 in the section captioned “Management’s Discussion and Analysis of Financial Condition and Results of Operations — Critical Accounting Policies and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 Compared to Three Months Ended March 31, 2012</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three months ended March 31, 2013 were $85.9 million, a decrease of $14.2 million or 14.2%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2012.</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net revenues by reportable segment and net revenues by product categories during the three months ended March 31, 2013 and March 31, 2012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5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$75,620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40" w:type="dxa"/>
            <w:vAlign w:val="bottom"/>
            <w:gridSpan w:val="4"/>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85,921</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Net revenues by product categories:</w:t>
            </w:r>
          </w:p>
        </w:tc>
        <w:tc>
          <w:tcPr>
            <w:tcW w:w="604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$70,158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85,921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three months ended March 31, 2013 were $75.6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$15.3 million or 16.8% compared to the same period in 2012. The decrease is primarily attributable to lower sales of Mobile Broadband devices caused by increased market competition at our two largest customers.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three months ended March 31, 2013 were $10.3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with $9.3 million for the same period last year. The increase is primarily due to increased sales of our recently launched HS3001 device to our largest M2M Products and Solutions customer.</w:t>
      </w:r>
    </w:p>
    <w:p>
      <w:pPr>
        <w:spacing w:after="0" w:line="140"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i w:val="1"/>
          <w:iCs w:val="1"/>
          <w:color w:val="auto"/>
        </w:rPr>
        <w:t xml:space="preserve">Product Categories. </w:t>
      </w:r>
      <w:r>
        <w:rPr>
          <w:rFonts w:ascii="Arial" w:cs="Arial" w:eastAsia="Arial" w:hAnsi="Arial"/>
          <w:sz w:val="15"/>
          <w:szCs w:val="15"/>
          <w:color w:val="auto"/>
        </w:rPr>
        <w:t>We have categorized the combined product portfolios of the mobile computing and M2M businesses into three categories (1) Mobile</w:t>
      </w:r>
      <w:r>
        <w:rPr>
          <w:rFonts w:ascii="Arial" w:cs="Arial" w:eastAsia="Arial" w:hAnsi="Arial"/>
          <w:sz w:val="15"/>
          <w:szCs w:val="15"/>
          <w:i w:val="1"/>
          <w:iCs w:val="1"/>
          <w:color w:val="auto"/>
        </w:rPr>
        <w:t xml:space="preserve"> </w:t>
      </w:r>
      <w:r>
        <w:rPr>
          <w:rFonts w:ascii="Arial" w:cs="Arial" w:eastAsia="Arial" w:hAnsi="Arial"/>
          <w:sz w:val="15"/>
          <w:szCs w:val="15"/>
          <w:color w:val="auto"/>
        </w:rPr>
        <w:t>Broadband Devices, (2) Embedded Solutions and (3) Asset Management Solutions and Services. These categories were established due to the different markets and sales channels served. We believe this product categorization facilitates the analysis of our operating trends and enhances our segment disclosures.</w:t>
      </w:r>
    </w:p>
    <w:p>
      <w:pPr>
        <w:spacing w:after="0" w:line="8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Mobile Broadband Devices category includes all external data modems including MiFi intelligent hotspots, USB modems and PC cards. These devices are sold primarily through wireless operator enterprise and retail channels, telecom equipment distributors and consumer retail chains.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Embedded Solutions products include wireless-broadband modules and related software and services sold to manufacturers of laptop computers, tablets, and other wireless computer devices. This product category also includes M2M modules sold to manufacturers of various asset tracking and monitoring products. Our products are sold directly to OEMs or through distributor channels.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Asset Management Solutions and Services are mobile intelligent wireless broadband terminal devices and communications management software, or CMS, that transmit information about the assets into which these products interface. These hardware and software products can be bundled or sold separately. The CMS software activates the terminal device onto the wireless network and manages its functionality and data received from the terminal device.</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March 31, 2013 was $69.1 million, or 80.4% of net revenues, as compared to $79.2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79.0% of net revenues, for the same period in 2012. During the first quarter of 2013, the cost of net revenues as a percentage of net revenues increased due to higher warranty costs during the quarter, partially offset by lower quarter over quarter purchased intangible amortization expense decreasing to $84,000 during the quarter ended March 31, 2013 as compared to $961,000 in the comparable quarter of 2012. The cost of net revenues as a percentage of revenues is expected to fluctuate in future quarters depending on revenue levels, the mix of products sold, competitive pricing, new product introduction costs and other factors.</w:t>
      </w:r>
    </w:p>
    <w:p>
      <w:pPr>
        <w:spacing w:after="0" w:line="14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three months ended March 31, 2013 was $16.8 million, or a gross margin of 19.6% of net revenues, compared to $21.0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a gross margin of 21.0% of net revenues for the same period in 2012. The gross margin decrease was primarily attributable to the changes in net revenues and cost of net revenues as discussed above. We expect that our gross margin percentage will continue to fluctuate from quarter to quarter depending on revenue levels, product mix, competitive selling prices, our ability to reduce product costs and changes in unit volumes.</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for the three months ended March 31, 2013 were $13.8 million, or 16.1% of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revenues, compared to $15.8 million, or 15.8% of net revenues, for the same period in 2012. Research and development expenses for the three months ended March 31, 2013 were lower as compared to the same period in 2012, due to reduced labor cost attributed to headcount reductions and lower outside service costs.</w:t>
      </w:r>
    </w:p>
    <w:p>
      <w:pPr>
        <w:spacing w:after="0" w:line="8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4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Research and development expenses as a percentage of net revenues are expected to fluctuate in future periods depending on the amount of revenue recognized, and potential variation in the costs associated with the development of our products, including the number and complexity of the products under development and the progress of the development activities with respect to those products. We may increase our investment in research and development to continue to provide innovative products and services.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March 31, 2013 were $5.8 million, or 6.7%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$7.7 million, or 7.7% of net revenues, for the same period in 2012. Sales and marketing expenses for the three months ended March 31, 2013 were lower as compared to the same period in 2012, primarily due to a decrease in salaries and related expenditures.</w:t>
      </w:r>
    </w:p>
    <w:p>
      <w:pPr>
        <w:spacing w:after="0" w:line="10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2013 were $6.3 million, or 7.4%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$5.5 million, or 5.5% of net revenues, for the same period in 2012. General and administrative expenses for the three months ended March 31, 2013 were higher as compared to the same period in 2012 primarily due to increased legal fees, partially offset by reduced labor cost attributed to headcount reductions. While we are closely monitoring and working to control general and administrative costs, we expect these costs to be negatively impacted by legal fees to defend the claims described in Note 9 to our condensed consolidated financial statements included in this report. During the first quarter periods in 2013 and 2012, the Company incurred $2.3 million and $1.1 million in legal expenses, respectively. The increase in legal expenses is primarily due to external legal fees related to litigation and resulting settlement agreements reached during the three months ended March 31, 2013. The settlement amounts were recorded in the fourth quarter of 2012.</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ind w:right="220" w:firstLine="456"/>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Goodwill and intangible assets impairments. </w:t>
      </w:r>
      <w:r>
        <w:rPr>
          <w:rFonts w:ascii="Arial" w:cs="Arial" w:eastAsia="Arial" w:hAnsi="Arial"/>
          <w:sz w:val="16"/>
          <w:szCs w:val="16"/>
          <w:color w:val="auto"/>
        </w:rPr>
        <w:t>No impairments were recorded during the three months ended March 31, 2013. During the first quarter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 based on actual operating results, and reductions in management’s estimates of forecasted operating results of the M2M products and solutions reporting unit principally due to an updated view of competitive pressures impacting average selling prices, customer product and technology selections, and the loss of certain customers, the Company determined there were sufficient indicators of impairment present to require an interim impairment analysis. Based on the fair value tests performed, the Company recorded a pre-tax goodwill impairment charge of $6.6 million and a purchased intangible asset charge of $22.8 million during the first quarter of 2012.</w:t>
      </w:r>
    </w:p>
    <w:p>
      <w:pPr>
        <w:spacing w:after="0" w:line="114"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three months ended March 31, 2013 was $140,000,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$437,000 for the same period 2012. The decrease in amortization expense for the three months ended March 31, 2013 was caused by the lower net asset value of the intangible assets resulting from impairment charges recorded during 2012.</w:t>
      </w:r>
    </w:p>
    <w:p>
      <w:pPr>
        <w:spacing w:after="0" w:line="13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March 31, 2013 was $57,000 as compared to $83,000 for the same period in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weighted-average interest rate earned by the Company on its cash, cash equivalents and marketable securities was 0.40% and 0.40% in the first quarter of 2013 and 2012, respectively.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three months ended March 31, 2013 was $77,000 of expense as compared to income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$7,000 for the same period in 2012.</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benefit for the three months ended March 31, 2013 was $83,000, as compared to $184,000 of expense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2012.</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effective tax rate for the three months ended March 31, 2013 is different than the U.S. statutory rate primarily due to a valuation allowance recorded against additional tax assets generated in the first quarter of 2013.</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For the three months ended March 31, 2013, we reported a net loss of $9.1 million, as compared to a net loss of $37.9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2012. The improvement in net loss primarily resulted from no impairment being recorded during the three months ended March 31, 2013. During the same period in 2012, we recorded pre-tax goodwill impairment charges of $6.6 million and a purchased intangible asset impairment charge of $22.8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address short term liquidity requirements resulting from working capital changes the Company entered into a margin credit facility with a bank in 2011. The use of this margin credit facility allows the Company to meet short-term cash requirements and avoid selling cash equivalents and marketable securities. Borrowings under this facility are collateralized by Company cash and cash equivalents and marketable securities on deposit at the bank. During the three months ended March 31, 2013, the Company borrowed approximately $7.0 million, and had outstanding borrowings of $4.8 million under this facility at March 31, 2013. Under the terms of the credit facility, the bank may liquidate any of the Company’s cash equivalents or marketable securities held at any time in order to recoup the outstanding balance of the facility. Accordingly, a like amount of cash equivalents and marketable equity securities have been classified by the Company as restricted cash and restricted marketable securities on the balance sheet at March 31, 2013. At March 31, 2013 the Company had restricted cash of $661,000 and restricted marketable securities of $4.2 million related to the outstanding borrowings under the credit facility. The Company’s borrowing limit at March 31, 2013 under the credit facility was $5.9 million.</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September 2009, we filed a shelf registration statement with the Securities and Exchange Commission, or the SEC, that will allow us to sell up to $125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had not issued any securities under this registration statement.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December</w:t>
            </w:r>
          </w:p>
        </w:tc>
      </w:tr>
      <w:tr>
        <w:trPr>
          <w:trHeight w:val="149"/>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96"/>
              </w:rPr>
              <w:t>2013</w:t>
            </w:r>
          </w:p>
        </w:tc>
        <w:tc>
          <w:tcPr>
            <w:tcW w:w="1300" w:type="dxa"/>
            <w:vAlign w:val="bottom"/>
            <w:gridSpan w:val="2"/>
          </w:tcPr>
          <w:p>
            <w:pPr>
              <w:jc w:val="right"/>
              <w:ind w:right="139"/>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r>
      <w:tr>
        <w:trPr>
          <w:trHeight w:val="16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(unaudited)</w:t>
            </w:r>
          </w:p>
        </w:tc>
        <w:tc>
          <w:tcPr>
            <w:tcW w:w="13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1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51,282</w:t>
            </w:r>
          </w:p>
        </w:tc>
        <w:tc>
          <w:tcPr>
            <w:tcW w:w="6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$ 67,199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340" w:type="dxa"/>
            <w:vAlign w:val="bottom"/>
          </w:tcPr>
          <w:p>
            <w:pPr>
              <w:spacing w:after="0"/>
              <w:rPr>
                <w:sz w:val="24"/>
                <w:szCs w:val="24"/>
                <w:color w:val="auto"/>
              </w:rPr>
            </w:pPr>
          </w:p>
        </w:tc>
        <w:tc>
          <w:tcPr>
            <w:tcW w:w="7140" w:type="dxa"/>
            <w:vAlign w:val="bottom"/>
            <w:gridSpan w:val="3"/>
          </w:tcPr>
          <w:p>
            <w:pPr>
              <w:ind w:left="12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(2)(3)</w:t>
            </w:r>
          </w:p>
        </w:tc>
        <w:tc>
          <w:tcPr>
            <w:tcW w:w="15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18,272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$ 16,044</w:t>
            </w:r>
          </w:p>
        </w:tc>
        <w:tc>
          <w:tcPr>
            <w:tcW w:w="100" w:type="dxa"/>
            <w:vAlign w:val="bottom"/>
          </w:tcPr>
          <w:p>
            <w:pPr>
              <w:spacing w:after="0"/>
              <w:rPr>
                <w:sz w:val="24"/>
                <w:szCs w:val="24"/>
                <w:color w:val="auto"/>
              </w:rPr>
            </w:pPr>
          </w:p>
        </w:tc>
      </w:tr>
      <w:tr>
        <w:trPr>
          <w:trHeight w:val="218"/>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(2)(4)</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38,064</w:t>
            </w:r>
          </w:p>
        </w:tc>
        <w:tc>
          <w:tcPr>
            <w:tcW w:w="100" w:type="dxa"/>
            <w:vAlign w:val="bottom"/>
            <w:shd w:val="clear" w:color="auto" w:fill="CCEEFF"/>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w:t>
            </w:r>
          </w:p>
        </w:tc>
        <w:tc>
          <w:tcPr>
            <w:tcW w:w="6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15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53,968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$ 55,309</w:t>
            </w:r>
          </w:p>
        </w:tc>
        <w:tc>
          <w:tcPr>
            <w:tcW w:w="100" w:type="dxa"/>
            <w:vAlign w:val="bottom"/>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2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(1)</w:t>
            </w:r>
          </w:p>
        </w:tc>
        <w:tc>
          <w:tcPr>
            <w:tcW w:w="7140" w:type="dxa"/>
            <w:vAlign w:val="bottom"/>
            <w:gridSpan w:val="3"/>
          </w:tcPr>
          <w:p>
            <w:pPr>
              <w:ind w:left="120"/>
              <w:spacing w:after="0"/>
              <w:rPr>
                <w:sz w:val="20"/>
                <w:szCs w:val="20"/>
                <w:color w:val="auto"/>
              </w:rPr>
            </w:pPr>
            <w:r>
              <w:rPr>
                <w:rFonts w:ascii="Arial" w:cs="Arial" w:eastAsia="Arial" w:hAnsi="Arial"/>
                <w:sz w:val="18"/>
                <w:szCs w:val="18"/>
                <w:color w:val="auto"/>
              </w:rPr>
              <w:t>Working capital is defined as the excess of current assets over current liabilities.</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7140" w:type="dxa"/>
            <w:vAlign w:val="bottom"/>
            <w:gridSpan w:val="3"/>
          </w:tcPr>
          <w:p>
            <w:pPr>
              <w:ind w:left="120"/>
              <w:spacing w:after="0"/>
              <w:rPr>
                <w:sz w:val="20"/>
                <w:szCs w:val="20"/>
                <w:color w:val="auto"/>
              </w:rPr>
            </w:pPr>
            <w:r>
              <w:rPr>
                <w:rFonts w:ascii="Arial" w:cs="Arial" w:eastAsia="Arial" w:hAnsi="Arial"/>
                <w:sz w:val="18"/>
                <w:szCs w:val="18"/>
                <w:color w:val="auto"/>
              </w:rPr>
              <w:t>Included in working capital.</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(3)</w:t>
            </w:r>
          </w:p>
        </w:tc>
        <w:tc>
          <w:tcPr>
            <w:tcW w:w="7140" w:type="dxa"/>
            <w:vAlign w:val="bottom"/>
            <w:gridSpan w:val="3"/>
          </w:tcPr>
          <w:p>
            <w:pPr>
              <w:ind w:left="120"/>
              <w:spacing w:after="0"/>
              <w:rPr>
                <w:sz w:val="20"/>
                <w:szCs w:val="20"/>
                <w:color w:val="auto"/>
              </w:rPr>
            </w:pPr>
            <w:r>
              <w:rPr>
                <w:rFonts w:ascii="Arial" w:cs="Arial" w:eastAsia="Arial" w:hAnsi="Arial"/>
                <w:sz w:val="18"/>
                <w:szCs w:val="18"/>
                <w:color w:val="auto"/>
              </w:rPr>
              <w:t>Excludes restricted cash.</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(4)</w:t>
            </w:r>
          </w:p>
        </w:tc>
        <w:tc>
          <w:tcPr>
            <w:tcW w:w="7140" w:type="dxa"/>
            <w:vAlign w:val="bottom"/>
            <w:gridSpan w:val="3"/>
          </w:tcPr>
          <w:p>
            <w:pPr>
              <w:ind w:left="120"/>
              <w:spacing w:after="0"/>
              <w:rPr>
                <w:sz w:val="20"/>
                <w:szCs w:val="20"/>
                <w:color w:val="auto"/>
              </w:rPr>
            </w:pPr>
            <w:r>
              <w:rPr>
                <w:rFonts w:ascii="Arial" w:cs="Arial" w:eastAsia="Arial" w:hAnsi="Arial"/>
                <w:sz w:val="18"/>
                <w:szCs w:val="18"/>
                <w:color w:val="auto"/>
              </w:rPr>
              <w:t>Excludes restricted marketable securities.</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working capital decreased $15.9 million from December 31, 2012 to March 31, 2013. The decrease was primarily due to investment of short-term marketable securities maturities into long-term marketable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March 31, 2013, cash and cash equivalents and marketable securities decreased by $1.3 million from December 31, 2012. The principal components of this net decrease was the cash used to pay for acquisition of property, plant and equipment of $2.9 million, partially offset by cash provided by our operating activities of $1.9 million.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280" w:right="33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Three Months Ended</w:t>
            </w: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2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(18,223)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(3,447)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(6,841)</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Effect of exchange rates on cash and cash equivalents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(25,289)</w:t>
            </w: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16,044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18,272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$ 21,780</w:t>
            </w: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provided by operating activities was $1.9 million for the three months ended March 31, 2013 compared to net cash used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activities of $18.2 million for the same period in 2012. Net cash provided for the three months ended March 31, 2013 was attributable to net losses in the period, offset by a net increase in cash caused by changes in working capital accounts, and non-cash charges for depreciation and amortization and share based compensation expense. For the three months ended March 31, 2012, net cash used by operating activities was primarily related to net losses for the period, along with decreases in cash caused by a reduction in accounts payable, and increases in accounts receivable, inventories, and prepaid and other assets. These were partially offset by non-cash charges for impairments of goodwill and intangibles, depreciation and amortization, and share based compensation expense, and an increase in accrued expenses.</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three months ended March 31, 2013 was $3.5 million compared to $6.8 million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2012. Cash used in investing activities during the three months ended March 31, 2013 was related to purchases of property, plant, and equipment for approximately $2.9 million, and net purchases of marketable securities of $595,000. Cash used in investing activities during the same period in 2012 was primarily related to net purchases of marketable securities of $5.7 million, and purchases of property, plant, and equipment for approximately $1.2 million.</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during the three months ended March 31, 2013 was $3.9 million compared to cash used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$240,000 during the same period in 2012. Net cash provided by financing activities in 2013 was primarily related to proceeds received from borrowing on our margin credit facility, partially offset by principal repayments and restricted cash on our margin credit facility borrowings, and payroll taxes paid on behalf of employees for restricted stock units which vested during the period. Net cash used in financing activities in 2012 was primarily related to payroll taxes paid on behalf of employees for restricted stock units which vested during the period and principal payments for capital lease obligations.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expect to incur ongoing professional fees and expenses to defend litigation filed against us or related to our products, which litigation is discussed in Note 9 to our condensed consolidated financial statements included in this report. These costs cannot be estimated at this time.</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next twelve months, we currently plan to incur approximately $5.0 million for discretionary capital expenditures, including the acquisition of additional software licenses.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believe our cash resources from cash and cash equivalents and marketable securities, together with anticipated cash flows from operations will be sufficient to meet our working capital needs for the next twelve months.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December 31, 2012,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31, 2013,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March 31, 2013, that have materially affected, or are reasonably likely to materially affect, the Company’s internal control over financial reporting.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Backe v. Novatel Wireless, Inc. et al.</w:t>
      </w:r>
      <w:r>
        <w:rPr>
          <w:rFonts w:ascii="Arial" w:cs="Arial" w:eastAsia="Arial" w:hAnsi="Arial"/>
          <w:sz w:val="18"/>
          <w:szCs w:val="18"/>
          <w:color w:val="auto"/>
        </w:rPr>
        <w:t>, United States District Court for the Southern District of California (San Diego), Case No. 3:08-cv-01689-AJB-RBB (consolidated with Case No. 3:08-cv-01714-H-RBB (U.S.D.C., S.D. Cal.)), the court, on May 1, 2013, set the final pretrial conference for October 3, 2013 and a trial date of January 6, 2014.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these matters, see Item 3, “Legal Proceedings” in our Annual Report on Form 10-K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Form 10-K for the year ended December 31,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034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Executive Officer pursuant to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Officer pursuant to Section 906 of the Sarbanes-Oxley Act of 2002.</w:t>
            </w:r>
          </w:p>
        </w:tc>
      </w:tr>
    </w:tbl>
    <w:p>
      <w:pPr>
        <w:spacing w:after="0" w:line="102" w:lineRule="exact"/>
        <w:rPr>
          <w:sz w:val="20"/>
          <w:szCs w:val="20"/>
          <w:color w:val="auto"/>
        </w:rPr>
      </w:pPr>
    </w:p>
    <w:p>
      <w:pPr>
        <w:ind w:left="1080" w:right="60" w:hanging="1072"/>
        <w:spacing w:after="0" w:line="298"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Quarterly Report on Form 10-Q for the quarter ended March 31, 2013 formatted in Extensible Business Reporting Language (XBRL): (i) Condensed Consolidated Balance Sheets; (ii) Condensed Consolidated Statements of Operations; (iii) Condensed Consolidated Statements of Comprehensive Income (Loss); (iv) Condensed Consolidated Statements of Cash Flows; and (v) the Notes to Condensed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ind w:left="5920"/>
        <w:spacing w:after="0"/>
        <w:tabs>
          <w:tab w:leader="none" w:pos="6620" w:val="left"/>
        </w:tabs>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Peter Leparulo</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219" w:lineRule="exact"/>
        <w:rPr>
          <w:sz w:val="20"/>
          <w:szCs w:val="20"/>
          <w:color w:val="auto"/>
        </w:rPr>
      </w:pPr>
    </w:p>
    <w:p>
      <w:pPr>
        <w:ind w:left="5920"/>
        <w:spacing w:after="0"/>
        <w:tabs>
          <w:tab w:leader="none" w:pos="6660" w:val="left"/>
        </w:tabs>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Kenneth Leddon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May 9, 2013</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Peter Leparulo</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Chairman and Chief Executive Officer</w:t>
            </w:r>
          </w:p>
        </w:tc>
      </w:tr>
    </w:tbl>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May 9,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Kenneth Leddon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Senior Vice President and Chief Financial Officer</w:t>
            </w:r>
          </w:p>
        </w:tc>
      </w:tr>
    </w:tbl>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 Peter Leparulo, Chairman and Chief Executive Officer of Novatel Wireless, Inc. (Company), do hereby certify, pursuant to 18 U.S.C. Section 1350, as adopted pursuant to Section 906 of the Sarbanes-Oxley Act of 2002, that to the best of my knowledge:</w:t>
      </w:r>
    </w:p>
    <w:p>
      <w:pPr>
        <w:spacing w:after="0" w:line="172" w:lineRule="exact"/>
        <w:rPr>
          <w:sz w:val="20"/>
          <w:szCs w:val="20"/>
          <w:color w:val="auto"/>
        </w:rPr>
      </w:pPr>
    </w:p>
    <w:p>
      <w:pPr>
        <w:ind w:left="900" w:right="7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2013 (Report) fully complies with the requirements of Section 13(a) or 15(d) of the Securities Exchange Act of 1934; and</w:t>
      </w:r>
    </w:p>
    <w:p>
      <w:pPr>
        <w:spacing w:after="0" w:line="172"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5440" w:val="left"/>
          <w:tab w:leader="none" w:pos="582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10795</wp:posOffset>
            </wp:positionV>
            <wp:extent cx="37820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Peter Leparulo</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 Kenneth Leddon, Senior Vice President and Chief Financial Officer of Novatel Wireless, Inc. (Company), do hereby certify, pursuant to 18 U.S.C.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05" w:lineRule="exact"/>
        <w:rPr>
          <w:sz w:val="20"/>
          <w:szCs w:val="20"/>
          <w:color w:val="auto"/>
        </w:rPr>
      </w:pPr>
    </w:p>
    <w:p>
      <w:pPr>
        <w:ind w:left="900" w:right="7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2013 (Report) fully complies with the requirements of Section 13(a) or 15(d) of the Securities Exchange Act of 1934; and</w:t>
      </w:r>
    </w:p>
    <w:p>
      <w:pPr>
        <w:spacing w:after="0" w:line="172"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7180" w:val="left"/>
          <w:tab w:leader="none" w:pos="758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Kenneth Leddon</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Senior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7"/>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0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2019-12-06T16:24:34Z</dcterms:created>
  <dcterms:modified xsi:type="dcterms:W3CDTF">2019-12-06T16:24:34Z</dcterms:modified>
</cp:coreProperties>
</file>