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jpeg" ContentType="image/jpeg"/>
  <Override PartName="/word/media/image18.jpeg" ContentType="image/jpeg"/>
  <Override PartName="/word/media/image17.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
        <w:ind w:left="0" w:right="0" w:firstLine="720"/>
        <w:jc w:val="left"/>
        <w:rPr>
          <w:caps w:val="false"/>
          <w:smallCaps w:val="false"/>
        </w:rPr>
      </w:pPr>
      <w:bookmarkStart w:id="0" w:name="inseego_8k.htm"/>
      <w:bookmarkStart w:id="1" w:name="ksinseego_8k"/>
      <w:bookmarkEnd w:id="0"/>
      <w:bookmarkEnd w:id="1"/>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UNITED STATES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SECURITIES AND EXCHANGE COMMISSION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Washington, D.C. 20549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FORM </w:t>
      </w:r>
      <w:bookmarkStart w:id="2" w:name="xdx_900_edei--DocumentType_c20260507__20"/>
      <w:bookmarkEnd w:id="2"/>
      <w:r>
        <w:rPr>
          <w:rFonts w:ascii="Times New Roman;Times;Serif" w:hAnsi="Times New Roman;Times;Serif"/>
          <w:b/>
          <w:i w:val="false"/>
          <w:caps w:val="false"/>
          <w:smallCaps w:val="false"/>
          <w:sz w:val="28"/>
        </w:rPr>
        <w:t xml:space="preserve">8-K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CURRENT REPORT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E_edei--DocumentPeriodEndDate_c202"/>
      <w:bookmarkEnd w:id="3"/>
      <w:r>
        <w:rPr>
          <w:rFonts w:ascii="Times New Roman;Times;Serif" w:hAnsi="Times New Roman;Times;Serif"/>
          <w:b/>
          <w:i w:val="false"/>
          <w:caps w:val="false"/>
          <w:smallCaps w:val="false"/>
          <w:sz w:val="20"/>
        </w:rPr>
        <w:t>May 7,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120" w:after="0"/>
        <w:ind w:left="120" w:right="120" w:hanging="0"/>
        <w:jc w:val="center"/>
        <w:rPr>
          <w:rFonts w:ascii="Times New Roman;Times;Serif" w:hAnsi="Times New Roman;Times;Serif"/>
          <w:b/>
          <w:i w:val="false"/>
          <w:caps w:val="false"/>
          <w:smallCaps w:val="false"/>
          <w:sz w:val="28"/>
        </w:rPr>
      </w:pPr>
      <w:bookmarkStart w:id="4" w:name="xdx_90C_edei--EntityRegistrantName_c2026"/>
      <w:bookmarkEnd w:id="4"/>
      <w:r>
        <w:rPr>
          <w:rFonts w:ascii="Times New Roman;Times;Serif" w:hAnsi="Times New Roman;Times;Serif"/>
          <w:b/>
          <w:i w:val="false"/>
          <w:caps w:val="false"/>
          <w:smallCaps w:val="false"/>
          <w:sz w:val="28"/>
        </w:rPr>
        <w:t xml:space="preserve">INSEEGO CORP.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6030" w:type="dxa"/>
        <w:jc w:val="left"/>
        <w:tblInd w:w="0" w:type="dxa"/>
        <w:tblLayout w:type="fixed"/>
        <w:tblCellMar>
          <w:top w:w="0" w:type="dxa"/>
          <w:left w:w="0" w:type="dxa"/>
          <w:bottom w:w="0" w:type="dxa"/>
          <w:right w:w="0" w:type="dxa"/>
        </w:tblCellMar>
      </w:tblPr>
      <w:tblGrid>
        <w:gridCol w:w="2165"/>
        <w:gridCol w:w="60"/>
        <w:gridCol w:w="2210"/>
        <w:gridCol w:w="60"/>
        <w:gridCol w:w="1535"/>
      </w:tblGrid>
      <w:tr>
        <w:trPr/>
        <w:tc>
          <w:tcPr>
            <w:tcW w:w="2165" w:type="dxa"/>
            <w:tcBorders/>
            <w:vAlign w:val="center"/>
          </w:tcPr>
          <w:p>
            <w:pPr>
              <w:pStyle w:val="TableContents"/>
              <w:bidi w:val="0"/>
              <w:spacing w:before="0" w:after="283"/>
              <w:jc w:val="center"/>
              <w:rPr>
                <w:b/>
                <w:sz w:val="20"/>
              </w:rPr>
            </w:pPr>
            <w:bookmarkStart w:id="5" w:name="xdx_903_edei--EntityIncorporationStateCo"/>
            <w:bookmarkEnd w:id="5"/>
            <w:r>
              <w:rPr>
                <w:b/>
                <w:sz w:val="20"/>
              </w:rPr>
              <w:t>Delaware</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b/>
                <w:sz w:val="20"/>
              </w:rPr>
            </w:pPr>
            <w:bookmarkStart w:id="6" w:name="xdx_907_edei--EntityFileNumber_c20260507"/>
            <w:bookmarkEnd w:id="6"/>
            <w:r>
              <w:rPr>
                <w:b/>
                <w:sz w:val="20"/>
              </w:rPr>
              <w:t>001-38358</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b/>
                <w:sz w:val="20"/>
              </w:rPr>
            </w:pPr>
            <w:bookmarkStart w:id="7" w:name="xdx_903_edei--EntityTaxIdentificationNum"/>
            <w:bookmarkEnd w:id="7"/>
            <w:r>
              <w:rPr>
                <w:b/>
                <w:sz w:val="20"/>
              </w:rPr>
              <w:t>81-3377646</w:t>
            </w:r>
          </w:p>
        </w:tc>
      </w:tr>
      <w:tr>
        <w:trPr/>
        <w:tc>
          <w:tcPr>
            <w:tcW w:w="216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2_edei--EntityAddressAddressLine1_"/>
      <w:bookmarkEnd w:id="8"/>
      <w:r>
        <w:rPr>
          <w:rFonts w:ascii="Times New Roman;Times;Serif" w:hAnsi="Times New Roman;Times;Serif"/>
          <w:b/>
          <w:i w:val="false"/>
          <w:caps w:val="false"/>
          <w:smallCaps w:val="false"/>
          <w:sz w:val="20"/>
        </w:rPr>
        <w:t xml:space="preserve">9710 Scranton Road, </w:t>
      </w:r>
      <w:bookmarkStart w:id="9" w:name="xdx_902_edei--EntityAddressAddressLine2_"/>
      <w:bookmarkEnd w:id="9"/>
      <w:r>
        <w:rPr>
          <w:rFonts w:ascii="Times New Roman;Times;Serif" w:hAnsi="Times New Roman;Times;Serif"/>
          <w:b/>
          <w:i w:val="false"/>
          <w:caps w:val="false"/>
          <w:smallCaps w:val="false"/>
          <w:sz w:val="20"/>
        </w:rPr>
        <w:t>Suite 200</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xdx_90E_edei--EntityAddressCityOrTown_c2"/>
      <w:bookmarkEnd w:id="10"/>
      <w:r>
        <w:rPr>
          <w:rFonts w:ascii="Times New Roman;Times;Serif" w:hAnsi="Times New Roman;Times;Serif"/>
          <w:b/>
          <w:i w:val="false"/>
          <w:caps w:val="false"/>
          <w:smallCaps w:val="false"/>
          <w:sz w:val="20"/>
        </w:rPr>
        <w:t xml:space="preserve">San Diego, </w:t>
      </w:r>
      <w:bookmarkStart w:id="11" w:name="xdx_907_edei--EntityAddressStateOrProvin"/>
      <w:bookmarkEnd w:id="11"/>
      <w:r>
        <w:rPr>
          <w:rFonts w:ascii="Times New Roman;Times;Serif" w:hAnsi="Times New Roman;Times;Serif"/>
          <w:b/>
          <w:i w:val="false"/>
          <w:caps w:val="false"/>
          <w:smallCaps w:val="false"/>
          <w:sz w:val="20"/>
        </w:rPr>
        <w:t xml:space="preserve">California </w:t>
      </w:r>
      <w:bookmarkStart w:id="12" w:name="xdx_903_edei--EntityAddressPostalZipCode"/>
      <w:bookmarkEnd w:id="12"/>
      <w:r>
        <w:rPr>
          <w:rFonts w:ascii="Times New Roman;Times;Serif" w:hAnsi="Times New Roman;Times;Serif"/>
          <w:b/>
          <w:i w:val="false"/>
          <w:caps w:val="false"/>
          <w:smallCaps w:val="false"/>
          <w:sz w:val="20"/>
        </w:rPr>
        <w:t>92121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(Address of principal executive offices) (Zip Code)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t>
      </w:r>
      <w:bookmarkStart w:id="13" w:name="xdx_907_edei--CityAreaCode_c20260507__20"/>
      <w:bookmarkEnd w:id="13"/>
      <w:r>
        <w:rPr>
          <w:rFonts w:ascii="Times New Roman;Times;Serif" w:hAnsi="Times New Roman;Times;Serif"/>
          <w:b/>
          <w:i w:val="false"/>
          <w:caps w:val="false"/>
          <w:smallCaps w:val="false"/>
          <w:sz w:val="20"/>
        </w:rPr>
        <w:t>858)</w:t>
      </w:r>
      <w:r>
        <w:rPr>
          <w:rFonts w:ascii="Times New Roman;Times;Serif" w:hAnsi="Times New Roman;Times;Serif"/>
          <w:b w:val="false"/>
          <w:i w:val="false"/>
          <w:caps w:val="false"/>
          <w:smallCaps w:val="false"/>
          <w:sz w:val="20"/>
        </w:rPr>
        <w:t xml:space="preserve"> </w:t>
      </w:r>
      <w:bookmarkStart w:id="14" w:name="xdx_90B_edei--LocalPhoneNumber_c20260507"/>
      <w:bookmarkEnd w:id="14"/>
      <w:r>
        <w:rPr>
          <w:rFonts w:ascii="Times New Roman;Times;Serif" w:hAnsi="Times New Roman;Times;Serif"/>
          <w:b/>
          <w:i w:val="false"/>
          <w:caps w:val="false"/>
          <w:smallCaps w:val="false"/>
          <w:sz w:val="20"/>
        </w:rPr>
        <w:t>812-3400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85" w:type="dxa"/>
        <w:jc w:val="left"/>
        <w:tblInd w:w="0" w:type="dxa"/>
        <w:tblLayout w:type="fixed"/>
        <w:tblCellMar>
          <w:top w:w="0" w:type="dxa"/>
          <w:left w:w="0" w:type="dxa"/>
          <w:bottom w:w="0" w:type="dxa"/>
          <w:right w:w="0" w:type="dxa"/>
        </w:tblCellMar>
      </w:tblPr>
      <w:tblGrid>
        <w:gridCol w:w="245"/>
        <w:gridCol w:w="7340"/>
      </w:tblGrid>
      <w:tr>
        <w:trPr/>
        <w:tc>
          <w:tcPr>
            <w:tcW w:w="245" w:type="dxa"/>
            <w:tcBorders/>
            <w:vAlign w:val="center"/>
          </w:tcPr>
          <w:p>
            <w:pPr>
              <w:pStyle w:val="TableContents"/>
              <w:bidi w:val="0"/>
              <w:spacing w:before="0" w:after="283"/>
              <w:jc w:val="left"/>
              <w:rPr/>
            </w:pPr>
            <w:bookmarkStart w:id="15" w:name="xdx_906_edei--WrittenCommunications_c202"/>
            <w:bookmarkEnd w:id="15"/>
            <w:r>
              <w:rPr/>
              <w:t>☐</w:t>
            </w:r>
          </w:p>
        </w:tc>
        <w:tc>
          <w:tcPr>
            <w:tcW w:w="7340" w:type="dxa"/>
            <w:tcBorders/>
            <w:vAlign w:val="center"/>
          </w:tcPr>
          <w:p>
            <w:pPr>
              <w:pStyle w:val="TableContents"/>
              <w:bidi w:val="0"/>
              <w:spacing w:before="0" w:after="283"/>
              <w:jc w:val="left"/>
              <w:rPr>
                <w:sz w:val="20"/>
              </w:rPr>
            </w:pPr>
            <w:r>
              <w:rPr>
                <w:sz w:val="20"/>
              </w:rPr>
              <w:t xml:space="preserve">Written communications pursuant to Rule 425 under the Securities Act (17 CFR 230.425) </w:t>
            </w:r>
          </w:p>
        </w:tc>
      </w:tr>
    </w:tbl>
    <w:p>
      <w:pPr>
        <w:pStyle w:val="TextBody"/>
        <w:bidi w:val="0"/>
        <w:spacing w:before="0" w:after="0"/>
        <w:ind w:left="0" w:right="0" w:hanging="0"/>
        <w:jc w:val="left"/>
        <w:rPr>
          <w:caps w:val="false"/>
          <w:smallCaps w:val="false"/>
        </w:rPr>
      </w:pPr>
      <w:r>
        <w:rPr>
          <w:caps w:val="false"/>
          <w:smallCaps w:val="false"/>
        </w:rPr>
        <w:t> </w:t>
      </w:r>
    </w:p>
    <w:tbl>
      <w:tblPr>
        <w:tblW w:w="7615" w:type="dxa"/>
        <w:jc w:val="left"/>
        <w:tblInd w:w="0" w:type="dxa"/>
        <w:tblLayout w:type="fixed"/>
        <w:tblCellMar>
          <w:top w:w="0" w:type="dxa"/>
          <w:left w:w="0" w:type="dxa"/>
          <w:bottom w:w="0" w:type="dxa"/>
          <w:right w:w="0" w:type="dxa"/>
        </w:tblCellMar>
      </w:tblPr>
      <w:tblGrid>
        <w:gridCol w:w="245"/>
        <w:gridCol w:w="7370"/>
      </w:tblGrid>
      <w:tr>
        <w:trPr/>
        <w:tc>
          <w:tcPr>
            <w:tcW w:w="245" w:type="dxa"/>
            <w:tcBorders/>
            <w:vAlign w:val="center"/>
          </w:tcPr>
          <w:p>
            <w:pPr>
              <w:pStyle w:val="TableContents"/>
              <w:bidi w:val="0"/>
              <w:spacing w:before="0" w:after="283"/>
              <w:jc w:val="left"/>
              <w:rPr/>
            </w:pPr>
            <w:bookmarkStart w:id="16" w:name="xdx_905_edei--SolicitingMaterial_c202605"/>
            <w:bookmarkEnd w:id="16"/>
            <w:r>
              <w:rPr/>
              <w:t>☐</w:t>
            </w:r>
          </w:p>
        </w:tc>
        <w:tc>
          <w:tcPr>
            <w:tcW w:w="7370" w:type="dxa"/>
            <w:tcBorders/>
            <w:vAlign w:val="center"/>
          </w:tcPr>
          <w:p>
            <w:pPr>
              <w:pStyle w:val="TableContents"/>
              <w:bidi w:val="0"/>
              <w:spacing w:before="0" w:after="283"/>
              <w:jc w:val="left"/>
              <w:rPr>
                <w:sz w:val="20"/>
              </w:rPr>
            </w:pPr>
            <w:r>
              <w:rPr>
                <w:sz w:val="20"/>
              </w:rPr>
              <w:t xml:space="preserve">Soliciting material pursuant to Rule 14a-12 under the Exchange Act (17 CFR 240.14a-12) </w:t>
            </w:r>
          </w:p>
        </w:tc>
      </w:tr>
    </w:tbl>
    <w:p>
      <w:pPr>
        <w:pStyle w:val="TextBody"/>
        <w:bidi w:val="0"/>
        <w:spacing w:before="0" w:after="0"/>
        <w:ind w:left="0" w:right="0" w:hanging="0"/>
        <w:jc w:val="left"/>
        <w:rPr>
          <w:caps w:val="false"/>
          <w:smallCaps w:val="false"/>
        </w:rPr>
      </w:pPr>
      <w:r>
        <w:rPr>
          <w:caps w:val="false"/>
          <w:smallCaps w:val="false"/>
        </w:rPr>
        <w:t> </w:t>
      </w:r>
    </w:p>
    <w:tbl>
      <w:tblPr>
        <w:tblW w:w="9355" w:type="dxa"/>
        <w:jc w:val="left"/>
        <w:tblInd w:w="0" w:type="dxa"/>
        <w:tblLayout w:type="fixed"/>
        <w:tblCellMar>
          <w:top w:w="0" w:type="dxa"/>
          <w:left w:w="0" w:type="dxa"/>
          <w:bottom w:w="0" w:type="dxa"/>
          <w:right w:w="0" w:type="dxa"/>
        </w:tblCellMar>
      </w:tblPr>
      <w:tblGrid>
        <w:gridCol w:w="245"/>
        <w:gridCol w:w="9110"/>
      </w:tblGrid>
      <w:tr>
        <w:trPr/>
        <w:tc>
          <w:tcPr>
            <w:tcW w:w="245" w:type="dxa"/>
            <w:tcBorders/>
            <w:vAlign w:val="center"/>
          </w:tcPr>
          <w:p>
            <w:pPr>
              <w:pStyle w:val="TableContents"/>
              <w:bidi w:val="0"/>
              <w:spacing w:before="0" w:after="283"/>
              <w:jc w:val="left"/>
              <w:rPr/>
            </w:pPr>
            <w:bookmarkStart w:id="17" w:name="xdx_907_edei--PreCommencementTenderOffer"/>
            <w:bookmarkEnd w:id="17"/>
            <w:r>
              <w:rPr/>
              <w:t>☐</w:t>
            </w:r>
          </w:p>
        </w:tc>
        <w:tc>
          <w:tcPr>
            <w:tcW w:w="9110" w:type="dxa"/>
            <w:tcBorders/>
            <w:vAlign w:val="center"/>
          </w:tcPr>
          <w:p>
            <w:pPr>
              <w:pStyle w:val="TableContents"/>
              <w:bidi w:val="0"/>
              <w:spacing w:before="0" w:after="283"/>
              <w:jc w:val="left"/>
              <w:rPr>
                <w:sz w:val="20"/>
              </w:rPr>
            </w:pPr>
            <w:r>
              <w:rPr>
                <w:sz w:val="20"/>
              </w:rPr>
              <w:t xml:space="preserve">Pre-commencement communications pursuant to Rule 14d-2(b) under the Exchange Act (17 CFR 240.14d-2(b)) </w:t>
            </w:r>
          </w:p>
        </w:tc>
      </w:tr>
    </w:tbl>
    <w:p>
      <w:pPr>
        <w:pStyle w:val="TextBody"/>
        <w:bidi w:val="0"/>
        <w:spacing w:before="0" w:after="0"/>
        <w:ind w:left="0" w:right="0" w:hanging="0"/>
        <w:jc w:val="left"/>
        <w:rPr>
          <w:caps w:val="false"/>
          <w:smallCaps w:val="false"/>
        </w:rPr>
      </w:pPr>
      <w:r>
        <w:rPr>
          <w:caps w:val="false"/>
          <w:smallCaps w:val="false"/>
        </w:rPr>
        <w:t> </w:t>
      </w:r>
    </w:p>
    <w:tbl>
      <w:tblPr>
        <w:tblW w:w="9295" w:type="dxa"/>
        <w:jc w:val="left"/>
        <w:tblInd w:w="0" w:type="dxa"/>
        <w:tblLayout w:type="fixed"/>
        <w:tblCellMar>
          <w:top w:w="0" w:type="dxa"/>
          <w:left w:w="0" w:type="dxa"/>
          <w:bottom w:w="0" w:type="dxa"/>
          <w:right w:w="0" w:type="dxa"/>
        </w:tblCellMar>
      </w:tblPr>
      <w:tblGrid>
        <w:gridCol w:w="245"/>
        <w:gridCol w:w="9050"/>
      </w:tblGrid>
      <w:tr>
        <w:trPr/>
        <w:tc>
          <w:tcPr>
            <w:tcW w:w="245" w:type="dxa"/>
            <w:tcBorders/>
            <w:vAlign w:val="center"/>
          </w:tcPr>
          <w:p>
            <w:pPr>
              <w:pStyle w:val="TableContents"/>
              <w:bidi w:val="0"/>
              <w:spacing w:before="0" w:after="283"/>
              <w:jc w:val="left"/>
              <w:rPr/>
            </w:pPr>
            <w:bookmarkStart w:id="18" w:name="xdx_905_edei--PreCommencementIssuerTende"/>
            <w:bookmarkEnd w:id="18"/>
            <w:r>
              <w:rPr/>
              <w:t>☐</w:t>
            </w:r>
          </w:p>
        </w:tc>
        <w:tc>
          <w:tcPr>
            <w:tcW w:w="9050" w:type="dxa"/>
            <w:tcBorders/>
            <w:vAlign w:val="center"/>
          </w:tcPr>
          <w:p>
            <w:pPr>
              <w:pStyle w:val="TableContents"/>
              <w:bidi w:val="0"/>
              <w:spacing w:before="0" w:after="283"/>
              <w:jc w:val="left"/>
              <w:rPr>
                <w:sz w:val="20"/>
              </w:rPr>
            </w:pPr>
            <w:r>
              <w:rPr>
                <w:sz w:val="20"/>
              </w:rPr>
              <w:t xml:space="preserve">Pre-commencement communications pursuant to Rule 13e-4(c) under the Exchange Act (17 CFR 240.13e-4(c)) </w:t>
            </w:r>
          </w:p>
        </w:tc>
      </w:tr>
    </w:tbl>
    <w:p>
      <w:pPr>
        <w:pStyle w:val="TextBody"/>
        <w:bidi w:val="0"/>
        <w:spacing w:before="0" w:after="0"/>
        <w:ind w:left="0" w:right="0" w:hanging="0"/>
        <w:jc w:val="left"/>
        <w:rPr>
          <w:caps w:val="false"/>
          <w:smallCaps w:val="false"/>
        </w:rPr>
      </w:pPr>
      <w:r>
        <w:rPr>
          <w:caps w:val="false"/>
          <w:smallCaps w:val="false"/>
        </w:rPr>
        <w:t> </w:t>
      </w:r>
    </w:p>
    <w:tbl>
      <w:tblPr>
        <w:tblW w:w="8805" w:type="dxa"/>
        <w:jc w:val="left"/>
        <w:tblInd w:w="0" w:type="dxa"/>
        <w:tblLayout w:type="fixed"/>
        <w:tblCellMar>
          <w:top w:w="0" w:type="dxa"/>
          <w:left w:w="0" w:type="dxa"/>
          <w:bottom w:w="28" w:type="dxa"/>
          <w:right w:w="0" w:type="dxa"/>
        </w:tblCellMar>
      </w:tblPr>
      <w:tblGrid>
        <w:gridCol w:w="3500"/>
        <w:gridCol w:w="1610"/>
        <w:gridCol w:w="3695"/>
      </w:tblGrid>
      <w:tr>
        <w:trPr/>
        <w:tc>
          <w:tcPr>
            <w:tcW w:w="3500" w:type="dxa"/>
            <w:tcBorders>
              <w:bottom w:val="single" w:sz="8" w:space="0" w:color="000000"/>
            </w:tcBorders>
            <w:vAlign w:val="center"/>
          </w:tcPr>
          <w:p>
            <w:pPr>
              <w:pStyle w:val="TableContents"/>
              <w:bidi w:val="0"/>
              <w:spacing w:before="0" w:after="283"/>
              <w:jc w:val="center"/>
              <w:rPr>
                <w:b/>
                <w:sz w:val="20"/>
              </w:rPr>
            </w:pPr>
            <w:r>
              <w:rPr>
                <w:b/>
                <w:sz w:val="20"/>
              </w:rPr>
              <w:t>Title of each class</w:t>
            </w:r>
          </w:p>
        </w:tc>
        <w:tc>
          <w:tcPr>
            <w:tcW w:w="1610" w:type="dxa"/>
            <w:tcBorders>
              <w:bottom w:val="single" w:sz="8" w:space="0" w:color="000000"/>
            </w:tcBorders>
            <w:vAlign w:val="center"/>
          </w:tcPr>
          <w:p>
            <w:pPr>
              <w:pStyle w:val="TableContents"/>
              <w:bidi w:val="0"/>
              <w:spacing w:before="0" w:after="283"/>
              <w:jc w:val="center"/>
              <w:rPr>
                <w:b/>
                <w:sz w:val="20"/>
              </w:rPr>
            </w:pPr>
            <w:r>
              <w:rPr>
                <w:b/>
                <w:sz w:val="20"/>
              </w:rPr>
              <w:t>Trading Symbol(s)</w:t>
            </w:r>
          </w:p>
        </w:tc>
        <w:tc>
          <w:tcPr>
            <w:tcW w:w="3695" w:type="dxa"/>
            <w:tcBorders>
              <w:bottom w:val="single" w:sz="8"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3500" w:type="dxa"/>
            <w:tcBorders/>
            <w:tcMar>
              <w:bottom w:w="0" w:type="dxa"/>
            </w:tcMar>
            <w:vAlign w:val="center"/>
          </w:tcPr>
          <w:p>
            <w:pPr>
              <w:pStyle w:val="TableContents"/>
              <w:bidi w:val="0"/>
              <w:spacing w:before="0" w:after="283"/>
              <w:jc w:val="center"/>
              <w:rPr>
                <w:sz w:val="20"/>
              </w:rPr>
            </w:pPr>
            <w:bookmarkStart w:id="19" w:name="xdx_90F_edei--Security12bTitle_c20260507"/>
            <w:bookmarkEnd w:id="19"/>
            <w:r>
              <w:rPr>
                <w:sz w:val="20"/>
              </w:rPr>
              <w:t>Common Stock, par value $0.001 per share</w:t>
            </w:r>
          </w:p>
        </w:tc>
        <w:tc>
          <w:tcPr>
            <w:tcW w:w="1610" w:type="dxa"/>
            <w:tcBorders/>
            <w:tcMar>
              <w:bottom w:w="0" w:type="dxa"/>
            </w:tcMar>
            <w:vAlign w:val="center"/>
          </w:tcPr>
          <w:p>
            <w:pPr>
              <w:pStyle w:val="TableContents"/>
              <w:bidi w:val="0"/>
              <w:spacing w:before="0" w:after="283"/>
              <w:jc w:val="center"/>
              <w:rPr>
                <w:sz w:val="20"/>
              </w:rPr>
            </w:pPr>
            <w:bookmarkStart w:id="20" w:name="xdx_90E_edei--TradingSymbol_c20260507__2"/>
            <w:bookmarkEnd w:id="20"/>
            <w:r>
              <w:rPr>
                <w:sz w:val="20"/>
              </w:rPr>
              <w:t>INSG</w:t>
            </w:r>
          </w:p>
        </w:tc>
        <w:tc>
          <w:tcPr>
            <w:tcW w:w="3695" w:type="dxa"/>
            <w:tcBorders/>
            <w:tcMar>
              <w:bottom w:w="0" w:type="dxa"/>
            </w:tcMar>
            <w:vAlign w:val="center"/>
          </w:tcPr>
          <w:p>
            <w:pPr>
              <w:pStyle w:val="TableContents"/>
              <w:bidi w:val="0"/>
              <w:spacing w:before="0" w:after="283"/>
              <w:jc w:val="center"/>
              <w:rPr>
                <w:sz w:val="20"/>
              </w:rPr>
            </w:pPr>
            <w:bookmarkStart w:id="21" w:name="xdx_903_edei--SecurityExchangeName_c2026"/>
            <w:bookmarkEnd w:id="21"/>
            <w:r>
              <w:rPr>
                <w:sz w:val="20"/>
              </w:rPr>
              <w:t>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1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855" w:type="dxa"/>
        <w:jc w:val="left"/>
        <w:tblInd w:w="0" w:type="dxa"/>
        <w:tblLayout w:type="fixed"/>
        <w:tblCellMar>
          <w:top w:w="0" w:type="dxa"/>
          <w:left w:w="0" w:type="dxa"/>
          <w:bottom w:w="0" w:type="dxa"/>
          <w:right w:w="0" w:type="dxa"/>
        </w:tblCellMar>
      </w:tblPr>
      <w:tblGrid>
        <w:gridCol w:w="875"/>
        <w:gridCol w:w="3980"/>
      </w:tblGrid>
      <w:tr>
        <w:trPr/>
        <w:tc>
          <w:tcPr>
            <w:tcW w:w="875" w:type="dxa"/>
            <w:tcBorders/>
            <w:vAlign w:val="center"/>
          </w:tcPr>
          <w:p>
            <w:pPr>
              <w:pStyle w:val="TableContents"/>
              <w:bidi w:val="0"/>
              <w:spacing w:before="0" w:after="283"/>
              <w:jc w:val="left"/>
              <w:rPr>
                <w:b/>
                <w:sz w:val="20"/>
              </w:rPr>
            </w:pPr>
            <w:r>
              <w:rPr>
                <w:b/>
                <w:sz w:val="20"/>
              </w:rPr>
              <w:t>Item 2.02.</w:t>
            </w:r>
          </w:p>
        </w:tc>
        <w:tc>
          <w:tcPr>
            <w:tcW w:w="3980" w:type="dxa"/>
            <w:tcBorders/>
            <w:vAlign w:val="center"/>
          </w:tcPr>
          <w:p>
            <w:pPr>
              <w:pStyle w:val="TableContents"/>
              <w:bidi w:val="0"/>
              <w:spacing w:before="0" w:after="283"/>
              <w:jc w:val="left"/>
              <w:rPr>
                <w:b/>
                <w:sz w:val="20"/>
              </w:rPr>
            </w:pPr>
            <w:r>
              <w:rPr>
                <w:b/>
                <w:sz w:val="20"/>
              </w:rPr>
              <w:t>Results of Operations and Financial Condition.</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7, 2026, Inseego Corp. (the “Company”) issued a press release containing preliminary financial results for the quarter ended March 31, 2026. On May 7, 2026, the Company also posted an investor presentation to its website at https://investor.inseego.com/events-presentations (the “Company Earnings Presentation”). The text of the press release and Company Earnings Presentation are furnished as Exhibits 99.1 and 99.2 to this Form 8-K and incorporated herein by reference.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“Item 2.02 Results of Operations and Financial Condition” of this Current Report on Form 8-K and in Exhibit 99.1, attached hereto, is furnished and shall not be deemed “filed” for purposes of Section 18 of the Securities Exchange Act of 1934, as amended (the “Exchange Act”), or otherwise subject to the liabilities of that section. It may be incorporated by reference in a filing under the Exchange Act or the Securities Act of 1933, as amended, only if such subsequent filing specifically references such disclosure in this Form 8-K.</w:t>
      </w:r>
    </w:p>
    <w:p>
      <w:pPr>
        <w:pStyle w:val="TextBody"/>
        <w:bidi w:val="0"/>
        <w:spacing w:before="0" w:after="0"/>
        <w:ind w:left="0" w:right="0" w:firstLine="720"/>
        <w:jc w:val="left"/>
        <w:rPr>
          <w:caps w:val="false"/>
          <w:smallCaps w:val="false"/>
        </w:rPr>
      </w:pPr>
      <w:r>
        <w:rPr>
          <w:caps w:val="false"/>
          <w:smallCaps w:val="false"/>
        </w:rPr>
        <w:t> </w:t>
      </w:r>
    </w:p>
    <w:tbl>
      <w:tblPr>
        <w:tblW w:w="3835" w:type="dxa"/>
        <w:jc w:val="left"/>
        <w:tblInd w:w="0" w:type="dxa"/>
        <w:tblLayout w:type="fixed"/>
        <w:tblCellMar>
          <w:top w:w="0" w:type="dxa"/>
          <w:left w:w="0" w:type="dxa"/>
          <w:bottom w:w="0" w:type="dxa"/>
          <w:right w:w="0" w:type="dxa"/>
        </w:tblCellMar>
      </w:tblPr>
      <w:tblGrid>
        <w:gridCol w:w="875"/>
        <w:gridCol w:w="2960"/>
      </w:tblGrid>
      <w:tr>
        <w:trPr/>
        <w:tc>
          <w:tcPr>
            <w:tcW w:w="875" w:type="dxa"/>
            <w:tcBorders/>
            <w:vAlign w:val="center"/>
          </w:tcPr>
          <w:p>
            <w:pPr>
              <w:pStyle w:val="TableContents"/>
              <w:bidi w:val="0"/>
              <w:spacing w:before="0" w:after="283"/>
              <w:jc w:val="left"/>
              <w:rPr>
                <w:b/>
                <w:sz w:val="20"/>
              </w:rPr>
            </w:pPr>
            <w:r>
              <w:rPr>
                <w:b/>
                <w:sz w:val="20"/>
              </w:rPr>
              <w:t>Item 9.01.</w:t>
            </w:r>
          </w:p>
        </w:tc>
        <w:tc>
          <w:tcPr>
            <w:tcW w:w="2960" w:type="dxa"/>
            <w:tcBorders/>
            <w:vAlign w:val="center"/>
          </w:tcPr>
          <w:p>
            <w:pPr>
              <w:pStyle w:val="TableContents"/>
              <w:bidi w:val="0"/>
              <w:spacing w:before="0" w:after="283"/>
              <w:jc w:val="left"/>
              <w:rPr>
                <w:b/>
                <w:sz w:val="20"/>
              </w:rPr>
            </w:pPr>
            <w:r>
              <w:rPr>
                <w:b/>
                <w:sz w:val="20"/>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       Exhibits.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Exhibits are filed with this report:</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959"/>
        <w:gridCol w:w="9246"/>
      </w:tblGrid>
      <w:tr>
        <w:trPr/>
        <w:tc>
          <w:tcPr>
            <w:tcW w:w="959" w:type="dxa"/>
            <w:tcBorders/>
            <w:shd w:fill="FFFFFF" w:val="clear"/>
            <w:vAlign w:val="center"/>
          </w:tcPr>
          <w:p>
            <w:pPr>
              <w:pStyle w:val="TableContents"/>
              <w:bidi w:val="0"/>
              <w:spacing w:before="0" w:after="283"/>
              <w:jc w:val="left"/>
              <w:rPr>
                <w:b/>
                <w:sz w:val="20"/>
                <w:u w:val="single"/>
              </w:rPr>
            </w:pPr>
            <w:r>
              <w:rPr>
                <w:b/>
                <w:sz w:val="20"/>
                <w:u w:val="single"/>
              </w:rPr>
              <w:t>Exhibit No.</w:t>
            </w:r>
          </w:p>
        </w:tc>
        <w:tc>
          <w:tcPr>
            <w:tcW w:w="9246" w:type="dxa"/>
            <w:tcBorders/>
            <w:shd w:fill="FFFFFF" w:val="clear"/>
            <w:vAlign w:val="center"/>
          </w:tcPr>
          <w:p>
            <w:pPr>
              <w:pStyle w:val="TableContents"/>
              <w:bidi w:val="0"/>
              <w:spacing w:before="0" w:after="283"/>
              <w:jc w:val="both"/>
              <w:rPr>
                <w:b/>
                <w:sz w:val="20"/>
                <w:u w:val="single"/>
              </w:rPr>
            </w:pPr>
            <w:r>
              <w:rPr>
                <w:b/>
                <w:sz w:val="20"/>
                <w:u w:val="single"/>
              </w:rPr>
              <w:t>Description</w:t>
            </w:r>
          </w:p>
        </w:tc>
      </w:tr>
      <w:tr>
        <w:trPr/>
        <w:tc>
          <w:tcPr>
            <w:tcW w:w="959" w:type="dxa"/>
            <w:tcBorders/>
            <w:shd w:fill="FFFFFF" w:val="clear"/>
            <w:vAlign w:val="center"/>
          </w:tcPr>
          <w:p>
            <w:pPr>
              <w:pStyle w:val="TableContents"/>
              <w:bidi w:val="0"/>
              <w:spacing w:before="0" w:after="283"/>
              <w:jc w:val="left"/>
              <w:rPr>
                <w:sz w:val="20"/>
              </w:rPr>
            </w:pPr>
            <w:r>
              <w:rPr>
                <w:sz w:val="20"/>
              </w:rPr>
              <w:t>99.1</w:t>
            </w:r>
          </w:p>
        </w:tc>
        <w:tc>
          <w:tcPr>
            <w:tcW w:w="9246" w:type="dxa"/>
            <w:tcBorders/>
            <w:shd w:fill="FFFFFF" w:val="clear"/>
            <w:vAlign w:val="center"/>
          </w:tcPr>
          <w:p>
            <w:pPr>
              <w:pStyle w:val="TableContents"/>
              <w:bidi w:val="0"/>
              <w:spacing w:before="0" w:after="283"/>
              <w:jc w:val="both"/>
              <w:rPr/>
            </w:pPr>
            <w:hyperlink w:anchor="inseego_ex9901.htm">
              <w:r>
                <w:rPr>
                  <w:rStyle w:val="InternetLink"/>
                  <w:sz w:val="20"/>
                </w:rPr>
                <w:t>Press Release dated May 7, 2026, containing Inseego Corp. preliminary financial results for the quarter ended March 31, 2026</w:t>
              </w:r>
            </w:hyperlink>
          </w:p>
        </w:tc>
      </w:tr>
      <w:tr>
        <w:trPr/>
        <w:tc>
          <w:tcPr>
            <w:tcW w:w="959" w:type="dxa"/>
            <w:tcBorders/>
            <w:shd w:fill="FFFFFF" w:val="clear"/>
            <w:vAlign w:val="center"/>
          </w:tcPr>
          <w:p>
            <w:pPr>
              <w:pStyle w:val="TableContents"/>
              <w:bidi w:val="0"/>
              <w:spacing w:before="0" w:after="283"/>
              <w:jc w:val="left"/>
              <w:rPr>
                <w:sz w:val="20"/>
              </w:rPr>
            </w:pPr>
            <w:r>
              <w:rPr>
                <w:sz w:val="20"/>
              </w:rPr>
              <w:t>99.2</w:t>
            </w:r>
          </w:p>
        </w:tc>
        <w:tc>
          <w:tcPr>
            <w:tcW w:w="9246" w:type="dxa"/>
            <w:tcBorders/>
            <w:shd w:fill="FFFFFF" w:val="clear"/>
            <w:vAlign w:val="center"/>
          </w:tcPr>
          <w:p>
            <w:pPr>
              <w:pStyle w:val="TableContents"/>
              <w:bidi w:val="0"/>
              <w:spacing w:before="0" w:after="283"/>
              <w:jc w:val="both"/>
              <w:rPr/>
            </w:pPr>
            <w:hyperlink w:anchor="inseego_ex9902.htm">
              <w:r>
                <w:rPr>
                  <w:rStyle w:val="InternetLink"/>
                  <w:sz w:val="20"/>
                </w:rPr>
                <w:t>Company Earnings Presentation, dated May 7, 2026</w:t>
              </w:r>
            </w:hyperlink>
          </w:p>
        </w:tc>
      </w:tr>
      <w:tr>
        <w:trPr/>
        <w:tc>
          <w:tcPr>
            <w:tcW w:w="959" w:type="dxa"/>
            <w:tcBorders/>
            <w:shd w:fill="FFFFFF" w:val="clear"/>
            <w:vAlign w:val="center"/>
          </w:tcPr>
          <w:p>
            <w:pPr>
              <w:pStyle w:val="TableContents"/>
              <w:bidi w:val="0"/>
              <w:spacing w:before="0" w:after="283"/>
              <w:jc w:val="left"/>
              <w:rPr>
                <w:sz w:val="20"/>
              </w:rPr>
            </w:pPr>
            <w:r>
              <w:rPr>
                <w:sz w:val="20"/>
              </w:rPr>
              <w:t>104</w:t>
            </w:r>
          </w:p>
        </w:tc>
        <w:tc>
          <w:tcPr>
            <w:tcW w:w="9246" w:type="dxa"/>
            <w:tcBorders/>
            <w:shd w:fill="FFFFFF" w:val="clear"/>
            <w:vAlign w:val="center"/>
          </w:tcPr>
          <w:p>
            <w:pPr>
              <w:pStyle w:val="TableContents"/>
              <w:bidi w:val="0"/>
              <w:spacing w:before="0" w:after="283"/>
              <w:jc w:val="both"/>
              <w:rPr>
                <w:sz w:val="20"/>
              </w:rPr>
            </w:pPr>
            <w:r>
              <w:rPr>
                <w:sz w:val="20"/>
              </w:rPr>
              <w:t>Cover Page Interactive Data File (embedded within the Inline XBRL document).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SIGNATURE</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Current Report on Form 8-K to be signed on its behalf by the undersigned hereunto duly authorized.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4425" w:type="dxa"/>
        <w:jc w:val="left"/>
        <w:tblInd w:w="0" w:type="dxa"/>
        <w:tblLayout w:type="fixed"/>
        <w:tblCellMar>
          <w:top w:w="0" w:type="dxa"/>
          <w:left w:w="0" w:type="dxa"/>
          <w:bottom w:w="0" w:type="dxa"/>
          <w:right w:w="0" w:type="dxa"/>
        </w:tblCellMar>
      </w:tblPr>
      <w:tblGrid>
        <w:gridCol w:w="1820"/>
        <w:gridCol w:w="320"/>
        <w:gridCol w:w="2210"/>
        <w:gridCol w:w="75"/>
      </w:tblGrid>
      <w:tr>
        <w:trPr/>
        <w:tc>
          <w:tcPr>
            <w:tcW w:w="1820" w:type="dxa"/>
            <w:tcBorders/>
            <w:vAlign w:val="center"/>
          </w:tcPr>
          <w:p>
            <w:pPr>
              <w:pStyle w:val="TableContents"/>
              <w:bidi w:val="0"/>
              <w:spacing w:before="0" w:after="283"/>
              <w:jc w:val="left"/>
              <w:rPr/>
            </w:pPr>
            <w:r>
              <w:rPr/>
              <w:t> </w:t>
            </w:r>
          </w:p>
        </w:tc>
        <w:tc>
          <w:tcPr>
            <w:tcW w:w="2530" w:type="dxa"/>
            <w:gridSpan w:val="2"/>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INSEEGO CORP.</w:t>
            </w:r>
          </w:p>
        </w:tc>
        <w:tc>
          <w:tcPr>
            <w:tcW w:w="75"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2210" w:type="dxa"/>
            <w:tcBorders>
              <w:bottom w:val="single" w:sz="8" w:space="0" w:color="000000"/>
            </w:tcBorders>
            <w:tcMar>
              <w:bottom w:w="28" w:type="dxa"/>
            </w:tcMar>
            <w:vAlign w:val="center"/>
          </w:tcPr>
          <w:p>
            <w:pPr>
              <w:pStyle w:val="TableContents"/>
              <w:bidi w:val="0"/>
              <w:spacing w:before="0" w:after="283"/>
              <w:jc w:val="left"/>
              <w:rPr>
                <w:sz w:val="20"/>
              </w:rPr>
            </w:pPr>
            <w:r>
              <w:rPr>
                <w:sz w:val="20"/>
              </w:rPr>
              <w:t>/s/ Steven Gatoff</w:t>
            </w:r>
          </w:p>
        </w:tc>
        <w:tc>
          <w:tcPr>
            <w:tcW w:w="75"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left"/>
              <w:rPr/>
            </w:pPr>
            <w:r>
              <w:rPr/>
              <w:t>Steven Gatoff</w:t>
            </w:r>
          </w:p>
        </w:tc>
        <w:tc>
          <w:tcPr>
            <w:tcW w:w="75"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left"/>
              <w:rPr/>
            </w:pPr>
            <w:r>
              <w:rPr/>
              <w:t>Chief Financial Officer</w:t>
            </w:r>
          </w:p>
        </w:tc>
        <w:tc>
          <w:tcPr>
            <w:tcW w:w="75"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pPr>
            <w:r>
              <w:rPr/>
              <w:t>Date: May 7, 2026</w:t>
            </w:r>
          </w:p>
        </w:tc>
        <w:tc>
          <w:tcPr>
            <w:tcW w:w="32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3" w:name="inseego_ex9901.htm"/>
      <w:bookmarkStart w:id="24" w:name="ksinseego_ex9901"/>
      <w:bookmarkEnd w:id="23"/>
      <w:bookmarkEnd w:id="24"/>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left"/>
        <w:rPr>
          <w:caps w:val="false"/>
          <w:smallCaps w:val="false"/>
        </w:rPr>
      </w:pPr>
      <w:r>
        <w:rPr>
          <w:caps w:val="false"/>
          <w:smallCaps w:val="false"/>
        </w:rPr>
        <w:drawing>
          <wp:inline distT="0" distB="0" distL="0" distR="0">
            <wp:extent cx="1371600" cy="371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71600" cy="3714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Inseego Reports First Quarter 2026 Financial Results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4"/>
          <w:shd w:fill="FFFFFF" w:val="clear"/>
        </w:rPr>
      </w:pPr>
      <w:r>
        <w:rPr>
          <w:rFonts w:ascii="Times New Roman;Times;Serif" w:hAnsi="Times New Roman;Times;Serif"/>
          <w:b w:val="false"/>
          <w:i/>
          <w:caps w:val="false"/>
          <w:smallCaps w:val="false"/>
          <w:sz w:val="24"/>
          <w:shd w:fill="FFFFFF" w:val="clear"/>
        </w:rPr>
        <w:t>Q1 2026 revenue of $34.3 million</w:t>
      </w:r>
    </w:p>
    <w:p>
      <w:pPr>
        <w:pStyle w:val="TextBody"/>
        <w:bidi w:val="0"/>
        <w:spacing w:before="0" w:after="0"/>
        <w:ind w:left="0" w:right="0" w:hanging="0"/>
        <w:jc w:val="center"/>
        <w:rPr>
          <w:caps w:val="false"/>
          <w:smallCaps w:val="false"/>
          <w:shd w:fill="FFFFFF" w:val="clear"/>
        </w:rPr>
      </w:pPr>
      <w:r>
        <w:rPr>
          <w:caps w:val="false"/>
          <w:smallCaps w:val="false"/>
          <w:shd w:fill="FFFFFF" w:val="clear"/>
        </w:rPr>
        <w:t> </w:t>
      </w:r>
    </w:p>
    <w:p>
      <w:pPr>
        <w:pStyle w:val="TextBody"/>
        <w:bidi w:val="0"/>
        <w:spacing w:before="0" w:after="0"/>
        <w:ind w:left="0" w:right="0" w:hanging="0"/>
        <w:jc w:val="center"/>
        <w:rPr>
          <w:rFonts w:ascii="Times New Roman;Times;Serif" w:hAnsi="Times New Roman;Times;Serif"/>
          <w:b w:val="false"/>
          <w:i/>
          <w:caps w:val="false"/>
          <w:smallCaps w:val="false"/>
          <w:sz w:val="24"/>
          <w:shd w:fill="FFFFFF" w:val="clear"/>
        </w:rPr>
      </w:pPr>
      <w:r>
        <w:rPr>
          <w:rFonts w:ascii="Times New Roman;Times;Serif" w:hAnsi="Times New Roman;Times;Serif"/>
          <w:b w:val="false"/>
          <w:i/>
          <w:caps w:val="false"/>
          <w:smallCaps w:val="false"/>
          <w:sz w:val="24"/>
          <w:shd w:fill="FFFFFF" w:val="clear"/>
        </w:rPr>
        <w:t>Q1 2026 Adjusted EBITDA* of $1.8 million and GAAP Net Loss of $4.5 million</w:t>
      </w:r>
    </w:p>
    <w:p>
      <w:pPr>
        <w:pStyle w:val="TextBody"/>
        <w:bidi w:val="0"/>
        <w:spacing w:before="0" w:after="0"/>
        <w:ind w:left="0" w:right="0" w:hanging="0"/>
        <w:jc w:val="center"/>
        <w:rPr>
          <w:caps w:val="false"/>
          <w:smallCaps w:val="false"/>
          <w:shd w:fill="FFFFFF" w:val="clear"/>
        </w:rPr>
      </w:pPr>
      <w:r>
        <w:rPr>
          <w:caps w:val="false"/>
          <w:smallCaps w:val="false"/>
          <w:shd w:fill="FFFFFF" w:val="clear"/>
        </w:rPr>
        <w:t> </w:t>
      </w:r>
    </w:p>
    <w:p>
      <w:pPr>
        <w:pStyle w:val="TextBody"/>
        <w:bidi w:val="0"/>
        <w:spacing w:before="0" w:after="0"/>
        <w:ind w:left="0" w:right="0" w:hanging="0"/>
        <w:jc w:val="center"/>
        <w:rPr>
          <w:rFonts w:ascii="Times New Roman;Times;Serif" w:hAnsi="Times New Roman;Times;Serif"/>
          <w:b w:val="false"/>
          <w:i/>
          <w:caps w:val="false"/>
          <w:smallCaps w:val="false"/>
          <w:sz w:val="24"/>
          <w:shd w:fill="FFFFFF" w:val="clear"/>
        </w:rPr>
      </w:pPr>
      <w:r>
        <w:rPr>
          <w:rFonts w:ascii="Times New Roman;Times;Serif" w:hAnsi="Times New Roman;Times;Serif"/>
          <w:b w:val="false"/>
          <w:i/>
          <w:caps w:val="false"/>
          <w:smallCaps w:val="false"/>
          <w:sz w:val="24"/>
          <w:shd w:fill="FFFFFF" w:val="clear"/>
        </w:rPr>
        <w:t>Announced acquisition of Nokia’s Fixed Wireless Access business, expected to close Q4 2026</w:t>
      </w:r>
    </w:p>
    <w:p>
      <w:pPr>
        <w:pStyle w:val="TextBody"/>
        <w:bidi w:val="0"/>
        <w:spacing w:before="0" w:after="0"/>
        <w:ind w:left="0" w:right="0" w:hanging="0"/>
        <w:jc w:val="center"/>
        <w:rPr>
          <w:caps w:val="false"/>
          <w:smallCaps w:val="false"/>
          <w:shd w:fill="FFFFFF" w:val="clear"/>
        </w:rPr>
      </w:pPr>
      <w:r>
        <w:rPr>
          <w:caps w:val="false"/>
          <w:smallCaps w:val="false"/>
          <w:shd w:fill="FFFFFF" w:val="clea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SAN DIEGO—May 7, 2026</w:t>
      </w:r>
      <w:r>
        <w:rPr>
          <w:rFonts w:ascii="Times New Roman;Times;Serif" w:hAnsi="Times New Roman;Times;Serif"/>
          <w:b w:val="false"/>
          <w:i w:val="false"/>
          <w:caps w:val="false"/>
          <w:smallCaps w:val="false"/>
          <w:sz w:val="20"/>
        </w:rPr>
        <w:t xml:space="preserve">—Inseego Corp. (Nasdaq: INSG) (the “Company”), a leader in cloud-first wireless edge solutions, today </w:t>
      </w:r>
      <w:r>
        <w:rPr>
          <w:rFonts w:ascii="Times New Roman;Times;Serif" w:hAnsi="Times New Roman;Times;Serif"/>
          <w:b w:val="false"/>
          <w:i w:val="false"/>
          <w:caps w:val="false"/>
          <w:smallCaps w:val="false"/>
          <w:sz w:val="20"/>
          <w:shd w:fill="FFFFFF" w:val="clear"/>
        </w:rPr>
        <w:t>reported its results for the first quarter of 2026 ended March 31, 2026.</w:t>
      </w:r>
    </w:p>
    <w:p>
      <w:pPr>
        <w:pStyle w:val="TextBody"/>
        <w:bidi w:val="0"/>
        <w:spacing w:before="0" w:after="0"/>
        <w:ind w:left="0" w:right="0" w:hanging="0"/>
        <w:jc w:val="left"/>
        <w:rPr>
          <w:caps w:val="false"/>
          <w:smallCaps w:val="false"/>
          <w:shd w:fill="FFFFFF" w:val="clear"/>
        </w:rPr>
      </w:pPr>
      <w:r>
        <w:rPr>
          <w:caps w:val="false"/>
          <w:smallCaps w:val="false"/>
          <w:shd w:fill="FFFFFF" w:val="clear"/>
        </w:rPr>
        <w:t> </w:t>
      </w:r>
    </w:p>
    <w:p>
      <w:pPr>
        <w:pStyle w:val="TextBody"/>
        <w:bidi w:val="0"/>
        <w:spacing w:before="0" w:after="0"/>
        <w:ind w:left="0" w:right="0" w:hanging="0"/>
        <w:jc w:val="left"/>
        <w:rPr>
          <w:caps w:val="false"/>
          <w:smallCaps w:val="false"/>
          <w:shd w:fill="FFFFFF" w:val="clear"/>
        </w:rPr>
      </w:pPr>
      <w:r>
        <w:rPr>
          <w:caps w:val="false"/>
          <w:smallCaps w:val="false"/>
          <w:shd w:fill="FFFFFF" w:val="clear"/>
        </w:rPr>
        <w:t>“</w:t>
      </w:r>
      <w:r>
        <w:rPr>
          <w:rFonts w:ascii="Times New Roman;Times;Serif" w:hAnsi="Times New Roman;Times;Serif"/>
          <w:b w:val="false"/>
          <w:i w:val="false"/>
          <w:caps w:val="false"/>
          <w:smallCaps w:val="false"/>
          <w:sz w:val="20"/>
          <w:shd w:fill="FFFFFF" w:val="clear"/>
        </w:rPr>
        <w:t>We delivered results within guidance in Q1 and continued to execute on our strategy to further diversify our customers and product portfolio,” said Juho Sarvikas, CEO of Inseego. “As we have communicated previously, we are focused on investment in the first half of 2026, in particular for carrier ramps, product launches, and portfolio expansion. We continued to execute against this strategy in Q1, which will drive revenue and profitability expansion in the second half of the year. While our focus continues to be on organic growth and execution, I am very excited about our acquisition of Nokia’s FWA business, which will be a transformational acquisition for us, provides immediate global scale, and accelerates our strategy in a very significant way.”</w:t>
      </w:r>
    </w:p>
    <w:p>
      <w:pPr>
        <w:pStyle w:val="TextBody"/>
        <w:bidi w:val="0"/>
        <w:spacing w:before="0" w:after="0"/>
        <w:ind w:left="0" w:right="0" w:hanging="0"/>
        <w:jc w:val="left"/>
        <w:rPr>
          <w:caps w:val="false"/>
          <w:smallCaps w:val="false"/>
          <w:shd w:fill="FFFFFF" w:val="clear"/>
        </w:rPr>
      </w:pPr>
      <w:r>
        <w:rPr>
          <w:caps w:val="false"/>
          <w:smallCaps w:val="false"/>
          <w:shd w:fill="FFFFFF" w:val="clea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Steven Gatoff, CFO of Inseego, added: “We delivered year-over-year revenue growth in Q1, along with healthy gross margins and Adjusted EBITDA within our guided range. We continue to invest in the product, go-to-market, and operating capabilities needed to support the large opportunity ahead. We are working towards closing the FWA acquisition with Nokia and look forward to welcoming them as a significant shareholder and partner.”</w:t>
      </w:r>
    </w:p>
    <w:p>
      <w:pPr>
        <w:pStyle w:val="TextBody"/>
        <w:bidi w:val="0"/>
        <w:spacing w:before="0" w:after="0"/>
        <w:ind w:left="0" w:right="0" w:hanging="0"/>
        <w:jc w:val="left"/>
        <w:rPr>
          <w:caps w:val="false"/>
          <w:smallCaps w:val="false"/>
          <w:shd w:fill="FFFFFF" w:val="clear"/>
        </w:rPr>
      </w:pPr>
      <w:r>
        <w:rPr>
          <w:caps w:val="false"/>
          <w:smallCaps w:val="false"/>
          <w:shd w:fill="FFFFFF" w:val="clear"/>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Q1 2026 Financial Highlights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Total revenue for Q1 2026 was $34.3 million.</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Adjusted EBITDA* for Q1 2026 was $1.8 million. GAAP Net Loss was $4.5 million.</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GAAP gross margin for Q1 2026 was 48.3%, the Company’s fifth consecutive quarter with gross margin exceeding 40%.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shd w:fill="FFFFFF" w:val="clear"/>
        </w:rPr>
      </w:pPr>
      <w:r>
        <w:rPr>
          <w:rFonts w:ascii="Times New Roman;Times;Serif" w:hAnsi="Times New Roman;Times;Serif"/>
          <w:b/>
          <w:i w:val="false"/>
          <w:caps w:val="false"/>
          <w:smallCaps w:val="false"/>
          <w:sz w:val="20"/>
          <w:u w:val="single"/>
          <w:shd w:fill="FFFFFF" w:val="clear"/>
        </w:rPr>
        <w:t>Business Highlights</w:t>
      </w:r>
    </w:p>
    <w:p>
      <w:pPr>
        <w:pStyle w:val="TextBody"/>
        <w:bidi w:val="0"/>
        <w:spacing w:before="0" w:after="0"/>
        <w:ind w:left="0" w:right="0" w:hanging="0"/>
        <w:jc w:val="left"/>
        <w:rPr>
          <w:caps w:val="false"/>
          <w:smallCaps w:val="false"/>
          <w:shd w:fill="FFFFFF" w:val="clear"/>
        </w:rPr>
      </w:pPr>
      <w:r>
        <w:rPr>
          <w:caps w:val="false"/>
          <w:smallCaps w:val="false"/>
          <w:shd w:fill="FFFFFF" w:val="clea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shd w:fill="FFFFFF" w:val="clear"/>
              </w:rPr>
            </w:pPr>
            <w:r>
              <w:rPr>
                <w:rFonts w:ascii="Symbol" w:hAnsi="Symbol"/>
                <w:shd w:fill="FFFFFF" w:val="clear"/>
              </w:rPr>
              <w:t>·</w:t>
            </w:r>
          </w:p>
        </w:tc>
        <w:tc>
          <w:tcPr>
            <w:tcW w:w="10043" w:type="dxa"/>
            <w:tcBorders/>
            <w:vAlign w:val="center"/>
          </w:tcPr>
          <w:p>
            <w:pPr>
              <w:pStyle w:val="TableContents"/>
              <w:bidi w:val="0"/>
              <w:spacing w:before="0" w:after="283"/>
              <w:jc w:val="left"/>
              <w:rPr/>
            </w:pPr>
            <w:r>
              <w:rPr/>
              <w:t>Announced signing of agreement to acquire Nokia’s Fixed Wireless Access business, which is expected to close in Q4 2026 subject to normal terms and conditions of transactions like this. Based on its current run rate of approximately $200m in annualized revenue, the acquisition is expected to double Inseego’s revenue upon closing.</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shd w:fill="FFFFFF" w:val="clear"/>
              </w:rPr>
            </w:pPr>
            <w:r>
              <w:rPr>
                <w:shd w:fill="FFFFFF" w:val="clear"/>
              </w:rPr>
              <w:t>Under the terms of the FWA acquisition, at closing Nokia will receive approximately a 7% equity stake in Inseego in the form of common stock and warrants, representing a value of $20 million. At closing Nokia will also make an additional $10 million cash investment in Inseego in the form of common stock and warrants, to further strengthen the commercial collaboration, that will bring Nokia’s total ownership interest to approximately 11%.</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shd w:fill="FFFFFF" w:val="clear"/>
              </w:rPr>
            </w:pPr>
            <w:r>
              <w:rPr>
                <w:shd w:fill="FFFFFF" w:val="clear"/>
              </w:rPr>
              <w:t xml:space="preserve">The acquisition of the Nokia FWA business also includes plans for joint go-to-market initiatives between the two companies in 6G and wireless edge to capture the opportunities in AI and to further advance the FWA business. The collaboration will also explore joint innovation and carrier 5G monetization opportunities, as well as consumer and enterprise growth opportunities at the wireless edge. These efforts are expected to support and drive customer continuity, future revenue growth, and technology leadership at the wireless edge. </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shd w:fill="FFFFFF" w:val="clear"/>
              </w:rPr>
              <w:t>Secured a new win with a U.S. Tier-1 carrier partner for our 4</w:t>
            </w:r>
            <w:r>
              <w:rPr>
                <w:position w:val="8"/>
                <w:sz w:val="19"/>
              </w:rPr>
              <w:t xml:space="preserve">th </w:t>
            </w:r>
            <w:r>
              <w:rPr>
                <w:shd w:fill="FFFFFF" w:val="clear"/>
              </w:rPr>
              <w:t>generation FWA device, as carriers continue to view Inseego as a key partner in scaling Fixed Wireless Access as a core enterprise connectivity solution.</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Continued to consolidate the Mobile hot spot space by securing a new win with a U.S. Tier-1 carrier partner for a value-tier MiFi device.</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Announced the appointment of Koroush Saraf as Chief Product Officer, as we continue to expand our product portfolio and drive the delivery of more integrated and scalable solutions for enterprise and service provider customers.</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shd w:fill="FFFFFF" w:val="clear"/>
        </w:rPr>
      </w:pPr>
      <w:r>
        <w:rPr>
          <w:rFonts w:ascii="Times New Roman;Times;Serif" w:hAnsi="Times New Roman;Times;Serif"/>
          <w:b/>
          <w:i w:val="false"/>
          <w:caps w:val="false"/>
          <w:smallCaps w:val="false"/>
          <w:sz w:val="20"/>
          <w:u w:val="single"/>
          <w:shd w:fill="FFFFFF" w:val="clear"/>
        </w:rPr>
        <w:t>Investor Events</w:t>
      </w:r>
    </w:p>
    <w:p>
      <w:pPr>
        <w:pStyle w:val="TextBody"/>
        <w:bidi w:val="0"/>
        <w:spacing w:before="0" w:after="0"/>
        <w:ind w:left="0" w:right="0" w:hanging="0"/>
        <w:jc w:val="left"/>
        <w:rPr>
          <w:caps w:val="false"/>
          <w:smallCaps w:val="false"/>
          <w:shd w:fill="FFFFFF" w:val="clear"/>
        </w:rPr>
      </w:pPr>
      <w:r>
        <w:rPr>
          <w:caps w:val="false"/>
          <w:smallCaps w:val="false"/>
          <w:shd w:fill="FFFFFF" w:val="clea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Inse</w:t>
      </w:r>
      <w:r>
        <w:rPr>
          <w:rFonts w:ascii="Times New Roman;Times;Serif" w:hAnsi="Times New Roman;Times;Serif"/>
          <w:b w:val="false"/>
          <w:i w:val="false"/>
          <w:caps w:val="false"/>
          <w:smallCaps w:val="false"/>
          <w:sz w:val="20"/>
        </w:rPr>
        <w:t>ego management will be participating in the following upcoming investor events: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128"/>
        <w:gridCol w:w="10039"/>
      </w:tblGrid>
      <w:tr>
        <w:trPr/>
        <w:tc>
          <w:tcPr>
            <w:tcW w:w="3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rFonts w:ascii="Symbol" w:hAnsi="Symbol"/>
              </w:rPr>
            </w:pPr>
            <w:r>
              <w:rPr>
                <w:rFonts w:ascii="Symbol" w:hAnsi="Symbol"/>
              </w:rPr>
              <w:t>·</w:t>
            </w:r>
          </w:p>
        </w:tc>
        <w:tc>
          <w:tcPr>
            <w:tcW w:w="10039" w:type="dxa"/>
            <w:tcBorders/>
            <w:vAlign w:val="center"/>
          </w:tcPr>
          <w:p>
            <w:pPr>
              <w:pStyle w:val="TableContents"/>
              <w:bidi w:val="0"/>
              <w:spacing w:before="0" w:after="283"/>
              <w:jc w:val="left"/>
              <w:rPr/>
            </w:pPr>
            <w:r>
              <w:rPr/>
              <w:t>May 27, 2026 – TD Cowen 54</w:t>
            </w:r>
            <w:r>
              <w:rPr>
                <w:position w:val="8"/>
                <w:sz w:val="19"/>
              </w:rPr>
              <w:t>th</w:t>
            </w:r>
            <w:r>
              <w:rPr/>
              <w:t xml:space="preserve"> Annual Technology, Media &amp; Telecom Conference (New York, 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Q2 and Full-Year 2026 Guidance</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52"/>
        <w:gridCol w:w="192"/>
        <w:gridCol w:w="9961"/>
      </w:tblGrid>
      <w:tr>
        <w:trPr/>
        <w:tc>
          <w:tcPr>
            <w:tcW w:w="5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pPr>
            <w:r>
              <w:rPr/>
              <w:t>Q2 2026 total revenue in the range of $36.5 million to $43.5 million.</w:t>
            </w:r>
          </w:p>
        </w:tc>
      </w:tr>
      <w:tr>
        <w:trPr/>
        <w:tc>
          <w:tcPr>
            <w:tcW w:w="5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pPr>
            <w:r>
              <w:rPr/>
              <w:t>Q2 2026 Adjusted EBITDA* in the range of $250 thousand to $2.0 million.</w:t>
            </w:r>
          </w:p>
        </w:tc>
      </w:tr>
      <w:tr>
        <w:trPr/>
        <w:tc>
          <w:tcPr>
            <w:tcW w:w="5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pPr>
            <w:r>
              <w:rPr/>
              <w:t>Full-year 2026 total revenue of approximately $190 million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Conference Call Information</w:t>
      </w:r>
    </w:p>
    <w:p>
      <w:pPr>
        <w:pStyle w:val="TextBody"/>
        <w:bidi w:val="0"/>
        <w:spacing w:before="0" w:after="0"/>
        <w:ind w:left="0" w:right="0" w:hanging="0"/>
        <w:jc w:val="left"/>
        <w:rPr>
          <w:caps w:val="false"/>
          <w:smallCaps w:val="false"/>
          <w:shd w:fill="FFFFFF" w:val="clear"/>
        </w:rPr>
      </w:pPr>
      <w:r>
        <w:rPr>
          <w:caps w:val="false"/>
          <w:smallCaps w:val="false"/>
          <w:shd w:fill="FFFFFF" w:val="clea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Inseego will host a conference call and live webcast today at 5:00 p.m. ET. A Q&amp;A session will be held live directly after the prepared remarks. To access the conference call:</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171"/>
        <w:gridCol w:w="9983"/>
      </w:tblGrid>
      <w:tr>
        <w:trPr/>
        <w:tc>
          <w:tcPr>
            <w:tcW w:w="5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rFonts w:ascii="Symbol" w:hAnsi="Symbol"/>
                <w:shd w:fill="FFFFFF" w:val="clear"/>
              </w:rPr>
            </w:pPr>
            <w:r>
              <w:rPr>
                <w:rFonts w:ascii="Symbol" w:hAnsi="Symbol"/>
                <w:shd w:fill="FFFFFF" w:val="clear"/>
              </w:rPr>
              <w:t>·</w:t>
            </w:r>
          </w:p>
        </w:tc>
        <w:tc>
          <w:tcPr>
            <w:tcW w:w="9983" w:type="dxa"/>
            <w:tcBorders/>
            <w:vAlign w:val="center"/>
          </w:tcPr>
          <w:p>
            <w:pPr>
              <w:pStyle w:val="TableContents"/>
              <w:bidi w:val="0"/>
              <w:spacing w:before="0" w:after="283"/>
              <w:jc w:val="left"/>
              <w:rPr/>
            </w:pPr>
            <w:r>
              <w:rPr/>
              <w:t>Online, visit https://investor.inseego.com/events-presentations</w:t>
            </w:r>
          </w:p>
        </w:tc>
      </w:tr>
      <w:tr>
        <w:trPr/>
        <w:tc>
          <w:tcPr>
            <w:tcW w:w="5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rFonts w:ascii="Symbol" w:hAnsi="Symbol"/>
                <w:shd w:fill="FFFFFF" w:val="clear"/>
              </w:rPr>
            </w:pPr>
            <w:r>
              <w:rPr>
                <w:rFonts w:ascii="Symbol" w:hAnsi="Symbol"/>
                <w:shd w:fill="FFFFFF" w:val="clear"/>
              </w:rPr>
              <w:t>·</w:t>
            </w:r>
          </w:p>
        </w:tc>
        <w:tc>
          <w:tcPr>
            <w:tcW w:w="9983" w:type="dxa"/>
            <w:tcBorders/>
            <w:vAlign w:val="center"/>
          </w:tcPr>
          <w:p>
            <w:pPr>
              <w:pStyle w:val="TableContents"/>
              <w:bidi w:val="0"/>
              <w:spacing w:before="0" w:after="283"/>
              <w:jc w:val="left"/>
              <w:rPr/>
            </w:pPr>
            <w:r>
              <w:rPr/>
              <w:t>Those without internet access or unable to pre-register may dial in by calling:</w:t>
            </w:r>
          </w:p>
        </w:tc>
      </w:tr>
    </w:tbl>
    <w:tbl>
      <w:tblPr>
        <w:tblW w:w="5000" w:type="pct"/>
        <w:jc w:val="left"/>
        <w:tblInd w:w="0" w:type="dxa"/>
        <w:tblLayout w:type="fixed"/>
        <w:tblCellMar>
          <w:top w:w="0" w:type="dxa"/>
          <w:left w:w="0" w:type="dxa"/>
          <w:bottom w:w="0" w:type="dxa"/>
          <w:right w:w="0" w:type="dxa"/>
        </w:tblCellMar>
      </w:tblPr>
      <w:tblGrid>
        <w:gridCol w:w="68"/>
        <w:gridCol w:w="225"/>
        <w:gridCol w:w="9912"/>
      </w:tblGrid>
      <w:tr>
        <w:trPr/>
        <w:tc>
          <w:tcPr>
            <w:tcW w:w="6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rFonts w:ascii="Symbol" w:hAnsi="Symbol"/>
                <w:shd w:fill="FFFFFF" w:val="clear"/>
              </w:rPr>
            </w:pPr>
            <w:r>
              <w:rPr>
                <w:rFonts w:ascii="Symbol" w:hAnsi="Symbol"/>
                <w:shd w:fill="FFFFFF" w:val="clear"/>
              </w:rPr>
              <w:t>·</w:t>
            </w:r>
          </w:p>
        </w:tc>
        <w:tc>
          <w:tcPr>
            <w:tcW w:w="9912" w:type="dxa"/>
            <w:tcBorders/>
            <w:vAlign w:val="center"/>
          </w:tcPr>
          <w:p>
            <w:pPr>
              <w:pStyle w:val="TableContents"/>
              <w:bidi w:val="0"/>
              <w:spacing w:before="0" w:after="283"/>
              <w:jc w:val="left"/>
              <w:rPr/>
            </w:pPr>
            <w:r>
              <w:rPr/>
              <w:t>In the United States, call 1-844-282-4463</w:t>
            </w:r>
          </w:p>
        </w:tc>
      </w:tr>
      <w:tr>
        <w:trPr/>
        <w:tc>
          <w:tcPr>
            <w:tcW w:w="6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rFonts w:ascii="Symbol" w:hAnsi="Symbol"/>
                <w:shd w:fill="FFFFFF" w:val="clear"/>
              </w:rPr>
            </w:pPr>
            <w:r>
              <w:rPr>
                <w:rFonts w:ascii="Symbol" w:hAnsi="Symbol"/>
                <w:shd w:fill="FFFFFF" w:val="clear"/>
              </w:rPr>
              <w:t>·</w:t>
            </w:r>
          </w:p>
        </w:tc>
        <w:tc>
          <w:tcPr>
            <w:tcW w:w="9912" w:type="dxa"/>
            <w:tcBorders/>
            <w:vAlign w:val="center"/>
          </w:tcPr>
          <w:p>
            <w:pPr>
              <w:pStyle w:val="TableContents"/>
              <w:bidi w:val="0"/>
              <w:spacing w:before="0" w:after="283"/>
              <w:jc w:val="left"/>
              <w:rPr/>
            </w:pPr>
            <w:r>
              <w:rPr/>
              <w:t>International parties can access the call at 1-412-317-5613</w:t>
            </w:r>
          </w:p>
        </w:tc>
      </w:tr>
    </w:tbl>
    <w:p>
      <w:pPr>
        <w:pStyle w:val="TextBody"/>
        <w:bidi w:val="0"/>
        <w:spacing w:before="0" w:after="0"/>
        <w:ind w:left="0" w:right="0" w:hanging="0"/>
        <w:jc w:val="left"/>
        <w:rPr>
          <w:caps w:val="false"/>
          <w:smallCaps w:val="false"/>
          <w:shd w:fill="FFFFFF" w:val="clear"/>
        </w:rPr>
      </w:pPr>
      <w:r>
        <w:rPr>
          <w:caps w:val="false"/>
          <w:smallCaps w:val="false"/>
          <w:shd w:fill="FFFFFF" w:val="clea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An audio replay of the conference call will be available one hour after the call through May 21, 2026. To hear the replay, parties in the United States may call 1-855-669-9658 and enter access code 2654418 followed by the # key. International parties may call 1-412-317-0088. In addition, the Inseego Corp. press release will be accessible from the Company's website before the conference call begins.</w:t>
      </w:r>
    </w:p>
    <w:p>
      <w:pPr>
        <w:pStyle w:val="TextBody"/>
        <w:bidi w:val="0"/>
        <w:spacing w:before="0" w:after="0"/>
        <w:ind w:left="0" w:right="0" w:hanging="0"/>
        <w:jc w:val="left"/>
        <w:rPr>
          <w:caps w:val="false"/>
          <w:smallCaps w:val="false"/>
          <w:shd w:fill="FFFFFF" w:val="clear"/>
        </w:rPr>
      </w:pPr>
      <w:r>
        <w:rPr>
          <w:caps w:val="false"/>
          <w:smallCaps w:val="false"/>
          <w:shd w:fill="FFFFFF" w:val="clear"/>
        </w:rPr>
        <w:t> </w:t>
      </w:r>
    </w:p>
    <w:p>
      <w:pPr>
        <w:pStyle w:val="TextBody"/>
        <w:bidi w:val="0"/>
        <w:spacing w:before="0" w:after="0"/>
        <w:ind w:left="0" w:right="0" w:hanging="0"/>
        <w:jc w:val="left"/>
        <w:rPr>
          <w:rFonts w:ascii="Times New Roman;Times;Serif" w:hAnsi="Times New Roman;Times;Serif"/>
          <w:b w:val="false"/>
          <w:i/>
          <w:caps w:val="false"/>
          <w:smallCaps w:val="false"/>
          <w:sz w:val="20"/>
          <w:shd w:fill="FFFFFF" w:val="clear"/>
        </w:rPr>
      </w:pPr>
      <w:r>
        <w:rPr>
          <w:rFonts w:ascii="Times New Roman;Times;Serif" w:hAnsi="Times New Roman;Times;Serif"/>
          <w:b w:val="false"/>
          <w:i/>
          <w:caps w:val="false"/>
          <w:smallCaps w:val="false"/>
          <w:sz w:val="20"/>
          <w:shd w:fill="FFFFFF" w:val="clear"/>
        </w:rPr>
        <w:t>*Adjusted EBITDA is a non-GAAP financial measure. See “Non-GAAP Financial Measures” below for more information, and the tables at the end of this release for a reconciliation to the closest GAAP measure.</w:t>
      </w:r>
    </w:p>
    <w:p>
      <w:pPr>
        <w:pStyle w:val="TextBody"/>
        <w:bidi w:val="0"/>
        <w:spacing w:before="0" w:after="0"/>
        <w:ind w:left="0" w:right="0" w:hanging="0"/>
        <w:jc w:val="left"/>
        <w:rPr>
          <w:caps w:val="false"/>
          <w:smallCaps w:val="false"/>
          <w:shd w:fill="FFFFFF" w:val="clear"/>
        </w:rPr>
      </w:pPr>
      <w:r>
        <w:rPr>
          <w:caps w:val="false"/>
          <w:smallCaps w:val="false"/>
          <w:shd w:fill="FFFFFF" w:val="clea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Inseego Corp.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Inseego is a leader in cloud-first wireless edge solutions, delivering secure, resilient connectivity across people, places, and machines. As wireless becomes foundational infrastructure, Inseego unifies connectivity, management, security, and subscriber lifecycle management into a platform that orchestrates cellular, satellite, Wi-Fi, and emerging wireless technologies at the edge.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portfolio includes 5G fixed wireless access routers, MiFi mobile hotspots IoT solutions under the Skyus brand, and cloud platforms including Inseego Connect and Inseego Subscribe, all designed in the U.S. Built on its core strength and long-term leadership in cellular technology, Inseego solutions enable service providers and channel partners to deploy and manage enterprise-grade wireless solutions at scale. Learn more at www.inseego.com.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2026. Inseego Corp. All rights reserved. The Inseego name and logo are trademarks of Inseego Corp.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the information presented in this news release may constitute forward-looking statements within the meaning of the Private Securities Litigation Reform Act of 1995. In this context, forward-looking statements often address expected future business and financial performance and often contain words such as “may,” “estimate,” “anticipate,” “believe,” “expect,” “intend,” “plan,” “project,” “will” and similar words and phrases indicating future results. The information presented in this news release related to our financial guidance, future business outlook, the future demand for our products, and other statements that are not purely historical facts are forward-looking. These forward-looking statements are based on management’s current expectations, assumptions, estimates, and projections. They are subject to significant risks and uncertainties that could cause results to differ materially from those anticipated in such forward-looking statements. We, therefore, cannot guarantee future results, performance, or achievements. Actual results could differ materially from our expectations.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Factors that could cause actual results to differ materially from the Company’s expectations include: (1) the Company’s dependence on a small number of customers for a substantial portion of our revenues; (2) the future demand for wireless broadband access to data and device management software and services and our ability to accurately forecast; (3) the growth of wireless wide-area networking and device management software and services; (4) customer and end-user acceptance of the Company’s current product and service offerings and market demand for the Company’s anticipated new product and service offerings; (5) our ability to develop sales channels and to onboard channel partners; (6) increased competition and pricing pressure from participants in the markets in which the Company is engaged; (7) dependence on third-party manufacturers and key component suppliers worldwide; (8) the impact of fluctuations of foreign currency exchange rates; (9) the impact of supply chain challenges on our ability to source components and manufacture our products; (10) unexpected liabilities or expenses; (11) the Company’s ability to introduce new products and services in a timely manner, including the ability to develop and launch 5G products at the speed and functionality required by our customers; (12) litigation, regulatory and IP developments related to our products or components of our products; (13) the Company’s ability to raise additional financing when the Company requires capital for operations or to satisfy corporate obligations; (14) the Company’s plans and expectations relating to acquisitions, divestitures, strategic relationships, international expansion, software and hardware developments, personnel matters, and cost containment initiatives, including restructuring activities and the timing of their implementations; (15) the global semiconductor shortage and any related price increases or supply chain disruptions, (16) the potential impact of COVID-19 or other global public health emergencies on the business, (17) the impact of high rates of inflation and rising interest rates, (18) the impact of import tariffs on our materials and products, and (19) the impact of geopolitical instability on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in connection with Inseego’s planned acquisition (“Proposed Transaction”) of Nokia’s Fixed Wireless Access business (the “Business”), factors that may cause actual results to differ materially from current expectations include, but are not limited to: (1) the occurrence of any event, change or other circumstances that could give rise to the termination of the Asset Purchase Agreement with respect to the Proposed Transaction, (2) the outcome of any legal proceedings that may be instituted against the parties following the announcement of the Proposed Transaction; (3) the inability to complete the Proposed Transaction, including due to failure to satisfy any conditions to closing; (4) the risk that the announcement and/or consummation of the Proposed Transaction disrupts Inseego’s current plans or operations; (5) the ability to recognize the anticipated benefits of the Proposed Transaction, which may be affected by, among other things, the potential loss of customers and/or employees of the Business, competition, and/or the ability of Inseego to grow and manage growth profitably; (6) the risk that Inseego will not be able to integrate the Business successfully; (7) the risk that costs savings and other anticipated synergies from the Proposed Transaction may not be realized when expected, or at all; (8) the diversion of Inseego’s management’s time on issues related to the Proposed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factors, as well as other factors set forth as risk factors or otherwise described in the reports filed by the Company with the SEC (available at www.sec.gov), could cause results to differ materially from those expressed in the Company’s forward-looking statements. The Company assumes no obligation to update publicly any forward-looking statements, even if new information becomes available or other events occur in the future, except as otherwise required under applicable law and our ongoing reporting obligations under the Securities Exchange Act of 1934,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Inseego Corp. has provided financial information in this press release that has not been prepared in accordance with GAAP. Non-GAAP net income (loss) and non-GAAP net income (loss) per share, for example, exclude the impact of share-based compensation expense, impairment of capitalized software, amortization of intangible assets purchased through acquisitions, non-recurring transaction related costs, and other non-recurring gains and losses. Adjusted EBITDA, in addition to those items excluded from non-GAAP net income (loss), excludes all interest expense, taxes, depreciation, amortization, and other non-operating income/expense.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net income (loss), non-GAAP net income (loss) per share, and Adjusted EBITDA are supplemental measures of our performance that are not required by, or presented in accordance with, GAAP. These non-GAAP financial measures have limitations as an analytical tool. They are not intended to be used in isolation or as a substitute for cost of revenues, operating expenses, net income (loss), net income (loss) per share or any other performance measure determined in accordance with GAAP. We present these non-GAAP financial measures because we consider them to be an important supplemental performance measure.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use these non-GAAP financial measures to make operational decisions, evaluate our performance, prepare forecasts and </w:t>
      </w:r>
      <w:r>
        <w:rPr>
          <w:rFonts w:ascii="Times New Roman;Times;Serif" w:hAnsi="Times New Roman;Times;Serif"/>
          <w:b w:val="false"/>
          <w:i w:val="false"/>
          <w:caps w:val="false"/>
          <w:smallCaps w:val="false"/>
          <w:sz w:val="20"/>
          <w:shd w:fill="FFFFFF" w:val="clear"/>
        </w:rPr>
        <w:t>determine compensation. Fu</w:t>
      </w:r>
      <w:r>
        <w:rPr>
          <w:rFonts w:ascii="Times New Roman;Times;Serif" w:hAnsi="Times New Roman;Times;Serif"/>
          <w:b w:val="false"/>
          <w:i w:val="false"/>
          <w:caps w:val="false"/>
          <w:smallCaps w:val="false"/>
          <w:sz w:val="20"/>
        </w:rPr>
        <w:t>rther, management and investors benefit from referring to these non-GAAP financial measures in assessing our performance when planning, forecasting and analyzing future periods. Share-based compensation expenses are expected to vary depending on the number of new incentive award grants issued to both current and new employees, the number of such grants forfeited by former employees, and changes in our stock price, stock market volatility, expected option term and risk-free interest rates, all of which are difficult to estimate. In calculating non-GAAP financial measures, we exclude certain non-cash and one-time items to facilitate comparability of our operating performance on a period-to-period basis because such expenses are not, in our view, related to our ongoing operational performance. We use this view of our operating performance to compare it with the business plan and individual operating budgets and in the allocation of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these non-GAAP financial measures are helpful to investors in providing greater transparency to the information used by management in its operational decision-making. The Company believes that using these non-GAAP financial measures also facilitates comparing our underlying operating performance with other companies in our industry, which use similar non-GAAP financial measures to supplement their GAAP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future, we expect to continue to incur expenses similar to the non-GAAP adjustments described above, and the exclusion of these items in the presentation of our non-GAAP financial measures should not be construed as an inference that these costs are unusual, infrequent, or non-recurring. Investors and potential investors are cautioned that material limitations are associated with using non-GAAP financial measures as an analytical tool. The limitations of relying on non-GAAP financial measures include, but are not limited to, the fact that other companies, including other companies in our industry, may calculate non-GAAP financial measures differently than we do, limiting their usefulness as a comparative tool.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and potential investors are encouraged to review the reconciliation of our non-GAAP financial measures in this press release with our GAAP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Investor Relations Contact: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Matt Glover, Gateway Group: (949) 574-3860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IR@inseego.com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INSEEGO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CONSOLIDATED STATEMENTS OF OPERATIONS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share and per share data)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10115" w:type="dxa"/>
        <w:jc w:val="left"/>
        <w:tblInd w:w="0" w:type="dxa"/>
        <w:tblLayout w:type="fixed"/>
        <w:tblCellMar>
          <w:top w:w="0" w:type="dxa"/>
          <w:left w:w="0" w:type="dxa"/>
          <w:bottom w:w="0" w:type="dxa"/>
          <w:right w:w="0" w:type="dxa"/>
        </w:tblCellMar>
      </w:tblPr>
      <w:tblGrid>
        <w:gridCol w:w="7310"/>
        <w:gridCol w:w="60"/>
        <w:gridCol w:w="140"/>
        <w:gridCol w:w="1100"/>
        <w:gridCol w:w="95"/>
        <w:gridCol w:w="60"/>
        <w:gridCol w:w="140"/>
        <w:gridCol w:w="1100"/>
        <w:gridCol w:w="110"/>
      </w:tblGrid>
      <w:tr>
        <w:trPr/>
        <w:tc>
          <w:tcPr>
            <w:tcW w:w="73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5"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110" w:type="dxa"/>
            <w:tcBorders/>
            <w:vAlign w:val="center"/>
          </w:tcPr>
          <w:p>
            <w:pPr>
              <w:pStyle w:val="TableContents"/>
              <w:bidi w:val="0"/>
              <w:spacing w:before="0" w:after="283"/>
              <w:jc w:val="left"/>
              <w:rPr/>
            </w:pPr>
            <w:r>
              <w:rPr/>
              <w:t> </w:t>
            </w:r>
          </w:p>
        </w:tc>
      </w:tr>
      <w:tr>
        <w:trPr/>
        <w:tc>
          <w:tcPr>
            <w:tcW w:w="73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7310" w:type="dxa"/>
            <w:tcBorders/>
            <w:vAlign w:val="center"/>
          </w:tcPr>
          <w:p>
            <w:pPr>
              <w:pStyle w:val="TableContents"/>
              <w:bidi w:val="0"/>
              <w:spacing w:before="0" w:after="283"/>
              <w:jc w:val="left"/>
              <w:rPr/>
            </w:pPr>
            <w:r>
              <w:rPr/>
              <w:t>Revenues:</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7310" w:type="dxa"/>
            <w:tcBorders/>
            <w:shd w:fill="CCEEFF" w:val="clear"/>
            <w:vAlign w:val="center"/>
          </w:tcPr>
          <w:p>
            <w:pPr>
              <w:pStyle w:val="TableContents"/>
              <w:bidi w:val="0"/>
              <w:spacing w:before="0" w:after="283"/>
              <w:jc w:val="left"/>
              <w:rPr/>
            </w:pPr>
            <w:r>
              <w:rPr/>
              <w:t>Mobile solutions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16,688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17,790</w:t>
            </w:r>
          </w:p>
        </w:tc>
        <w:tc>
          <w:tcPr>
            <w:tcW w:w="110" w:type="dxa"/>
            <w:tcBorders/>
            <w:shd w:fill="CCEEFF" w:val="clear"/>
            <w:vAlign w:val="center"/>
          </w:tcPr>
          <w:p>
            <w:pPr>
              <w:pStyle w:val="TableContents"/>
              <w:bidi w:val="0"/>
              <w:spacing w:before="0" w:after="283"/>
              <w:jc w:val="left"/>
              <w:rPr/>
            </w:pPr>
            <w:r>
              <w:rPr/>
              <w:t> </w:t>
            </w:r>
          </w:p>
        </w:tc>
      </w:tr>
      <w:tr>
        <w:trPr/>
        <w:tc>
          <w:tcPr>
            <w:tcW w:w="7310" w:type="dxa"/>
            <w:tcBorders/>
            <w:shd w:fill="FFFFFF" w:val="clear"/>
            <w:vAlign w:val="center"/>
          </w:tcPr>
          <w:p>
            <w:pPr>
              <w:pStyle w:val="TableContents"/>
              <w:bidi w:val="0"/>
              <w:spacing w:before="0" w:after="283"/>
              <w:jc w:val="left"/>
              <w:rPr/>
            </w:pPr>
            <w:r>
              <w:rPr/>
              <w:t>Fixed wireless access solutions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5,314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1,903</w:t>
            </w:r>
          </w:p>
        </w:tc>
        <w:tc>
          <w:tcPr>
            <w:tcW w:w="110" w:type="dxa"/>
            <w:tcBorders/>
            <w:shd w:fill="FFFFFF" w:val="clear"/>
            <w:vAlign w:val="center"/>
          </w:tcPr>
          <w:p>
            <w:pPr>
              <w:pStyle w:val="TableContents"/>
              <w:bidi w:val="0"/>
              <w:spacing w:before="0" w:after="283"/>
              <w:jc w:val="left"/>
              <w:rPr/>
            </w:pPr>
            <w:r>
              <w:rPr/>
              <w:t> </w:t>
            </w:r>
          </w:p>
        </w:tc>
      </w:tr>
      <w:tr>
        <w:trPr/>
        <w:tc>
          <w:tcPr>
            <w:tcW w:w="7310" w:type="dxa"/>
            <w:tcBorders/>
            <w:shd w:fill="CCEEFF" w:val="clear"/>
            <w:vAlign w:val="center"/>
          </w:tcPr>
          <w:p>
            <w:pPr>
              <w:pStyle w:val="TableContents"/>
              <w:bidi w:val="0"/>
              <w:spacing w:before="0" w:after="283"/>
              <w:jc w:val="left"/>
              <w:rPr/>
            </w:pPr>
            <w:r>
              <w:rPr/>
              <w:t>Product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22,002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19,693</w:t>
            </w:r>
          </w:p>
        </w:tc>
        <w:tc>
          <w:tcPr>
            <w:tcW w:w="110" w:type="dxa"/>
            <w:tcBorders/>
            <w:shd w:fill="CCEEFF" w:val="clear"/>
            <w:vAlign w:val="center"/>
          </w:tcPr>
          <w:p>
            <w:pPr>
              <w:pStyle w:val="TableContents"/>
              <w:bidi w:val="0"/>
              <w:spacing w:before="0" w:after="283"/>
              <w:jc w:val="left"/>
              <w:rPr/>
            </w:pPr>
            <w:r>
              <w:rPr/>
              <w:t> </w:t>
            </w:r>
          </w:p>
        </w:tc>
      </w:tr>
      <w:tr>
        <w:trPr/>
        <w:tc>
          <w:tcPr>
            <w:tcW w:w="7310" w:type="dxa"/>
            <w:tcBorders/>
            <w:shd w:fill="FFFFFF" w:val="clear"/>
            <w:vAlign w:val="center"/>
          </w:tcPr>
          <w:p>
            <w:pPr>
              <w:pStyle w:val="TableContents"/>
              <w:bidi w:val="0"/>
              <w:spacing w:before="0" w:after="283"/>
              <w:jc w:val="left"/>
              <w:rPr/>
            </w:pPr>
            <w:r>
              <w:rPr/>
              <w:t>Software services and other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12,336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11,980</w:t>
            </w:r>
          </w:p>
        </w:tc>
        <w:tc>
          <w:tcPr>
            <w:tcW w:w="110" w:type="dxa"/>
            <w:tcBorders/>
            <w:shd w:fill="FFFFFF" w:val="clear"/>
            <w:vAlign w:val="center"/>
          </w:tcPr>
          <w:p>
            <w:pPr>
              <w:pStyle w:val="TableContents"/>
              <w:bidi w:val="0"/>
              <w:spacing w:before="0" w:after="283"/>
              <w:jc w:val="left"/>
              <w:rPr/>
            </w:pPr>
            <w:r>
              <w:rPr/>
              <w:t> </w:t>
            </w:r>
          </w:p>
        </w:tc>
      </w:tr>
      <w:tr>
        <w:trPr/>
        <w:tc>
          <w:tcPr>
            <w:tcW w:w="7310" w:type="dxa"/>
            <w:tcBorders/>
            <w:shd w:fill="CCEEFF" w:val="clear"/>
            <w:vAlign w:val="center"/>
          </w:tcPr>
          <w:p>
            <w:pPr>
              <w:pStyle w:val="TableContents"/>
              <w:bidi w:val="0"/>
              <w:spacing w:before="0" w:after="283"/>
              <w:jc w:val="left"/>
              <w:rPr/>
            </w:pPr>
            <w:r>
              <w:rPr/>
              <w:t>Total revenues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34,338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31,673</w:t>
            </w:r>
          </w:p>
        </w:tc>
        <w:tc>
          <w:tcPr>
            <w:tcW w:w="110" w:type="dxa"/>
            <w:tcBorders/>
            <w:shd w:fill="CCEEFF" w:val="clear"/>
            <w:vAlign w:val="center"/>
          </w:tcPr>
          <w:p>
            <w:pPr>
              <w:pStyle w:val="TableContents"/>
              <w:bidi w:val="0"/>
              <w:spacing w:before="0" w:after="283"/>
              <w:jc w:val="left"/>
              <w:rPr/>
            </w:pPr>
            <w:r>
              <w:rPr/>
              <w:t> </w:t>
            </w:r>
          </w:p>
        </w:tc>
      </w:tr>
      <w:tr>
        <w:trPr/>
        <w:tc>
          <w:tcPr>
            <w:tcW w:w="7310" w:type="dxa"/>
            <w:tcBorders/>
            <w:shd w:fill="FFFFFF" w:val="clear"/>
            <w:vAlign w:val="center"/>
          </w:tcPr>
          <w:p>
            <w:pPr>
              <w:pStyle w:val="TableContents"/>
              <w:bidi w:val="0"/>
              <w:spacing w:before="0" w:after="283"/>
              <w:jc w:val="left"/>
              <w:rPr/>
            </w:pPr>
            <w:r>
              <w:rPr/>
              <w:t>Cost of revenues: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310" w:type="dxa"/>
            <w:tcBorders/>
            <w:shd w:fill="CCEEFF" w:val="clear"/>
            <w:vAlign w:val="center"/>
          </w:tcPr>
          <w:p>
            <w:pPr>
              <w:pStyle w:val="TableContents"/>
              <w:bidi w:val="0"/>
              <w:spacing w:before="0" w:after="283"/>
              <w:jc w:val="left"/>
              <w:rPr/>
            </w:pPr>
            <w:r>
              <w:rPr/>
              <w:t>Product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16,382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15,396</w:t>
            </w:r>
          </w:p>
        </w:tc>
        <w:tc>
          <w:tcPr>
            <w:tcW w:w="110" w:type="dxa"/>
            <w:tcBorders/>
            <w:shd w:fill="CCEEFF" w:val="clear"/>
            <w:vAlign w:val="center"/>
          </w:tcPr>
          <w:p>
            <w:pPr>
              <w:pStyle w:val="TableContents"/>
              <w:bidi w:val="0"/>
              <w:spacing w:before="0" w:after="283"/>
              <w:jc w:val="left"/>
              <w:rPr/>
            </w:pPr>
            <w:r>
              <w:rPr/>
              <w:t> </w:t>
            </w:r>
          </w:p>
        </w:tc>
      </w:tr>
      <w:tr>
        <w:trPr/>
        <w:tc>
          <w:tcPr>
            <w:tcW w:w="7310" w:type="dxa"/>
            <w:tcBorders/>
            <w:shd w:fill="FFFFFF" w:val="clear"/>
            <w:vAlign w:val="center"/>
          </w:tcPr>
          <w:p>
            <w:pPr>
              <w:pStyle w:val="TableContents"/>
              <w:bidi w:val="0"/>
              <w:spacing w:before="0" w:after="283"/>
              <w:jc w:val="left"/>
              <w:rPr/>
            </w:pPr>
            <w:r>
              <w:rPr/>
              <w:t>Software services and other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1,359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1,294</w:t>
            </w:r>
          </w:p>
        </w:tc>
        <w:tc>
          <w:tcPr>
            <w:tcW w:w="110" w:type="dxa"/>
            <w:tcBorders/>
            <w:shd w:fill="FFFFFF" w:val="clear"/>
            <w:vAlign w:val="center"/>
          </w:tcPr>
          <w:p>
            <w:pPr>
              <w:pStyle w:val="TableContents"/>
              <w:bidi w:val="0"/>
              <w:spacing w:before="0" w:after="283"/>
              <w:jc w:val="left"/>
              <w:rPr/>
            </w:pPr>
            <w:r>
              <w:rPr/>
              <w:t> </w:t>
            </w:r>
          </w:p>
        </w:tc>
      </w:tr>
      <w:tr>
        <w:trPr/>
        <w:tc>
          <w:tcPr>
            <w:tcW w:w="7310" w:type="dxa"/>
            <w:tcBorders/>
            <w:shd w:fill="CCEEFF" w:val="clear"/>
            <w:vAlign w:val="center"/>
          </w:tcPr>
          <w:p>
            <w:pPr>
              <w:pStyle w:val="TableContents"/>
              <w:bidi w:val="0"/>
              <w:spacing w:before="0" w:after="283"/>
              <w:jc w:val="left"/>
              <w:rPr/>
            </w:pPr>
            <w:r>
              <w:rPr/>
              <w:t>Total cost of revenues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17,741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16,690</w:t>
            </w:r>
          </w:p>
        </w:tc>
        <w:tc>
          <w:tcPr>
            <w:tcW w:w="110" w:type="dxa"/>
            <w:tcBorders/>
            <w:shd w:fill="CCEEFF" w:val="clear"/>
            <w:vAlign w:val="center"/>
          </w:tcPr>
          <w:p>
            <w:pPr>
              <w:pStyle w:val="TableContents"/>
              <w:bidi w:val="0"/>
              <w:spacing w:before="0" w:after="283"/>
              <w:jc w:val="left"/>
              <w:rPr/>
            </w:pPr>
            <w:r>
              <w:rPr/>
              <w:t> </w:t>
            </w:r>
          </w:p>
        </w:tc>
      </w:tr>
      <w:tr>
        <w:trPr/>
        <w:tc>
          <w:tcPr>
            <w:tcW w:w="7310" w:type="dxa"/>
            <w:tcBorders/>
            <w:shd w:fill="FFFFFF" w:val="clear"/>
            <w:vAlign w:val="center"/>
          </w:tcPr>
          <w:p>
            <w:pPr>
              <w:pStyle w:val="TableContents"/>
              <w:bidi w:val="0"/>
              <w:spacing w:before="0" w:after="283"/>
              <w:jc w:val="left"/>
              <w:rPr/>
            </w:pPr>
            <w:r>
              <w:rPr/>
              <w:t>Gross profit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16,597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14,983</w:t>
            </w:r>
          </w:p>
        </w:tc>
        <w:tc>
          <w:tcPr>
            <w:tcW w:w="110" w:type="dxa"/>
            <w:tcBorders/>
            <w:shd w:fill="FFFFFF" w:val="clear"/>
            <w:vAlign w:val="center"/>
          </w:tcPr>
          <w:p>
            <w:pPr>
              <w:pStyle w:val="TableContents"/>
              <w:bidi w:val="0"/>
              <w:spacing w:before="0" w:after="283"/>
              <w:jc w:val="left"/>
              <w:rPr/>
            </w:pPr>
            <w:r>
              <w:rPr/>
              <w:t> </w:t>
            </w:r>
          </w:p>
        </w:tc>
      </w:tr>
      <w:tr>
        <w:trPr/>
        <w:tc>
          <w:tcPr>
            <w:tcW w:w="7310" w:type="dxa"/>
            <w:tcBorders/>
            <w:shd w:fill="CCEEFF" w:val="clear"/>
            <w:vAlign w:val="center"/>
          </w:tcPr>
          <w:p>
            <w:pPr>
              <w:pStyle w:val="TableContents"/>
              <w:bidi w:val="0"/>
              <w:spacing w:before="0" w:after="283"/>
              <w:jc w:val="left"/>
              <w:rPr/>
            </w:pPr>
            <w:r>
              <w:rPr/>
              <w:t>Operating costs and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310"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5,810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4,535</w:t>
            </w:r>
          </w:p>
        </w:tc>
        <w:tc>
          <w:tcPr>
            <w:tcW w:w="110" w:type="dxa"/>
            <w:tcBorders/>
            <w:shd w:fill="FFFFFF" w:val="clear"/>
            <w:vAlign w:val="center"/>
          </w:tcPr>
          <w:p>
            <w:pPr>
              <w:pStyle w:val="TableContents"/>
              <w:bidi w:val="0"/>
              <w:spacing w:before="0" w:after="283"/>
              <w:jc w:val="left"/>
              <w:rPr/>
            </w:pPr>
            <w:r>
              <w:rPr/>
              <w:t> </w:t>
            </w:r>
          </w:p>
        </w:tc>
      </w:tr>
      <w:tr>
        <w:trPr/>
        <w:tc>
          <w:tcPr>
            <w:tcW w:w="7310" w:type="dxa"/>
            <w:tcBorders/>
            <w:shd w:fill="CCEEFF" w:val="clear"/>
            <w:vAlign w:val="center"/>
          </w:tcPr>
          <w:p>
            <w:pPr>
              <w:pStyle w:val="TableContents"/>
              <w:bidi w:val="0"/>
              <w:spacing w:before="0" w:after="283"/>
              <w:jc w:val="left"/>
              <w:rPr/>
            </w:pPr>
            <w:r>
              <w:rPr/>
              <w:t>Sales and marketing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5,622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3,934</w:t>
            </w:r>
          </w:p>
        </w:tc>
        <w:tc>
          <w:tcPr>
            <w:tcW w:w="110" w:type="dxa"/>
            <w:tcBorders/>
            <w:shd w:fill="CCEEFF" w:val="clear"/>
            <w:vAlign w:val="center"/>
          </w:tcPr>
          <w:p>
            <w:pPr>
              <w:pStyle w:val="TableContents"/>
              <w:bidi w:val="0"/>
              <w:spacing w:before="0" w:after="283"/>
              <w:jc w:val="left"/>
              <w:rPr/>
            </w:pPr>
            <w:r>
              <w:rPr/>
              <w:t> </w:t>
            </w:r>
          </w:p>
        </w:tc>
      </w:tr>
      <w:tr>
        <w:trPr/>
        <w:tc>
          <w:tcPr>
            <w:tcW w:w="7310"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6,937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4,490</w:t>
            </w:r>
          </w:p>
        </w:tc>
        <w:tc>
          <w:tcPr>
            <w:tcW w:w="110" w:type="dxa"/>
            <w:tcBorders/>
            <w:shd w:fill="FFFFFF" w:val="clear"/>
            <w:vAlign w:val="center"/>
          </w:tcPr>
          <w:p>
            <w:pPr>
              <w:pStyle w:val="TableContents"/>
              <w:bidi w:val="0"/>
              <w:spacing w:before="0" w:after="283"/>
              <w:jc w:val="left"/>
              <w:rPr/>
            </w:pPr>
            <w:r>
              <w:rPr/>
              <w:t> </w:t>
            </w:r>
          </w:p>
        </w:tc>
      </w:tr>
      <w:tr>
        <w:trPr/>
        <w:tc>
          <w:tcPr>
            <w:tcW w:w="7310"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1,794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2,064</w:t>
            </w:r>
          </w:p>
        </w:tc>
        <w:tc>
          <w:tcPr>
            <w:tcW w:w="110" w:type="dxa"/>
            <w:tcBorders/>
            <w:shd w:fill="CCEEFF" w:val="clear"/>
            <w:vAlign w:val="center"/>
          </w:tcPr>
          <w:p>
            <w:pPr>
              <w:pStyle w:val="TableContents"/>
              <w:bidi w:val="0"/>
              <w:spacing w:before="0" w:after="283"/>
              <w:jc w:val="left"/>
              <w:rPr/>
            </w:pPr>
            <w:r>
              <w:rPr/>
              <w:t> </w:t>
            </w:r>
          </w:p>
        </w:tc>
      </w:tr>
      <w:tr>
        <w:trPr/>
        <w:tc>
          <w:tcPr>
            <w:tcW w:w="7310" w:type="dxa"/>
            <w:tcBorders/>
            <w:shd w:fill="FFFFFF" w:val="clear"/>
            <w:vAlign w:val="center"/>
          </w:tcPr>
          <w:p>
            <w:pPr>
              <w:pStyle w:val="TableContents"/>
              <w:bidi w:val="0"/>
              <w:spacing w:before="0" w:after="283"/>
              <w:jc w:val="left"/>
              <w:rPr/>
            </w:pPr>
            <w:r>
              <w:rPr/>
              <w:t>Impairment of capitalized software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384</w:t>
            </w:r>
          </w:p>
        </w:tc>
        <w:tc>
          <w:tcPr>
            <w:tcW w:w="110" w:type="dxa"/>
            <w:tcBorders/>
            <w:shd w:fill="FFFFFF" w:val="clear"/>
            <w:vAlign w:val="center"/>
          </w:tcPr>
          <w:p>
            <w:pPr>
              <w:pStyle w:val="TableContents"/>
              <w:bidi w:val="0"/>
              <w:spacing w:before="0" w:after="283"/>
              <w:jc w:val="left"/>
              <w:rPr/>
            </w:pPr>
            <w:r>
              <w:rPr/>
              <w:t> </w:t>
            </w:r>
          </w:p>
        </w:tc>
      </w:tr>
      <w:tr>
        <w:trPr/>
        <w:tc>
          <w:tcPr>
            <w:tcW w:w="7310" w:type="dxa"/>
            <w:tcBorders/>
            <w:shd w:fill="CCEEFF" w:val="clear"/>
            <w:vAlign w:val="center"/>
          </w:tcPr>
          <w:p>
            <w:pPr>
              <w:pStyle w:val="TableContents"/>
              <w:bidi w:val="0"/>
              <w:spacing w:before="0" w:after="283"/>
              <w:jc w:val="left"/>
              <w:rPr/>
            </w:pPr>
            <w:r>
              <w:rPr/>
              <w:t>Total operating costs and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20,163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15,407</w:t>
            </w:r>
          </w:p>
        </w:tc>
        <w:tc>
          <w:tcPr>
            <w:tcW w:w="110" w:type="dxa"/>
            <w:tcBorders/>
            <w:shd w:fill="CCEEFF" w:val="clear"/>
            <w:vAlign w:val="center"/>
          </w:tcPr>
          <w:p>
            <w:pPr>
              <w:pStyle w:val="TableContents"/>
              <w:bidi w:val="0"/>
              <w:spacing w:before="0" w:after="283"/>
              <w:jc w:val="left"/>
              <w:rPr/>
            </w:pPr>
            <w:r>
              <w:rPr/>
              <w:t> </w:t>
            </w:r>
          </w:p>
        </w:tc>
      </w:tr>
      <w:tr>
        <w:trPr/>
        <w:tc>
          <w:tcPr>
            <w:tcW w:w="7310" w:type="dxa"/>
            <w:tcBorders/>
            <w:shd w:fill="FFFFFF" w:val="clear"/>
            <w:vAlign w:val="center"/>
          </w:tcPr>
          <w:p>
            <w:pPr>
              <w:pStyle w:val="TableContents"/>
              <w:bidi w:val="0"/>
              <w:spacing w:before="0" w:after="283"/>
              <w:jc w:val="left"/>
              <w:rPr/>
            </w:pPr>
            <w:r>
              <w:rPr/>
              <w:t>Operating income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(3,566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(424</w:t>
            </w:r>
          </w:p>
        </w:tc>
        <w:tc>
          <w:tcPr>
            <w:tcW w:w="110" w:type="dxa"/>
            <w:tcBorders/>
            <w:shd w:fill="FFFFFF" w:val="clear"/>
            <w:vAlign w:val="center"/>
          </w:tcPr>
          <w:p>
            <w:pPr>
              <w:pStyle w:val="TableContents"/>
              <w:bidi w:val="0"/>
              <w:spacing w:before="0" w:after="283"/>
              <w:jc w:val="left"/>
              <w:rPr/>
            </w:pPr>
            <w:r>
              <w:rPr/>
              <w:t>)</w:t>
            </w:r>
          </w:p>
        </w:tc>
      </w:tr>
      <w:tr>
        <w:trPr/>
        <w:tc>
          <w:tcPr>
            <w:tcW w:w="7310" w:type="dxa"/>
            <w:tcBorders/>
            <w:shd w:fill="CCEEFF" w:val="clear"/>
            <w:vAlign w:val="center"/>
          </w:tcPr>
          <w:p>
            <w:pPr>
              <w:pStyle w:val="TableContents"/>
              <w:bidi w:val="0"/>
              <w:spacing w:before="0" w:after="283"/>
              <w:jc w:val="left"/>
              <w:rPr/>
            </w:pPr>
            <w:r>
              <w:rPr/>
              <w:t>Other (expense)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310"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(1,061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(1,026</w:t>
            </w:r>
          </w:p>
        </w:tc>
        <w:tc>
          <w:tcPr>
            <w:tcW w:w="110" w:type="dxa"/>
            <w:tcBorders/>
            <w:shd w:fill="FFFFFF" w:val="clear"/>
            <w:vAlign w:val="center"/>
          </w:tcPr>
          <w:p>
            <w:pPr>
              <w:pStyle w:val="TableContents"/>
              <w:bidi w:val="0"/>
              <w:spacing w:before="0" w:after="283"/>
              <w:jc w:val="left"/>
              <w:rPr/>
            </w:pPr>
            <w:r>
              <w:rPr/>
              <w:t>)</w:t>
            </w:r>
          </w:p>
        </w:tc>
      </w:tr>
      <w:tr>
        <w:trPr/>
        <w:tc>
          <w:tcPr>
            <w:tcW w:w="7310" w:type="dxa"/>
            <w:tcBorders/>
            <w:shd w:fill="CCEEFF" w:val="clear"/>
            <w:vAlign w:val="center"/>
          </w:tcPr>
          <w:p>
            <w:pPr>
              <w:pStyle w:val="TableContents"/>
              <w:bidi w:val="0"/>
              <w:spacing w:before="0" w:after="283"/>
              <w:jc w:val="left"/>
              <w:rPr/>
            </w:pPr>
            <w:r>
              <w:rPr/>
              <w:t>Other income (expense),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303</w:t>
            </w:r>
          </w:p>
        </w:tc>
        <w:tc>
          <w:tcPr>
            <w:tcW w:w="110" w:type="dxa"/>
            <w:tcBorders/>
            <w:shd w:fill="CCEEFF" w:val="clear"/>
            <w:vAlign w:val="center"/>
          </w:tcPr>
          <w:p>
            <w:pPr>
              <w:pStyle w:val="TableContents"/>
              <w:bidi w:val="0"/>
              <w:spacing w:before="0" w:after="283"/>
              <w:jc w:val="left"/>
              <w:rPr/>
            </w:pPr>
            <w:r>
              <w:rPr/>
              <w:t> </w:t>
            </w:r>
          </w:p>
        </w:tc>
      </w:tr>
      <w:tr>
        <w:trPr/>
        <w:tc>
          <w:tcPr>
            <w:tcW w:w="7310" w:type="dxa"/>
            <w:tcBorders/>
            <w:shd w:fill="FFFFFF" w:val="clear"/>
            <w:vAlign w:val="center"/>
          </w:tcPr>
          <w:p>
            <w:pPr>
              <w:pStyle w:val="TableContents"/>
              <w:bidi w:val="0"/>
              <w:spacing w:before="0" w:after="283"/>
              <w:jc w:val="left"/>
              <w:rPr/>
            </w:pPr>
            <w:r>
              <w:rPr/>
              <w:t>Income (loss) before income taxes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(4,502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(1,147</w:t>
            </w:r>
          </w:p>
        </w:tc>
        <w:tc>
          <w:tcPr>
            <w:tcW w:w="110" w:type="dxa"/>
            <w:tcBorders/>
            <w:shd w:fill="FFFFFF" w:val="clear"/>
            <w:vAlign w:val="center"/>
          </w:tcPr>
          <w:p>
            <w:pPr>
              <w:pStyle w:val="TableContents"/>
              <w:bidi w:val="0"/>
              <w:spacing w:before="0" w:after="283"/>
              <w:jc w:val="left"/>
              <w:rPr/>
            </w:pPr>
            <w:r>
              <w:rPr/>
              <w:t>)</w:t>
            </w:r>
          </w:p>
        </w:tc>
      </w:tr>
      <w:tr>
        <w:trPr/>
        <w:tc>
          <w:tcPr>
            <w:tcW w:w="7310" w:type="dxa"/>
            <w:tcBorders/>
            <w:shd w:fill="CCEEFF" w:val="clear"/>
            <w:vAlign w:val="center"/>
          </w:tcPr>
          <w:p>
            <w:pPr>
              <w:pStyle w:val="TableContents"/>
              <w:bidi w:val="0"/>
              <w:spacing w:before="0" w:after="283"/>
              <w:jc w:val="left"/>
              <w:rPr/>
            </w:pPr>
            <w:r>
              <w:rPr/>
              <w:t>Income tax provision (benefit)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23</w:t>
            </w:r>
          </w:p>
        </w:tc>
        <w:tc>
          <w:tcPr>
            <w:tcW w:w="110" w:type="dxa"/>
            <w:tcBorders/>
            <w:shd w:fill="CCEEFF" w:val="clear"/>
            <w:vAlign w:val="center"/>
          </w:tcPr>
          <w:p>
            <w:pPr>
              <w:pStyle w:val="TableContents"/>
              <w:bidi w:val="0"/>
              <w:spacing w:before="0" w:after="283"/>
              <w:jc w:val="left"/>
              <w:rPr/>
            </w:pPr>
            <w:r>
              <w:rPr/>
              <w:t> </w:t>
            </w:r>
          </w:p>
        </w:tc>
      </w:tr>
      <w:tr>
        <w:trPr/>
        <w:tc>
          <w:tcPr>
            <w:tcW w:w="7310" w:type="dxa"/>
            <w:tcBorders/>
            <w:shd w:fill="FFFFFF" w:val="clear"/>
            <w:vAlign w:val="center"/>
          </w:tcPr>
          <w:p>
            <w:pPr>
              <w:pStyle w:val="TableContents"/>
              <w:bidi w:val="0"/>
              <w:spacing w:before="0" w:after="283"/>
              <w:jc w:val="left"/>
              <w:rPr/>
            </w:pPr>
            <w:r>
              <w:rPr/>
              <w:t>Income (loss) from continuing operations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(4,536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(1,170</w:t>
            </w:r>
          </w:p>
        </w:tc>
        <w:tc>
          <w:tcPr>
            <w:tcW w:w="110" w:type="dxa"/>
            <w:tcBorders/>
            <w:shd w:fill="FFFFFF" w:val="clear"/>
            <w:vAlign w:val="center"/>
          </w:tcPr>
          <w:p>
            <w:pPr>
              <w:pStyle w:val="TableContents"/>
              <w:bidi w:val="0"/>
              <w:spacing w:before="0" w:after="283"/>
              <w:jc w:val="left"/>
              <w:rPr/>
            </w:pPr>
            <w:r>
              <w:rPr/>
              <w:t>)</w:t>
            </w:r>
          </w:p>
        </w:tc>
      </w:tr>
      <w:tr>
        <w:trPr/>
        <w:tc>
          <w:tcPr>
            <w:tcW w:w="7310" w:type="dxa"/>
            <w:tcBorders/>
            <w:shd w:fill="CCEEFF" w:val="clear"/>
            <w:vAlign w:val="center"/>
          </w:tcPr>
          <w:p>
            <w:pPr>
              <w:pStyle w:val="TableContents"/>
              <w:bidi w:val="0"/>
              <w:spacing w:before="0" w:after="283"/>
              <w:jc w:val="left"/>
              <w:rPr/>
            </w:pPr>
            <w:r>
              <w:rPr/>
              <w:t>Income (loss) from discontinued operations, net of income tax provision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(400</w:t>
            </w:r>
          </w:p>
        </w:tc>
        <w:tc>
          <w:tcPr>
            <w:tcW w:w="110" w:type="dxa"/>
            <w:tcBorders/>
            <w:shd w:fill="CCEEFF" w:val="clear"/>
            <w:vAlign w:val="center"/>
          </w:tcPr>
          <w:p>
            <w:pPr>
              <w:pStyle w:val="TableContents"/>
              <w:bidi w:val="0"/>
              <w:spacing w:before="0" w:after="283"/>
              <w:jc w:val="left"/>
              <w:rPr/>
            </w:pPr>
            <w:r>
              <w:rPr/>
              <w:t>)</w:t>
            </w:r>
          </w:p>
        </w:tc>
      </w:tr>
      <w:tr>
        <w:trPr/>
        <w:tc>
          <w:tcPr>
            <w:tcW w:w="7310" w:type="dxa"/>
            <w:tcBorders/>
            <w:shd w:fill="FFFFFF" w:val="clear"/>
            <w:vAlign w:val="center"/>
          </w:tcPr>
          <w:p>
            <w:pPr>
              <w:pStyle w:val="TableContents"/>
              <w:bidi w:val="0"/>
              <w:spacing w:before="0" w:after="283"/>
              <w:jc w:val="left"/>
              <w:rPr/>
            </w:pPr>
            <w:r>
              <w:rPr/>
              <w:t>Net income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(4,536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(1,570</w:t>
            </w:r>
          </w:p>
        </w:tc>
        <w:tc>
          <w:tcPr>
            <w:tcW w:w="110" w:type="dxa"/>
            <w:tcBorders/>
            <w:shd w:fill="FFFFFF" w:val="clear"/>
            <w:vAlign w:val="center"/>
          </w:tcPr>
          <w:p>
            <w:pPr>
              <w:pStyle w:val="TableContents"/>
              <w:bidi w:val="0"/>
              <w:spacing w:before="0" w:after="283"/>
              <w:jc w:val="left"/>
              <w:rPr/>
            </w:pPr>
            <w:r>
              <w:rPr/>
              <w:t>)</w:t>
            </w:r>
          </w:p>
        </w:tc>
      </w:tr>
      <w:tr>
        <w:trPr/>
        <w:tc>
          <w:tcPr>
            <w:tcW w:w="7310" w:type="dxa"/>
            <w:tcBorders/>
            <w:shd w:fill="CCEEFF" w:val="clear"/>
            <w:vAlign w:val="center"/>
          </w:tcPr>
          <w:p>
            <w:pPr>
              <w:pStyle w:val="TableContents"/>
              <w:bidi w:val="0"/>
              <w:spacing w:before="0" w:after="283"/>
              <w:jc w:val="left"/>
              <w:rPr/>
            </w:pPr>
            <w:r>
              <w:rPr/>
              <w:t>Preferred stock dividends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(864</w:t>
            </w:r>
          </w:p>
        </w:tc>
        <w:tc>
          <w:tcPr>
            <w:tcW w:w="110" w:type="dxa"/>
            <w:tcBorders/>
            <w:shd w:fill="CCEEFF" w:val="clear"/>
            <w:vAlign w:val="center"/>
          </w:tcPr>
          <w:p>
            <w:pPr>
              <w:pStyle w:val="TableContents"/>
              <w:bidi w:val="0"/>
              <w:spacing w:before="0" w:after="283"/>
              <w:jc w:val="left"/>
              <w:rPr/>
            </w:pPr>
            <w:r>
              <w:rPr/>
              <w:t>)</w:t>
            </w:r>
          </w:p>
        </w:tc>
      </w:tr>
      <w:tr>
        <w:trPr/>
        <w:tc>
          <w:tcPr>
            <w:tcW w:w="7310" w:type="dxa"/>
            <w:tcBorders/>
            <w:shd w:fill="FFFFFF" w:val="clear"/>
            <w:vAlign w:val="center"/>
          </w:tcPr>
          <w:p>
            <w:pPr>
              <w:pStyle w:val="TableContents"/>
              <w:bidi w:val="0"/>
              <w:spacing w:before="0" w:after="283"/>
              <w:jc w:val="left"/>
              <w:rPr/>
            </w:pPr>
            <w:r>
              <w:rPr/>
              <w:t>Preferred stock exchange deemed contribution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15,100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7310" w:type="dxa"/>
            <w:tcBorders/>
            <w:shd w:fill="CCEEFF" w:val="clear"/>
            <w:vAlign w:val="center"/>
          </w:tcPr>
          <w:p>
            <w:pPr>
              <w:pStyle w:val="TableContents"/>
              <w:bidi w:val="0"/>
              <w:spacing w:before="0" w:after="283"/>
              <w:jc w:val="left"/>
              <w:rPr/>
            </w:pPr>
            <w:r>
              <w:rPr/>
              <w:t>Net income (loss) attributable to common stockholders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10,564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(2,434</w:t>
            </w:r>
          </w:p>
        </w:tc>
        <w:tc>
          <w:tcPr>
            <w:tcW w:w="110" w:type="dxa"/>
            <w:tcBorders/>
            <w:shd w:fill="CCEEFF" w:val="clear"/>
            <w:vAlign w:val="center"/>
          </w:tcPr>
          <w:p>
            <w:pPr>
              <w:pStyle w:val="TableContents"/>
              <w:bidi w:val="0"/>
              <w:spacing w:before="0" w:after="283"/>
              <w:jc w:val="left"/>
              <w:rPr/>
            </w:pPr>
            <w:r>
              <w:rPr/>
              <w:t>)</w:t>
            </w:r>
          </w:p>
        </w:tc>
      </w:tr>
      <w:tr>
        <w:trPr/>
        <w:tc>
          <w:tcPr>
            <w:tcW w:w="7310" w:type="dxa"/>
            <w:tcBorders/>
            <w:shd w:fill="FFFFFF" w:val="clear"/>
            <w:vAlign w:val="center"/>
          </w:tcPr>
          <w:p>
            <w:pPr>
              <w:pStyle w:val="TableContents"/>
              <w:bidi w:val="0"/>
              <w:spacing w:before="0" w:after="283"/>
              <w:jc w:val="left"/>
              <w:rPr/>
            </w:pPr>
            <w:r>
              <w:rPr/>
              <w:t>Per share data:</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310" w:type="dxa"/>
            <w:tcBorders/>
            <w:shd w:fill="CCEEFF" w:val="clear"/>
            <w:vAlign w:val="center"/>
          </w:tcPr>
          <w:p>
            <w:pPr>
              <w:pStyle w:val="TableContents"/>
              <w:bidi w:val="0"/>
              <w:spacing w:before="0" w:after="283"/>
              <w:jc w:val="left"/>
              <w:rPr/>
            </w:pPr>
            <w:r>
              <w:rPr/>
              <w:t>Net earnings (loss) per share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310" w:type="dxa"/>
            <w:tcBorders/>
            <w:shd w:fill="FFFFFF" w:val="clear"/>
            <w:vAlign w:val="center"/>
          </w:tcPr>
          <w:p>
            <w:pPr>
              <w:pStyle w:val="TableContents"/>
              <w:bidi w:val="0"/>
              <w:spacing w:before="0" w:after="283"/>
              <w:jc w:val="left"/>
              <w:rPr>
                <w:b/>
              </w:rPr>
            </w:pPr>
            <w:r>
              <w:rPr>
                <w:b/>
              </w:rPr>
              <w:t>Basic</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310" w:type="dxa"/>
            <w:tcBorders/>
            <w:shd w:fill="CCEEFF" w:val="clear"/>
            <w:vAlign w:val="center"/>
          </w:tcPr>
          <w:p>
            <w:pPr>
              <w:pStyle w:val="TableContents"/>
              <w:bidi w:val="0"/>
              <w:spacing w:before="0" w:after="283"/>
              <w:jc w:val="left"/>
              <w:rPr/>
            </w:pPr>
            <w:r>
              <w:rPr/>
              <w:t>Continuing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0.66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(0.14</w:t>
            </w:r>
          </w:p>
        </w:tc>
        <w:tc>
          <w:tcPr>
            <w:tcW w:w="110" w:type="dxa"/>
            <w:tcBorders/>
            <w:shd w:fill="CCEEFF" w:val="clear"/>
            <w:vAlign w:val="center"/>
          </w:tcPr>
          <w:p>
            <w:pPr>
              <w:pStyle w:val="TableContents"/>
              <w:bidi w:val="0"/>
              <w:spacing w:before="0" w:after="283"/>
              <w:jc w:val="left"/>
              <w:rPr/>
            </w:pPr>
            <w:r>
              <w:rPr/>
              <w:t>)</w:t>
            </w:r>
          </w:p>
        </w:tc>
      </w:tr>
      <w:tr>
        <w:trPr/>
        <w:tc>
          <w:tcPr>
            <w:tcW w:w="7310" w:type="dxa"/>
            <w:tcBorders/>
            <w:shd w:fill="FFFFFF" w:val="clear"/>
            <w:vAlign w:val="center"/>
          </w:tcPr>
          <w:p>
            <w:pPr>
              <w:pStyle w:val="TableContents"/>
              <w:bidi w:val="0"/>
              <w:spacing w:before="0" w:after="283"/>
              <w:jc w:val="left"/>
              <w:rPr/>
            </w:pPr>
            <w:r>
              <w:rPr/>
              <w:t>Discontinued operations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(0.03</w:t>
            </w:r>
          </w:p>
        </w:tc>
        <w:tc>
          <w:tcPr>
            <w:tcW w:w="110" w:type="dxa"/>
            <w:tcBorders/>
            <w:shd w:fill="FFFFFF" w:val="clear"/>
            <w:vAlign w:val="center"/>
          </w:tcPr>
          <w:p>
            <w:pPr>
              <w:pStyle w:val="TableContents"/>
              <w:bidi w:val="0"/>
              <w:spacing w:before="0" w:after="283"/>
              <w:jc w:val="left"/>
              <w:rPr/>
            </w:pPr>
            <w:r>
              <w:rPr/>
              <w:t>)</w:t>
            </w:r>
          </w:p>
        </w:tc>
      </w:tr>
      <w:tr>
        <w:trPr/>
        <w:tc>
          <w:tcPr>
            <w:tcW w:w="7310" w:type="dxa"/>
            <w:tcBorders/>
            <w:shd w:fill="CCEEFF" w:val="clear"/>
            <w:vAlign w:val="center"/>
          </w:tcPr>
          <w:p>
            <w:pPr>
              <w:pStyle w:val="TableContents"/>
              <w:bidi w:val="0"/>
              <w:spacing w:before="0" w:after="283"/>
              <w:jc w:val="left"/>
              <w:rPr/>
            </w:pPr>
            <w:r>
              <w:rPr/>
              <w:t>Basic earnings (loss) per share*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0.66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(0.16</w:t>
            </w:r>
          </w:p>
        </w:tc>
        <w:tc>
          <w:tcPr>
            <w:tcW w:w="110" w:type="dxa"/>
            <w:tcBorders/>
            <w:shd w:fill="CCEEFF" w:val="clear"/>
            <w:vAlign w:val="center"/>
          </w:tcPr>
          <w:p>
            <w:pPr>
              <w:pStyle w:val="TableContents"/>
              <w:bidi w:val="0"/>
              <w:spacing w:before="0" w:after="283"/>
              <w:jc w:val="left"/>
              <w:rPr/>
            </w:pPr>
            <w:r>
              <w:rPr/>
              <w:t>)</w:t>
            </w:r>
          </w:p>
        </w:tc>
      </w:tr>
      <w:tr>
        <w:trPr/>
        <w:tc>
          <w:tcPr>
            <w:tcW w:w="7310" w:type="dxa"/>
            <w:tcBorders/>
            <w:shd w:fill="FFFFFF" w:val="clear"/>
            <w:vAlign w:val="center"/>
          </w:tcPr>
          <w:p>
            <w:pPr>
              <w:pStyle w:val="TableContents"/>
              <w:bidi w:val="0"/>
              <w:spacing w:before="0" w:after="283"/>
              <w:jc w:val="left"/>
              <w:rPr>
                <w:b/>
              </w:rPr>
            </w:pPr>
            <w:r>
              <w:rPr>
                <w:b/>
              </w:rPr>
              <w:t>Diluted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310" w:type="dxa"/>
            <w:tcBorders/>
            <w:shd w:fill="CCEEFF" w:val="clear"/>
            <w:vAlign w:val="center"/>
          </w:tcPr>
          <w:p>
            <w:pPr>
              <w:pStyle w:val="TableContents"/>
              <w:bidi w:val="0"/>
              <w:spacing w:before="0" w:after="283"/>
              <w:jc w:val="left"/>
              <w:rPr/>
            </w:pPr>
            <w:r>
              <w:rPr/>
              <w:t>Continuing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0.65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(0.14</w:t>
            </w:r>
          </w:p>
        </w:tc>
        <w:tc>
          <w:tcPr>
            <w:tcW w:w="110" w:type="dxa"/>
            <w:tcBorders/>
            <w:shd w:fill="CCEEFF" w:val="clear"/>
            <w:vAlign w:val="center"/>
          </w:tcPr>
          <w:p>
            <w:pPr>
              <w:pStyle w:val="TableContents"/>
              <w:bidi w:val="0"/>
              <w:spacing w:before="0" w:after="283"/>
              <w:jc w:val="left"/>
              <w:rPr/>
            </w:pPr>
            <w:r>
              <w:rPr/>
              <w:t>)</w:t>
            </w:r>
          </w:p>
        </w:tc>
      </w:tr>
      <w:tr>
        <w:trPr/>
        <w:tc>
          <w:tcPr>
            <w:tcW w:w="7310" w:type="dxa"/>
            <w:tcBorders/>
            <w:shd w:fill="FFFFFF" w:val="clear"/>
            <w:vAlign w:val="center"/>
          </w:tcPr>
          <w:p>
            <w:pPr>
              <w:pStyle w:val="TableContents"/>
              <w:bidi w:val="0"/>
              <w:spacing w:before="0" w:after="283"/>
              <w:jc w:val="left"/>
              <w:rPr/>
            </w:pPr>
            <w:r>
              <w:rPr/>
              <w:t>Discontinued operations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(0.03</w:t>
            </w:r>
          </w:p>
        </w:tc>
        <w:tc>
          <w:tcPr>
            <w:tcW w:w="110" w:type="dxa"/>
            <w:tcBorders/>
            <w:shd w:fill="FFFFFF" w:val="clear"/>
            <w:vAlign w:val="center"/>
          </w:tcPr>
          <w:p>
            <w:pPr>
              <w:pStyle w:val="TableContents"/>
              <w:bidi w:val="0"/>
              <w:spacing w:before="0" w:after="283"/>
              <w:jc w:val="left"/>
              <w:rPr/>
            </w:pPr>
            <w:r>
              <w:rPr/>
              <w:t>)</w:t>
            </w:r>
          </w:p>
        </w:tc>
      </w:tr>
      <w:tr>
        <w:trPr/>
        <w:tc>
          <w:tcPr>
            <w:tcW w:w="7310" w:type="dxa"/>
            <w:tcBorders/>
            <w:shd w:fill="CCEEFF" w:val="clear"/>
            <w:vAlign w:val="center"/>
          </w:tcPr>
          <w:p>
            <w:pPr>
              <w:pStyle w:val="TableContents"/>
              <w:bidi w:val="0"/>
              <w:spacing w:before="0" w:after="283"/>
              <w:jc w:val="left"/>
              <w:rPr/>
            </w:pPr>
            <w:r>
              <w:rPr/>
              <w:t>Diluted earnings (loss) per share*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0.65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(0.16</w:t>
            </w:r>
          </w:p>
        </w:tc>
        <w:tc>
          <w:tcPr>
            <w:tcW w:w="110" w:type="dxa"/>
            <w:tcBorders/>
            <w:shd w:fill="CCEEFF" w:val="clear"/>
            <w:vAlign w:val="center"/>
          </w:tcPr>
          <w:p>
            <w:pPr>
              <w:pStyle w:val="TableContents"/>
              <w:bidi w:val="0"/>
              <w:spacing w:before="0" w:after="283"/>
              <w:jc w:val="left"/>
              <w:rPr/>
            </w:pPr>
            <w:r>
              <w:rPr/>
              <w:t>)</w:t>
            </w:r>
          </w:p>
        </w:tc>
      </w:tr>
      <w:tr>
        <w:trPr/>
        <w:tc>
          <w:tcPr>
            <w:tcW w:w="7310" w:type="dxa"/>
            <w:tcBorders/>
            <w:shd w:fill="FFFFFF" w:val="clear"/>
            <w:vAlign w:val="center"/>
          </w:tcPr>
          <w:p>
            <w:pPr>
              <w:pStyle w:val="TableContents"/>
              <w:bidi w:val="0"/>
              <w:spacing w:before="0" w:after="283"/>
              <w:jc w:val="left"/>
              <w:rPr/>
            </w:pPr>
            <w:r>
              <w:rPr/>
              <w:t>Weighted-average shares used in computation of net earnings (loss) per share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310" w:type="dxa"/>
            <w:tcBorders/>
            <w:shd w:fill="CCEEFF" w:val="clear"/>
            <w:vAlign w:val="center"/>
          </w:tcPr>
          <w:p>
            <w:pPr>
              <w:pStyle w:val="TableContents"/>
              <w:bidi w:val="0"/>
              <w:spacing w:before="0" w:after="283"/>
              <w:jc w:val="left"/>
              <w:rPr/>
            </w:pPr>
            <w:r>
              <w:rPr/>
              <w:t>Basic</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16,093,430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15,002,003</w:t>
            </w:r>
          </w:p>
        </w:tc>
        <w:tc>
          <w:tcPr>
            <w:tcW w:w="110" w:type="dxa"/>
            <w:tcBorders/>
            <w:shd w:fill="CCEEFF" w:val="clear"/>
            <w:vAlign w:val="center"/>
          </w:tcPr>
          <w:p>
            <w:pPr>
              <w:pStyle w:val="TableContents"/>
              <w:bidi w:val="0"/>
              <w:spacing w:before="0" w:after="283"/>
              <w:jc w:val="left"/>
              <w:rPr/>
            </w:pPr>
            <w:r>
              <w:rPr/>
              <w:t> </w:t>
            </w:r>
          </w:p>
        </w:tc>
      </w:tr>
      <w:tr>
        <w:trPr/>
        <w:tc>
          <w:tcPr>
            <w:tcW w:w="7310" w:type="dxa"/>
            <w:tcBorders/>
            <w:shd w:fill="FFFFFF" w:val="clear"/>
            <w:vAlign w:val="center"/>
          </w:tcPr>
          <w:p>
            <w:pPr>
              <w:pStyle w:val="TableContents"/>
              <w:bidi w:val="0"/>
              <w:spacing w:before="0" w:after="283"/>
              <w:jc w:val="left"/>
              <w:rPr/>
            </w:pPr>
            <w:r>
              <w:rPr/>
              <w:t>Diluted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16,356,246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15,002,003</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Rounding may impact summation of amounts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INSEEGO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66"/>
        <w:gridCol w:w="60"/>
        <w:gridCol w:w="147"/>
        <w:gridCol w:w="923"/>
        <w:gridCol w:w="95"/>
        <w:gridCol w:w="60"/>
        <w:gridCol w:w="170"/>
        <w:gridCol w:w="1072"/>
        <w:gridCol w:w="112"/>
      </w:tblGrid>
      <w:tr>
        <w:trPr/>
        <w:tc>
          <w:tcPr>
            <w:tcW w:w="756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March 31,</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w:t>
              <w:br/>
              <w:t>2025</w:t>
            </w:r>
          </w:p>
        </w:tc>
        <w:tc>
          <w:tcPr>
            <w:tcW w:w="112" w:type="dxa"/>
            <w:tcBorders/>
            <w:vAlign w:val="center"/>
          </w:tcPr>
          <w:p>
            <w:pPr>
              <w:pStyle w:val="TableContents"/>
              <w:bidi w:val="0"/>
              <w:spacing w:before="0" w:after="283"/>
              <w:jc w:val="left"/>
              <w:rPr/>
            </w:pPr>
            <w:r>
              <w:rPr/>
              <w:t> </w:t>
            </w:r>
          </w:p>
        </w:tc>
      </w:tr>
      <w:tr>
        <w:trPr/>
        <w:tc>
          <w:tcPr>
            <w:tcW w:w="7566" w:type="dxa"/>
            <w:tcBorders/>
            <w:shd w:fill="CCEEFF" w:val="clear"/>
            <w:vAlign w:val="center"/>
          </w:tcPr>
          <w:p>
            <w:pPr>
              <w:pStyle w:val="TableContents"/>
              <w:bidi w:val="0"/>
              <w:spacing w:before="0" w:after="283"/>
              <w:jc w:val="center"/>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566" w:type="dxa"/>
            <w:tcBorders/>
            <w:shd w:fill="FFFFFF" w:val="clear"/>
            <w:vAlign w:val="center"/>
          </w:tcPr>
          <w:p>
            <w:pPr>
              <w:pStyle w:val="TableContents"/>
              <w:bidi w:val="0"/>
              <w:spacing w:before="0" w:after="283"/>
              <w:jc w:val="left"/>
              <w:rPr/>
            </w:pPr>
            <w:r>
              <w:rPr/>
              <w:t>Current assets:</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566"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923" w:type="dxa"/>
            <w:tcBorders/>
            <w:shd w:fill="CCEEFF" w:val="clear"/>
            <w:vAlign w:val="center"/>
          </w:tcPr>
          <w:p>
            <w:pPr>
              <w:pStyle w:val="TableContents"/>
              <w:bidi w:val="0"/>
              <w:spacing w:before="0" w:after="283"/>
              <w:jc w:val="right"/>
              <w:rPr/>
            </w:pPr>
            <w:r>
              <w:rPr/>
              <w:t>19,297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72" w:type="dxa"/>
            <w:tcBorders/>
            <w:shd w:fill="CCEEFF" w:val="clear"/>
            <w:vAlign w:val="center"/>
          </w:tcPr>
          <w:p>
            <w:pPr>
              <w:pStyle w:val="TableContents"/>
              <w:bidi w:val="0"/>
              <w:spacing w:before="0" w:after="283"/>
              <w:jc w:val="right"/>
              <w:rPr/>
            </w:pPr>
            <w:r>
              <w:rPr/>
              <w:t>24,886</w:t>
            </w:r>
          </w:p>
        </w:tc>
        <w:tc>
          <w:tcPr>
            <w:tcW w:w="112" w:type="dxa"/>
            <w:tcBorders/>
            <w:shd w:fill="CCEEFF" w:val="clear"/>
            <w:vAlign w:val="center"/>
          </w:tcPr>
          <w:p>
            <w:pPr>
              <w:pStyle w:val="TableContents"/>
              <w:bidi w:val="0"/>
              <w:spacing w:before="0" w:after="283"/>
              <w:jc w:val="left"/>
              <w:rPr/>
            </w:pPr>
            <w:r>
              <w:rPr/>
              <w:t> </w:t>
            </w:r>
          </w:p>
        </w:tc>
      </w:tr>
      <w:tr>
        <w:trPr/>
        <w:tc>
          <w:tcPr>
            <w:tcW w:w="7566" w:type="dxa"/>
            <w:tcBorders/>
            <w:shd w:fill="FFFFFF" w:val="clear"/>
            <w:vAlign w:val="center"/>
          </w:tcPr>
          <w:p>
            <w:pPr>
              <w:pStyle w:val="TableContents"/>
              <w:bidi w:val="0"/>
              <w:spacing w:before="0" w:after="283"/>
              <w:jc w:val="left"/>
              <w:rPr/>
            </w:pPr>
            <w:r>
              <w:rPr/>
              <w:t>Accounts receivable, net</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15,719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pPr>
            <w:r>
              <w:rPr/>
              <w:t>25,086</w:t>
            </w:r>
          </w:p>
        </w:tc>
        <w:tc>
          <w:tcPr>
            <w:tcW w:w="112" w:type="dxa"/>
            <w:tcBorders/>
            <w:shd w:fill="FFFFFF" w:val="clear"/>
            <w:vAlign w:val="center"/>
          </w:tcPr>
          <w:p>
            <w:pPr>
              <w:pStyle w:val="TableContents"/>
              <w:bidi w:val="0"/>
              <w:spacing w:before="0" w:after="283"/>
              <w:jc w:val="left"/>
              <w:rPr/>
            </w:pPr>
            <w:r>
              <w:rPr/>
              <w:t> </w:t>
            </w:r>
          </w:p>
        </w:tc>
      </w:tr>
      <w:tr>
        <w:trPr/>
        <w:tc>
          <w:tcPr>
            <w:tcW w:w="7566" w:type="dxa"/>
            <w:tcBorders/>
            <w:shd w:fill="CCEEFF" w:val="clear"/>
            <w:vAlign w:val="center"/>
          </w:tcPr>
          <w:p>
            <w:pPr>
              <w:pStyle w:val="TableContents"/>
              <w:bidi w:val="0"/>
              <w:spacing w:before="0" w:after="283"/>
              <w:jc w:val="left"/>
              <w:rPr/>
            </w:pPr>
            <w:r>
              <w:rPr/>
              <w:t>Inventories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12,541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pPr>
            <w:r>
              <w:rPr/>
              <w:t>7,726</w:t>
            </w:r>
          </w:p>
        </w:tc>
        <w:tc>
          <w:tcPr>
            <w:tcW w:w="112" w:type="dxa"/>
            <w:tcBorders/>
            <w:shd w:fill="CCEEFF" w:val="clear"/>
            <w:vAlign w:val="center"/>
          </w:tcPr>
          <w:p>
            <w:pPr>
              <w:pStyle w:val="TableContents"/>
              <w:bidi w:val="0"/>
              <w:spacing w:before="0" w:after="283"/>
              <w:jc w:val="left"/>
              <w:rPr/>
            </w:pPr>
            <w:r>
              <w:rPr/>
              <w:t> </w:t>
            </w:r>
          </w:p>
        </w:tc>
      </w:tr>
      <w:tr>
        <w:trPr/>
        <w:tc>
          <w:tcPr>
            <w:tcW w:w="7566"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23" w:type="dxa"/>
            <w:tcBorders>
              <w:bottom w:val="single" w:sz="8" w:space="0" w:color="000000"/>
            </w:tcBorders>
            <w:shd w:fill="FFFFFF" w:val="clear"/>
            <w:tcMar>
              <w:bottom w:w="28" w:type="dxa"/>
            </w:tcMar>
            <w:vAlign w:val="center"/>
          </w:tcPr>
          <w:p>
            <w:pPr>
              <w:pStyle w:val="TableContents"/>
              <w:bidi w:val="0"/>
              <w:spacing w:before="0" w:after="283"/>
              <w:jc w:val="right"/>
              <w:rPr/>
            </w:pPr>
            <w:r>
              <w:rPr/>
              <w:t>5,704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2" w:type="dxa"/>
            <w:tcBorders>
              <w:bottom w:val="single" w:sz="8" w:space="0" w:color="000000"/>
            </w:tcBorders>
            <w:shd w:fill="FFFFFF" w:val="clear"/>
            <w:tcMar>
              <w:bottom w:w="28" w:type="dxa"/>
            </w:tcMar>
            <w:vAlign w:val="center"/>
          </w:tcPr>
          <w:p>
            <w:pPr>
              <w:pStyle w:val="TableContents"/>
              <w:bidi w:val="0"/>
              <w:spacing w:before="0" w:after="283"/>
              <w:jc w:val="right"/>
              <w:rPr/>
            </w:pPr>
            <w:r>
              <w:rPr/>
              <w:t>6,389</w:t>
            </w:r>
          </w:p>
        </w:tc>
        <w:tc>
          <w:tcPr>
            <w:tcW w:w="112" w:type="dxa"/>
            <w:tcBorders/>
            <w:shd w:fill="FFFFFF" w:val="clear"/>
            <w:vAlign w:val="center"/>
          </w:tcPr>
          <w:p>
            <w:pPr>
              <w:pStyle w:val="TableContents"/>
              <w:bidi w:val="0"/>
              <w:spacing w:before="0" w:after="283"/>
              <w:jc w:val="left"/>
              <w:rPr/>
            </w:pPr>
            <w:r>
              <w:rPr/>
              <w:t> </w:t>
            </w:r>
          </w:p>
        </w:tc>
      </w:tr>
      <w:tr>
        <w:trPr/>
        <w:tc>
          <w:tcPr>
            <w:tcW w:w="7566" w:type="dxa"/>
            <w:tcBorders/>
            <w:shd w:fill="CCEEFF" w:val="clear"/>
            <w:vAlign w:val="center"/>
          </w:tcPr>
          <w:p>
            <w:pPr>
              <w:pStyle w:val="TableContents"/>
              <w:bidi w:val="0"/>
              <w:spacing w:before="0" w:after="283"/>
              <w:jc w:val="left"/>
              <w:rPr/>
            </w:pPr>
            <w:r>
              <w:rPr/>
              <w:t>Total current assets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53,261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pPr>
            <w:r>
              <w:rPr/>
              <w:t>64,087</w:t>
            </w:r>
          </w:p>
        </w:tc>
        <w:tc>
          <w:tcPr>
            <w:tcW w:w="112" w:type="dxa"/>
            <w:tcBorders/>
            <w:shd w:fill="CCEEFF" w:val="clear"/>
            <w:vAlign w:val="center"/>
          </w:tcPr>
          <w:p>
            <w:pPr>
              <w:pStyle w:val="TableContents"/>
              <w:bidi w:val="0"/>
              <w:spacing w:before="0" w:after="283"/>
              <w:jc w:val="left"/>
              <w:rPr/>
            </w:pPr>
            <w:r>
              <w:rPr/>
              <w:t> </w:t>
            </w:r>
          </w:p>
        </w:tc>
      </w:tr>
      <w:tr>
        <w:trPr/>
        <w:tc>
          <w:tcPr>
            <w:tcW w:w="7566" w:type="dxa"/>
            <w:tcBorders/>
            <w:shd w:fill="FFFFFF" w:val="clear"/>
            <w:vAlign w:val="center"/>
          </w:tcPr>
          <w:p>
            <w:pPr>
              <w:pStyle w:val="TableContents"/>
              <w:bidi w:val="0"/>
              <w:spacing w:before="0" w:after="283"/>
              <w:jc w:val="left"/>
              <w:rPr/>
            </w:pPr>
            <w:r>
              <w:rPr/>
              <w:t>Property, plant and equipment, net</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1,308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pPr>
            <w:r>
              <w:rPr/>
              <w:t>1,087</w:t>
            </w:r>
          </w:p>
        </w:tc>
        <w:tc>
          <w:tcPr>
            <w:tcW w:w="112" w:type="dxa"/>
            <w:tcBorders/>
            <w:shd w:fill="FFFFFF" w:val="clear"/>
            <w:vAlign w:val="center"/>
          </w:tcPr>
          <w:p>
            <w:pPr>
              <w:pStyle w:val="TableContents"/>
              <w:bidi w:val="0"/>
              <w:spacing w:before="0" w:after="283"/>
              <w:jc w:val="left"/>
              <w:rPr/>
            </w:pPr>
            <w:r>
              <w:rPr/>
              <w:t> </w:t>
            </w:r>
          </w:p>
        </w:tc>
      </w:tr>
      <w:tr>
        <w:trPr/>
        <w:tc>
          <w:tcPr>
            <w:tcW w:w="7566" w:type="dxa"/>
            <w:tcBorders/>
            <w:shd w:fill="CCEEFF" w:val="clear"/>
            <w:vAlign w:val="center"/>
          </w:tcPr>
          <w:p>
            <w:pPr>
              <w:pStyle w:val="TableContents"/>
              <w:bidi w:val="0"/>
              <w:spacing w:before="0" w:after="283"/>
              <w:jc w:val="left"/>
              <w:rPr/>
            </w:pPr>
            <w:r>
              <w:rPr/>
              <w:t>Intangible assets, net</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21,873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pPr>
            <w:r>
              <w:rPr/>
              <w:t>20,676</w:t>
            </w:r>
          </w:p>
        </w:tc>
        <w:tc>
          <w:tcPr>
            <w:tcW w:w="112" w:type="dxa"/>
            <w:tcBorders/>
            <w:shd w:fill="CCEEFF" w:val="clear"/>
            <w:vAlign w:val="center"/>
          </w:tcPr>
          <w:p>
            <w:pPr>
              <w:pStyle w:val="TableContents"/>
              <w:bidi w:val="0"/>
              <w:spacing w:before="0" w:after="283"/>
              <w:jc w:val="left"/>
              <w:rPr/>
            </w:pPr>
            <w:r>
              <w:rPr/>
              <w:t> </w:t>
            </w:r>
          </w:p>
        </w:tc>
      </w:tr>
      <w:tr>
        <w:trPr/>
        <w:tc>
          <w:tcPr>
            <w:tcW w:w="7566" w:type="dxa"/>
            <w:tcBorders/>
            <w:shd w:fill="FFFFFF" w:val="clear"/>
            <w:vAlign w:val="center"/>
          </w:tcPr>
          <w:p>
            <w:pPr>
              <w:pStyle w:val="TableContents"/>
              <w:bidi w:val="0"/>
              <w:spacing w:before="0" w:after="283"/>
              <w:jc w:val="left"/>
              <w:rPr/>
            </w:pPr>
            <w:r>
              <w:rPr/>
              <w:t>Goodwill</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3,949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pPr>
            <w:r>
              <w:rPr/>
              <w:t>3,949</w:t>
            </w:r>
          </w:p>
        </w:tc>
        <w:tc>
          <w:tcPr>
            <w:tcW w:w="112" w:type="dxa"/>
            <w:tcBorders/>
            <w:shd w:fill="FFFFFF" w:val="clear"/>
            <w:vAlign w:val="center"/>
          </w:tcPr>
          <w:p>
            <w:pPr>
              <w:pStyle w:val="TableContents"/>
              <w:bidi w:val="0"/>
              <w:spacing w:before="0" w:after="283"/>
              <w:jc w:val="left"/>
              <w:rPr/>
            </w:pPr>
            <w:r>
              <w:rPr/>
              <w:t> </w:t>
            </w:r>
          </w:p>
        </w:tc>
      </w:tr>
      <w:tr>
        <w:trPr/>
        <w:tc>
          <w:tcPr>
            <w:tcW w:w="7566" w:type="dxa"/>
            <w:tcBorders/>
            <w:shd w:fill="CCEEFF" w:val="clear"/>
            <w:vAlign w:val="center"/>
          </w:tcPr>
          <w:p>
            <w:pPr>
              <w:pStyle w:val="TableContents"/>
              <w:bidi w:val="0"/>
              <w:spacing w:before="0" w:after="283"/>
              <w:jc w:val="left"/>
              <w:rPr/>
            </w:pPr>
            <w:r>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3,235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pPr>
            <w:r>
              <w:rPr/>
              <w:t>3,451</w:t>
            </w:r>
          </w:p>
        </w:tc>
        <w:tc>
          <w:tcPr>
            <w:tcW w:w="112" w:type="dxa"/>
            <w:tcBorders/>
            <w:shd w:fill="CCEEFF" w:val="clear"/>
            <w:vAlign w:val="center"/>
          </w:tcPr>
          <w:p>
            <w:pPr>
              <w:pStyle w:val="TableContents"/>
              <w:bidi w:val="0"/>
              <w:spacing w:before="0" w:after="283"/>
              <w:jc w:val="left"/>
              <w:rPr/>
            </w:pPr>
            <w:r>
              <w:rPr/>
              <w:t> </w:t>
            </w:r>
          </w:p>
        </w:tc>
      </w:tr>
      <w:tr>
        <w:trPr/>
        <w:tc>
          <w:tcPr>
            <w:tcW w:w="7566" w:type="dxa"/>
            <w:tcBorders/>
            <w:shd w:fill="FFFFFF" w:val="clear"/>
            <w:vAlign w:val="center"/>
          </w:tcPr>
          <w:p>
            <w:pPr>
              <w:pStyle w:val="TableContents"/>
              <w:bidi w:val="0"/>
              <w:spacing w:before="0" w:after="283"/>
              <w:jc w:val="left"/>
              <w:rPr/>
            </w:pPr>
            <w:r>
              <w:rPr/>
              <w:t>Other assets</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23" w:type="dxa"/>
            <w:tcBorders>
              <w:bottom w:val="single" w:sz="8" w:space="0" w:color="000000"/>
            </w:tcBorders>
            <w:shd w:fill="FFFFFF" w:val="clear"/>
            <w:tcMar>
              <w:bottom w:w="28" w:type="dxa"/>
            </w:tcMar>
            <w:vAlign w:val="center"/>
          </w:tcPr>
          <w:p>
            <w:pPr>
              <w:pStyle w:val="TableContents"/>
              <w:bidi w:val="0"/>
              <w:spacing w:before="0" w:after="283"/>
              <w:jc w:val="right"/>
              <w:rPr/>
            </w:pPr>
            <w:r>
              <w:rPr/>
              <w:t>531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2" w:type="dxa"/>
            <w:tcBorders>
              <w:bottom w:val="single" w:sz="8" w:space="0" w:color="000000"/>
            </w:tcBorders>
            <w:shd w:fill="FFFFFF" w:val="clear"/>
            <w:tcMar>
              <w:bottom w:w="28" w:type="dxa"/>
            </w:tcMar>
            <w:vAlign w:val="center"/>
          </w:tcPr>
          <w:p>
            <w:pPr>
              <w:pStyle w:val="TableContents"/>
              <w:bidi w:val="0"/>
              <w:spacing w:before="0" w:after="283"/>
              <w:jc w:val="right"/>
              <w:rPr/>
            </w:pPr>
            <w:r>
              <w:rPr/>
              <w:t>557</w:t>
            </w:r>
          </w:p>
        </w:tc>
        <w:tc>
          <w:tcPr>
            <w:tcW w:w="112" w:type="dxa"/>
            <w:tcBorders/>
            <w:shd w:fill="FFFFFF" w:val="clear"/>
            <w:vAlign w:val="center"/>
          </w:tcPr>
          <w:p>
            <w:pPr>
              <w:pStyle w:val="TableContents"/>
              <w:bidi w:val="0"/>
              <w:spacing w:before="0" w:after="283"/>
              <w:jc w:val="left"/>
              <w:rPr/>
            </w:pPr>
            <w:r>
              <w:rPr/>
              <w:t> </w:t>
            </w:r>
          </w:p>
        </w:tc>
      </w:tr>
      <w:tr>
        <w:trPr/>
        <w:tc>
          <w:tcPr>
            <w:tcW w:w="7566" w:type="dxa"/>
            <w:tcBorders/>
            <w:shd w:fill="CCEEFF" w:val="clear"/>
            <w:vAlign w:val="center"/>
          </w:tcPr>
          <w:p>
            <w:pPr>
              <w:pStyle w:val="TableContents"/>
              <w:bidi w:val="0"/>
              <w:spacing w:before="0" w:after="283"/>
              <w:jc w:val="left"/>
              <w:rPr/>
            </w:pPr>
            <w:r>
              <w:rPr/>
              <w:t>Total assets</w:t>
            </w:r>
          </w:p>
        </w:tc>
        <w:tc>
          <w:tcPr>
            <w:tcW w:w="60" w:type="dxa"/>
            <w:tcBorders/>
            <w:shd w:fill="CCEEFF" w:val="clear"/>
            <w:vAlign w:val="center"/>
          </w:tcPr>
          <w:p>
            <w:pPr>
              <w:pStyle w:val="TableContents"/>
              <w:bidi w:val="0"/>
              <w:spacing w:before="0" w:after="283"/>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23" w:type="dxa"/>
            <w:tcBorders>
              <w:bottom w:val="double" w:sz="6" w:space="0" w:color="000000"/>
            </w:tcBorders>
            <w:shd w:fill="CCEEFF" w:val="clear"/>
            <w:tcMar>
              <w:bottom w:w="28" w:type="dxa"/>
            </w:tcMar>
            <w:vAlign w:val="center"/>
          </w:tcPr>
          <w:p>
            <w:pPr>
              <w:pStyle w:val="TableContents"/>
              <w:bidi w:val="0"/>
              <w:spacing w:before="0" w:after="283"/>
              <w:jc w:val="right"/>
              <w:rPr/>
            </w:pPr>
            <w:r>
              <w:rPr/>
              <w:t>84,157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72" w:type="dxa"/>
            <w:tcBorders>
              <w:bottom w:val="double" w:sz="6" w:space="0" w:color="000000"/>
            </w:tcBorders>
            <w:shd w:fill="CCEEFF" w:val="clear"/>
            <w:tcMar>
              <w:bottom w:w="28" w:type="dxa"/>
            </w:tcMar>
            <w:vAlign w:val="center"/>
          </w:tcPr>
          <w:p>
            <w:pPr>
              <w:pStyle w:val="TableContents"/>
              <w:bidi w:val="0"/>
              <w:spacing w:before="0" w:after="283"/>
              <w:jc w:val="right"/>
              <w:rPr/>
            </w:pPr>
            <w:r>
              <w:rPr/>
              <w:t>93,807</w:t>
            </w:r>
          </w:p>
        </w:tc>
        <w:tc>
          <w:tcPr>
            <w:tcW w:w="112" w:type="dxa"/>
            <w:tcBorders/>
            <w:shd w:fill="CCEEFF" w:val="clear"/>
            <w:vAlign w:val="center"/>
          </w:tcPr>
          <w:p>
            <w:pPr>
              <w:pStyle w:val="TableContents"/>
              <w:bidi w:val="0"/>
              <w:spacing w:before="0" w:after="283"/>
              <w:jc w:val="left"/>
              <w:rPr/>
            </w:pPr>
            <w:r>
              <w:rPr/>
              <w:t> </w:t>
            </w:r>
          </w:p>
        </w:tc>
      </w:tr>
      <w:tr>
        <w:trPr/>
        <w:tc>
          <w:tcPr>
            <w:tcW w:w="7566" w:type="dxa"/>
            <w:tcBorders/>
            <w:shd w:fill="FFFFFF" w:val="clear"/>
            <w:vAlign w:val="center"/>
          </w:tcPr>
          <w:p>
            <w:pPr>
              <w:pStyle w:val="TableContents"/>
              <w:bidi w:val="0"/>
              <w:spacing w:before="0" w:after="283"/>
              <w:jc w:val="center"/>
              <w:rPr>
                <w:b/>
              </w:rPr>
            </w:pPr>
            <w:r>
              <w:rPr>
                <w:b/>
              </w:rPr>
              <w:t>LIABILITIES AND STOCKHOLDERS’ DEFICIT</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566" w:type="dxa"/>
            <w:tcBorders/>
            <w:shd w:fill="CCEEFF" w:val="clear"/>
            <w:vAlign w:val="center"/>
          </w:tcPr>
          <w:p>
            <w:pPr>
              <w:pStyle w:val="TableContents"/>
              <w:bidi w:val="0"/>
              <w:spacing w:before="0" w:after="283"/>
              <w:jc w:val="left"/>
              <w:rPr/>
            </w:pPr>
            <w:r>
              <w:rPr/>
              <w:t>Current liabilities: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566"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w:t>
            </w:r>
          </w:p>
        </w:tc>
        <w:tc>
          <w:tcPr>
            <w:tcW w:w="923" w:type="dxa"/>
            <w:tcBorders/>
            <w:shd w:fill="FFFFFF" w:val="clear"/>
            <w:vAlign w:val="center"/>
          </w:tcPr>
          <w:p>
            <w:pPr>
              <w:pStyle w:val="TableContents"/>
              <w:bidi w:val="0"/>
              <w:spacing w:before="0" w:after="283"/>
              <w:jc w:val="right"/>
              <w:rPr/>
            </w:pPr>
            <w:r>
              <w:rPr/>
              <w:t>24,741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1072" w:type="dxa"/>
            <w:tcBorders/>
            <w:shd w:fill="FFFFFF" w:val="clear"/>
            <w:vAlign w:val="center"/>
          </w:tcPr>
          <w:p>
            <w:pPr>
              <w:pStyle w:val="TableContents"/>
              <w:bidi w:val="0"/>
              <w:spacing w:before="0" w:after="283"/>
              <w:jc w:val="right"/>
              <w:rPr/>
            </w:pPr>
            <w:r>
              <w:rPr/>
              <w:t>23,583</w:t>
            </w:r>
          </w:p>
        </w:tc>
        <w:tc>
          <w:tcPr>
            <w:tcW w:w="112" w:type="dxa"/>
            <w:tcBorders/>
            <w:shd w:fill="FFFFFF" w:val="clear"/>
            <w:vAlign w:val="center"/>
          </w:tcPr>
          <w:p>
            <w:pPr>
              <w:pStyle w:val="TableContents"/>
              <w:bidi w:val="0"/>
              <w:spacing w:before="0" w:after="283"/>
              <w:jc w:val="left"/>
              <w:rPr/>
            </w:pPr>
            <w:r>
              <w:rPr/>
              <w:t> </w:t>
            </w:r>
          </w:p>
        </w:tc>
      </w:tr>
      <w:tr>
        <w:trPr/>
        <w:tc>
          <w:tcPr>
            <w:tcW w:w="7566" w:type="dxa"/>
            <w:tcBorders/>
            <w:shd w:fill="CCEEFF" w:val="clear"/>
            <w:vAlign w:val="center"/>
          </w:tcPr>
          <w:p>
            <w:pPr>
              <w:pStyle w:val="TableContents"/>
              <w:bidi w:val="0"/>
              <w:spacing w:before="0" w:after="283"/>
              <w:jc w:val="left"/>
              <w:rPr/>
            </w:pPr>
            <w:r>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23" w:type="dxa"/>
            <w:tcBorders>
              <w:bottom w:val="single" w:sz="8" w:space="0" w:color="000000"/>
            </w:tcBorders>
            <w:shd w:fill="CCEEFF" w:val="clear"/>
            <w:tcMar>
              <w:bottom w:w="28" w:type="dxa"/>
            </w:tcMar>
            <w:vAlign w:val="center"/>
          </w:tcPr>
          <w:p>
            <w:pPr>
              <w:pStyle w:val="TableContents"/>
              <w:bidi w:val="0"/>
              <w:spacing w:before="0" w:after="283"/>
              <w:jc w:val="right"/>
              <w:rPr/>
            </w:pPr>
            <w:r>
              <w:rPr/>
              <w:t>27,397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2" w:type="dxa"/>
            <w:tcBorders>
              <w:bottom w:val="single" w:sz="8" w:space="0" w:color="000000"/>
            </w:tcBorders>
            <w:shd w:fill="CCEEFF" w:val="clear"/>
            <w:tcMar>
              <w:bottom w:w="28" w:type="dxa"/>
            </w:tcMar>
            <w:vAlign w:val="center"/>
          </w:tcPr>
          <w:p>
            <w:pPr>
              <w:pStyle w:val="TableContents"/>
              <w:bidi w:val="0"/>
              <w:spacing w:before="0" w:after="283"/>
              <w:jc w:val="right"/>
              <w:rPr/>
            </w:pPr>
            <w:r>
              <w:rPr/>
              <w:t>24,856</w:t>
            </w:r>
          </w:p>
        </w:tc>
        <w:tc>
          <w:tcPr>
            <w:tcW w:w="112" w:type="dxa"/>
            <w:tcBorders/>
            <w:shd w:fill="CCEEFF" w:val="clear"/>
            <w:vAlign w:val="center"/>
          </w:tcPr>
          <w:p>
            <w:pPr>
              <w:pStyle w:val="TableContents"/>
              <w:bidi w:val="0"/>
              <w:spacing w:before="0" w:after="283"/>
              <w:jc w:val="left"/>
              <w:rPr/>
            </w:pPr>
            <w:r>
              <w:rPr/>
              <w:t> </w:t>
            </w:r>
          </w:p>
        </w:tc>
      </w:tr>
      <w:tr>
        <w:trPr/>
        <w:tc>
          <w:tcPr>
            <w:tcW w:w="7566" w:type="dxa"/>
            <w:tcBorders/>
            <w:shd w:fill="FFFFFF" w:val="clear"/>
            <w:vAlign w:val="center"/>
          </w:tcPr>
          <w:p>
            <w:pPr>
              <w:pStyle w:val="TableContents"/>
              <w:bidi w:val="0"/>
              <w:spacing w:before="0" w:after="283"/>
              <w:jc w:val="left"/>
              <w:rPr/>
            </w:pPr>
            <w:r>
              <w:rPr/>
              <w:t>Total current liabilities</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52,138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pPr>
            <w:r>
              <w:rPr/>
              <w:t>48,439</w:t>
            </w:r>
          </w:p>
        </w:tc>
        <w:tc>
          <w:tcPr>
            <w:tcW w:w="112" w:type="dxa"/>
            <w:tcBorders/>
            <w:shd w:fill="FFFFFF" w:val="clear"/>
            <w:vAlign w:val="center"/>
          </w:tcPr>
          <w:p>
            <w:pPr>
              <w:pStyle w:val="TableContents"/>
              <w:bidi w:val="0"/>
              <w:spacing w:before="0" w:after="283"/>
              <w:jc w:val="left"/>
              <w:rPr/>
            </w:pPr>
            <w:r>
              <w:rPr/>
              <w:t> </w:t>
            </w:r>
          </w:p>
        </w:tc>
      </w:tr>
      <w:tr>
        <w:trPr/>
        <w:tc>
          <w:tcPr>
            <w:tcW w:w="7566" w:type="dxa"/>
            <w:tcBorders/>
            <w:shd w:fill="CCEEFF" w:val="clear"/>
            <w:vAlign w:val="center"/>
          </w:tcPr>
          <w:p>
            <w:pPr>
              <w:pStyle w:val="TableContents"/>
              <w:bidi w:val="0"/>
              <w:spacing w:before="0" w:after="283"/>
              <w:jc w:val="left"/>
              <w:rPr/>
            </w:pPr>
            <w:r>
              <w:rPr/>
              <w:t>Long-term liabilities: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566" w:type="dxa"/>
            <w:tcBorders/>
            <w:shd w:fill="FFFFFF" w:val="clear"/>
            <w:vAlign w:val="center"/>
          </w:tcPr>
          <w:p>
            <w:pPr>
              <w:pStyle w:val="TableContents"/>
              <w:bidi w:val="0"/>
              <w:spacing w:before="0" w:after="283"/>
              <w:jc w:val="left"/>
              <w:rPr/>
            </w:pPr>
            <w:r>
              <w:rPr/>
              <w:t>Operating lease liabilities</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2,649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pPr>
            <w:r>
              <w:rPr/>
              <w:t>2,910</w:t>
            </w:r>
          </w:p>
        </w:tc>
        <w:tc>
          <w:tcPr>
            <w:tcW w:w="112" w:type="dxa"/>
            <w:tcBorders/>
            <w:shd w:fill="FFFFFF" w:val="clear"/>
            <w:vAlign w:val="center"/>
          </w:tcPr>
          <w:p>
            <w:pPr>
              <w:pStyle w:val="TableContents"/>
              <w:bidi w:val="0"/>
              <w:spacing w:before="0" w:after="283"/>
              <w:jc w:val="left"/>
              <w:rPr/>
            </w:pPr>
            <w:r>
              <w:rPr/>
              <w:t> </w:t>
            </w:r>
          </w:p>
        </w:tc>
      </w:tr>
      <w:tr>
        <w:trPr/>
        <w:tc>
          <w:tcPr>
            <w:tcW w:w="7566" w:type="dxa"/>
            <w:tcBorders/>
            <w:shd w:fill="CCEEFF" w:val="clear"/>
            <w:vAlign w:val="center"/>
          </w:tcPr>
          <w:p>
            <w:pPr>
              <w:pStyle w:val="TableContents"/>
              <w:bidi w:val="0"/>
              <w:spacing w:before="0" w:after="283"/>
              <w:jc w:val="left"/>
              <w:rPr/>
            </w:pPr>
            <w:r>
              <w:rPr/>
              <w:t>Deferred tax liabilities, net</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189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pPr>
            <w:r>
              <w:rPr/>
              <w:t>186</w:t>
            </w:r>
          </w:p>
        </w:tc>
        <w:tc>
          <w:tcPr>
            <w:tcW w:w="112" w:type="dxa"/>
            <w:tcBorders/>
            <w:shd w:fill="CCEEFF" w:val="clear"/>
            <w:vAlign w:val="center"/>
          </w:tcPr>
          <w:p>
            <w:pPr>
              <w:pStyle w:val="TableContents"/>
              <w:bidi w:val="0"/>
              <w:spacing w:before="0" w:after="283"/>
              <w:jc w:val="left"/>
              <w:rPr/>
            </w:pPr>
            <w:r>
              <w:rPr/>
              <w:t> </w:t>
            </w:r>
          </w:p>
        </w:tc>
      </w:tr>
      <w:tr>
        <w:trPr/>
        <w:tc>
          <w:tcPr>
            <w:tcW w:w="7566" w:type="dxa"/>
            <w:tcBorders/>
            <w:shd w:fill="FFFFFF" w:val="clear"/>
            <w:vAlign w:val="center"/>
          </w:tcPr>
          <w:p>
            <w:pPr>
              <w:pStyle w:val="TableContents"/>
              <w:bidi w:val="0"/>
              <w:spacing w:before="0" w:after="283"/>
              <w:jc w:val="left"/>
              <w:rPr/>
            </w:pPr>
            <w:r>
              <w:rPr/>
              <w:t>2029 Senior Secured Notes, net</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50,415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pPr>
            <w:r>
              <w:rPr/>
              <w:t>41,611</w:t>
            </w:r>
          </w:p>
        </w:tc>
        <w:tc>
          <w:tcPr>
            <w:tcW w:w="112" w:type="dxa"/>
            <w:tcBorders/>
            <w:shd w:fill="FFFFFF" w:val="clear"/>
            <w:vAlign w:val="center"/>
          </w:tcPr>
          <w:p>
            <w:pPr>
              <w:pStyle w:val="TableContents"/>
              <w:bidi w:val="0"/>
              <w:spacing w:before="0" w:after="283"/>
              <w:jc w:val="left"/>
              <w:rPr/>
            </w:pPr>
            <w:r>
              <w:rPr/>
              <w:t> </w:t>
            </w:r>
          </w:p>
        </w:tc>
      </w:tr>
      <w:tr>
        <w:trPr/>
        <w:tc>
          <w:tcPr>
            <w:tcW w:w="7566" w:type="dxa"/>
            <w:tcBorders/>
            <w:shd w:fill="CCEEFF" w:val="clear"/>
            <w:vAlign w:val="center"/>
          </w:tcPr>
          <w:p>
            <w:pPr>
              <w:pStyle w:val="TableContents"/>
              <w:bidi w:val="0"/>
              <w:spacing w:before="0" w:after="283"/>
              <w:jc w:val="left"/>
              <w:rPr/>
            </w:pPr>
            <w:r>
              <w:rPr/>
              <w:t>Other long-term liabilities</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23" w:type="dxa"/>
            <w:tcBorders>
              <w:bottom w:val="single" w:sz="8" w:space="0" w:color="000000"/>
            </w:tcBorders>
            <w:shd w:fill="CCEEFF" w:val="clear"/>
            <w:tcMar>
              <w:bottom w:w="28" w:type="dxa"/>
            </w:tcMar>
            <w:vAlign w:val="center"/>
          </w:tcPr>
          <w:p>
            <w:pPr>
              <w:pStyle w:val="TableContents"/>
              <w:bidi w:val="0"/>
              <w:spacing w:before="0" w:after="283"/>
              <w:jc w:val="right"/>
              <w:rPr/>
            </w:pPr>
            <w:r>
              <w:rPr/>
              <w:t>4,181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2" w:type="dxa"/>
            <w:tcBorders>
              <w:bottom w:val="single" w:sz="8" w:space="0" w:color="000000"/>
            </w:tcBorders>
            <w:shd w:fill="CCEEFF" w:val="clear"/>
            <w:tcMar>
              <w:bottom w:w="28" w:type="dxa"/>
            </w:tcMar>
            <w:vAlign w:val="center"/>
          </w:tcPr>
          <w:p>
            <w:pPr>
              <w:pStyle w:val="TableContents"/>
              <w:bidi w:val="0"/>
              <w:spacing w:before="0" w:after="283"/>
              <w:jc w:val="right"/>
              <w:rPr/>
            </w:pPr>
            <w:r>
              <w:rPr/>
              <w:t>4,705</w:t>
            </w:r>
          </w:p>
        </w:tc>
        <w:tc>
          <w:tcPr>
            <w:tcW w:w="112" w:type="dxa"/>
            <w:tcBorders/>
            <w:shd w:fill="CCEEFF" w:val="clear"/>
            <w:vAlign w:val="center"/>
          </w:tcPr>
          <w:p>
            <w:pPr>
              <w:pStyle w:val="TableContents"/>
              <w:bidi w:val="0"/>
              <w:spacing w:before="0" w:after="283"/>
              <w:jc w:val="left"/>
              <w:rPr/>
            </w:pPr>
            <w:r>
              <w:rPr/>
              <w:t> </w:t>
            </w:r>
          </w:p>
        </w:tc>
      </w:tr>
      <w:tr>
        <w:trPr/>
        <w:tc>
          <w:tcPr>
            <w:tcW w:w="7566" w:type="dxa"/>
            <w:tcBorders/>
            <w:shd w:fill="FFFFFF" w:val="clear"/>
            <w:vAlign w:val="center"/>
          </w:tcPr>
          <w:p>
            <w:pPr>
              <w:pStyle w:val="TableContents"/>
              <w:bidi w:val="0"/>
              <w:spacing w:before="0" w:after="283"/>
              <w:jc w:val="left"/>
              <w:rPr/>
            </w:pPr>
            <w:r>
              <w:rPr/>
              <w:t>Total liabilities</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109,572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pPr>
            <w:r>
              <w:rPr/>
              <w:t>97,851</w:t>
            </w:r>
          </w:p>
        </w:tc>
        <w:tc>
          <w:tcPr>
            <w:tcW w:w="112" w:type="dxa"/>
            <w:tcBorders/>
            <w:shd w:fill="FFFFFF" w:val="clear"/>
            <w:vAlign w:val="center"/>
          </w:tcPr>
          <w:p>
            <w:pPr>
              <w:pStyle w:val="TableContents"/>
              <w:bidi w:val="0"/>
              <w:spacing w:before="0" w:after="283"/>
              <w:jc w:val="left"/>
              <w:rPr/>
            </w:pPr>
            <w:r>
              <w:rPr/>
              <w:t> </w:t>
            </w:r>
          </w:p>
        </w:tc>
      </w:tr>
      <w:tr>
        <w:trPr/>
        <w:tc>
          <w:tcPr>
            <w:tcW w:w="7566" w:type="dxa"/>
            <w:tcBorders/>
            <w:shd w:fill="CCEEFF" w:val="clear"/>
            <w:vAlign w:val="center"/>
          </w:tcPr>
          <w:p>
            <w:pPr>
              <w:pStyle w:val="TableContents"/>
              <w:bidi w:val="0"/>
              <w:spacing w:before="0" w:after="283"/>
              <w:jc w:val="left"/>
              <w:rPr/>
            </w:pPr>
            <w:r>
              <w:rPr/>
              <w:t>Commitments and contingencies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566" w:type="dxa"/>
            <w:tcBorders/>
            <w:shd w:fill="FFFFFF" w:val="clear"/>
            <w:vAlign w:val="center"/>
          </w:tcPr>
          <w:p>
            <w:pPr>
              <w:pStyle w:val="TableContents"/>
              <w:bidi w:val="0"/>
              <w:spacing w:before="0" w:after="283"/>
              <w:jc w:val="left"/>
              <w:rPr/>
            </w:pPr>
            <w:r>
              <w:rPr/>
              <w:t>Stockholders’ deficit:</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ind w:left="0" w:right="0" w:hanging="200"/>
              <w:jc w:val="left"/>
              <w:rPr/>
            </w:pPr>
            <w:r>
              <w:rPr/>
              <w:t> </w:t>
            </w:r>
          </w:p>
        </w:tc>
      </w:tr>
      <w:tr>
        <w:trPr/>
        <w:tc>
          <w:tcPr>
            <w:tcW w:w="7566" w:type="dxa"/>
            <w:tcBorders/>
            <w:shd w:fill="CCEEFF" w:val="clear"/>
            <w:vAlign w:val="center"/>
          </w:tcPr>
          <w:p>
            <w:pPr>
              <w:pStyle w:val="TableContents"/>
              <w:bidi w:val="0"/>
              <w:spacing w:before="0" w:after="283"/>
              <w:jc w:val="left"/>
              <w:rPr/>
            </w:pPr>
            <w:r>
              <w:rPr/>
              <w:t>Preferred stock (no shares outstanding as of March 31, 2026; aggregate liquidation preference of $41,966 as of December 31, 2025)</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p>
        </w:tc>
      </w:tr>
      <w:tr>
        <w:trPr/>
        <w:tc>
          <w:tcPr>
            <w:tcW w:w="7566" w:type="dxa"/>
            <w:tcBorders/>
            <w:shd w:fill="FFFFFF" w:val="clear"/>
            <w:vAlign w:val="center"/>
          </w:tcPr>
          <w:p>
            <w:pPr>
              <w:pStyle w:val="TableContents"/>
              <w:bidi w:val="0"/>
              <w:spacing w:before="0" w:after="283"/>
              <w:jc w:val="left"/>
              <w:rPr/>
            </w:pPr>
            <w:r>
              <w:rPr/>
              <w:t>Common stock</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pPr>
            <w:r>
              <w:rPr/>
              <w:t>15</w:t>
            </w:r>
          </w:p>
        </w:tc>
        <w:tc>
          <w:tcPr>
            <w:tcW w:w="112" w:type="dxa"/>
            <w:tcBorders/>
            <w:shd w:fill="FFFFFF" w:val="clear"/>
            <w:vAlign w:val="center"/>
          </w:tcPr>
          <w:p>
            <w:pPr>
              <w:pStyle w:val="TableContents"/>
              <w:bidi w:val="0"/>
              <w:spacing w:before="0" w:after="283"/>
              <w:jc w:val="left"/>
              <w:rPr/>
            </w:pPr>
            <w:r>
              <w:rPr/>
              <w:t> </w:t>
            </w:r>
          </w:p>
        </w:tc>
      </w:tr>
      <w:tr>
        <w:trPr/>
        <w:tc>
          <w:tcPr>
            <w:tcW w:w="7566" w:type="dxa"/>
            <w:tcBorders/>
            <w:shd w:fill="CCEEFF" w:val="clear"/>
            <w:vAlign w:val="center"/>
          </w:tcPr>
          <w:p>
            <w:pPr>
              <w:pStyle w:val="TableContents"/>
              <w:bidi w:val="0"/>
              <w:spacing w:before="0" w:after="283"/>
              <w:jc w:val="left"/>
              <w:rPr/>
            </w:pPr>
            <w:r>
              <w:rPr/>
              <w:t>Additional paid-in capital</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871,990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pPr>
            <w:r>
              <w:rPr/>
              <w:t>903,899</w:t>
            </w:r>
          </w:p>
        </w:tc>
        <w:tc>
          <w:tcPr>
            <w:tcW w:w="112" w:type="dxa"/>
            <w:tcBorders/>
            <w:shd w:fill="CCEEFF" w:val="clear"/>
            <w:vAlign w:val="center"/>
          </w:tcPr>
          <w:p>
            <w:pPr>
              <w:pStyle w:val="TableContents"/>
              <w:bidi w:val="0"/>
              <w:spacing w:before="0" w:after="283"/>
              <w:jc w:val="left"/>
              <w:rPr/>
            </w:pPr>
            <w:r>
              <w:rPr/>
              <w:t> </w:t>
            </w:r>
          </w:p>
        </w:tc>
      </w:tr>
      <w:tr>
        <w:trPr/>
        <w:tc>
          <w:tcPr>
            <w:tcW w:w="7566" w:type="dxa"/>
            <w:tcBorders/>
            <w:shd w:fill="FFFFFF" w:val="clear"/>
            <w:vAlign w:val="center"/>
          </w:tcPr>
          <w:p>
            <w:pPr>
              <w:pStyle w:val="TableContents"/>
              <w:bidi w:val="0"/>
              <w:spacing w:before="0" w:after="283"/>
              <w:jc w:val="left"/>
              <w:rPr/>
            </w:pPr>
            <w:r>
              <w:rPr/>
              <w:t>Accumulated other comprehensive loss</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376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pPr>
            <w:r>
              <w:rPr/>
              <w:t>403</w:t>
            </w:r>
          </w:p>
        </w:tc>
        <w:tc>
          <w:tcPr>
            <w:tcW w:w="112" w:type="dxa"/>
            <w:tcBorders/>
            <w:shd w:fill="FFFFFF" w:val="clear"/>
            <w:vAlign w:val="center"/>
          </w:tcPr>
          <w:p>
            <w:pPr>
              <w:pStyle w:val="TableContents"/>
              <w:bidi w:val="0"/>
              <w:spacing w:before="0" w:after="283"/>
              <w:jc w:val="left"/>
              <w:rPr/>
            </w:pPr>
            <w:r>
              <w:rPr/>
              <w:t> </w:t>
            </w:r>
          </w:p>
        </w:tc>
      </w:tr>
      <w:tr>
        <w:trPr/>
        <w:tc>
          <w:tcPr>
            <w:tcW w:w="7566"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23" w:type="dxa"/>
            <w:tcBorders>
              <w:bottom w:val="single" w:sz="8" w:space="0" w:color="000000"/>
            </w:tcBorders>
            <w:shd w:fill="CCEEFF" w:val="clear"/>
            <w:tcMar>
              <w:bottom w:w="28" w:type="dxa"/>
            </w:tcMar>
            <w:vAlign w:val="center"/>
          </w:tcPr>
          <w:p>
            <w:pPr>
              <w:pStyle w:val="TableContents"/>
              <w:bidi w:val="0"/>
              <w:spacing w:before="0" w:after="283"/>
              <w:jc w:val="right"/>
              <w:rPr/>
            </w:pPr>
            <w:r>
              <w:rPr/>
              <w:t>(897,797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2" w:type="dxa"/>
            <w:tcBorders>
              <w:bottom w:val="single" w:sz="8" w:space="0" w:color="000000"/>
            </w:tcBorders>
            <w:shd w:fill="CCEEFF" w:val="clear"/>
            <w:tcMar>
              <w:bottom w:w="28" w:type="dxa"/>
            </w:tcMar>
            <w:vAlign w:val="center"/>
          </w:tcPr>
          <w:p>
            <w:pPr>
              <w:pStyle w:val="TableContents"/>
              <w:bidi w:val="0"/>
              <w:spacing w:before="0" w:after="283"/>
              <w:jc w:val="right"/>
              <w:rPr/>
            </w:pPr>
            <w:r>
              <w:rPr/>
              <w:t>(908,361</w:t>
            </w:r>
          </w:p>
        </w:tc>
        <w:tc>
          <w:tcPr>
            <w:tcW w:w="112" w:type="dxa"/>
            <w:tcBorders/>
            <w:shd w:fill="CCEEFF" w:val="clear"/>
            <w:vAlign w:val="center"/>
          </w:tcPr>
          <w:p>
            <w:pPr>
              <w:pStyle w:val="TableContents"/>
              <w:bidi w:val="0"/>
              <w:spacing w:before="0" w:after="283"/>
              <w:jc w:val="left"/>
              <w:rPr/>
            </w:pPr>
            <w:r>
              <w:rPr/>
              <w:t>)</w:t>
            </w:r>
          </w:p>
        </w:tc>
      </w:tr>
      <w:tr>
        <w:trPr/>
        <w:tc>
          <w:tcPr>
            <w:tcW w:w="7566" w:type="dxa"/>
            <w:tcBorders/>
            <w:shd w:fill="FFFFFF" w:val="clear"/>
            <w:vAlign w:val="center"/>
          </w:tcPr>
          <w:p>
            <w:pPr>
              <w:pStyle w:val="TableContents"/>
              <w:bidi w:val="0"/>
              <w:spacing w:before="0" w:after="283"/>
              <w:jc w:val="left"/>
              <w:rPr/>
            </w:pPr>
            <w:r>
              <w:rPr/>
              <w:t>Total stockholders’ deficit</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23" w:type="dxa"/>
            <w:tcBorders>
              <w:bottom w:val="single" w:sz="8" w:space="0" w:color="000000"/>
            </w:tcBorders>
            <w:shd w:fill="FFFFFF" w:val="clear"/>
            <w:tcMar>
              <w:bottom w:w="28" w:type="dxa"/>
            </w:tcMar>
            <w:vAlign w:val="center"/>
          </w:tcPr>
          <w:p>
            <w:pPr>
              <w:pStyle w:val="TableContents"/>
              <w:bidi w:val="0"/>
              <w:spacing w:before="0" w:after="283"/>
              <w:jc w:val="right"/>
              <w:rPr/>
            </w:pPr>
            <w:r>
              <w:rPr/>
              <w:t>(25,415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2" w:type="dxa"/>
            <w:tcBorders>
              <w:bottom w:val="single" w:sz="8" w:space="0" w:color="000000"/>
            </w:tcBorders>
            <w:shd w:fill="FFFFFF" w:val="clear"/>
            <w:tcMar>
              <w:bottom w:w="28" w:type="dxa"/>
            </w:tcMar>
            <w:vAlign w:val="center"/>
          </w:tcPr>
          <w:p>
            <w:pPr>
              <w:pStyle w:val="TableContents"/>
              <w:bidi w:val="0"/>
              <w:spacing w:before="0" w:after="283"/>
              <w:jc w:val="right"/>
              <w:rPr/>
            </w:pPr>
            <w:r>
              <w:rPr/>
              <w:t>(4,044</w:t>
            </w:r>
          </w:p>
        </w:tc>
        <w:tc>
          <w:tcPr>
            <w:tcW w:w="112" w:type="dxa"/>
            <w:tcBorders/>
            <w:shd w:fill="FFFFFF" w:val="clear"/>
            <w:vAlign w:val="center"/>
          </w:tcPr>
          <w:p>
            <w:pPr>
              <w:pStyle w:val="TableContents"/>
              <w:bidi w:val="0"/>
              <w:spacing w:before="0" w:after="283"/>
              <w:jc w:val="left"/>
              <w:rPr/>
            </w:pPr>
            <w:r>
              <w:rPr/>
              <w:t>)</w:t>
            </w:r>
          </w:p>
        </w:tc>
      </w:tr>
      <w:tr>
        <w:trPr/>
        <w:tc>
          <w:tcPr>
            <w:tcW w:w="7566" w:type="dxa"/>
            <w:tcBorders/>
            <w:shd w:fill="CCEEFF" w:val="clear"/>
            <w:vAlign w:val="center"/>
          </w:tcPr>
          <w:p>
            <w:pPr>
              <w:pStyle w:val="TableContents"/>
              <w:bidi w:val="0"/>
              <w:spacing w:before="0" w:after="283"/>
              <w:jc w:val="left"/>
              <w:rPr/>
            </w:pPr>
            <w:r>
              <w:rPr/>
              <w:t>Total liabilities and stockholders’ deficit</w:t>
            </w:r>
          </w:p>
        </w:tc>
        <w:tc>
          <w:tcPr>
            <w:tcW w:w="60" w:type="dxa"/>
            <w:tcBorders/>
            <w:shd w:fill="CCEEFF" w:val="clear"/>
            <w:vAlign w:val="center"/>
          </w:tcPr>
          <w:p>
            <w:pPr>
              <w:pStyle w:val="TableContents"/>
              <w:bidi w:val="0"/>
              <w:spacing w:before="0" w:after="283"/>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23" w:type="dxa"/>
            <w:tcBorders>
              <w:bottom w:val="double" w:sz="6" w:space="0" w:color="000000"/>
            </w:tcBorders>
            <w:shd w:fill="CCEEFF" w:val="clear"/>
            <w:tcMar>
              <w:bottom w:w="28" w:type="dxa"/>
            </w:tcMar>
            <w:vAlign w:val="center"/>
          </w:tcPr>
          <w:p>
            <w:pPr>
              <w:pStyle w:val="TableContents"/>
              <w:bidi w:val="0"/>
              <w:spacing w:before="0" w:after="283"/>
              <w:jc w:val="right"/>
              <w:rPr/>
            </w:pPr>
            <w:r>
              <w:rPr/>
              <w:t>84,157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72" w:type="dxa"/>
            <w:tcBorders>
              <w:bottom w:val="double" w:sz="6" w:space="0" w:color="000000"/>
            </w:tcBorders>
            <w:shd w:fill="CCEEFF" w:val="clear"/>
            <w:tcMar>
              <w:bottom w:w="28" w:type="dxa"/>
            </w:tcMar>
            <w:vAlign w:val="center"/>
          </w:tcPr>
          <w:p>
            <w:pPr>
              <w:pStyle w:val="TableContents"/>
              <w:bidi w:val="0"/>
              <w:spacing w:before="0" w:after="283"/>
              <w:jc w:val="right"/>
              <w:rPr/>
            </w:pPr>
            <w:r>
              <w:rPr/>
              <w:t>93,807</w:t>
            </w:r>
          </w:p>
        </w:tc>
        <w:tc>
          <w:tcPr>
            <w:tcW w:w="11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INSEEGO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10145" w:type="dxa"/>
        <w:jc w:val="left"/>
        <w:tblInd w:w="0" w:type="dxa"/>
        <w:tblLayout w:type="fixed"/>
        <w:tblCellMar>
          <w:top w:w="0" w:type="dxa"/>
          <w:left w:w="0" w:type="dxa"/>
          <w:bottom w:w="0" w:type="dxa"/>
          <w:right w:w="0" w:type="dxa"/>
        </w:tblCellMar>
      </w:tblPr>
      <w:tblGrid>
        <w:gridCol w:w="8180"/>
        <w:gridCol w:w="60"/>
        <w:gridCol w:w="140"/>
        <w:gridCol w:w="680"/>
        <w:gridCol w:w="95"/>
        <w:gridCol w:w="60"/>
        <w:gridCol w:w="140"/>
        <w:gridCol w:w="680"/>
        <w:gridCol w:w="110"/>
      </w:tblGrid>
      <w:tr>
        <w:trPr/>
        <w:tc>
          <w:tcPr>
            <w:tcW w:w="81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95"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110" w:type="dxa"/>
            <w:tcBorders/>
            <w:vAlign w:val="center"/>
          </w:tcPr>
          <w:p>
            <w:pPr>
              <w:pStyle w:val="TableContents"/>
              <w:bidi w:val="0"/>
              <w:spacing w:before="0" w:after="283"/>
              <w:jc w:val="left"/>
              <w:rPr/>
            </w:pPr>
            <w:r>
              <w:rPr/>
              <w:t> </w:t>
            </w:r>
          </w:p>
        </w:tc>
      </w:tr>
      <w:tr>
        <w:trPr/>
        <w:tc>
          <w:tcPr>
            <w:tcW w:w="81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8180" w:type="dxa"/>
            <w:tcBorders/>
            <w:shd w:fill="CCEEFF" w:val="clear"/>
            <w:vAlign w:val="center"/>
          </w:tcPr>
          <w:p>
            <w:pPr>
              <w:pStyle w:val="TableContents"/>
              <w:bidi w:val="0"/>
              <w:spacing w:before="0" w:after="283"/>
              <w:jc w:val="left"/>
              <w:rPr/>
            </w:pPr>
            <w:r>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180" w:type="dxa"/>
            <w:tcBorders/>
            <w:shd w:fill="FFFFFF" w:val="clear"/>
            <w:vAlign w:val="center"/>
          </w:tcPr>
          <w:p>
            <w:pPr>
              <w:pStyle w:val="TableContents"/>
              <w:bidi w:val="0"/>
              <w:spacing w:before="0" w:after="283"/>
              <w:jc w:val="left"/>
              <w:rPr/>
            </w:pPr>
            <w:r>
              <w:rPr/>
              <w:t>Net income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80" w:type="dxa"/>
            <w:tcBorders/>
            <w:shd w:fill="FFFFFF" w:val="clear"/>
            <w:vAlign w:val="center"/>
          </w:tcPr>
          <w:p>
            <w:pPr>
              <w:pStyle w:val="TableContents"/>
              <w:bidi w:val="0"/>
              <w:spacing w:before="0" w:after="283"/>
              <w:jc w:val="right"/>
              <w:rPr/>
            </w:pPr>
            <w:r>
              <w:rPr/>
              <w:t>(4,536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80" w:type="dxa"/>
            <w:tcBorders/>
            <w:shd w:fill="FFFFFF" w:val="clear"/>
            <w:vAlign w:val="center"/>
          </w:tcPr>
          <w:p>
            <w:pPr>
              <w:pStyle w:val="TableContents"/>
              <w:bidi w:val="0"/>
              <w:spacing w:before="0" w:after="283"/>
              <w:jc w:val="right"/>
              <w:rPr/>
            </w:pPr>
            <w:r>
              <w:rPr/>
              <w:t>(1,570</w:t>
            </w:r>
          </w:p>
        </w:tc>
        <w:tc>
          <w:tcPr>
            <w:tcW w:w="110" w:type="dxa"/>
            <w:tcBorders/>
            <w:shd w:fill="FFFFFF" w:val="clear"/>
            <w:vAlign w:val="center"/>
          </w:tcPr>
          <w:p>
            <w:pPr>
              <w:pStyle w:val="TableContents"/>
              <w:bidi w:val="0"/>
              <w:spacing w:before="0" w:after="283"/>
              <w:jc w:val="left"/>
              <w:rPr/>
            </w:pPr>
            <w:r>
              <w:rPr/>
              <w:t>)</w:t>
            </w:r>
          </w:p>
        </w:tc>
      </w:tr>
      <w:tr>
        <w:trPr/>
        <w:tc>
          <w:tcPr>
            <w:tcW w:w="8180" w:type="dxa"/>
            <w:tcBorders/>
            <w:shd w:fill="CCEEFF" w:val="clear"/>
            <w:vAlign w:val="center"/>
          </w:tcPr>
          <w:p>
            <w:pPr>
              <w:pStyle w:val="TableContents"/>
              <w:bidi w:val="0"/>
              <w:spacing w:before="0" w:after="283"/>
              <w:jc w:val="left"/>
              <w:rPr/>
            </w:pPr>
            <w:r>
              <w:rPr/>
              <w:t>Adjustments to reconcile net loss to net cash provided by (used in)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180" w:type="dxa"/>
            <w:tcBorders/>
            <w:shd w:fill="FFFFFF" w:val="clear"/>
            <w:vAlign w:val="center"/>
          </w:tcPr>
          <w:p>
            <w:pPr>
              <w:pStyle w:val="TableContents"/>
              <w:bidi w:val="0"/>
              <w:spacing w:before="0" w:after="283"/>
              <w:jc w:val="left"/>
              <w:rPr/>
            </w:pPr>
            <w:r>
              <w:rPr/>
              <w:t>(Income) Loss from discontinued operations, net of tax</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400</w:t>
            </w:r>
          </w:p>
        </w:tc>
        <w:tc>
          <w:tcPr>
            <w:tcW w:w="110" w:type="dxa"/>
            <w:tcBorders/>
            <w:shd w:fill="FFFFFF" w:val="clear"/>
            <w:vAlign w:val="center"/>
          </w:tcPr>
          <w:p>
            <w:pPr>
              <w:pStyle w:val="TableContents"/>
              <w:bidi w:val="0"/>
              <w:spacing w:before="0" w:after="283"/>
              <w:jc w:val="left"/>
              <w:rPr/>
            </w:pPr>
            <w:r>
              <w:rPr/>
              <w:t> </w:t>
            </w:r>
          </w:p>
        </w:tc>
      </w:tr>
      <w:tr>
        <w:trPr/>
        <w:tc>
          <w:tcPr>
            <w:tcW w:w="8180"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1,813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2,098</w:t>
            </w:r>
          </w:p>
        </w:tc>
        <w:tc>
          <w:tcPr>
            <w:tcW w:w="110" w:type="dxa"/>
            <w:tcBorders/>
            <w:shd w:fill="CCEEFF" w:val="clear"/>
            <w:vAlign w:val="center"/>
          </w:tcPr>
          <w:p>
            <w:pPr>
              <w:pStyle w:val="TableContents"/>
              <w:bidi w:val="0"/>
              <w:spacing w:before="0" w:after="283"/>
              <w:jc w:val="left"/>
              <w:rPr/>
            </w:pPr>
            <w:r>
              <w:rPr/>
              <w:t> </w:t>
            </w:r>
          </w:p>
        </w:tc>
      </w:tr>
      <w:tr>
        <w:trPr/>
        <w:tc>
          <w:tcPr>
            <w:tcW w:w="8180" w:type="dxa"/>
            <w:tcBorders/>
            <w:shd w:fill="FFFFFF" w:val="clear"/>
            <w:vAlign w:val="center"/>
          </w:tcPr>
          <w:p>
            <w:pPr>
              <w:pStyle w:val="TableContents"/>
              <w:bidi w:val="0"/>
              <w:spacing w:before="0" w:after="283"/>
              <w:jc w:val="left"/>
              <w:rPr/>
            </w:pPr>
            <w:r>
              <w:rPr/>
              <w:t>Provision for expected credit losses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14</w:t>
            </w:r>
          </w:p>
        </w:tc>
        <w:tc>
          <w:tcPr>
            <w:tcW w:w="110" w:type="dxa"/>
            <w:tcBorders/>
            <w:shd w:fill="FFFFFF" w:val="clear"/>
            <w:vAlign w:val="center"/>
          </w:tcPr>
          <w:p>
            <w:pPr>
              <w:pStyle w:val="TableContents"/>
              <w:bidi w:val="0"/>
              <w:spacing w:before="0" w:after="283"/>
              <w:jc w:val="left"/>
              <w:rPr/>
            </w:pPr>
            <w:r>
              <w:rPr/>
              <w:t> </w:t>
            </w:r>
          </w:p>
        </w:tc>
      </w:tr>
      <w:tr>
        <w:trPr/>
        <w:tc>
          <w:tcPr>
            <w:tcW w:w="8180" w:type="dxa"/>
            <w:tcBorders/>
            <w:shd w:fill="CCEEFF" w:val="clear"/>
            <w:vAlign w:val="center"/>
          </w:tcPr>
          <w:p>
            <w:pPr>
              <w:pStyle w:val="TableContents"/>
              <w:bidi w:val="0"/>
              <w:spacing w:before="0" w:after="283"/>
              <w:jc w:val="left"/>
              <w:rPr/>
            </w:pPr>
            <w:r>
              <w:rPr/>
              <w:t>Impairment of capitalized software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384</w:t>
            </w:r>
          </w:p>
        </w:tc>
        <w:tc>
          <w:tcPr>
            <w:tcW w:w="110" w:type="dxa"/>
            <w:tcBorders/>
            <w:shd w:fill="CCEEFF" w:val="clear"/>
            <w:vAlign w:val="center"/>
          </w:tcPr>
          <w:p>
            <w:pPr>
              <w:pStyle w:val="TableContents"/>
              <w:bidi w:val="0"/>
              <w:spacing w:before="0" w:after="283"/>
              <w:jc w:val="left"/>
              <w:rPr/>
            </w:pPr>
            <w:r>
              <w:rPr/>
              <w:t> </w:t>
            </w:r>
          </w:p>
        </w:tc>
      </w:tr>
      <w:tr>
        <w:trPr/>
        <w:tc>
          <w:tcPr>
            <w:tcW w:w="8180" w:type="dxa"/>
            <w:tcBorders/>
            <w:shd w:fill="FFFFFF" w:val="clear"/>
            <w:vAlign w:val="center"/>
          </w:tcPr>
          <w:p>
            <w:pPr>
              <w:pStyle w:val="TableContents"/>
              <w:bidi w:val="0"/>
              <w:spacing w:before="0" w:after="283"/>
              <w:jc w:val="left"/>
              <w:rPr/>
            </w:pPr>
            <w:r>
              <w:rPr/>
              <w:t>Provision for excess and obsolete inventory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312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680</w:t>
            </w:r>
          </w:p>
        </w:tc>
        <w:tc>
          <w:tcPr>
            <w:tcW w:w="110" w:type="dxa"/>
            <w:tcBorders/>
            <w:shd w:fill="FFFFFF" w:val="clear"/>
            <w:vAlign w:val="center"/>
          </w:tcPr>
          <w:p>
            <w:pPr>
              <w:pStyle w:val="TableContents"/>
              <w:bidi w:val="0"/>
              <w:spacing w:before="0" w:after="283"/>
              <w:jc w:val="left"/>
              <w:rPr/>
            </w:pPr>
            <w:r>
              <w:rPr/>
              <w:t> </w:t>
            </w:r>
          </w:p>
        </w:tc>
      </w:tr>
      <w:tr>
        <w:trPr/>
        <w:tc>
          <w:tcPr>
            <w:tcW w:w="8180" w:type="dxa"/>
            <w:tcBorders/>
            <w:shd w:fill="CCEEFF" w:val="clear"/>
            <w:vAlign w:val="center"/>
          </w:tcPr>
          <w:p>
            <w:pPr>
              <w:pStyle w:val="TableContents"/>
              <w:bidi w:val="0"/>
              <w:spacing w:before="0" w:after="283"/>
              <w:jc w:val="left"/>
              <w:rPr/>
            </w:pPr>
            <w:r>
              <w:rPr/>
              <w:t>Share-based compensation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2,304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1,601</w:t>
            </w:r>
          </w:p>
        </w:tc>
        <w:tc>
          <w:tcPr>
            <w:tcW w:w="110" w:type="dxa"/>
            <w:tcBorders/>
            <w:shd w:fill="CCEEFF" w:val="clear"/>
            <w:vAlign w:val="center"/>
          </w:tcPr>
          <w:p>
            <w:pPr>
              <w:pStyle w:val="TableContents"/>
              <w:bidi w:val="0"/>
              <w:spacing w:before="0" w:after="283"/>
              <w:jc w:val="left"/>
              <w:rPr/>
            </w:pPr>
            <w:r>
              <w:rPr/>
              <w:t> </w:t>
            </w:r>
          </w:p>
        </w:tc>
      </w:tr>
      <w:tr>
        <w:trPr/>
        <w:tc>
          <w:tcPr>
            <w:tcW w:w="8180" w:type="dxa"/>
            <w:tcBorders/>
            <w:shd w:fill="FFFFFF" w:val="clear"/>
            <w:vAlign w:val="center"/>
          </w:tcPr>
          <w:p>
            <w:pPr>
              <w:pStyle w:val="TableContents"/>
              <w:bidi w:val="0"/>
              <w:spacing w:before="0" w:after="283"/>
              <w:jc w:val="left"/>
              <w:rPr/>
            </w:pPr>
            <w:r>
              <w:rPr/>
              <w:t>Amortization of debt discount (premium) and debt issuance costs,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(114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(22</w:t>
            </w:r>
          </w:p>
        </w:tc>
        <w:tc>
          <w:tcPr>
            <w:tcW w:w="110" w:type="dxa"/>
            <w:tcBorders/>
            <w:shd w:fill="FFFFFF" w:val="clear"/>
            <w:vAlign w:val="center"/>
          </w:tcPr>
          <w:p>
            <w:pPr>
              <w:pStyle w:val="TableContents"/>
              <w:bidi w:val="0"/>
              <w:spacing w:before="0" w:after="283"/>
              <w:jc w:val="left"/>
              <w:rPr/>
            </w:pPr>
            <w:r>
              <w:rPr/>
              <w:t>)</w:t>
            </w:r>
          </w:p>
        </w:tc>
      </w:tr>
      <w:tr>
        <w:trPr/>
        <w:tc>
          <w:tcPr>
            <w:tcW w:w="8180" w:type="dxa"/>
            <w:tcBorders/>
            <w:shd w:fill="CCEEFF" w:val="clear"/>
            <w:vAlign w:val="center"/>
          </w:tcPr>
          <w:p>
            <w:pPr>
              <w:pStyle w:val="TableContents"/>
              <w:bidi w:val="0"/>
              <w:spacing w:before="0" w:after="283"/>
              <w:jc w:val="left"/>
              <w:rPr/>
            </w:pPr>
            <w:r>
              <w:rPr/>
              <w:t>Deferred 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w:t>
            </w:r>
          </w:p>
        </w:tc>
        <w:tc>
          <w:tcPr>
            <w:tcW w:w="110" w:type="dxa"/>
            <w:tcBorders/>
            <w:shd w:fill="CCEEFF" w:val="clear"/>
            <w:vAlign w:val="center"/>
          </w:tcPr>
          <w:p>
            <w:pPr>
              <w:pStyle w:val="TableContents"/>
              <w:bidi w:val="0"/>
              <w:spacing w:before="0" w:after="283"/>
              <w:jc w:val="left"/>
              <w:rPr/>
            </w:pPr>
            <w:r>
              <w:rPr/>
              <w:t> </w:t>
            </w:r>
          </w:p>
        </w:tc>
      </w:tr>
      <w:tr>
        <w:trPr/>
        <w:tc>
          <w:tcPr>
            <w:tcW w:w="8180" w:type="dxa"/>
            <w:tcBorders/>
            <w:shd w:fill="FFFFFF" w:val="clear"/>
            <w:vAlign w:val="center"/>
          </w:tcPr>
          <w:p>
            <w:pPr>
              <w:pStyle w:val="TableContents"/>
              <w:bidi w:val="0"/>
              <w:spacing w:before="0" w:after="283"/>
              <w:jc w:val="left"/>
              <w:rPr/>
            </w:pPr>
            <w:r>
              <w:rPr/>
              <w:t>Non-cash operating lease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216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263</w:t>
            </w:r>
          </w:p>
        </w:tc>
        <w:tc>
          <w:tcPr>
            <w:tcW w:w="110" w:type="dxa"/>
            <w:tcBorders/>
            <w:shd w:fill="FFFFFF" w:val="clear"/>
            <w:vAlign w:val="center"/>
          </w:tcPr>
          <w:p>
            <w:pPr>
              <w:pStyle w:val="TableContents"/>
              <w:bidi w:val="0"/>
              <w:spacing w:before="0" w:after="283"/>
              <w:jc w:val="left"/>
              <w:rPr/>
            </w:pPr>
            <w:r>
              <w:rPr/>
              <w:t> </w:t>
            </w:r>
          </w:p>
        </w:tc>
      </w:tr>
      <w:tr>
        <w:trPr/>
        <w:tc>
          <w:tcPr>
            <w:tcW w:w="8180" w:type="dxa"/>
            <w:tcBorders/>
            <w:shd w:fill="CCEEFF" w:val="clear"/>
            <w:vAlign w:val="center"/>
          </w:tcPr>
          <w:p>
            <w:pPr>
              <w:pStyle w:val="TableContents"/>
              <w:bidi w:val="0"/>
              <w:spacing w:before="0" w:after="283"/>
              <w:jc w:val="left"/>
              <w:rPr/>
            </w:pPr>
            <w:r>
              <w:rPr/>
              <w:t>Other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8180" w:type="dxa"/>
            <w:tcBorders/>
            <w:shd w:fill="FFFFFF" w:val="clear"/>
            <w:vAlign w:val="center"/>
          </w:tcPr>
          <w:p>
            <w:pPr>
              <w:pStyle w:val="TableContents"/>
              <w:bidi w:val="0"/>
              <w:spacing w:before="0" w:after="283"/>
              <w:jc w:val="left"/>
              <w:rPr/>
            </w:pPr>
            <w:r>
              <w:rPr/>
              <w:t>Changes in assets and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180" w:type="dxa"/>
            <w:tcBorders/>
            <w:shd w:fill="CCEEFF" w:val="clear"/>
            <w:vAlign w:val="center"/>
          </w:tcPr>
          <w:p>
            <w:pPr>
              <w:pStyle w:val="TableContents"/>
              <w:bidi w:val="0"/>
              <w:spacing w:before="0" w:after="283"/>
              <w:jc w:val="left"/>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9,381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1,698</w:t>
            </w:r>
          </w:p>
        </w:tc>
        <w:tc>
          <w:tcPr>
            <w:tcW w:w="110" w:type="dxa"/>
            <w:tcBorders/>
            <w:shd w:fill="CCEEFF" w:val="clear"/>
            <w:vAlign w:val="center"/>
          </w:tcPr>
          <w:p>
            <w:pPr>
              <w:pStyle w:val="TableContents"/>
              <w:bidi w:val="0"/>
              <w:spacing w:before="0" w:after="283"/>
              <w:jc w:val="left"/>
              <w:rPr/>
            </w:pPr>
            <w:r>
              <w:rPr/>
              <w:t> </w:t>
            </w:r>
          </w:p>
        </w:tc>
      </w:tr>
      <w:tr>
        <w:trPr/>
        <w:tc>
          <w:tcPr>
            <w:tcW w:w="8180" w:type="dxa"/>
            <w:tcBorders/>
            <w:shd w:fill="FFFFFF" w:val="clear"/>
            <w:vAlign w:val="center"/>
          </w:tcPr>
          <w:p>
            <w:pPr>
              <w:pStyle w:val="TableContents"/>
              <w:bidi w:val="0"/>
              <w:spacing w:before="0" w:after="283"/>
              <w:jc w:val="left"/>
              <w:rPr/>
            </w:pPr>
            <w:r>
              <w:rPr/>
              <w:t>Inventories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(5,127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(2,218</w:t>
            </w:r>
          </w:p>
        </w:tc>
        <w:tc>
          <w:tcPr>
            <w:tcW w:w="110" w:type="dxa"/>
            <w:tcBorders/>
            <w:shd w:fill="FFFFFF" w:val="clear"/>
            <w:vAlign w:val="center"/>
          </w:tcPr>
          <w:p>
            <w:pPr>
              <w:pStyle w:val="TableContents"/>
              <w:bidi w:val="0"/>
              <w:spacing w:before="0" w:after="283"/>
              <w:jc w:val="left"/>
              <w:rPr/>
            </w:pPr>
            <w:r>
              <w:rPr/>
              <w:t>)</w:t>
            </w:r>
          </w:p>
        </w:tc>
      </w:tr>
      <w:tr>
        <w:trPr/>
        <w:tc>
          <w:tcPr>
            <w:tcW w:w="8180" w:type="dxa"/>
            <w:tcBorders/>
            <w:shd w:fill="CCEEFF" w:val="clear"/>
            <w:vAlign w:val="center"/>
          </w:tcPr>
          <w:p>
            <w:pPr>
              <w:pStyle w:val="TableContents"/>
              <w:bidi w:val="0"/>
              <w:spacing w:before="0" w:after="283"/>
              <w:jc w:val="left"/>
              <w:rPr/>
            </w:pPr>
            <w:r>
              <w:rPr/>
              <w:t>Prepaid expenses and other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711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1,346</w:t>
            </w:r>
          </w:p>
        </w:tc>
        <w:tc>
          <w:tcPr>
            <w:tcW w:w="110" w:type="dxa"/>
            <w:tcBorders/>
            <w:shd w:fill="CCEEFF" w:val="clear"/>
            <w:vAlign w:val="center"/>
          </w:tcPr>
          <w:p>
            <w:pPr>
              <w:pStyle w:val="TableContents"/>
              <w:bidi w:val="0"/>
              <w:spacing w:before="0" w:after="283"/>
              <w:jc w:val="left"/>
              <w:rPr/>
            </w:pPr>
            <w:r>
              <w:rPr/>
              <w:t> </w:t>
            </w:r>
          </w:p>
        </w:tc>
      </w:tr>
      <w:tr>
        <w:trPr/>
        <w:tc>
          <w:tcPr>
            <w:tcW w:w="8180"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2,056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(850</w:t>
            </w:r>
          </w:p>
        </w:tc>
        <w:tc>
          <w:tcPr>
            <w:tcW w:w="110" w:type="dxa"/>
            <w:tcBorders/>
            <w:shd w:fill="FFFFFF" w:val="clear"/>
            <w:vAlign w:val="center"/>
          </w:tcPr>
          <w:p>
            <w:pPr>
              <w:pStyle w:val="TableContents"/>
              <w:bidi w:val="0"/>
              <w:spacing w:before="0" w:after="283"/>
              <w:jc w:val="left"/>
              <w:rPr/>
            </w:pPr>
            <w:r>
              <w:rPr/>
              <w:t>)</w:t>
            </w:r>
          </w:p>
        </w:tc>
      </w:tr>
      <w:tr>
        <w:trPr/>
        <w:tc>
          <w:tcPr>
            <w:tcW w:w="8180" w:type="dxa"/>
            <w:tcBorders/>
            <w:shd w:fill="CCEEFF" w:val="clear"/>
            <w:vAlign w:val="center"/>
          </w:tcPr>
          <w:p>
            <w:pPr>
              <w:pStyle w:val="TableContents"/>
              <w:bidi w:val="0"/>
              <w:spacing w:before="0" w:after="283"/>
              <w:jc w:val="left"/>
              <w:rPr/>
            </w:pPr>
            <w:r>
              <w:rPr/>
              <w:t>Accrued expenses and other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(5,136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(6,972</w:t>
            </w:r>
          </w:p>
        </w:tc>
        <w:tc>
          <w:tcPr>
            <w:tcW w:w="110" w:type="dxa"/>
            <w:tcBorders/>
            <w:shd w:fill="CCEEFF" w:val="clear"/>
            <w:vAlign w:val="center"/>
          </w:tcPr>
          <w:p>
            <w:pPr>
              <w:pStyle w:val="TableContents"/>
              <w:bidi w:val="0"/>
              <w:spacing w:before="0" w:after="283"/>
              <w:jc w:val="left"/>
              <w:rPr/>
            </w:pPr>
            <w:r>
              <w:rPr/>
              <w:t>)</w:t>
            </w:r>
          </w:p>
        </w:tc>
      </w:tr>
      <w:tr>
        <w:trPr/>
        <w:tc>
          <w:tcPr>
            <w:tcW w:w="8180" w:type="dxa"/>
            <w:tcBorders/>
            <w:shd w:fill="FFFFFF" w:val="clear"/>
            <w:vAlign w:val="center"/>
          </w:tcPr>
          <w:p>
            <w:pPr>
              <w:pStyle w:val="TableContents"/>
              <w:bidi w:val="0"/>
              <w:spacing w:before="0" w:after="283"/>
              <w:jc w:val="left"/>
              <w:rPr/>
            </w:pPr>
            <w:r>
              <w:rPr/>
              <w:t>Operating lease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(233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(322</w:t>
            </w:r>
          </w:p>
        </w:tc>
        <w:tc>
          <w:tcPr>
            <w:tcW w:w="110" w:type="dxa"/>
            <w:tcBorders/>
            <w:shd w:fill="FFFFFF" w:val="clear"/>
            <w:vAlign w:val="center"/>
          </w:tcPr>
          <w:p>
            <w:pPr>
              <w:pStyle w:val="TableContents"/>
              <w:bidi w:val="0"/>
              <w:spacing w:before="0" w:after="283"/>
              <w:jc w:val="left"/>
              <w:rPr/>
            </w:pPr>
            <w:r>
              <w:rPr/>
              <w:t>)</w:t>
            </w:r>
          </w:p>
        </w:tc>
      </w:tr>
      <w:tr>
        <w:trPr/>
        <w:tc>
          <w:tcPr>
            <w:tcW w:w="8180" w:type="dxa"/>
            <w:tcBorders/>
            <w:shd w:fill="CCEEFF" w:val="clear"/>
            <w:vAlign w:val="center"/>
          </w:tcPr>
          <w:p>
            <w:pPr>
              <w:pStyle w:val="TableContents"/>
              <w:bidi w:val="0"/>
              <w:spacing w:before="0" w:after="283"/>
              <w:jc w:val="left"/>
              <w:rPr/>
            </w:pPr>
            <w:r>
              <w:rPr/>
              <w:t>Operating cash flows from continuing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1,715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(3,467</w:t>
            </w:r>
          </w:p>
        </w:tc>
        <w:tc>
          <w:tcPr>
            <w:tcW w:w="110" w:type="dxa"/>
            <w:tcBorders/>
            <w:shd w:fill="CCEEFF" w:val="clear"/>
            <w:vAlign w:val="center"/>
          </w:tcPr>
          <w:p>
            <w:pPr>
              <w:pStyle w:val="TableContents"/>
              <w:bidi w:val="0"/>
              <w:spacing w:before="0" w:after="283"/>
              <w:jc w:val="left"/>
              <w:rPr/>
            </w:pPr>
            <w:r>
              <w:rPr/>
              <w:t>)</w:t>
            </w:r>
          </w:p>
        </w:tc>
      </w:tr>
      <w:tr>
        <w:trPr/>
        <w:tc>
          <w:tcPr>
            <w:tcW w:w="8180" w:type="dxa"/>
            <w:tcBorders/>
            <w:shd w:fill="FFFFFF" w:val="clear"/>
            <w:vAlign w:val="center"/>
          </w:tcPr>
          <w:p>
            <w:pPr>
              <w:pStyle w:val="TableContents"/>
              <w:bidi w:val="0"/>
              <w:spacing w:before="0" w:after="283"/>
              <w:jc w:val="left"/>
              <w:rPr/>
            </w:pPr>
            <w:r>
              <w:rPr/>
              <w:t>Operating cash flows from discontinued operations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8180" w:type="dxa"/>
            <w:tcBorders/>
            <w:shd w:fill="CCEEFF" w:val="clear"/>
            <w:vAlign w:val="center"/>
          </w:tcPr>
          <w:p>
            <w:pPr>
              <w:pStyle w:val="TableContents"/>
              <w:bidi w:val="0"/>
              <w:spacing w:before="0" w:after="283"/>
              <w:jc w:val="left"/>
              <w:rPr>
                <w:b/>
              </w:rPr>
            </w:pPr>
            <w:r>
              <w:rPr>
                <w:b/>
              </w:rPr>
              <w:t>Net cash provided by (used in)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1,715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(3,467</w:t>
            </w:r>
          </w:p>
        </w:tc>
        <w:tc>
          <w:tcPr>
            <w:tcW w:w="110" w:type="dxa"/>
            <w:tcBorders/>
            <w:shd w:fill="CCEEFF" w:val="clear"/>
            <w:vAlign w:val="center"/>
          </w:tcPr>
          <w:p>
            <w:pPr>
              <w:pStyle w:val="TableContents"/>
              <w:bidi w:val="0"/>
              <w:spacing w:before="0" w:after="283"/>
              <w:jc w:val="left"/>
              <w:rPr/>
            </w:pPr>
            <w:r>
              <w:rPr/>
              <w:t>)</w:t>
            </w:r>
          </w:p>
        </w:tc>
      </w:tr>
      <w:tr>
        <w:trPr/>
        <w:tc>
          <w:tcPr>
            <w:tcW w:w="8180" w:type="dxa"/>
            <w:tcBorders/>
            <w:shd w:fill="FFFFFF" w:val="clear"/>
            <w:vAlign w:val="center"/>
          </w:tcPr>
          <w:p>
            <w:pPr>
              <w:pStyle w:val="TableContents"/>
              <w:bidi w:val="0"/>
              <w:spacing w:before="0" w:after="283"/>
              <w:jc w:val="left"/>
              <w:rPr/>
            </w:pPr>
            <w:r>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180" w:type="dxa"/>
            <w:tcBorders/>
            <w:shd w:fill="CCEEFF" w:val="clear"/>
            <w:vAlign w:val="center"/>
          </w:tcPr>
          <w:p>
            <w:pPr>
              <w:pStyle w:val="TableContents"/>
              <w:bidi w:val="0"/>
              <w:spacing w:before="0" w:after="283"/>
              <w:jc w:val="left"/>
              <w:rPr/>
            </w:pPr>
            <w:r>
              <w:rPr/>
              <w:t>Purchases of property, plant and equipment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(131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(32</w:t>
            </w:r>
          </w:p>
        </w:tc>
        <w:tc>
          <w:tcPr>
            <w:tcW w:w="110" w:type="dxa"/>
            <w:tcBorders/>
            <w:shd w:fill="CCEEFF" w:val="clear"/>
            <w:vAlign w:val="center"/>
          </w:tcPr>
          <w:p>
            <w:pPr>
              <w:pStyle w:val="TableContents"/>
              <w:bidi w:val="0"/>
              <w:spacing w:before="0" w:after="283"/>
              <w:jc w:val="left"/>
              <w:rPr/>
            </w:pPr>
            <w:r>
              <w:rPr/>
              <w:t>)</w:t>
            </w:r>
          </w:p>
        </w:tc>
      </w:tr>
      <w:tr>
        <w:trPr/>
        <w:tc>
          <w:tcPr>
            <w:tcW w:w="8180" w:type="dxa"/>
            <w:tcBorders/>
            <w:shd w:fill="FFFFFF" w:val="clear"/>
            <w:vAlign w:val="center"/>
          </w:tcPr>
          <w:p>
            <w:pPr>
              <w:pStyle w:val="TableContents"/>
              <w:bidi w:val="0"/>
              <w:spacing w:before="0" w:after="283"/>
              <w:jc w:val="left"/>
              <w:rPr/>
            </w:pPr>
            <w:r>
              <w:rPr/>
              <w:t>Additions to capitalized software development costs and purchases of intangible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(3,816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(1,693</w:t>
            </w:r>
          </w:p>
        </w:tc>
        <w:tc>
          <w:tcPr>
            <w:tcW w:w="110" w:type="dxa"/>
            <w:tcBorders/>
            <w:shd w:fill="FFFFFF" w:val="clear"/>
            <w:vAlign w:val="center"/>
          </w:tcPr>
          <w:p>
            <w:pPr>
              <w:pStyle w:val="TableContents"/>
              <w:bidi w:val="0"/>
              <w:spacing w:before="0" w:after="283"/>
              <w:jc w:val="left"/>
              <w:rPr/>
            </w:pPr>
            <w:r>
              <w:rPr/>
              <w:t>)</w:t>
            </w:r>
          </w:p>
        </w:tc>
      </w:tr>
      <w:tr>
        <w:trPr/>
        <w:tc>
          <w:tcPr>
            <w:tcW w:w="8180" w:type="dxa"/>
            <w:tcBorders/>
            <w:shd w:fill="CCEEFF" w:val="clear"/>
            <w:vAlign w:val="center"/>
          </w:tcPr>
          <w:p>
            <w:pPr>
              <w:pStyle w:val="TableContents"/>
              <w:bidi w:val="0"/>
              <w:spacing w:before="0" w:after="283"/>
              <w:jc w:val="left"/>
              <w:rPr/>
            </w:pPr>
            <w:r>
              <w:rPr/>
              <w:t>Investing cash flows from continuing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(3,947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(1,725</w:t>
            </w:r>
          </w:p>
        </w:tc>
        <w:tc>
          <w:tcPr>
            <w:tcW w:w="110" w:type="dxa"/>
            <w:tcBorders/>
            <w:shd w:fill="CCEEFF" w:val="clear"/>
            <w:vAlign w:val="center"/>
          </w:tcPr>
          <w:p>
            <w:pPr>
              <w:pStyle w:val="TableContents"/>
              <w:bidi w:val="0"/>
              <w:spacing w:before="0" w:after="283"/>
              <w:jc w:val="left"/>
              <w:rPr/>
            </w:pPr>
            <w:r>
              <w:rPr/>
              <w:t>)</w:t>
            </w:r>
          </w:p>
        </w:tc>
      </w:tr>
      <w:tr>
        <w:trPr/>
        <w:tc>
          <w:tcPr>
            <w:tcW w:w="8180" w:type="dxa"/>
            <w:tcBorders/>
            <w:shd w:fill="FFFFFF" w:val="clear"/>
            <w:vAlign w:val="center"/>
          </w:tcPr>
          <w:p>
            <w:pPr>
              <w:pStyle w:val="TableContents"/>
              <w:bidi w:val="0"/>
              <w:spacing w:before="0" w:after="283"/>
              <w:jc w:val="left"/>
              <w:rPr/>
            </w:pPr>
            <w:r>
              <w:rPr/>
              <w:t>Investing cash flows from discontinued operations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710</w:t>
            </w:r>
          </w:p>
        </w:tc>
        <w:tc>
          <w:tcPr>
            <w:tcW w:w="110" w:type="dxa"/>
            <w:tcBorders/>
            <w:shd w:fill="FFFFFF" w:val="clear"/>
            <w:vAlign w:val="center"/>
          </w:tcPr>
          <w:p>
            <w:pPr>
              <w:pStyle w:val="TableContents"/>
              <w:bidi w:val="0"/>
              <w:spacing w:before="0" w:after="283"/>
              <w:jc w:val="left"/>
              <w:rPr/>
            </w:pPr>
            <w:r>
              <w:rPr/>
              <w:t> </w:t>
            </w:r>
          </w:p>
        </w:tc>
      </w:tr>
      <w:tr>
        <w:trPr/>
        <w:tc>
          <w:tcPr>
            <w:tcW w:w="8180" w:type="dxa"/>
            <w:tcBorders/>
            <w:shd w:fill="CCEEFF" w:val="clear"/>
            <w:vAlign w:val="center"/>
          </w:tcPr>
          <w:p>
            <w:pPr>
              <w:pStyle w:val="TableContents"/>
              <w:bidi w:val="0"/>
              <w:spacing w:before="0" w:after="283"/>
              <w:jc w:val="left"/>
              <w:rPr>
                <w:b/>
              </w:rPr>
            </w:pPr>
            <w:r>
              <w:rPr>
                <w:b/>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(3,947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(1,015</w:t>
            </w:r>
          </w:p>
        </w:tc>
        <w:tc>
          <w:tcPr>
            <w:tcW w:w="110" w:type="dxa"/>
            <w:tcBorders/>
            <w:shd w:fill="CCEEFF" w:val="clear"/>
            <w:vAlign w:val="center"/>
          </w:tcPr>
          <w:p>
            <w:pPr>
              <w:pStyle w:val="TableContents"/>
              <w:bidi w:val="0"/>
              <w:spacing w:before="0" w:after="283"/>
              <w:jc w:val="left"/>
              <w:rPr/>
            </w:pPr>
            <w:r>
              <w:rPr/>
              <w:t>)</w:t>
            </w:r>
          </w:p>
        </w:tc>
      </w:tr>
      <w:tr>
        <w:trPr/>
        <w:tc>
          <w:tcPr>
            <w:tcW w:w="8180" w:type="dxa"/>
            <w:tcBorders/>
            <w:shd w:fill="FFFFFF" w:val="clear"/>
            <w:vAlign w:val="center"/>
          </w:tcPr>
          <w:p>
            <w:pPr>
              <w:pStyle w:val="TableContents"/>
              <w:bidi w:val="0"/>
              <w:spacing w:before="0" w:after="283"/>
              <w:jc w:val="left"/>
              <w:rPr/>
            </w:pPr>
            <w:r>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180" w:type="dxa"/>
            <w:tcBorders/>
            <w:shd w:fill="CCEEFF" w:val="clear"/>
            <w:vAlign w:val="center"/>
          </w:tcPr>
          <w:p>
            <w:pPr>
              <w:pStyle w:val="TableContents"/>
              <w:bidi w:val="0"/>
              <w:spacing w:before="0" w:after="283"/>
              <w:jc w:val="left"/>
              <w:rPr/>
            </w:pPr>
            <w:r>
              <w:rPr/>
              <w:t>Cash payments as part of preferred stock exchange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(3,334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8180" w:type="dxa"/>
            <w:tcBorders/>
            <w:shd w:fill="FFFFFF" w:val="clear"/>
            <w:vAlign w:val="center"/>
          </w:tcPr>
          <w:p>
            <w:pPr>
              <w:pStyle w:val="TableContents"/>
              <w:bidi w:val="0"/>
              <w:spacing w:before="0" w:after="283"/>
              <w:jc w:val="left"/>
              <w:rPr/>
            </w:pPr>
            <w:r>
              <w:rPr/>
              <w:t>Proceeds from stock option exercises and employee stock purchase plan, net of taxes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42</w:t>
            </w:r>
          </w:p>
        </w:tc>
        <w:tc>
          <w:tcPr>
            <w:tcW w:w="110" w:type="dxa"/>
            <w:tcBorders/>
            <w:shd w:fill="FFFFFF" w:val="clear"/>
            <w:vAlign w:val="center"/>
          </w:tcPr>
          <w:p>
            <w:pPr>
              <w:pStyle w:val="TableContents"/>
              <w:bidi w:val="0"/>
              <w:spacing w:before="0" w:after="283"/>
              <w:jc w:val="left"/>
              <w:rPr/>
            </w:pPr>
            <w:r>
              <w:rPr/>
              <w:t> </w:t>
            </w:r>
          </w:p>
        </w:tc>
      </w:tr>
      <w:tr>
        <w:trPr/>
        <w:tc>
          <w:tcPr>
            <w:tcW w:w="8180" w:type="dxa"/>
            <w:tcBorders/>
            <w:shd w:fill="CCEEFF" w:val="clear"/>
            <w:vAlign w:val="center"/>
          </w:tcPr>
          <w:p>
            <w:pPr>
              <w:pStyle w:val="TableContents"/>
              <w:bidi w:val="0"/>
              <w:spacing w:before="0" w:after="283"/>
              <w:jc w:val="left"/>
              <w:rPr/>
            </w:pPr>
            <w:r>
              <w:rPr/>
              <w:t>Financing cash flows from continuing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(3,333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42</w:t>
            </w:r>
          </w:p>
        </w:tc>
        <w:tc>
          <w:tcPr>
            <w:tcW w:w="110" w:type="dxa"/>
            <w:tcBorders/>
            <w:shd w:fill="CCEEFF" w:val="clear"/>
            <w:vAlign w:val="center"/>
          </w:tcPr>
          <w:p>
            <w:pPr>
              <w:pStyle w:val="TableContents"/>
              <w:bidi w:val="0"/>
              <w:spacing w:before="0" w:after="283"/>
              <w:jc w:val="left"/>
              <w:rPr/>
            </w:pPr>
            <w:r>
              <w:rPr/>
              <w:t> </w:t>
            </w:r>
          </w:p>
        </w:tc>
      </w:tr>
      <w:tr>
        <w:trPr/>
        <w:tc>
          <w:tcPr>
            <w:tcW w:w="8180" w:type="dxa"/>
            <w:tcBorders/>
            <w:shd w:fill="FFFFFF" w:val="clear"/>
            <w:vAlign w:val="center"/>
          </w:tcPr>
          <w:p>
            <w:pPr>
              <w:pStyle w:val="TableContents"/>
              <w:bidi w:val="0"/>
              <w:spacing w:before="0" w:after="283"/>
              <w:jc w:val="left"/>
              <w:rPr/>
            </w:pPr>
            <w:r>
              <w:rPr/>
              <w:t>Financing cash flows from discontinued operations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8180" w:type="dxa"/>
            <w:tcBorders/>
            <w:shd w:fill="CCEEFF" w:val="clear"/>
            <w:vAlign w:val="center"/>
          </w:tcPr>
          <w:p>
            <w:pPr>
              <w:pStyle w:val="TableContents"/>
              <w:bidi w:val="0"/>
              <w:spacing w:before="0" w:after="283"/>
              <w:jc w:val="left"/>
              <w:rPr>
                <w:b/>
              </w:rPr>
            </w:pPr>
            <w:r>
              <w:rPr>
                <w:b/>
              </w:rPr>
              <w:t>Net cash provided by (used in)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(3,333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42</w:t>
            </w:r>
          </w:p>
        </w:tc>
        <w:tc>
          <w:tcPr>
            <w:tcW w:w="110" w:type="dxa"/>
            <w:tcBorders/>
            <w:shd w:fill="CCEEFF" w:val="clear"/>
            <w:vAlign w:val="center"/>
          </w:tcPr>
          <w:p>
            <w:pPr>
              <w:pStyle w:val="TableContents"/>
              <w:bidi w:val="0"/>
              <w:spacing w:before="0" w:after="283"/>
              <w:jc w:val="left"/>
              <w:rPr/>
            </w:pPr>
            <w:r>
              <w:rPr/>
              <w:t> </w:t>
            </w:r>
          </w:p>
        </w:tc>
      </w:tr>
      <w:tr>
        <w:trPr/>
        <w:tc>
          <w:tcPr>
            <w:tcW w:w="8180" w:type="dxa"/>
            <w:tcBorders/>
            <w:shd w:fill="FFFFFF" w:val="clear"/>
            <w:vAlign w:val="center"/>
          </w:tcPr>
          <w:p>
            <w:pPr>
              <w:pStyle w:val="TableContents"/>
              <w:bidi w:val="0"/>
              <w:spacing w:before="0" w:after="283"/>
              <w:jc w:val="left"/>
              <w:rPr/>
            </w:pPr>
            <w:r>
              <w:rPr/>
              <w:t>Effect of exchange rates on cash</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(24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(7</w:t>
            </w:r>
          </w:p>
        </w:tc>
        <w:tc>
          <w:tcPr>
            <w:tcW w:w="110" w:type="dxa"/>
            <w:tcBorders/>
            <w:shd w:fill="FFFFFF" w:val="clear"/>
            <w:vAlign w:val="center"/>
          </w:tcPr>
          <w:p>
            <w:pPr>
              <w:pStyle w:val="TableContents"/>
              <w:bidi w:val="0"/>
              <w:spacing w:before="0" w:after="283"/>
              <w:jc w:val="left"/>
              <w:rPr/>
            </w:pPr>
            <w:r>
              <w:rPr/>
              <w:t>)</w:t>
            </w:r>
          </w:p>
        </w:tc>
      </w:tr>
      <w:tr>
        <w:trPr/>
        <w:tc>
          <w:tcPr>
            <w:tcW w:w="8180" w:type="dxa"/>
            <w:tcBorders/>
            <w:shd w:fill="CCEEFF" w:val="clear"/>
            <w:vAlign w:val="center"/>
          </w:tcPr>
          <w:p>
            <w:pPr>
              <w:pStyle w:val="TableContents"/>
              <w:bidi w:val="0"/>
              <w:spacing w:before="0" w:after="283"/>
              <w:jc w:val="left"/>
              <w:rPr>
                <w:b/>
              </w:rPr>
            </w:pPr>
            <w:r>
              <w:rPr>
                <w:b/>
              </w:rPr>
              <w:t>Net decrease in 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(5,589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(4,447</w:t>
            </w:r>
          </w:p>
        </w:tc>
        <w:tc>
          <w:tcPr>
            <w:tcW w:w="110" w:type="dxa"/>
            <w:tcBorders/>
            <w:shd w:fill="CCEEFF" w:val="clear"/>
            <w:vAlign w:val="center"/>
          </w:tcPr>
          <w:p>
            <w:pPr>
              <w:pStyle w:val="TableContents"/>
              <w:bidi w:val="0"/>
              <w:spacing w:before="0" w:after="283"/>
              <w:jc w:val="left"/>
              <w:rPr/>
            </w:pPr>
            <w:r>
              <w:rPr/>
              <w:t>)</w:t>
            </w:r>
          </w:p>
        </w:tc>
      </w:tr>
      <w:tr>
        <w:trPr/>
        <w:tc>
          <w:tcPr>
            <w:tcW w:w="8180" w:type="dxa"/>
            <w:tcBorders/>
            <w:shd w:fill="FFFFFF" w:val="clear"/>
            <w:vAlign w:val="center"/>
          </w:tcPr>
          <w:p>
            <w:pPr>
              <w:pStyle w:val="TableContents"/>
              <w:bidi w:val="0"/>
              <w:spacing w:before="0" w:after="283"/>
              <w:jc w:val="left"/>
              <w:rPr/>
            </w:pPr>
            <w:r>
              <w:rPr/>
              <w:t>Cash and cash equivalents, beginning of period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24,886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39,596</w:t>
            </w:r>
          </w:p>
        </w:tc>
        <w:tc>
          <w:tcPr>
            <w:tcW w:w="110" w:type="dxa"/>
            <w:tcBorders/>
            <w:shd w:fill="FFFFFF" w:val="clear"/>
            <w:vAlign w:val="center"/>
          </w:tcPr>
          <w:p>
            <w:pPr>
              <w:pStyle w:val="TableContents"/>
              <w:bidi w:val="0"/>
              <w:spacing w:before="0" w:after="283"/>
              <w:jc w:val="left"/>
              <w:rPr/>
            </w:pPr>
            <w:r>
              <w:rPr/>
              <w:t> </w:t>
            </w:r>
          </w:p>
        </w:tc>
      </w:tr>
      <w:tr>
        <w:trPr/>
        <w:tc>
          <w:tcPr>
            <w:tcW w:w="8180" w:type="dxa"/>
            <w:tcBorders/>
            <w:shd w:fill="CCEEFF" w:val="clear"/>
            <w:vAlign w:val="center"/>
          </w:tcPr>
          <w:p>
            <w:pPr>
              <w:pStyle w:val="TableContents"/>
              <w:bidi w:val="0"/>
              <w:spacing w:before="0" w:after="283"/>
              <w:jc w:val="left"/>
              <w:rPr/>
            </w:pPr>
            <w:r>
              <w:rPr/>
              <w:t>Cash and cash equivalents, end of period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19,297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35,149</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position w:val="8"/>
          <w:sz w:val="19"/>
        </w:rPr>
      </w:pPr>
      <w:r>
        <w:rPr>
          <w:caps w:val="false"/>
          <w:smallCaps w:val="false"/>
          <w:position w:val="8"/>
          <w:sz w:val="19"/>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INSEEGO CORP.</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Supplemental Reconciliations of GAAP to Non-GAAP Financial Measures</w:t>
      </w:r>
    </w:p>
    <w:p>
      <w:pPr>
        <w:pStyle w:val="TextBody"/>
        <w:bidi w:val="0"/>
        <w:spacing w:before="0" w:after="0"/>
        <w:ind w:left="0" w:right="0" w:hanging="0"/>
        <w:jc w:val="center"/>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(In thousands)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7445" w:type="dxa"/>
        <w:jc w:val="left"/>
        <w:tblInd w:w="0" w:type="dxa"/>
        <w:tblLayout w:type="fixed"/>
        <w:tblCellMar>
          <w:top w:w="0" w:type="dxa"/>
          <w:left w:w="0" w:type="dxa"/>
          <w:bottom w:w="0" w:type="dxa"/>
          <w:right w:w="0" w:type="dxa"/>
        </w:tblCellMar>
      </w:tblPr>
      <w:tblGrid>
        <w:gridCol w:w="3485"/>
        <w:gridCol w:w="60"/>
        <w:gridCol w:w="120"/>
        <w:gridCol w:w="529"/>
        <w:gridCol w:w="80"/>
        <w:gridCol w:w="60"/>
        <w:gridCol w:w="133"/>
        <w:gridCol w:w="516"/>
        <w:gridCol w:w="80"/>
        <w:gridCol w:w="60"/>
        <w:gridCol w:w="133"/>
        <w:gridCol w:w="516"/>
        <w:gridCol w:w="80"/>
        <w:gridCol w:w="60"/>
        <w:gridCol w:w="133"/>
        <w:gridCol w:w="516"/>
        <w:gridCol w:w="80"/>
        <w:gridCol w:w="60"/>
        <w:gridCol w:w="120"/>
        <w:gridCol w:w="529"/>
        <w:gridCol w:w="95"/>
      </w:tblGrid>
      <w:tr>
        <w:trPr/>
        <w:tc>
          <w:tcPr>
            <w:tcW w:w="3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9"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Q1 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9"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Q4 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9"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Q3 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9"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Q2 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9"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Q1 2025</w:t>
            </w:r>
          </w:p>
        </w:tc>
        <w:tc>
          <w:tcPr>
            <w:tcW w:w="95" w:type="dxa"/>
            <w:tcBorders/>
            <w:vAlign w:val="center"/>
          </w:tcPr>
          <w:p>
            <w:pPr>
              <w:pStyle w:val="TableContents"/>
              <w:bidi w:val="0"/>
              <w:spacing w:before="0" w:after="283"/>
              <w:jc w:val="left"/>
              <w:rPr/>
            </w:pPr>
            <w:r>
              <w:rPr/>
              <w:t> </w:t>
            </w:r>
          </w:p>
        </w:tc>
      </w:tr>
      <w:tr>
        <w:trPr/>
        <w:tc>
          <w:tcPr>
            <w:tcW w:w="3485" w:type="dxa"/>
            <w:tcBorders/>
            <w:shd w:fill="CCEEFF" w:val="clear"/>
            <w:vAlign w:val="center"/>
          </w:tcPr>
          <w:p>
            <w:pPr>
              <w:pStyle w:val="TableContents"/>
              <w:bidi w:val="0"/>
              <w:spacing w:before="0" w:after="283"/>
              <w:jc w:val="left"/>
              <w:rPr>
                <w:sz w:val="16"/>
              </w:rPr>
            </w:pPr>
            <w:r>
              <w:rPr>
                <w:sz w:val="16"/>
              </w:rPr>
              <w:t>GAAP Income (Loss) from continuing operations</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sz w:val="16"/>
              </w:rPr>
            </w:pPr>
            <w:r>
              <w:rPr>
                <w:sz w:val="16"/>
              </w:rPr>
              <w:t>$</w:t>
            </w:r>
          </w:p>
        </w:tc>
        <w:tc>
          <w:tcPr>
            <w:tcW w:w="529" w:type="dxa"/>
            <w:tcBorders/>
            <w:shd w:fill="CCEEFF" w:val="clear"/>
            <w:vAlign w:val="center"/>
          </w:tcPr>
          <w:p>
            <w:pPr>
              <w:pStyle w:val="TableContents"/>
              <w:bidi w:val="0"/>
              <w:spacing w:before="0" w:after="283"/>
              <w:jc w:val="right"/>
              <w:rPr>
                <w:sz w:val="16"/>
              </w:rPr>
            </w:pPr>
            <w:r>
              <w:rPr>
                <w:sz w:val="16"/>
              </w:rPr>
              <w:t>(4,536</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sz w:val="16"/>
              </w:rPr>
            </w:pPr>
            <w:r>
              <w:rPr>
                <w:sz w:val="16"/>
              </w:rPr>
              <w:t>$</w:t>
            </w:r>
          </w:p>
        </w:tc>
        <w:tc>
          <w:tcPr>
            <w:tcW w:w="516" w:type="dxa"/>
            <w:tcBorders/>
            <w:shd w:fill="CCEEFF" w:val="clear"/>
            <w:vAlign w:val="center"/>
          </w:tcPr>
          <w:p>
            <w:pPr>
              <w:pStyle w:val="TableContents"/>
              <w:bidi w:val="0"/>
              <w:spacing w:before="0" w:after="283"/>
              <w:jc w:val="right"/>
              <w:rPr>
                <w:sz w:val="16"/>
              </w:rPr>
            </w:pPr>
            <w:r>
              <w:rPr>
                <w:sz w:val="16"/>
              </w:rPr>
              <w:t>469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sz w:val="16"/>
              </w:rPr>
            </w:pPr>
            <w:r>
              <w:rPr>
                <w:sz w:val="16"/>
              </w:rPr>
              <w:t>$</w:t>
            </w:r>
          </w:p>
        </w:tc>
        <w:tc>
          <w:tcPr>
            <w:tcW w:w="516" w:type="dxa"/>
            <w:tcBorders/>
            <w:shd w:fill="CCEEFF" w:val="clear"/>
            <w:vAlign w:val="center"/>
          </w:tcPr>
          <w:p>
            <w:pPr>
              <w:pStyle w:val="TableContents"/>
              <w:bidi w:val="0"/>
              <w:spacing w:before="0" w:after="283"/>
              <w:jc w:val="right"/>
              <w:rPr>
                <w:sz w:val="16"/>
              </w:rPr>
            </w:pPr>
            <w:r>
              <w:rPr>
                <w:sz w:val="16"/>
              </w:rPr>
              <w:t>1,432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sz w:val="16"/>
              </w:rPr>
            </w:pPr>
            <w:r>
              <w:rPr>
                <w:sz w:val="16"/>
              </w:rPr>
              <w:t>$</w:t>
            </w:r>
          </w:p>
        </w:tc>
        <w:tc>
          <w:tcPr>
            <w:tcW w:w="516" w:type="dxa"/>
            <w:tcBorders/>
            <w:shd w:fill="CCEEFF" w:val="clear"/>
            <w:vAlign w:val="center"/>
          </w:tcPr>
          <w:p>
            <w:pPr>
              <w:pStyle w:val="TableContents"/>
              <w:bidi w:val="0"/>
              <w:spacing w:before="0" w:after="283"/>
              <w:jc w:val="right"/>
              <w:rPr>
                <w:sz w:val="16"/>
              </w:rPr>
            </w:pPr>
            <w:r>
              <w:rPr>
                <w:sz w:val="16"/>
              </w:rPr>
              <w:t>507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sz w:val="16"/>
              </w:rPr>
            </w:pPr>
            <w:r>
              <w:rPr>
                <w:sz w:val="16"/>
              </w:rPr>
              <w:t>$</w:t>
            </w:r>
          </w:p>
        </w:tc>
        <w:tc>
          <w:tcPr>
            <w:tcW w:w="529" w:type="dxa"/>
            <w:tcBorders/>
            <w:shd w:fill="CCEEFF" w:val="clear"/>
            <w:vAlign w:val="center"/>
          </w:tcPr>
          <w:p>
            <w:pPr>
              <w:pStyle w:val="TableContents"/>
              <w:bidi w:val="0"/>
              <w:spacing w:before="0" w:after="283"/>
              <w:jc w:val="right"/>
              <w:rPr>
                <w:sz w:val="16"/>
              </w:rPr>
            </w:pPr>
            <w:r>
              <w:rPr>
                <w:sz w:val="16"/>
              </w:rPr>
              <w:t>(1,170</w:t>
            </w:r>
          </w:p>
        </w:tc>
        <w:tc>
          <w:tcPr>
            <w:tcW w:w="95" w:type="dxa"/>
            <w:tcBorders/>
            <w:shd w:fill="CCEEFF" w:val="clear"/>
            <w:vAlign w:val="center"/>
          </w:tcPr>
          <w:p>
            <w:pPr>
              <w:pStyle w:val="TableContents"/>
              <w:bidi w:val="0"/>
              <w:spacing w:before="0" w:after="283"/>
              <w:jc w:val="left"/>
              <w:rPr>
                <w:sz w:val="16"/>
              </w:rPr>
            </w:pPr>
            <w:r>
              <w:rPr>
                <w:sz w:val="16"/>
              </w:rPr>
              <w:t>)</w:t>
            </w:r>
          </w:p>
        </w:tc>
      </w:tr>
      <w:tr>
        <w:trPr/>
        <w:tc>
          <w:tcPr>
            <w:tcW w:w="3485" w:type="dxa"/>
            <w:tcBorders/>
            <w:shd w:fill="FFFFFF" w:val="clear"/>
            <w:vAlign w:val="center"/>
          </w:tcPr>
          <w:p>
            <w:pPr>
              <w:pStyle w:val="TableContents"/>
              <w:bidi w:val="0"/>
              <w:spacing w:before="0" w:after="283"/>
              <w:jc w:val="left"/>
              <w:rPr>
                <w:sz w:val="16"/>
              </w:rPr>
            </w:pPr>
            <w:r>
              <w:rPr>
                <w:sz w:val="16"/>
              </w:rPr>
              <w:t>Share-based compensation expense</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sz w:val="16"/>
              </w:rPr>
            </w:pPr>
            <w:r>
              <w:rPr>
                <w:sz w:val="16"/>
              </w:rPr>
              <w:t>2,304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right"/>
              <w:rPr>
                <w:sz w:val="16"/>
              </w:rPr>
            </w:pPr>
            <w:r>
              <w:rPr>
                <w:sz w:val="16"/>
              </w:rPr>
              <w:t>2,335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right"/>
              <w:rPr>
                <w:sz w:val="16"/>
              </w:rPr>
            </w:pPr>
            <w:r>
              <w:rPr>
                <w:sz w:val="16"/>
              </w:rPr>
              <w:t>1,850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right"/>
              <w:rPr>
                <w:sz w:val="16"/>
              </w:rPr>
            </w:pPr>
            <w:r>
              <w:rPr>
                <w:sz w:val="16"/>
              </w:rPr>
              <w:t>1,654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sz w:val="16"/>
              </w:rPr>
            </w:pPr>
            <w:r>
              <w:rPr>
                <w:sz w:val="16"/>
              </w:rPr>
              <w:t>1,601</w:t>
            </w:r>
          </w:p>
        </w:tc>
        <w:tc>
          <w:tcPr>
            <w:tcW w:w="95" w:type="dxa"/>
            <w:tcBorders/>
            <w:shd w:fill="FFFFFF" w:val="clear"/>
            <w:vAlign w:val="center"/>
          </w:tcPr>
          <w:p>
            <w:pPr>
              <w:pStyle w:val="TableContents"/>
              <w:bidi w:val="0"/>
              <w:spacing w:before="0" w:after="283"/>
              <w:jc w:val="left"/>
              <w:rPr/>
            </w:pPr>
            <w:r>
              <w:rPr/>
              <w:t> </w:t>
            </w:r>
          </w:p>
        </w:tc>
      </w:tr>
      <w:tr>
        <w:trPr/>
        <w:tc>
          <w:tcPr>
            <w:tcW w:w="3485" w:type="dxa"/>
            <w:tcBorders/>
            <w:shd w:fill="CCEEFF" w:val="clear"/>
            <w:vAlign w:val="center"/>
          </w:tcPr>
          <w:p>
            <w:pPr>
              <w:pStyle w:val="TableContents"/>
              <w:bidi w:val="0"/>
              <w:spacing w:before="0" w:after="283"/>
              <w:jc w:val="left"/>
              <w:rPr>
                <w:sz w:val="16"/>
              </w:rPr>
            </w:pPr>
            <w:r>
              <w:rPr>
                <w:sz w:val="16"/>
              </w:rPr>
              <w:t>Impairment of capitalized software</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51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51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51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sz w:val="16"/>
              </w:rPr>
            </w:pPr>
            <w:r>
              <w:rPr>
                <w:sz w:val="16"/>
              </w:rPr>
              <w:t>384</w:t>
            </w:r>
          </w:p>
        </w:tc>
        <w:tc>
          <w:tcPr>
            <w:tcW w:w="95" w:type="dxa"/>
            <w:tcBorders/>
            <w:shd w:fill="CCEEFF" w:val="clear"/>
            <w:vAlign w:val="center"/>
          </w:tcPr>
          <w:p>
            <w:pPr>
              <w:pStyle w:val="TableContents"/>
              <w:bidi w:val="0"/>
              <w:spacing w:before="0" w:after="283"/>
              <w:jc w:val="left"/>
              <w:rPr/>
            </w:pPr>
            <w:r>
              <w:rPr/>
              <w:t> </w:t>
            </w:r>
          </w:p>
        </w:tc>
      </w:tr>
      <w:tr>
        <w:trPr/>
        <w:tc>
          <w:tcPr>
            <w:tcW w:w="3485" w:type="dxa"/>
            <w:tcBorders/>
            <w:shd w:fill="FFFFFF" w:val="clear"/>
            <w:vAlign w:val="center"/>
          </w:tcPr>
          <w:p>
            <w:pPr>
              <w:pStyle w:val="TableContents"/>
              <w:bidi w:val="0"/>
              <w:spacing w:before="0" w:after="283"/>
              <w:jc w:val="left"/>
              <w:rPr>
                <w:sz w:val="16"/>
              </w:rPr>
            </w:pPr>
            <w:r>
              <w:rPr>
                <w:sz w:val="16"/>
              </w:rPr>
              <w:t>Gain on early lease termination</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right"/>
              <w:rPr>
                <w:sz w:val="16"/>
              </w:rPr>
            </w:pPr>
            <w:r>
              <w:rPr>
                <w:sz w:val="16"/>
              </w:rPr>
              <w:t>(443</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r>
      <w:tr>
        <w:trPr/>
        <w:tc>
          <w:tcPr>
            <w:tcW w:w="3485" w:type="dxa"/>
            <w:tcBorders/>
            <w:shd w:fill="CCEEFF" w:val="clear"/>
            <w:vAlign w:val="center"/>
          </w:tcPr>
          <w:p>
            <w:pPr>
              <w:pStyle w:val="TableContents"/>
              <w:bidi w:val="0"/>
              <w:spacing w:before="0" w:after="283"/>
              <w:jc w:val="left"/>
              <w:rPr>
                <w:sz w:val="16"/>
              </w:rPr>
            </w:pPr>
            <w:r>
              <w:rPr>
                <w:sz w:val="16"/>
              </w:rPr>
              <w:t>Purchased intangible amortization</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51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51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51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sz w:val="16"/>
              </w:rPr>
            </w:pPr>
            <w:r>
              <w:rPr>
                <w:sz w:val="16"/>
              </w:rPr>
              <w:t>316</w:t>
            </w:r>
          </w:p>
        </w:tc>
        <w:tc>
          <w:tcPr>
            <w:tcW w:w="95" w:type="dxa"/>
            <w:tcBorders/>
            <w:shd w:fill="CCEEFF" w:val="clear"/>
            <w:vAlign w:val="center"/>
          </w:tcPr>
          <w:p>
            <w:pPr>
              <w:pStyle w:val="TableContents"/>
              <w:bidi w:val="0"/>
              <w:spacing w:before="0" w:after="283"/>
              <w:jc w:val="left"/>
              <w:rPr/>
            </w:pPr>
            <w:r>
              <w:rPr/>
              <w:t> </w:t>
            </w:r>
          </w:p>
        </w:tc>
      </w:tr>
      <w:tr>
        <w:trPr/>
        <w:tc>
          <w:tcPr>
            <w:tcW w:w="3485" w:type="dxa"/>
            <w:tcBorders/>
            <w:shd w:fill="FFFFFF" w:val="clear"/>
            <w:vAlign w:val="center"/>
          </w:tcPr>
          <w:p>
            <w:pPr>
              <w:pStyle w:val="TableContents"/>
              <w:bidi w:val="0"/>
              <w:spacing w:before="0" w:after="283"/>
              <w:jc w:val="left"/>
              <w:rPr>
                <w:sz w:val="16"/>
              </w:rPr>
            </w:pPr>
            <w:r>
              <w:rPr>
                <w:sz w:val="16"/>
              </w:rPr>
              <w:t>Non-recurring transaction-related costs</w:t>
            </w:r>
          </w:p>
        </w:tc>
        <w:tc>
          <w:tcPr>
            <w:tcW w:w="60" w:type="dxa"/>
            <w:tcBorders/>
            <w:shd w:fill="FFFFFF" w:val="clear"/>
            <w:vAlign w:val="center"/>
          </w:tcPr>
          <w:p>
            <w:pPr>
              <w:pStyle w:val="TableContents"/>
              <w:bidi w:val="0"/>
              <w:spacing w:before="0" w:after="283"/>
              <w:jc w:val="left"/>
              <w:rPr/>
            </w:pPr>
            <w:r>
              <w:rPr/>
              <w:t> </w:t>
            </w:r>
          </w:p>
        </w:tc>
        <w:tc>
          <w:tcPr>
            <w:tcW w:w="12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29"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1,200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1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1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1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2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r>
      <w:tr>
        <w:trPr/>
        <w:tc>
          <w:tcPr>
            <w:tcW w:w="3485" w:type="dxa"/>
            <w:tcBorders/>
            <w:shd w:fill="CCEEFF" w:val="clear"/>
            <w:vAlign w:val="center"/>
          </w:tcPr>
          <w:p>
            <w:pPr>
              <w:pStyle w:val="TableContents"/>
              <w:bidi w:val="0"/>
              <w:spacing w:before="0" w:after="283"/>
              <w:jc w:val="left"/>
              <w:rPr>
                <w:b/>
                <w:sz w:val="16"/>
              </w:rPr>
            </w:pPr>
            <w:r>
              <w:rPr>
                <w:b/>
                <w:sz w:val="16"/>
              </w:rPr>
              <w:t>Non-GAAP net income (loss)</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b/>
                <w:sz w:val="16"/>
              </w:rPr>
            </w:pPr>
            <w:r>
              <w:rPr>
                <w:b/>
                <w:sz w:val="16"/>
              </w:rPr>
              <w:t>(1,032</w:t>
            </w:r>
          </w:p>
        </w:tc>
        <w:tc>
          <w:tcPr>
            <w:tcW w:w="80" w:type="dxa"/>
            <w:tcBorders/>
            <w:shd w:fill="CCEEFF" w:val="clear"/>
            <w:vAlign w:val="center"/>
          </w:tcPr>
          <w:p>
            <w:pPr>
              <w:pStyle w:val="TableContents"/>
              <w:bidi w:val="0"/>
              <w:spacing w:before="0" w:after="283"/>
              <w:jc w:val="left"/>
              <w:rPr>
                <w:b/>
                <w:sz w:val="16"/>
              </w:rPr>
            </w:pPr>
            <w:r>
              <w:rPr>
                <w:b/>
                <w:sz w:val="16"/>
              </w:rPr>
              <w:t>)</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516" w:type="dxa"/>
            <w:tcBorders/>
            <w:shd w:fill="CCEEFF" w:val="clear"/>
            <w:vAlign w:val="center"/>
          </w:tcPr>
          <w:p>
            <w:pPr>
              <w:pStyle w:val="TableContents"/>
              <w:bidi w:val="0"/>
              <w:spacing w:before="0" w:after="283"/>
              <w:jc w:val="right"/>
              <w:rPr>
                <w:b/>
                <w:sz w:val="16"/>
              </w:rPr>
            </w:pPr>
            <w:r>
              <w:rPr>
                <w:b/>
                <w:sz w:val="16"/>
              </w:rPr>
              <w:t>2,804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516" w:type="dxa"/>
            <w:tcBorders/>
            <w:shd w:fill="CCEEFF" w:val="clear"/>
            <w:vAlign w:val="center"/>
          </w:tcPr>
          <w:p>
            <w:pPr>
              <w:pStyle w:val="TableContents"/>
              <w:bidi w:val="0"/>
              <w:spacing w:before="0" w:after="283"/>
              <w:jc w:val="right"/>
              <w:rPr>
                <w:b/>
                <w:sz w:val="16"/>
              </w:rPr>
            </w:pPr>
            <w:r>
              <w:rPr>
                <w:b/>
                <w:sz w:val="16"/>
              </w:rPr>
              <w:t>2,839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516" w:type="dxa"/>
            <w:tcBorders/>
            <w:shd w:fill="CCEEFF" w:val="clear"/>
            <w:vAlign w:val="center"/>
          </w:tcPr>
          <w:p>
            <w:pPr>
              <w:pStyle w:val="TableContents"/>
              <w:bidi w:val="0"/>
              <w:spacing w:before="0" w:after="283"/>
              <w:jc w:val="right"/>
              <w:rPr>
                <w:b/>
                <w:sz w:val="16"/>
              </w:rPr>
            </w:pPr>
            <w:r>
              <w:rPr>
                <w:b/>
                <w:sz w:val="16"/>
              </w:rPr>
              <w:t>2,161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b/>
                <w:sz w:val="16"/>
              </w:rPr>
            </w:pPr>
            <w:r>
              <w:rPr>
                <w:b/>
                <w:sz w:val="16"/>
              </w:rPr>
              <w:t>1,131</w:t>
            </w:r>
          </w:p>
        </w:tc>
        <w:tc>
          <w:tcPr>
            <w:tcW w:w="95" w:type="dxa"/>
            <w:tcBorders/>
            <w:shd w:fill="CCEEFF" w:val="clear"/>
            <w:vAlign w:val="center"/>
          </w:tcPr>
          <w:p>
            <w:pPr>
              <w:pStyle w:val="TableContents"/>
              <w:bidi w:val="0"/>
              <w:spacing w:before="0" w:after="283"/>
              <w:jc w:val="left"/>
              <w:rPr/>
            </w:pPr>
            <w:r>
              <w:rPr/>
              <w:t> </w:t>
            </w:r>
          </w:p>
        </w:tc>
      </w:tr>
      <w:tr>
        <w:trPr/>
        <w:tc>
          <w:tcPr>
            <w:tcW w:w="348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Depreciation and amortization</w:t>
            </w:r>
            <w:r>
              <w:rPr>
                <w:rFonts w:ascii="Times New Roman;Times;Serif" w:hAnsi="Times New Roman;Times;Serif"/>
                <w:position w:val="5"/>
                <w:sz w:val="13"/>
                <w:sz w:val="16"/>
              </w:rPr>
              <w:t>1</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sz w:val="16"/>
              </w:rPr>
            </w:pPr>
            <w:r>
              <w:rPr>
                <w:sz w:val="16"/>
              </w:rPr>
              <w:t>1,813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right"/>
              <w:rPr>
                <w:sz w:val="16"/>
              </w:rPr>
            </w:pPr>
            <w:r>
              <w:rPr>
                <w:sz w:val="16"/>
              </w:rPr>
              <w:t>2,368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right"/>
              <w:rPr>
                <w:sz w:val="16"/>
              </w:rPr>
            </w:pPr>
            <w:r>
              <w:rPr>
                <w:sz w:val="16"/>
              </w:rPr>
              <w:t>2,189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right"/>
              <w:rPr>
                <w:sz w:val="16"/>
              </w:rPr>
            </w:pPr>
            <w:r>
              <w:rPr>
                <w:sz w:val="16"/>
              </w:rPr>
              <w:t>1,792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sz w:val="16"/>
              </w:rPr>
            </w:pPr>
            <w:r>
              <w:rPr>
                <w:sz w:val="16"/>
              </w:rPr>
              <w:t>1,782</w:t>
            </w:r>
          </w:p>
        </w:tc>
        <w:tc>
          <w:tcPr>
            <w:tcW w:w="95" w:type="dxa"/>
            <w:tcBorders/>
            <w:shd w:fill="FFFFFF" w:val="clear"/>
            <w:vAlign w:val="center"/>
          </w:tcPr>
          <w:p>
            <w:pPr>
              <w:pStyle w:val="TableContents"/>
              <w:bidi w:val="0"/>
              <w:spacing w:before="0" w:after="283"/>
              <w:jc w:val="left"/>
              <w:rPr/>
            </w:pPr>
            <w:r>
              <w:rPr/>
              <w:t> </w:t>
            </w:r>
          </w:p>
        </w:tc>
      </w:tr>
      <w:tr>
        <w:trPr/>
        <w:tc>
          <w:tcPr>
            <w:tcW w:w="3485" w:type="dxa"/>
            <w:tcBorders/>
            <w:shd w:fill="CCEEFF" w:val="clear"/>
            <w:vAlign w:val="center"/>
          </w:tcPr>
          <w:p>
            <w:pPr>
              <w:pStyle w:val="TableContents"/>
              <w:bidi w:val="0"/>
              <w:spacing w:before="0" w:after="283"/>
              <w:jc w:val="left"/>
              <w:rPr>
                <w:sz w:val="16"/>
              </w:rPr>
            </w:pPr>
            <w:r>
              <w:rPr>
                <w:sz w:val="16"/>
              </w:rPr>
              <w:t>Interest expense</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sz w:val="16"/>
              </w:rPr>
            </w:pPr>
            <w:r>
              <w:rPr>
                <w:sz w:val="16"/>
              </w:rPr>
              <w:t>1,061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516" w:type="dxa"/>
            <w:tcBorders/>
            <w:shd w:fill="CCEEFF" w:val="clear"/>
            <w:vAlign w:val="center"/>
          </w:tcPr>
          <w:p>
            <w:pPr>
              <w:pStyle w:val="TableContents"/>
              <w:bidi w:val="0"/>
              <w:spacing w:before="0" w:after="283"/>
              <w:jc w:val="right"/>
              <w:rPr>
                <w:sz w:val="16"/>
              </w:rPr>
            </w:pPr>
            <w:r>
              <w:rPr>
                <w:sz w:val="16"/>
              </w:rPr>
              <w:t>927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516" w:type="dxa"/>
            <w:tcBorders/>
            <w:shd w:fill="CCEEFF" w:val="clear"/>
            <w:vAlign w:val="center"/>
          </w:tcPr>
          <w:p>
            <w:pPr>
              <w:pStyle w:val="TableContents"/>
              <w:bidi w:val="0"/>
              <w:spacing w:before="0" w:after="283"/>
              <w:jc w:val="right"/>
              <w:rPr>
                <w:sz w:val="16"/>
              </w:rPr>
            </w:pPr>
            <w:r>
              <w:rPr>
                <w:sz w:val="16"/>
              </w:rPr>
              <w:t>885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516" w:type="dxa"/>
            <w:tcBorders/>
            <w:shd w:fill="CCEEFF" w:val="clear"/>
            <w:vAlign w:val="center"/>
          </w:tcPr>
          <w:p>
            <w:pPr>
              <w:pStyle w:val="TableContents"/>
              <w:bidi w:val="0"/>
              <w:spacing w:before="0" w:after="283"/>
              <w:jc w:val="right"/>
              <w:rPr>
                <w:sz w:val="16"/>
              </w:rPr>
            </w:pPr>
            <w:r>
              <w:rPr>
                <w:sz w:val="16"/>
              </w:rPr>
              <w:t>933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sz w:val="16"/>
              </w:rPr>
            </w:pPr>
            <w:r>
              <w:rPr>
                <w:sz w:val="16"/>
              </w:rPr>
              <w:t>1,026</w:t>
            </w:r>
          </w:p>
        </w:tc>
        <w:tc>
          <w:tcPr>
            <w:tcW w:w="95" w:type="dxa"/>
            <w:tcBorders/>
            <w:shd w:fill="CCEEFF" w:val="clear"/>
            <w:vAlign w:val="center"/>
          </w:tcPr>
          <w:p>
            <w:pPr>
              <w:pStyle w:val="TableContents"/>
              <w:bidi w:val="0"/>
              <w:spacing w:before="0" w:after="283"/>
              <w:jc w:val="left"/>
              <w:rPr/>
            </w:pPr>
            <w:r>
              <w:rPr/>
              <w:t> </w:t>
            </w:r>
          </w:p>
        </w:tc>
      </w:tr>
      <w:tr>
        <w:trPr/>
        <w:tc>
          <w:tcPr>
            <w:tcW w:w="3485" w:type="dxa"/>
            <w:tcBorders/>
            <w:shd w:fill="FFFFFF" w:val="clear"/>
            <w:vAlign w:val="center"/>
          </w:tcPr>
          <w:p>
            <w:pPr>
              <w:pStyle w:val="TableContents"/>
              <w:bidi w:val="0"/>
              <w:spacing w:before="0" w:after="283"/>
              <w:jc w:val="left"/>
              <w:rPr>
                <w:sz w:val="16"/>
              </w:rPr>
            </w:pPr>
            <w:r>
              <w:rPr>
                <w:sz w:val="16"/>
              </w:rPr>
              <w:t>Other (income) expense, net</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sz w:val="16"/>
              </w:rPr>
            </w:pPr>
            <w:r>
              <w:rPr>
                <w:sz w:val="16"/>
              </w:rPr>
              <w:t>(125</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right"/>
              <w:rPr>
                <w:sz w:val="16"/>
              </w:rPr>
            </w:pPr>
            <w:r>
              <w:rPr>
                <w:sz w:val="16"/>
              </w:rPr>
              <w:t>(126</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right"/>
              <w:rPr>
                <w:sz w:val="16"/>
              </w:rPr>
            </w:pPr>
            <w:r>
              <w:rPr>
                <w:sz w:val="16"/>
              </w:rPr>
              <w:t>(126</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right"/>
              <w:rPr>
                <w:sz w:val="16"/>
              </w:rPr>
            </w:pPr>
            <w:r>
              <w:rPr>
                <w:sz w:val="16"/>
              </w:rPr>
              <w:t>(182</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sz w:val="16"/>
              </w:rPr>
            </w:pPr>
            <w:r>
              <w:rPr>
                <w:sz w:val="16"/>
              </w:rPr>
              <w:t>(303</w:t>
            </w:r>
          </w:p>
        </w:tc>
        <w:tc>
          <w:tcPr>
            <w:tcW w:w="95" w:type="dxa"/>
            <w:tcBorders/>
            <w:shd w:fill="FFFFFF" w:val="clear"/>
            <w:vAlign w:val="center"/>
          </w:tcPr>
          <w:p>
            <w:pPr>
              <w:pStyle w:val="TableContents"/>
              <w:bidi w:val="0"/>
              <w:spacing w:before="0" w:after="283"/>
              <w:jc w:val="left"/>
              <w:rPr>
                <w:sz w:val="16"/>
              </w:rPr>
            </w:pPr>
            <w:r>
              <w:rPr>
                <w:sz w:val="16"/>
              </w:rPr>
              <w:t>)</w:t>
            </w:r>
          </w:p>
        </w:tc>
      </w:tr>
      <w:tr>
        <w:trPr/>
        <w:tc>
          <w:tcPr>
            <w:tcW w:w="3485" w:type="dxa"/>
            <w:tcBorders/>
            <w:shd w:fill="CCEEFF" w:val="clear"/>
            <w:vAlign w:val="center"/>
          </w:tcPr>
          <w:p>
            <w:pPr>
              <w:pStyle w:val="TableContents"/>
              <w:bidi w:val="0"/>
              <w:spacing w:before="0" w:after="283"/>
              <w:jc w:val="left"/>
              <w:rPr>
                <w:sz w:val="16"/>
              </w:rPr>
            </w:pPr>
            <w:r>
              <w:rPr>
                <w:sz w:val="16"/>
              </w:rPr>
              <w:t>Income tax provision (benefit)</w:t>
            </w:r>
          </w:p>
        </w:tc>
        <w:tc>
          <w:tcPr>
            <w:tcW w:w="60" w:type="dxa"/>
            <w:tcBorders/>
            <w:shd w:fill="CCEEFF" w:val="clear"/>
            <w:vAlign w:val="center"/>
          </w:tcPr>
          <w:p>
            <w:pPr>
              <w:pStyle w:val="TableContents"/>
              <w:bidi w:val="0"/>
              <w:spacing w:before="0" w:after="283"/>
              <w:jc w:val="left"/>
              <w:rPr/>
            </w:pPr>
            <w:r>
              <w:rPr/>
              <w:t> </w:t>
            </w:r>
          </w:p>
        </w:tc>
        <w:tc>
          <w:tcPr>
            <w:tcW w:w="12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29"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34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16"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16"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(36</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3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16"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29"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23</w:t>
            </w:r>
          </w:p>
        </w:tc>
        <w:tc>
          <w:tcPr>
            <w:tcW w:w="95" w:type="dxa"/>
            <w:tcBorders/>
            <w:shd w:fill="CCEEFF" w:val="clear"/>
            <w:vAlign w:val="center"/>
          </w:tcPr>
          <w:p>
            <w:pPr>
              <w:pStyle w:val="TableContents"/>
              <w:bidi w:val="0"/>
              <w:spacing w:before="0" w:after="283"/>
              <w:jc w:val="left"/>
              <w:rPr/>
            </w:pPr>
            <w:r>
              <w:rPr/>
              <w:t> </w:t>
            </w:r>
          </w:p>
        </w:tc>
      </w:tr>
      <w:tr>
        <w:trPr/>
        <w:tc>
          <w:tcPr>
            <w:tcW w:w="3485" w:type="dxa"/>
            <w:tcBorders/>
            <w:shd w:fill="FFFFFF" w:val="clear"/>
            <w:vAlign w:val="center"/>
          </w:tcPr>
          <w:p>
            <w:pPr>
              <w:pStyle w:val="TableContents"/>
              <w:bidi w:val="0"/>
              <w:spacing w:before="0" w:after="283"/>
              <w:jc w:val="left"/>
              <w:rPr>
                <w:b/>
                <w:sz w:val="16"/>
              </w:rPr>
            </w:pPr>
            <w:r>
              <w:rPr>
                <w:b/>
                <w:sz w:val="16"/>
              </w:rPr>
              <w:t>Adjusted EBITDA</w:t>
            </w:r>
          </w:p>
        </w:tc>
        <w:tc>
          <w:tcPr>
            <w:tcW w:w="60" w:type="dxa"/>
            <w:tcBorders/>
            <w:shd w:fill="FFFFFF" w:val="clear"/>
            <w:vAlign w:val="center"/>
          </w:tcPr>
          <w:p>
            <w:pPr>
              <w:pStyle w:val="TableContents"/>
              <w:bidi w:val="0"/>
              <w:spacing w:before="0" w:after="283"/>
              <w:jc w:val="left"/>
              <w:rPr/>
            </w:pPr>
            <w:r>
              <w:rPr/>
              <w:t> </w:t>
            </w:r>
          </w:p>
        </w:tc>
        <w:tc>
          <w:tcPr>
            <w:tcW w:w="120" w:type="dxa"/>
            <w:tcBorders>
              <w:bottom w:val="double" w:sz="6" w:space="0" w:color="000000"/>
            </w:tcBorders>
            <w:shd w:fill="FFFFFF" w:val="clear"/>
            <w:tcMar>
              <w:bottom w:w="28" w:type="dxa"/>
            </w:tcMar>
            <w:vAlign w:val="center"/>
          </w:tcPr>
          <w:p>
            <w:pPr>
              <w:pStyle w:val="TableContents"/>
              <w:bidi w:val="0"/>
              <w:spacing w:before="0" w:after="283"/>
              <w:jc w:val="left"/>
              <w:rPr>
                <w:b/>
                <w:sz w:val="16"/>
              </w:rPr>
            </w:pPr>
            <w:r>
              <w:rPr>
                <w:b/>
                <w:sz w:val="16"/>
              </w:rPr>
              <w:t>$</w:t>
            </w:r>
          </w:p>
        </w:tc>
        <w:tc>
          <w:tcPr>
            <w:tcW w:w="529" w:type="dxa"/>
            <w:tcBorders>
              <w:bottom w:val="double" w:sz="6" w:space="0" w:color="000000"/>
            </w:tcBorders>
            <w:shd w:fill="FFFFFF" w:val="clear"/>
            <w:tcMar>
              <w:bottom w:w="28" w:type="dxa"/>
            </w:tcMar>
            <w:vAlign w:val="center"/>
          </w:tcPr>
          <w:p>
            <w:pPr>
              <w:pStyle w:val="TableContents"/>
              <w:bidi w:val="0"/>
              <w:spacing w:before="0" w:after="283"/>
              <w:jc w:val="right"/>
              <w:rPr>
                <w:b/>
                <w:sz w:val="16"/>
              </w:rPr>
            </w:pPr>
            <w:r>
              <w:rPr>
                <w:b/>
                <w:sz w:val="16"/>
              </w:rPr>
              <w:t>1,751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bottom w:val="double" w:sz="6" w:space="0" w:color="000000"/>
            </w:tcBorders>
            <w:shd w:fill="FFFFFF" w:val="clear"/>
            <w:tcMar>
              <w:bottom w:w="28" w:type="dxa"/>
            </w:tcMar>
            <w:vAlign w:val="center"/>
          </w:tcPr>
          <w:p>
            <w:pPr>
              <w:pStyle w:val="TableContents"/>
              <w:bidi w:val="0"/>
              <w:spacing w:before="0" w:after="283"/>
              <w:jc w:val="left"/>
              <w:rPr>
                <w:b/>
                <w:sz w:val="16"/>
              </w:rPr>
            </w:pPr>
            <w:r>
              <w:rPr>
                <w:b/>
                <w:sz w:val="16"/>
              </w:rPr>
              <w:t>$</w:t>
            </w:r>
          </w:p>
        </w:tc>
        <w:tc>
          <w:tcPr>
            <w:tcW w:w="516" w:type="dxa"/>
            <w:tcBorders>
              <w:bottom w:val="double" w:sz="6" w:space="0" w:color="000000"/>
            </w:tcBorders>
            <w:shd w:fill="FFFFFF" w:val="clear"/>
            <w:tcMar>
              <w:bottom w:w="28" w:type="dxa"/>
            </w:tcMar>
            <w:vAlign w:val="center"/>
          </w:tcPr>
          <w:p>
            <w:pPr>
              <w:pStyle w:val="TableContents"/>
              <w:bidi w:val="0"/>
              <w:spacing w:before="0" w:after="283"/>
              <w:jc w:val="right"/>
              <w:rPr>
                <w:b/>
                <w:sz w:val="16"/>
              </w:rPr>
            </w:pPr>
            <w:r>
              <w:rPr>
                <w:b/>
                <w:sz w:val="16"/>
              </w:rPr>
              <w:t>6,008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bottom w:val="double" w:sz="6" w:space="0" w:color="000000"/>
            </w:tcBorders>
            <w:shd w:fill="FFFFFF" w:val="clear"/>
            <w:tcMar>
              <w:bottom w:w="28" w:type="dxa"/>
            </w:tcMar>
            <w:vAlign w:val="center"/>
          </w:tcPr>
          <w:p>
            <w:pPr>
              <w:pStyle w:val="TableContents"/>
              <w:bidi w:val="0"/>
              <w:spacing w:before="0" w:after="283"/>
              <w:jc w:val="left"/>
              <w:rPr>
                <w:b/>
                <w:sz w:val="16"/>
              </w:rPr>
            </w:pPr>
            <w:r>
              <w:rPr>
                <w:b/>
                <w:sz w:val="16"/>
              </w:rPr>
              <w:t>$</w:t>
            </w:r>
          </w:p>
        </w:tc>
        <w:tc>
          <w:tcPr>
            <w:tcW w:w="516" w:type="dxa"/>
            <w:tcBorders>
              <w:bottom w:val="double" w:sz="6" w:space="0" w:color="000000"/>
            </w:tcBorders>
            <w:shd w:fill="FFFFFF" w:val="clear"/>
            <w:tcMar>
              <w:bottom w:w="28" w:type="dxa"/>
            </w:tcMar>
            <w:vAlign w:val="center"/>
          </w:tcPr>
          <w:p>
            <w:pPr>
              <w:pStyle w:val="TableContents"/>
              <w:bidi w:val="0"/>
              <w:spacing w:before="0" w:after="283"/>
              <w:jc w:val="right"/>
              <w:rPr>
                <w:b/>
                <w:sz w:val="16"/>
              </w:rPr>
            </w:pPr>
            <w:r>
              <w:rPr>
                <w:b/>
                <w:sz w:val="16"/>
              </w:rPr>
              <w:t>5,751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bottom w:val="double" w:sz="6" w:space="0" w:color="000000"/>
            </w:tcBorders>
            <w:shd w:fill="FFFFFF" w:val="clear"/>
            <w:tcMar>
              <w:bottom w:w="28" w:type="dxa"/>
            </w:tcMar>
            <w:vAlign w:val="center"/>
          </w:tcPr>
          <w:p>
            <w:pPr>
              <w:pStyle w:val="TableContents"/>
              <w:bidi w:val="0"/>
              <w:spacing w:before="0" w:after="283"/>
              <w:jc w:val="left"/>
              <w:rPr>
                <w:b/>
                <w:sz w:val="16"/>
              </w:rPr>
            </w:pPr>
            <w:r>
              <w:rPr>
                <w:b/>
                <w:sz w:val="16"/>
              </w:rPr>
              <w:t>$</w:t>
            </w:r>
          </w:p>
        </w:tc>
        <w:tc>
          <w:tcPr>
            <w:tcW w:w="516" w:type="dxa"/>
            <w:tcBorders>
              <w:bottom w:val="double" w:sz="6" w:space="0" w:color="000000"/>
            </w:tcBorders>
            <w:shd w:fill="FFFFFF" w:val="clear"/>
            <w:tcMar>
              <w:bottom w:w="28" w:type="dxa"/>
            </w:tcMar>
            <w:vAlign w:val="center"/>
          </w:tcPr>
          <w:p>
            <w:pPr>
              <w:pStyle w:val="TableContents"/>
              <w:bidi w:val="0"/>
              <w:spacing w:before="0" w:after="283"/>
              <w:jc w:val="right"/>
              <w:rPr>
                <w:b/>
                <w:sz w:val="16"/>
              </w:rPr>
            </w:pPr>
            <w:r>
              <w:rPr>
                <w:b/>
                <w:sz w:val="16"/>
              </w:rPr>
              <w:t>4,726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bottom w:val="double" w:sz="6" w:space="0" w:color="000000"/>
            </w:tcBorders>
            <w:shd w:fill="FFFFFF" w:val="clear"/>
            <w:tcMar>
              <w:bottom w:w="28" w:type="dxa"/>
            </w:tcMar>
            <w:vAlign w:val="center"/>
          </w:tcPr>
          <w:p>
            <w:pPr>
              <w:pStyle w:val="TableContents"/>
              <w:bidi w:val="0"/>
              <w:spacing w:before="0" w:after="283"/>
              <w:jc w:val="left"/>
              <w:rPr>
                <w:b/>
                <w:sz w:val="16"/>
              </w:rPr>
            </w:pPr>
            <w:r>
              <w:rPr>
                <w:b/>
                <w:sz w:val="16"/>
              </w:rPr>
              <w:t>$</w:t>
            </w:r>
          </w:p>
        </w:tc>
        <w:tc>
          <w:tcPr>
            <w:tcW w:w="529" w:type="dxa"/>
            <w:tcBorders>
              <w:bottom w:val="double" w:sz="6" w:space="0" w:color="000000"/>
            </w:tcBorders>
            <w:shd w:fill="FFFFFF" w:val="clear"/>
            <w:tcMar>
              <w:bottom w:w="28" w:type="dxa"/>
            </w:tcMar>
            <w:vAlign w:val="center"/>
          </w:tcPr>
          <w:p>
            <w:pPr>
              <w:pStyle w:val="TableContents"/>
              <w:bidi w:val="0"/>
              <w:spacing w:before="0" w:after="283"/>
              <w:jc w:val="right"/>
              <w:rPr>
                <w:b/>
                <w:sz w:val="16"/>
              </w:rPr>
            </w:pPr>
            <w:r>
              <w:rPr>
                <w:b/>
                <w:sz w:val="16"/>
              </w:rPr>
              <w:t>3,659</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 Excluding purchased intangible amortization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790"/>
        <w:gridCol w:w="60"/>
        <w:gridCol w:w="110"/>
        <w:gridCol w:w="830"/>
        <w:gridCol w:w="80"/>
        <w:gridCol w:w="60"/>
        <w:gridCol w:w="110"/>
        <w:gridCol w:w="830"/>
        <w:gridCol w:w="80"/>
        <w:gridCol w:w="60"/>
        <w:gridCol w:w="110"/>
        <w:gridCol w:w="830"/>
        <w:gridCol w:w="80"/>
        <w:gridCol w:w="60"/>
        <w:gridCol w:w="110"/>
        <w:gridCol w:w="830"/>
        <w:gridCol w:w="80"/>
        <w:gridCol w:w="60"/>
        <w:gridCol w:w="110"/>
        <w:gridCol w:w="830"/>
        <w:gridCol w:w="95"/>
      </w:tblGrid>
      <w:tr>
        <w:trPr/>
        <w:tc>
          <w:tcPr>
            <w:tcW w:w="47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Q1 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Q4 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Q3 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Q2 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Q1 2025</w:t>
            </w:r>
          </w:p>
        </w:tc>
        <w:tc>
          <w:tcPr>
            <w:tcW w:w="95" w:type="dxa"/>
            <w:tcBorders/>
            <w:vAlign w:val="center"/>
          </w:tcPr>
          <w:p>
            <w:pPr>
              <w:pStyle w:val="TableContents"/>
              <w:bidi w:val="0"/>
              <w:spacing w:before="0" w:after="283"/>
              <w:jc w:val="left"/>
              <w:rPr/>
            </w:pPr>
            <w:r>
              <w:rPr/>
              <w:t> </w:t>
            </w:r>
          </w:p>
        </w:tc>
      </w:tr>
      <w:tr>
        <w:trPr/>
        <w:tc>
          <w:tcPr>
            <w:tcW w:w="4790" w:type="dxa"/>
            <w:tcBorders/>
            <w:shd w:fill="CCEEFF" w:val="clear"/>
            <w:vAlign w:val="center"/>
          </w:tcPr>
          <w:p>
            <w:pPr>
              <w:pStyle w:val="TableContents"/>
              <w:bidi w:val="0"/>
              <w:spacing w:before="0" w:after="283"/>
              <w:jc w:val="left"/>
              <w:rPr>
                <w:sz w:val="16"/>
              </w:rPr>
            </w:pPr>
            <w:r>
              <w:rPr>
                <w:sz w:val="16"/>
              </w:rPr>
              <w:t>INCOME (LOSS) PER DILUTED SHARE:</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200"/>
              <w:jc w:val="left"/>
              <w:rPr/>
            </w:pPr>
            <w:r>
              <w:rPr/>
              <w:t> </w:t>
            </w:r>
          </w:p>
        </w:tc>
      </w:tr>
      <w:tr>
        <w:trPr/>
        <w:tc>
          <w:tcPr>
            <w:tcW w:w="479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GAAP income (loss) from continuing operations per diluted share</w:t>
            </w:r>
            <w:r>
              <w:rPr>
                <w:rFonts w:ascii="Times New Roman;Times;Serif" w:hAnsi="Times New Roman;Times;Serif"/>
                <w:position w:val="5"/>
                <w:sz w:val="13"/>
                <w:sz w:val="16"/>
              </w:rPr>
              <w:t>2</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sz w:val="16"/>
              </w:rPr>
            </w:pPr>
            <w:r>
              <w:rPr>
                <w:sz w:val="16"/>
              </w:rPr>
              <w:t>$</w:t>
            </w:r>
          </w:p>
        </w:tc>
        <w:tc>
          <w:tcPr>
            <w:tcW w:w="830" w:type="dxa"/>
            <w:tcBorders/>
            <w:shd w:fill="FFFFFF" w:val="clear"/>
            <w:vAlign w:val="center"/>
          </w:tcPr>
          <w:p>
            <w:pPr>
              <w:pStyle w:val="TableContents"/>
              <w:bidi w:val="0"/>
              <w:spacing w:before="0" w:after="283"/>
              <w:jc w:val="right"/>
              <w:rPr>
                <w:sz w:val="16"/>
              </w:rPr>
            </w:pPr>
            <w:r>
              <w:rPr>
                <w:sz w:val="16"/>
              </w:rPr>
              <w:t>0.65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sz w:val="16"/>
              </w:rPr>
            </w:pPr>
            <w:r>
              <w:rPr>
                <w:sz w:val="16"/>
              </w:rPr>
              <w:t>$</w:t>
            </w:r>
          </w:p>
        </w:tc>
        <w:tc>
          <w:tcPr>
            <w:tcW w:w="830" w:type="dxa"/>
            <w:tcBorders/>
            <w:shd w:fill="FFFFFF" w:val="clear"/>
            <w:vAlign w:val="center"/>
          </w:tcPr>
          <w:p>
            <w:pPr>
              <w:pStyle w:val="TableContents"/>
              <w:bidi w:val="0"/>
              <w:spacing w:before="0" w:after="283"/>
              <w:jc w:val="right"/>
              <w:rPr>
                <w:sz w:val="16"/>
              </w:rPr>
            </w:pPr>
            <w:r>
              <w:rPr>
                <w:sz w:val="16"/>
              </w:rPr>
              <w:t>(0.03</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sz w:val="16"/>
              </w:rPr>
            </w:pPr>
            <w:r>
              <w:rPr>
                <w:sz w:val="16"/>
              </w:rPr>
              <w:t>$</w:t>
            </w:r>
          </w:p>
        </w:tc>
        <w:tc>
          <w:tcPr>
            <w:tcW w:w="830" w:type="dxa"/>
            <w:tcBorders/>
            <w:shd w:fill="FFFFFF" w:val="clear"/>
            <w:vAlign w:val="center"/>
          </w:tcPr>
          <w:p>
            <w:pPr>
              <w:pStyle w:val="TableContents"/>
              <w:bidi w:val="0"/>
              <w:spacing w:before="0" w:after="283"/>
              <w:jc w:val="right"/>
              <w:rPr>
                <w:sz w:val="16"/>
              </w:rPr>
            </w:pPr>
            <w:r>
              <w:rPr>
                <w:sz w:val="16"/>
              </w:rPr>
              <w:t>0.03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sz w:val="16"/>
              </w:rPr>
            </w:pPr>
            <w:r>
              <w:rPr>
                <w:sz w:val="16"/>
              </w:rPr>
              <w:t>$</w:t>
            </w:r>
          </w:p>
        </w:tc>
        <w:tc>
          <w:tcPr>
            <w:tcW w:w="830" w:type="dxa"/>
            <w:tcBorders/>
            <w:shd w:fill="FFFFFF" w:val="clear"/>
            <w:vAlign w:val="center"/>
          </w:tcPr>
          <w:p>
            <w:pPr>
              <w:pStyle w:val="TableContents"/>
              <w:bidi w:val="0"/>
              <w:spacing w:before="0" w:after="283"/>
              <w:jc w:val="right"/>
              <w:rPr>
                <w:sz w:val="16"/>
              </w:rPr>
            </w:pPr>
            <w:r>
              <w:rPr>
                <w:sz w:val="16"/>
              </w:rPr>
              <w:t>(0.03</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sz w:val="16"/>
              </w:rPr>
            </w:pPr>
            <w:r>
              <w:rPr>
                <w:sz w:val="16"/>
              </w:rPr>
              <w:t>$</w:t>
            </w:r>
          </w:p>
        </w:tc>
        <w:tc>
          <w:tcPr>
            <w:tcW w:w="830" w:type="dxa"/>
            <w:tcBorders/>
            <w:shd w:fill="FFFFFF" w:val="clear"/>
            <w:vAlign w:val="center"/>
          </w:tcPr>
          <w:p>
            <w:pPr>
              <w:pStyle w:val="TableContents"/>
              <w:bidi w:val="0"/>
              <w:spacing w:before="0" w:after="283"/>
              <w:jc w:val="right"/>
              <w:rPr>
                <w:sz w:val="16"/>
              </w:rPr>
            </w:pPr>
            <w:r>
              <w:rPr>
                <w:sz w:val="16"/>
              </w:rPr>
              <w:t>(0.14</w:t>
            </w:r>
          </w:p>
        </w:tc>
        <w:tc>
          <w:tcPr>
            <w:tcW w:w="95" w:type="dxa"/>
            <w:tcBorders/>
            <w:shd w:fill="FFFFFF" w:val="clear"/>
            <w:vAlign w:val="center"/>
          </w:tcPr>
          <w:p>
            <w:pPr>
              <w:pStyle w:val="TableContents"/>
              <w:bidi w:val="0"/>
              <w:spacing w:before="0" w:after="283"/>
              <w:jc w:val="left"/>
              <w:rPr>
                <w:sz w:val="16"/>
              </w:rPr>
            </w:pPr>
            <w:r>
              <w:rPr>
                <w:sz w:val="16"/>
              </w:rPr>
              <w:t>)</w:t>
            </w:r>
          </w:p>
        </w:tc>
      </w:tr>
      <w:tr>
        <w:trPr/>
        <w:tc>
          <w:tcPr>
            <w:tcW w:w="4790" w:type="dxa"/>
            <w:tcBorders/>
            <w:shd w:fill="CCEEFF" w:val="clear"/>
            <w:vAlign w:val="center"/>
          </w:tcPr>
          <w:p>
            <w:pPr>
              <w:pStyle w:val="TableContents"/>
              <w:bidi w:val="0"/>
              <w:spacing w:before="0" w:after="283"/>
              <w:jc w:val="left"/>
              <w:rPr>
                <w:sz w:val="16"/>
              </w:rPr>
            </w:pPr>
            <w:r>
              <w:rPr>
                <w:sz w:val="16"/>
              </w:rPr>
              <w:t>Share-based compensation expense</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0.14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0.15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0.12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0.11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0.10</w:t>
            </w:r>
          </w:p>
        </w:tc>
        <w:tc>
          <w:tcPr>
            <w:tcW w:w="95" w:type="dxa"/>
            <w:tcBorders/>
            <w:shd w:fill="CCEEFF" w:val="clear"/>
            <w:vAlign w:val="center"/>
          </w:tcPr>
          <w:p>
            <w:pPr>
              <w:pStyle w:val="TableContents"/>
              <w:bidi w:val="0"/>
              <w:spacing w:before="0" w:after="283"/>
              <w:jc w:val="left"/>
              <w:rPr/>
            </w:pPr>
            <w:r>
              <w:rPr/>
              <w:t> </w:t>
            </w:r>
          </w:p>
        </w:tc>
      </w:tr>
      <w:tr>
        <w:trPr/>
        <w:tc>
          <w:tcPr>
            <w:tcW w:w="4790" w:type="dxa"/>
            <w:tcBorders/>
            <w:shd w:fill="FFFFFF" w:val="clear"/>
            <w:vAlign w:val="center"/>
          </w:tcPr>
          <w:p>
            <w:pPr>
              <w:pStyle w:val="TableContents"/>
              <w:bidi w:val="0"/>
              <w:spacing w:before="0" w:after="283"/>
              <w:jc w:val="left"/>
              <w:rPr>
                <w:sz w:val="16"/>
              </w:rPr>
            </w:pPr>
            <w:r>
              <w:rPr>
                <w:sz w:val="16"/>
              </w:rPr>
              <w:t>Impairment of capitalized software</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0.03</w:t>
            </w:r>
          </w:p>
        </w:tc>
        <w:tc>
          <w:tcPr>
            <w:tcW w:w="95" w:type="dxa"/>
            <w:tcBorders/>
            <w:shd w:fill="FFFFFF" w:val="clear"/>
            <w:vAlign w:val="center"/>
          </w:tcPr>
          <w:p>
            <w:pPr>
              <w:pStyle w:val="TableContents"/>
              <w:bidi w:val="0"/>
              <w:spacing w:before="0" w:after="283"/>
              <w:jc w:val="left"/>
              <w:rPr/>
            </w:pPr>
            <w:r>
              <w:rPr/>
              <w:t> </w:t>
            </w:r>
          </w:p>
        </w:tc>
      </w:tr>
      <w:tr>
        <w:trPr/>
        <w:tc>
          <w:tcPr>
            <w:tcW w:w="4790" w:type="dxa"/>
            <w:tcBorders/>
            <w:shd w:fill="CCEEFF" w:val="clear"/>
            <w:vAlign w:val="center"/>
          </w:tcPr>
          <w:p>
            <w:pPr>
              <w:pStyle w:val="TableContents"/>
              <w:bidi w:val="0"/>
              <w:spacing w:before="0" w:after="283"/>
              <w:jc w:val="left"/>
              <w:rPr>
                <w:sz w:val="16"/>
              </w:rPr>
            </w:pPr>
            <w:r>
              <w:rPr>
                <w:sz w:val="16"/>
              </w:rPr>
              <w:t>Gain on early lease termination</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(0.03</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r>
      <w:tr>
        <w:trPr/>
        <w:tc>
          <w:tcPr>
            <w:tcW w:w="4790" w:type="dxa"/>
            <w:tcBorders/>
            <w:shd w:fill="FFFFFF" w:val="clear"/>
            <w:vAlign w:val="center"/>
          </w:tcPr>
          <w:p>
            <w:pPr>
              <w:pStyle w:val="TableContents"/>
              <w:bidi w:val="0"/>
              <w:spacing w:before="0" w:after="283"/>
              <w:jc w:val="left"/>
              <w:rPr>
                <w:sz w:val="16"/>
              </w:rPr>
            </w:pPr>
            <w:r>
              <w:rPr>
                <w:sz w:val="16"/>
              </w:rPr>
              <w:t>Purchased intangibles amortization &amp;NegativeThickSpace;</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0.02</w:t>
            </w:r>
          </w:p>
        </w:tc>
        <w:tc>
          <w:tcPr>
            <w:tcW w:w="95" w:type="dxa"/>
            <w:tcBorders/>
            <w:shd w:fill="FFFFFF" w:val="clear"/>
            <w:vAlign w:val="center"/>
          </w:tcPr>
          <w:p>
            <w:pPr>
              <w:pStyle w:val="TableContents"/>
              <w:bidi w:val="0"/>
              <w:spacing w:before="0" w:after="283"/>
              <w:jc w:val="left"/>
              <w:rPr/>
            </w:pPr>
            <w:r>
              <w:rPr/>
              <w:t> </w:t>
            </w:r>
          </w:p>
        </w:tc>
      </w:tr>
      <w:tr>
        <w:trPr/>
        <w:tc>
          <w:tcPr>
            <w:tcW w:w="4790" w:type="dxa"/>
            <w:tcBorders/>
            <w:shd w:fill="CCEEFF" w:val="clear"/>
            <w:vAlign w:val="center"/>
          </w:tcPr>
          <w:p>
            <w:pPr>
              <w:pStyle w:val="TableContents"/>
              <w:bidi w:val="0"/>
              <w:spacing w:before="0" w:after="283"/>
              <w:jc w:val="left"/>
              <w:rPr>
                <w:sz w:val="16"/>
              </w:rPr>
            </w:pPr>
            <w:r>
              <w:rPr>
                <w:sz w:val="16"/>
              </w:rPr>
              <w:t>Non-recurring transaction-related costs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0.07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r>
      <w:tr>
        <w:trPr/>
        <w:tc>
          <w:tcPr>
            <w:tcW w:w="4790" w:type="dxa"/>
            <w:tcBorders/>
            <w:shd w:fill="FFFFFF" w:val="clear"/>
            <w:vAlign w:val="center"/>
          </w:tcPr>
          <w:p>
            <w:pPr>
              <w:pStyle w:val="TableContents"/>
              <w:bidi w:val="0"/>
              <w:spacing w:before="0" w:after="283"/>
              <w:jc w:val="left"/>
              <w:rPr>
                <w:sz w:val="16"/>
              </w:rPr>
            </w:pPr>
            <w:r>
              <w:rPr>
                <w:sz w:val="16"/>
              </w:rPr>
              <w:t>Preferred stock exchange deemed contribution</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(0.94</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r>
      <w:tr>
        <w:trPr/>
        <w:tc>
          <w:tcPr>
            <w:tcW w:w="479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Non-GAAP net income (loss) per diluted share</w:t>
            </w:r>
            <w:r>
              <w:rPr>
                <w:rFonts w:ascii="Times New Roman;Times;Serif" w:hAnsi="Times New Roman;Times;Serif"/>
                <w:position w:val="5"/>
                <w:sz w:val="13"/>
                <w:sz w:val="16"/>
              </w:rPr>
              <w:t>2,3</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830" w:type="dxa"/>
            <w:tcBorders>
              <w:bottom w:val="double" w:sz="6" w:space="0" w:color="000000"/>
            </w:tcBorders>
            <w:shd w:fill="CCEEFF" w:val="clear"/>
            <w:tcMar>
              <w:bottom w:w="28" w:type="dxa"/>
            </w:tcMar>
            <w:vAlign w:val="center"/>
          </w:tcPr>
          <w:p>
            <w:pPr>
              <w:pStyle w:val="TableContents"/>
              <w:bidi w:val="0"/>
              <w:spacing w:before="0" w:after="283"/>
              <w:jc w:val="right"/>
              <w:rPr>
                <w:sz w:val="16"/>
              </w:rPr>
            </w:pPr>
            <w:r>
              <w:rPr>
                <w:sz w:val="16"/>
              </w:rPr>
              <w:t>(0.06</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830" w:type="dxa"/>
            <w:tcBorders>
              <w:bottom w:val="double" w:sz="6" w:space="0" w:color="000000"/>
            </w:tcBorders>
            <w:shd w:fill="CCEEFF" w:val="clear"/>
            <w:tcMar>
              <w:bottom w:w="28" w:type="dxa"/>
            </w:tcMar>
            <w:vAlign w:val="center"/>
          </w:tcPr>
          <w:p>
            <w:pPr>
              <w:pStyle w:val="TableContents"/>
              <w:bidi w:val="0"/>
              <w:spacing w:before="0" w:after="283"/>
              <w:jc w:val="right"/>
              <w:rPr>
                <w:sz w:val="16"/>
              </w:rPr>
            </w:pPr>
            <w:r>
              <w:rPr>
                <w:sz w:val="16"/>
              </w:rPr>
              <w:t>0.12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830" w:type="dxa"/>
            <w:tcBorders>
              <w:bottom w:val="double" w:sz="6" w:space="0" w:color="000000"/>
            </w:tcBorders>
            <w:shd w:fill="CCEEFF" w:val="clear"/>
            <w:tcMar>
              <w:bottom w:w="28" w:type="dxa"/>
            </w:tcMar>
            <w:vAlign w:val="center"/>
          </w:tcPr>
          <w:p>
            <w:pPr>
              <w:pStyle w:val="TableContents"/>
              <w:bidi w:val="0"/>
              <w:spacing w:before="0" w:after="283"/>
              <w:jc w:val="right"/>
              <w:rPr>
                <w:sz w:val="16"/>
              </w:rPr>
            </w:pPr>
            <w:r>
              <w:rPr>
                <w:sz w:val="16"/>
              </w:rPr>
              <w:t>0.12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830" w:type="dxa"/>
            <w:tcBorders>
              <w:bottom w:val="double" w:sz="6" w:space="0" w:color="000000"/>
            </w:tcBorders>
            <w:shd w:fill="CCEEFF" w:val="clear"/>
            <w:tcMar>
              <w:bottom w:w="28" w:type="dxa"/>
            </w:tcMar>
            <w:vAlign w:val="center"/>
          </w:tcPr>
          <w:p>
            <w:pPr>
              <w:pStyle w:val="TableContents"/>
              <w:bidi w:val="0"/>
              <w:spacing w:before="0" w:after="283"/>
              <w:jc w:val="right"/>
              <w:rPr>
                <w:sz w:val="16"/>
              </w:rPr>
            </w:pPr>
            <w:r>
              <w:rPr>
                <w:sz w:val="16"/>
              </w:rPr>
              <w:t>0.08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830" w:type="dxa"/>
            <w:tcBorders>
              <w:bottom w:val="double" w:sz="6" w:space="0" w:color="000000"/>
            </w:tcBorders>
            <w:shd w:fill="CCEEFF" w:val="clear"/>
            <w:tcMar>
              <w:bottom w:w="28" w:type="dxa"/>
            </w:tcMar>
            <w:vAlign w:val="center"/>
          </w:tcPr>
          <w:p>
            <w:pPr>
              <w:pStyle w:val="TableContents"/>
              <w:bidi w:val="0"/>
              <w:spacing w:before="0" w:after="283"/>
              <w:jc w:val="right"/>
              <w:rPr>
                <w:sz w:val="16"/>
              </w:rPr>
            </w:pPr>
            <w:r>
              <w:rPr>
                <w:sz w:val="16"/>
              </w:rPr>
              <w:t>0.02</w:t>
            </w:r>
          </w:p>
        </w:tc>
        <w:tc>
          <w:tcPr>
            <w:tcW w:w="95" w:type="dxa"/>
            <w:tcBorders/>
            <w:shd w:fill="CCEEFF" w:val="clear"/>
            <w:vAlign w:val="center"/>
          </w:tcPr>
          <w:p>
            <w:pPr>
              <w:pStyle w:val="TableContents"/>
              <w:bidi w:val="0"/>
              <w:spacing w:before="0" w:after="283"/>
              <w:jc w:val="left"/>
              <w:rPr/>
            </w:pPr>
            <w:r>
              <w:rPr/>
              <w:t> </w:t>
            </w:r>
          </w:p>
        </w:tc>
      </w:tr>
      <w:tr>
        <w:trPr/>
        <w:tc>
          <w:tcPr>
            <w:tcW w:w="47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200"/>
              <w:jc w:val="left"/>
              <w:rPr/>
            </w:pPr>
            <w:r>
              <w:rPr/>
              <w:t> </w:t>
            </w:r>
          </w:p>
        </w:tc>
      </w:tr>
      <w:tr>
        <w:trPr/>
        <w:tc>
          <w:tcPr>
            <w:tcW w:w="4790" w:type="dxa"/>
            <w:tcBorders/>
            <w:shd w:fill="CCEEFF" w:val="clear"/>
            <w:vAlign w:val="center"/>
          </w:tcPr>
          <w:p>
            <w:pPr>
              <w:pStyle w:val="TableContents"/>
              <w:bidi w:val="0"/>
              <w:spacing w:before="0" w:after="283"/>
              <w:jc w:val="left"/>
              <w:rPr>
                <w:sz w:val="16"/>
              </w:rPr>
            </w:pPr>
            <w:r>
              <w:rPr>
                <w:sz w:val="16"/>
              </w:rPr>
              <w:t>Shares used in computing GAAP income (loss) from continuing operations per diluted share</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16,356,246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15,181,439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15,522,042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15,023,832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15,002,003</w:t>
            </w:r>
          </w:p>
        </w:tc>
        <w:tc>
          <w:tcPr>
            <w:tcW w:w="95" w:type="dxa"/>
            <w:tcBorders/>
            <w:shd w:fill="CCEEFF" w:val="clear"/>
            <w:vAlign w:val="center"/>
          </w:tcPr>
          <w:p>
            <w:pPr>
              <w:pStyle w:val="TableContents"/>
              <w:bidi w:val="0"/>
              <w:spacing w:before="0" w:after="283"/>
              <w:ind w:left="0" w:right="0" w:hanging="200"/>
              <w:jc w:val="left"/>
              <w:rPr/>
            </w:pPr>
            <w:r>
              <w:rPr/>
              <w:t> </w:t>
            </w:r>
          </w:p>
        </w:tc>
      </w:tr>
      <w:tr>
        <w:trPr/>
        <w:tc>
          <w:tcPr>
            <w:tcW w:w="4790" w:type="dxa"/>
            <w:tcBorders/>
            <w:shd w:fill="FFFFFF" w:val="clear"/>
            <w:vAlign w:val="center"/>
          </w:tcPr>
          <w:p>
            <w:pPr>
              <w:pStyle w:val="TableContents"/>
              <w:bidi w:val="0"/>
              <w:spacing w:before="0" w:after="283"/>
              <w:jc w:val="left"/>
              <w:rPr>
                <w:sz w:val="16"/>
              </w:rPr>
            </w:pPr>
            <w:r>
              <w:rPr>
                <w:sz w:val="16"/>
              </w:rPr>
              <w:t>Shares used in computing non-GAAP net income (loss) per diluted share</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16,093,430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15,671,835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15,522,042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15,147,769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15,328,069</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 Includes the impact of preferred stock dividends</w:t>
      </w:r>
    </w:p>
    <w:p>
      <w:pPr>
        <w:pStyle w:val="TextBody"/>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 The per share reconciliation of GAAP to non-GAAP may not aggregate due to both calculations utilizing a different share basis. The loss per diluted share calculation uses a lower share count as it excludes potentially dilutive shares included in the net income per diluted share calculation.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“Non-GAAP Financial Measures” for information regarding our use of Non-GAAP financial measures.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jc w:val="right"/>
        <w:rPr>
          <w:b/>
        </w:rPr>
      </w:pPr>
      <w:bookmarkStart w:id="25" w:name="inseego_ex9902.htm"/>
      <w:bookmarkStart w:id="26" w:name="ksinseego_ex9902"/>
      <w:bookmarkEnd w:id="25"/>
      <w:bookmarkEnd w:id="26"/>
      <w:r>
        <w:rPr>
          <w:b/>
        </w:rPr>
        <w:t>Exhibit 99.2</w:t>
      </w:r>
      <w:r>
        <w:br w:type="page"/>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drawing>
          <wp:inline distT="0" distB="0" distL="0" distR="0">
            <wp:extent cx="7620000" cy="59055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620000" cy="5905500"/>
                    </a:xfrm>
                    <a:prstGeom prst="rect">
                      <a:avLst/>
                    </a:prstGeom>
                  </pic:spPr>
                </pic:pic>
              </a:graphicData>
            </a:graphic>
          </wp:inline>
        </w:drawing>
      </w: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color w:val="FFFFFF"/>
          <w:sz w:val="2"/>
        </w:rPr>
      </w:pPr>
      <w:r>
        <w:rPr>
          <w:color w:val="FFFFFF"/>
          <w:sz w:val="2"/>
        </w:rPr>
        <w:t>Q1 2026 EARNINGS RESULTS May 7, 2026</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t> </w:t>
      </w:r>
    </w:p>
    <w:p>
      <w:pPr>
        <w:pStyle w:val="TextBody"/>
        <w:bidi w:val="0"/>
        <w:jc w:val="center"/>
        <w:rPr/>
      </w:pPr>
      <w:r>
        <w:rPr/>
        <w:drawing>
          <wp:inline distT="0" distB="0" distL="0" distR="0">
            <wp:extent cx="7620000" cy="58674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7620000" cy="5867400"/>
                    </a:xfrm>
                    <a:prstGeom prst="rect">
                      <a:avLst/>
                    </a:prstGeom>
                  </pic:spPr>
                </pic:pic>
              </a:graphicData>
            </a:graphic>
          </wp:inline>
        </w:drawing>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color w:val="FFFFFF"/>
          <w:sz w:val="2"/>
        </w:rPr>
      </w:pPr>
      <w:r>
        <w:rPr>
          <w:color w:val="FFFFFF"/>
          <w:sz w:val="2"/>
        </w:rPr>
        <w:t>Financial Profile | Strengthened Foundation &amp; Improving Trajectory Driving Sustainable Revenue Growth Strong Gross Margin Profile Diversified Hardware &amp; SaaS Revenue Mix Adj. EBITDA Profitability Overhauled Capital Structure Scalable Operating Model Acquiring Global FWA Business From Nokia 2</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t> </w:t>
      </w:r>
    </w:p>
    <w:p>
      <w:pPr>
        <w:pStyle w:val="TextBody"/>
        <w:bidi w:val="0"/>
        <w:jc w:val="center"/>
        <w:rPr/>
      </w:pPr>
      <w:r>
        <w:rPr/>
        <w:t> </w:t>
      </w:r>
      <w:r>
        <w:rPr/>
        <w:drawing>
          <wp:inline distT="0" distB="0" distL="0" distR="0">
            <wp:extent cx="7620000" cy="43053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7620000" cy="4305300"/>
                    </a:xfrm>
                    <a:prstGeom prst="rect">
                      <a:avLst/>
                    </a:prstGeom>
                  </pic:spPr>
                </pic:pic>
              </a:graphicData>
            </a:graphic>
          </wp:inline>
        </w:drawing>
      </w:r>
    </w:p>
    <w:p>
      <w:pPr>
        <w:pStyle w:val="TextBody"/>
        <w:bidi w:val="0"/>
        <w:jc w:val="center"/>
        <w:rPr/>
      </w:pPr>
      <w:r>
        <w:rPr/>
        <w:t> </w:t>
      </w:r>
    </w:p>
    <w:p>
      <w:pPr>
        <w:pStyle w:val="TextBody"/>
        <w:bidi w:val="0"/>
        <w:jc w:val="center"/>
        <w:rPr/>
      </w:pPr>
      <w:r>
        <w:rPr/>
        <w:t> </w:t>
      </w:r>
    </w:p>
    <w:p>
      <w:pPr>
        <w:pStyle w:val="TextBody"/>
        <w:bidi w:val="0"/>
        <w:jc w:val="center"/>
        <w:rPr>
          <w:color w:val="FFFFFF"/>
          <w:sz w:val="2"/>
        </w:rPr>
      </w:pPr>
      <w:r>
        <w:rPr>
          <w:color w:val="FFFFFF"/>
          <w:sz w:val="2"/>
        </w:rPr>
        <w:t>Q1 2026 RESULTS (May 07, 2026) GUIDANCE (Feb 19, 2026) $34.3m $1.8m $33.0m - $36.0m $1.0m - $2.0m TOTAL REVENUE ADJ EBITDA* 5.1% 3 - 6% Implied margin 3 Q1 2026 Financial Results | Met Guidance In the Feb 19, 2026 Q4 2025 Earnings call, the Company issued guidance for Q1 2026. On May 7, 2026, financial results for Q1 2025 were reported and met expectations on both revenue and ADJ EBITDA, as follows: *Adjusted EBITDA is a non - GAAP financial measure. See ”Non - GAAP Numbers” and related tables in the Appendix for a reconciliation to the closest GAAP measure.</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t> </w:t>
      </w:r>
    </w:p>
    <w:p>
      <w:pPr>
        <w:pStyle w:val="TextBody"/>
        <w:bidi w:val="0"/>
        <w:jc w:val="center"/>
        <w:rPr/>
      </w:pPr>
      <w:r>
        <w:rPr/>
        <w:drawing>
          <wp:inline distT="0" distB="0" distL="0" distR="0">
            <wp:extent cx="7620000" cy="58769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7620000" cy="5876925"/>
                    </a:xfrm>
                    <a:prstGeom prst="rect">
                      <a:avLst/>
                    </a:prstGeom>
                  </pic:spPr>
                </pic:pic>
              </a:graphicData>
            </a:graphic>
          </wp:inline>
        </w:drawing>
      </w:r>
      <w:r>
        <w:rPr/>
        <w:t> </w:t>
      </w:r>
    </w:p>
    <w:p>
      <w:pPr>
        <w:pStyle w:val="TextBody"/>
        <w:bidi w:val="0"/>
        <w:jc w:val="center"/>
        <w:rPr/>
      </w:pPr>
      <w:r>
        <w:rPr/>
        <w:t> </w:t>
      </w:r>
    </w:p>
    <w:p>
      <w:pPr>
        <w:pStyle w:val="TextBody"/>
        <w:bidi w:val="0"/>
        <w:jc w:val="center"/>
        <w:rPr/>
      </w:pPr>
      <w:r>
        <w:rPr/>
        <w:t> </w:t>
      </w:r>
    </w:p>
    <w:p>
      <w:pPr>
        <w:pStyle w:val="TextBody"/>
        <w:bidi w:val="0"/>
        <w:jc w:val="center"/>
        <w:rPr>
          <w:color w:val="FFFFFF"/>
          <w:sz w:val="2"/>
        </w:rPr>
      </w:pPr>
      <w:r>
        <w:rPr>
          <w:color w:val="FFFFFF"/>
          <w:sz w:val="2"/>
        </w:rPr>
        <w:t>Q1 2026 Financial Results | Selected Key Highlights Inseego delivered $34.3m of revenue, a year - on - year revenue growth of +$2.7m, or +8.4%, vs. Q1 2025 driven by increased FWA revenue. Q1 2026 Financial Highlights Include: • 1 YoY growth was delivered in the FWA business, at +179% YoY. Continued Strong Revenue From Services &amp; Other of $12.3m, growing +3% YoY vs. Q1 2025. 2 • Increased non - GAAP Gross Margin of 48.9% , +139 bps higher YoY vs. Q1 2025 and +632 bps higher QoQ vs. Q4 2025, on account of continued cost discipline and a higher percentage of FWA and Software Services &amp; Other revenue. 3 • Non - GAAP Operating Expenses (excluding D&amp;A) as a percentage of revenue increased in Q1 2026 as a function of investments tied to carrier ramps, portfolio expansion, and broader go - to - market readiness for the second half of 2026. 4 • Delivered Adj EBITDA of $1.8m and 5.1% , continuing to have profitability while investing in the future. 5 • Cash balance of $19m at March 31 st , 2026 and a debt balance of $49m due in 2029. 4</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t> </w:t>
      </w:r>
    </w:p>
    <w:p>
      <w:pPr>
        <w:pStyle w:val="TextBody"/>
        <w:bidi w:val="0"/>
        <w:jc w:val="center"/>
        <w:rPr/>
      </w:pPr>
      <w:r>
        <w:rPr/>
        <w:drawing>
          <wp:inline distT="0" distB="0" distL="0" distR="0">
            <wp:extent cx="7620000" cy="54959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7620000" cy="5495925"/>
                    </a:xfrm>
                    <a:prstGeom prst="rect">
                      <a:avLst/>
                    </a:prstGeom>
                  </pic:spPr>
                </pic:pic>
              </a:graphicData>
            </a:graphic>
          </wp:inline>
        </w:drawing>
      </w:r>
      <w:r>
        <w:rPr/>
        <w:t> </w:t>
      </w:r>
    </w:p>
    <w:p>
      <w:pPr>
        <w:pStyle w:val="TextBody"/>
        <w:bidi w:val="0"/>
        <w:jc w:val="center"/>
        <w:rPr/>
      </w:pPr>
      <w:r>
        <w:rPr/>
        <w:t> </w:t>
      </w:r>
    </w:p>
    <w:p>
      <w:pPr>
        <w:pStyle w:val="TextBody"/>
        <w:bidi w:val="0"/>
        <w:jc w:val="center"/>
        <w:rPr/>
      </w:pPr>
      <w:r>
        <w:rPr/>
        <w:t> </w:t>
      </w:r>
    </w:p>
    <w:p>
      <w:pPr>
        <w:pStyle w:val="TextBody"/>
        <w:bidi w:val="0"/>
        <w:jc w:val="center"/>
        <w:rPr>
          <w:color w:val="FFFFFF"/>
        </w:rPr>
      </w:pPr>
      <w:r>
        <w:rPr>
          <w:color w:val="FFFFFF"/>
        </w:rPr>
        <w:t xml:space="preserve">✓ </w:t>
      </w:r>
      <w:r>
        <w:rPr>
          <w:color w:val="FFFFFF"/>
          <w:sz w:val="2"/>
        </w:rPr>
        <w:t>Announced signing of agreement to acquire Nokia’s Fixed Wireless Access business, which is expected to close in Q4 2026 subject to normal terms and conditions of transactions like this. Based on its current run rate of approximately $200m in annualized revenue, the acquisition is expected to double Inseego’s revenue upon closing. ✓ Under the terms of the FWA acquisition, at closing Nokia will receive approximately a 7% equity stake in Inseego in the form of common stock and warrants, representing a value of $20 million. At closing Nokia will also make an additional $10 million cash investment in Inseego in the form of common stock and warrants, to further strengthen the commercial collaboration, that will bring Nokia’s total ownership interest to approximately 11%. ✓ The acquisition of the Nokia FWA business also includes plans for joint go - to - market initiatives between the two companies in 6G and wireless edge to capture the opportunities in AI and to further advance the FWA business. The collaboration will also explore joint innovation and carrier 5G monetization opportunities, as well as consumer and enterprise growth opportunities at the wireless edge. These efforts are expected to support and drive customer continuity, future revenue growth, and technology leadership at the wireless edge. ✓ Secured a new win with a U.S. Tier - 1 carrier partner for our 4 th generation FWA device, as carriers continue to view Inseego as a key partner in scaling Fixed Wireless Access as a core enterprise connectivity solution. 5 value - tier MiFi device. ✓ Continued to consolidate the Mobile hot spot space by securing a new win with a U.S. Tier - 1 carrier partner for a ✓ Announced the appointment of Koroush Saraf as Chief Product Officer, as we continue to expand our product portfolio and drive the delivery of more integrated and scalable solutions for enterprise and service provider customers. Q1 2026 | Selected Business Highlights</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t> </w:t>
      </w:r>
    </w:p>
    <w:p>
      <w:pPr>
        <w:pStyle w:val="TextBody"/>
        <w:bidi w:val="0"/>
        <w:jc w:val="center"/>
        <w:rPr/>
      </w:pPr>
      <w:r>
        <w:rPr/>
        <w:drawing>
          <wp:inline distT="0" distB="0" distL="0" distR="0">
            <wp:extent cx="7620000" cy="97155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7620000" cy="9715500"/>
                    </a:xfrm>
                    <a:prstGeom prst="rect">
                      <a:avLst/>
                    </a:prstGeom>
                  </pic:spPr>
                </pic:pic>
              </a:graphicData>
            </a:graphic>
          </wp:inline>
        </w:drawing>
      </w:r>
      <w:r>
        <w:rPr/>
        <w:t> </w:t>
      </w:r>
    </w:p>
    <w:p>
      <w:pPr>
        <w:pStyle w:val="TextBody"/>
        <w:bidi w:val="0"/>
        <w:jc w:val="center"/>
        <w:rPr>
          <w:color w:val="FFFFFF"/>
          <w:sz w:val="2"/>
        </w:rPr>
      </w:pPr>
      <w:r>
        <w:rPr>
          <w:color w:val="FFFFFF"/>
          <w:sz w:val="2"/>
        </w:rPr>
        <w:t>39.2 42.0 35.9 19.7 28.2 33.7 36.1 22.0 12.4 12.0 12.2 12.0 12.0 12.2 12.3 12.3 ($ millions) 51.6 54.0 48.1 31.7 40.2 45.9 48.4 34.3 Q2 2024 Q3 2024 Q4 2024 Product Revenue Q1 2025 Q2 2025 Q3 2025 Q4 2025 Q1 2026 Software Services &amp; Other Revenue 6 Total Revenue | Product &amp; SaaS Revenue Profile Q1 2026 total revenue grew +8.4% YoY on increased FWA sales and continued healthy Software Services &amp; Other contribution. PRODUCT SOFTWARE SERVICES &amp; OTHER</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t> </w:t>
      </w:r>
    </w:p>
    <w:p>
      <w:pPr>
        <w:pStyle w:val="TextBody"/>
        <w:bidi w:val="0"/>
        <w:jc w:val="center"/>
        <w:rPr/>
      </w:pPr>
      <w:r>
        <w:rPr/>
        <w:t> </w:t>
      </w:r>
      <w:r>
        <w:rPr/>
        <w:drawing>
          <wp:inline distT="0" distB="0" distL="0" distR="0">
            <wp:extent cx="7620000" cy="56007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7620000" cy="5600700"/>
                    </a:xfrm>
                    <a:prstGeom prst="rect">
                      <a:avLst/>
                    </a:prstGeom>
                  </pic:spPr>
                </pic:pic>
              </a:graphicData>
            </a:graphic>
          </wp:inline>
        </w:drawing>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color w:val="FFFFFF"/>
          <w:sz w:val="2"/>
        </w:rPr>
      </w:pPr>
      <w:r>
        <w:rPr>
          <w:color w:val="FFFFFF"/>
          <w:sz w:val="2"/>
        </w:rPr>
        <w:t>25.9 32.3 25.5 17.8 13.7 16.0 20.4 16.7 13.3 9.7 10.4 14.5 17.6 15.7 5.3 39.2 42.0 35.9 19.7 1.9 28.2 33.7 36.1 22.0 Q2 2024 Q3 2024 Q4 2024 Q1 2025 Q2 2025 Q3 2025 Q4 2025 Q1 2026 Mobile Solutions Revenue Fixed Wireless Access Solutions Revenue 7 Product Revenue | YoY FWA &amp; Total Product Revenue Growth While Mobile Solutions decreased vs. Q1 2025, it remained above $16m for the third consecutive quarter. FWA revenues grew significantly YoY vs. Q1 2025; both Mobile and FWA revenues were down sequentially on account of anticipated &amp; previously communicated short - term headwinds. ($ millions) MOBILE FWA</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t> </w:t>
      </w:r>
    </w:p>
    <w:p>
      <w:pPr>
        <w:pStyle w:val="TextBody"/>
        <w:bidi w:val="0"/>
        <w:jc w:val="center"/>
        <w:rPr/>
      </w:pPr>
      <w:r>
        <w:rPr/>
        <w:drawing>
          <wp:inline distT="0" distB="0" distL="0" distR="0">
            <wp:extent cx="7620000" cy="55435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7620000" cy="5543550"/>
                    </a:xfrm>
                    <a:prstGeom prst="rect">
                      <a:avLst/>
                    </a:prstGeom>
                  </pic:spPr>
                </pic:pic>
              </a:graphicData>
            </a:graphic>
          </wp:inline>
        </w:drawing>
      </w: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color w:val="FFFFFF"/>
          <w:sz w:val="2"/>
        </w:rPr>
      </w:pPr>
      <w:r>
        <w:rPr>
          <w:color w:val="FFFFFF"/>
          <w:sz w:val="2"/>
        </w:rPr>
        <w:t>76% 78% 75% 62% 70% 73% 75% 64% 24% 22% 25% 38% 30% 27% 25% 36% Q1 Q4 Q3 Q2 Q1 Q4 Q3 Q2 2026 2025 2025 2025 2025 2024 2024 2024 Product Revenue Software Services &amp; Other Revenue 8 Compelling Portfolio | High - Value Software Services Contribution The Company continues its successful focus on its solutions portfolio and is delivering a healthy revenue mix from high - profitability Software Services &amp; Other offerings in addition to its Product offerings. PRODUCT SOFTWARE SERVICES &amp; OTHER</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t> </w:t>
      </w:r>
    </w:p>
    <w:p>
      <w:pPr>
        <w:pStyle w:val="TextBody"/>
        <w:bidi w:val="0"/>
        <w:jc w:val="center"/>
        <w:rPr/>
      </w:pPr>
      <w:r>
        <w:rPr/>
        <w:drawing>
          <wp:inline distT="0" distB="0" distL="0" distR="0">
            <wp:extent cx="7620000" cy="54197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7620000" cy="5419725"/>
                    </a:xfrm>
                    <a:prstGeom prst="rect">
                      <a:avLst/>
                    </a:prstGeom>
                  </pic:spPr>
                </pic:pic>
              </a:graphicData>
            </a:graphic>
          </wp:inline>
        </w:drawing>
      </w:r>
      <w:r>
        <w:rPr/>
        <w:t> </w:t>
      </w:r>
    </w:p>
    <w:p>
      <w:pPr>
        <w:pStyle w:val="TextBody"/>
        <w:bidi w:val="0"/>
        <w:jc w:val="center"/>
        <w:rPr/>
      </w:pPr>
      <w:r>
        <w:rPr/>
        <w:t> </w:t>
      </w:r>
    </w:p>
    <w:p>
      <w:pPr>
        <w:pStyle w:val="TextBody"/>
        <w:bidi w:val="0"/>
        <w:jc w:val="center"/>
        <w:rPr/>
      </w:pPr>
      <w:r>
        <w:rPr/>
        <w:t> </w:t>
      </w:r>
    </w:p>
    <w:p>
      <w:pPr>
        <w:pStyle w:val="TextBody"/>
        <w:bidi w:val="0"/>
        <w:jc w:val="center"/>
        <w:rPr>
          <w:color w:val="FFFFFF"/>
          <w:sz w:val="2"/>
        </w:rPr>
      </w:pPr>
      <w:r>
        <w:rPr>
          <w:color w:val="FFFFFF"/>
          <w:sz w:val="2"/>
        </w:rPr>
        <w:t>36.5% 9 34.8% 37.4% 47.5% 41.2% 41.8% 42.5% 48.9% Q1 Q4 Q3 Q2 Q1 Q4 Q3 Q2 2026 2025 2025 2025 2025 2024 2024 2024 Gross Margin | Expanding Contribution The Company has materially improved its gross margin profile through a combination of improved revenue growth and mix, favorable pricing, and overall product sourcing &amp; operational efficiencies. GROSS MARGIN % (non - GAAP)</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t> </w:t>
      </w:r>
    </w:p>
    <w:p>
      <w:pPr>
        <w:pStyle w:val="TextBody"/>
        <w:bidi w:val="0"/>
        <w:jc w:val="center"/>
        <w:rPr/>
      </w:pPr>
      <w:r>
        <w:rPr/>
        <w:drawing>
          <wp:inline distT="0" distB="0" distL="0" distR="0">
            <wp:extent cx="7620000" cy="55626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7620000" cy="5562600"/>
                    </a:xfrm>
                    <a:prstGeom prst="rect">
                      <a:avLst/>
                    </a:prstGeom>
                  </pic:spPr>
                </pic:pic>
              </a:graphicData>
            </a:graphic>
          </wp:inline>
        </w:drawing>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color w:val="FFFFFF"/>
          <w:sz w:val="2"/>
        </w:rPr>
      </w:pPr>
      <w:r>
        <w:rPr>
          <w:color w:val="FFFFFF"/>
          <w:sz w:val="2"/>
        </w:rPr>
        <w:t>3.4 3.5 4.3 5% 2.8 6% 3.1 8% 3.7 11% 9% 11% 4.8 9% 4.3 13% 4.3 4.6 4.6 5.3 5.6 10% 5.1 9% 5.0 11% 5.3 13% 11% 10% 11% 16% Operating Expense Efficiency | Driving Operations at Scale Disciplined cost management has underpinned stable operating expenditures and has created a platform for economies of scale on an operating expense to revenue ratio. As communicated previously, the Company is making deliberate investments in carrier ramps, portfolio expansion, and broader go - to - market readiness in 1H 2026 to drive growth and profitability expansion in the 2H 2026. Sales &amp; Marketing (non - GAAP) Research &amp; Development (non - GAAP) General &amp; Administrative (non - GAAP) Q2 Q3 Q4 Q1 Q2 Q3 Q4 Q1 Q2 Q3 Q4 Q1 Q2 Q3 Q4 Q1 2024 2024 2024 2025 2025 2025 2025 2026 2024 2024 2024 2025 2025 2025 2025 2026 Operating Expense / Revenue ratio NOTE: These OpEx categories do not include depreciation &amp; amortization expense as that is reported in its own line item. 3.8 10 3.8 5.1 7% 4.0 8% 3.7 12% 9% 9% 4.0 10% 5.0 8% ($ millions) 4.2 15% Q2 Q3 Q4 Q1 Q2 Q3 Q4 Q1 2024 2024 2024 2025 2025 2025 2025 2026</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t> </w:t>
      </w:r>
    </w:p>
    <w:p>
      <w:pPr>
        <w:pStyle w:val="TextBody"/>
        <w:bidi w:val="0"/>
        <w:jc w:val="center"/>
        <w:rPr/>
      </w:pPr>
      <w:r>
        <w:rPr/>
        <w:drawing>
          <wp:inline distT="0" distB="0" distL="0" distR="0">
            <wp:extent cx="7620000" cy="55435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7620000" cy="5543550"/>
                    </a:xfrm>
                    <a:prstGeom prst="rect">
                      <a:avLst/>
                    </a:prstGeom>
                  </pic:spPr>
                </pic:pic>
              </a:graphicData>
            </a:graphic>
          </wp:inline>
        </w:drawing>
      </w: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color w:val="FFFFFF"/>
          <w:sz w:val="2"/>
        </w:rPr>
      </w:pPr>
      <w:r>
        <w:rPr>
          <w:color w:val="FFFFFF"/>
          <w:sz w:val="2"/>
        </w:rPr>
        <w:t>6.7 5.4 3.7 4.7 5.8 6.0 13.2% 12.5% 11.2% 11.6% 11.8% 12.5% 12.4% 5.1% ADJ EBITDA $ 1.8 ($ millions) 6.8 Q2 2024 Q3 2024 Q4 2024 Q1 2025 Adj EBITDA $ Q2 2025 Adj EBITDA % Q3 2025 Q4 2025 Q1 2026 Profitability | Investing in Product as Previously Communicated The Company has significantly improved and stabilized profitability since the beginning of 2024 following transformative changes. In the first half of 2026, the Company is making significant investments in product, go - to - market, and operating capabilities needed to support the larger organic opportunity ahead in order to drive growth and profitability expansion in 2H 2026. 11 ADJ EBITDA MARGIN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t> </w:t>
      </w:r>
    </w:p>
    <w:p>
      <w:pPr>
        <w:pStyle w:val="TextBody"/>
        <w:bidi w:val="0"/>
        <w:jc w:val="center"/>
        <w:rPr/>
      </w:pPr>
      <w:r>
        <w:rPr/>
        <w:t> </w:t>
      </w:r>
      <w:r>
        <w:rPr/>
        <w:drawing>
          <wp:inline distT="0" distB="0" distL="0" distR="0">
            <wp:extent cx="7620000" cy="42576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7620000" cy="4257675"/>
                    </a:xfrm>
                    <a:prstGeom prst="rect">
                      <a:avLst/>
                    </a:prstGeom>
                  </pic:spPr>
                </pic:pic>
              </a:graphicData>
            </a:graphic>
          </wp:inline>
        </w:drawing>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color w:val="FFFFFF"/>
          <w:sz w:val="2"/>
        </w:rPr>
      </w:pPr>
      <w:r>
        <w:rPr>
          <w:color w:val="FFFFFF"/>
          <w:sz w:val="2"/>
        </w:rPr>
        <w:t>Material Capital Structure Overhaul | Preferred Shares Eliminated in Jan 2026 The Company has meaningfully improved its capital structure through a series of restructurings, debt reductions and exchanges that have resulted in a material value accruing to common shareholders, highlighted as follows: • During 2024 and 2025, the Company lowered its debt position by more than $125m by paying - down debt and eliminating the convertible notes. • In January 2026, the Company eliminated its Preferred Stock (that had a $42m aggregate liquidation preference at December 31, 2025) at a discount of 38% for total consideration of $26m and that consisted of a combination of $10m in Cash (with 1/3 paid at signing, 1/3 to be paid in 6 months, and 1/3 in a year), $8m in the Company’s existing long - term Senior Secured 9% Notes, and $8m in Common Stock. • The Company's only outstanding debt is $49m (that includes the $8m noted above) in long - term Senior Secured 9% Notes which mature May 1, 2029. • In August 2025, the Company entered into a $15m (undrawn) working capital facility with BMO Bank that provides additional operating flexibility and liquidity. $ 49m Senior Secured Debt $ 19m Cash 12 - NET DEBT = ~ $28m</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t> </w:t>
      </w:r>
    </w:p>
    <w:p>
      <w:pPr>
        <w:pStyle w:val="TextBody"/>
        <w:bidi w:val="0"/>
        <w:jc w:val="center"/>
        <w:rPr/>
      </w:pPr>
      <w:r>
        <w:rPr/>
        <w:drawing>
          <wp:inline distT="0" distB="0" distL="0" distR="0">
            <wp:extent cx="7620000" cy="55626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7620000" cy="5562600"/>
                    </a:xfrm>
                    <a:prstGeom prst="rect">
                      <a:avLst/>
                    </a:prstGeom>
                  </pic:spPr>
                </pic:pic>
              </a:graphicData>
            </a:graphic>
          </wp:inline>
        </w:drawing>
      </w:r>
    </w:p>
    <w:p>
      <w:pPr>
        <w:pStyle w:val="TextBody"/>
        <w:bidi w:val="0"/>
        <w:jc w:val="center"/>
        <w:rPr/>
      </w:pPr>
      <w:r>
        <w:rPr/>
        <w:t> </w:t>
      </w:r>
    </w:p>
    <w:p>
      <w:pPr>
        <w:pStyle w:val="TextBody"/>
        <w:bidi w:val="0"/>
        <w:jc w:val="center"/>
        <w:rPr/>
      </w:pPr>
      <w:r>
        <w:rPr/>
        <w:t> </w:t>
      </w:r>
    </w:p>
    <w:p>
      <w:pPr>
        <w:pStyle w:val="TextBody"/>
        <w:bidi w:val="0"/>
        <w:jc w:val="center"/>
        <w:rPr>
          <w:color w:val="FFFFFF"/>
          <w:sz w:val="2"/>
        </w:rPr>
      </w:pPr>
      <w:r>
        <w:rPr>
          <w:color w:val="FFFFFF"/>
          <w:sz w:val="2"/>
        </w:rPr>
        <w:t>Q2 2026 GUIDANCE $36.5m - $43.5m $.25m - $2.0m Total Revenue Adj EBITDA 13 FULL - YEAR 2026 GUIDANCE ~$190m On the Company’s Q1 2026 Earnings Call on May 7, 2026, the Company provided the following guidance for Total Revenue and Adjusted EBITDA for Q2 and the full - year 2026: Company Guidance | Q2 and Full - Year 2026 (ISSUED: MAY 7, 2026)</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t> </w:t>
      </w:r>
    </w:p>
    <w:p>
      <w:pPr>
        <w:pStyle w:val="TextBody"/>
        <w:bidi w:val="0"/>
        <w:jc w:val="center"/>
        <w:rPr/>
      </w:pPr>
      <w:r>
        <w:rPr/>
        <w:drawing>
          <wp:inline distT="0" distB="0" distL="0" distR="0">
            <wp:extent cx="7620000" cy="549592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7620000" cy="5495925"/>
                    </a:xfrm>
                    <a:prstGeom prst="rect">
                      <a:avLst/>
                    </a:prstGeom>
                  </pic:spPr>
                </pic:pic>
              </a:graphicData>
            </a:graphic>
          </wp:inline>
        </w:drawing>
      </w:r>
      <w:r>
        <w:rPr/>
        <w:t> </w:t>
      </w:r>
    </w:p>
    <w:p>
      <w:pPr>
        <w:pStyle w:val="TextBody"/>
        <w:bidi w:val="0"/>
        <w:jc w:val="center"/>
        <w:rPr/>
      </w:pPr>
      <w:r>
        <w:rPr/>
        <w:t> </w:t>
      </w:r>
    </w:p>
    <w:p>
      <w:pPr>
        <w:pStyle w:val="TextBody"/>
        <w:bidi w:val="0"/>
        <w:jc w:val="center"/>
        <w:rPr/>
      </w:pPr>
      <w:r>
        <w:rPr/>
        <w:t> </w:t>
      </w:r>
    </w:p>
    <w:p>
      <w:pPr>
        <w:pStyle w:val="TextBody"/>
        <w:bidi w:val="0"/>
        <w:jc w:val="center"/>
        <w:rPr>
          <w:color w:val="FFFFFF"/>
          <w:sz w:val="2"/>
        </w:rPr>
      </w:pPr>
      <w:r>
        <w:rPr>
          <w:color w:val="FFFFFF"/>
          <w:sz w:val="2"/>
        </w:rPr>
        <w:t>Investment Highlights | Compelling Trajectory Large and growing TAM across the Mobile Broadband and Fixed Wireless Access markets Improved financial profile driving sustainable revenue growth, consistent profitability and cash flow generation Right - sized capital structure with materially reduced debt Scaling FWA and mobile deployments across all three U.S. Tier - 1 wireless carriers Unique positioning of products built to meet strict U.S. government requirements in support of the “homegrown” U.S. tech initiative 25+ year track record of wireless technology leadership and strong relationships with Tier 1 Service Providers and Fortune 500 customers Acquisition of Nokia’s FWA business, targeted to close in Q4 2026, is expected to double company revenue, bring in global customers, and initiate partnership to innovate in AI and 6G 14</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t> </w:t>
      </w:r>
    </w:p>
    <w:p>
      <w:pPr>
        <w:pStyle w:val="TextBody"/>
        <w:bidi w:val="0"/>
        <w:jc w:val="center"/>
        <w:rPr/>
      </w:pPr>
      <w:r>
        <w:rPr/>
        <w:drawing>
          <wp:inline distT="0" distB="0" distL="0" distR="0">
            <wp:extent cx="7620000" cy="572452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7620000" cy="5724525"/>
                    </a:xfrm>
                    <a:prstGeom prst="rect">
                      <a:avLst/>
                    </a:prstGeom>
                  </pic:spPr>
                </pic:pic>
              </a:graphicData>
            </a:graphic>
          </wp:inline>
        </w:drawing>
      </w:r>
    </w:p>
    <w:p>
      <w:pPr>
        <w:pStyle w:val="TextBody"/>
        <w:bidi w:val="0"/>
        <w:jc w:val="center"/>
        <w:rPr/>
      </w:pPr>
      <w:r>
        <w:rPr/>
        <w:t> </w:t>
      </w:r>
    </w:p>
    <w:p>
      <w:pPr>
        <w:pStyle w:val="TextBody"/>
        <w:bidi w:val="0"/>
        <w:jc w:val="center"/>
        <w:rPr/>
      </w:pPr>
      <w:r>
        <w:rPr/>
        <w:t> </w:t>
      </w:r>
    </w:p>
    <w:p>
      <w:pPr>
        <w:pStyle w:val="TextBody"/>
        <w:bidi w:val="0"/>
        <w:jc w:val="center"/>
        <w:rPr>
          <w:color w:val="FFFFFF"/>
          <w:sz w:val="2"/>
        </w:rPr>
      </w:pPr>
      <w:r>
        <w:rPr>
          <w:color w:val="FFFFFF"/>
          <w:sz w:val="2"/>
        </w:rPr>
        <w:t>APPENDIX</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t> </w:t>
      </w:r>
    </w:p>
    <w:p>
      <w:pPr>
        <w:pStyle w:val="TextBody"/>
        <w:bidi w:val="0"/>
        <w:jc w:val="center"/>
        <w:rPr/>
      </w:pPr>
      <w:r>
        <w:rPr/>
        <w:drawing>
          <wp:inline distT="0" distB="0" distL="0" distR="0">
            <wp:extent cx="7620000" cy="57150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7620000" cy="5715000"/>
                    </a:xfrm>
                    <a:prstGeom prst="rect">
                      <a:avLst/>
                    </a:prstGeom>
                  </pic:spPr>
                </pic:pic>
              </a:graphicData>
            </a:graphic>
          </wp:inline>
        </w:drawing>
      </w:r>
      <w:r>
        <w:rPr/>
        <w:t> </w:t>
      </w:r>
    </w:p>
    <w:p>
      <w:pPr>
        <w:pStyle w:val="TextBody"/>
        <w:bidi w:val="0"/>
        <w:jc w:val="center"/>
        <w:rPr/>
      </w:pPr>
      <w:r>
        <w:rPr/>
        <w:t> </w:t>
      </w:r>
    </w:p>
    <w:p>
      <w:pPr>
        <w:pStyle w:val="TextBody"/>
        <w:bidi w:val="0"/>
        <w:jc w:val="center"/>
        <w:rPr/>
      </w:pPr>
      <w:r>
        <w:rPr/>
        <w:t> </w:t>
      </w:r>
    </w:p>
    <w:p>
      <w:pPr>
        <w:pStyle w:val="TextBody"/>
        <w:bidi w:val="0"/>
        <w:jc w:val="center"/>
        <w:rPr>
          <w:color w:val="FFFFFF"/>
          <w:sz w:val="2"/>
        </w:rPr>
      </w:pPr>
      <w:r>
        <w:rPr>
          <w:color w:val="FFFFFF"/>
          <w:sz w:val="2"/>
        </w:rPr>
        <w:t>Reconciliations to GAAP Financials NON - GAAP NUMBERS</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t> </w:t>
      </w:r>
    </w:p>
    <w:p>
      <w:pPr>
        <w:pStyle w:val="TextBody"/>
        <w:bidi w:val="0"/>
        <w:jc w:val="center"/>
        <w:rPr/>
      </w:pPr>
      <w:r>
        <w:rPr/>
        <w:drawing>
          <wp:inline distT="0" distB="0" distL="0" distR="0">
            <wp:extent cx="7620000" cy="576262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7620000" cy="5762625"/>
                    </a:xfrm>
                    <a:prstGeom prst="rect">
                      <a:avLst/>
                    </a:prstGeom>
                  </pic:spPr>
                </pic:pic>
              </a:graphicData>
            </a:graphic>
          </wp:inline>
        </w:drawing>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color w:val="FFFFFF"/>
          <w:sz w:val="2"/>
        </w:rPr>
      </w:pPr>
      <w:r>
        <w:rPr>
          <w:color w:val="FFFFFF"/>
          <w:sz w:val="2"/>
        </w:rPr>
        <w:t>($ thousands) 17 GAAP Share - based compensation expense Non - recurring transaction - related costs Non - GAAP $ 34,338 - $ - $ $ 34,338 Revenues 17,560 - 181 17,741 Cost of revenues $ 16,778 $ 16,597 Gross Margin 48.9% 48.3% Gross Margin % 5,595 - 215 5,810 Operating costs and expenses: Research and development 5,105 - 517 5,622 Sales and marketing 4,346 1,200 1,391 6,937 General and administrative 1,794 - - 1,794 Depreciation and amortization $ 16,840 1,200 $ 2,123 $ $ 20,163 Total operating costs &amp; expenses Gross Margin &amp; OpEx | Three - Months Ended March 31, 2026 GAAP TO NON - GAAP RECONCILIATION</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t> </w:t>
      </w:r>
    </w:p>
    <w:p>
      <w:pPr>
        <w:pStyle w:val="TextBody"/>
        <w:bidi w:val="0"/>
        <w:jc w:val="center"/>
        <w:rPr/>
      </w:pPr>
      <w:r>
        <w:rPr/>
        <w:drawing>
          <wp:inline distT="0" distB="0" distL="0" distR="0">
            <wp:extent cx="7620000" cy="542925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7620000" cy="5429250"/>
                    </a:xfrm>
                    <a:prstGeom prst="rect">
                      <a:avLst/>
                    </a:prstGeom>
                  </pic:spPr>
                </pic:pic>
              </a:graphicData>
            </a:graphic>
          </wp:inline>
        </w:drawing>
      </w:r>
      <w:r>
        <w:rPr/>
        <w:t> </w:t>
      </w:r>
    </w:p>
    <w:p>
      <w:pPr>
        <w:pStyle w:val="TextBody"/>
        <w:bidi w:val="0"/>
        <w:jc w:val="center"/>
        <w:rPr/>
      </w:pPr>
      <w:r>
        <w:rPr/>
        <w:t> </w:t>
      </w:r>
    </w:p>
    <w:p>
      <w:pPr>
        <w:pStyle w:val="TextBody"/>
        <w:bidi w:val="0"/>
        <w:jc w:val="center"/>
        <w:rPr/>
      </w:pPr>
      <w:r>
        <w:rPr/>
        <w:t> </w:t>
      </w:r>
    </w:p>
    <w:p>
      <w:pPr>
        <w:pStyle w:val="TextBody"/>
        <w:bidi w:val="0"/>
        <w:jc w:val="center"/>
        <w:rPr>
          <w:color w:val="FFFFFF"/>
          <w:sz w:val="2"/>
        </w:rPr>
      </w:pPr>
      <w:r>
        <w:rPr>
          <w:color w:val="FFFFFF"/>
          <w:sz w:val="2"/>
        </w:rPr>
        <w:t>GAAP Income (loss) From Continuing Operations to Adjusted EBITDA 18 GAAP TO NON - GAAP RECONCILIATION March 31, 2025 June 30, 2025 September 30, 2025 December 31, 2025 March 31, 2026 ($ thousands) $ (1,170) $ 507 $ 1,432 $ 469 $ (4,536) GAAP Income (loss) from continuing operations 1,601 1,654 1,850 2,335 2,304 Share - based compensation expense 384 - - - - Impairment of capitalized software - - (443) - - Gain on early lease termination 316 - - - - Purchased intangibles amortization - - - - 1,200 Non - recurring transaction - related costs 1,131 2,161 2,839 2,804 (1,032) Non - GAAP net income (loss) 1,782 1,792 2,189 2,368 1,813 Depreciation and amortization 1,026 933 885 927 1,061 Interest expense (303) (182) (126) (126) (125) Other (income) expense, net 23 22 (36) 35 34 Income tax provision (benefit) $ 3,659 $ 4,726 $ 5,751 $ 6,008 $ 1,751 Adjusted EBITDA Three Months Ended</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t> </w:t>
      </w:r>
    </w:p>
    <w:p>
      <w:pPr>
        <w:pStyle w:val="TextBody"/>
        <w:bidi w:val="0"/>
        <w:jc w:val="center"/>
        <w:rPr/>
      </w:pPr>
      <w:r>
        <w:rPr/>
        <w:t> </w:t>
      </w:r>
    </w:p>
    <w:p>
      <w:pPr>
        <w:pStyle w:val="TextBody"/>
        <w:bidi w:val="0"/>
        <w:jc w:val="center"/>
        <w:rPr/>
      </w:pPr>
      <w:r>
        <w:rPr/>
        <w:drawing>
          <wp:inline distT="0" distB="0" distL="0" distR="0">
            <wp:extent cx="7620000" cy="52863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7620000" cy="5286375"/>
                    </a:xfrm>
                    <a:prstGeom prst="rect">
                      <a:avLst/>
                    </a:prstGeom>
                  </pic:spPr>
                </pic:pic>
              </a:graphicData>
            </a:graphic>
          </wp:inline>
        </w:drawing>
      </w:r>
    </w:p>
    <w:p>
      <w:pPr>
        <w:pStyle w:val="TextBody"/>
        <w:bidi w:val="0"/>
        <w:jc w:val="center"/>
        <w:rPr/>
      </w:pPr>
      <w:r>
        <w:rPr/>
        <w:t> </w:t>
      </w:r>
    </w:p>
    <w:p>
      <w:pPr>
        <w:pStyle w:val="TextBody"/>
        <w:bidi w:val="0"/>
        <w:jc w:val="center"/>
        <w:rPr/>
      </w:pPr>
      <w:r>
        <w:rPr/>
        <w:t> </w:t>
      </w:r>
    </w:p>
    <w:p>
      <w:pPr>
        <w:pStyle w:val="TextBody"/>
        <w:bidi w:val="0"/>
        <w:jc w:val="center"/>
        <w:rPr>
          <w:color w:val="FFFFFF"/>
          <w:sz w:val="2"/>
        </w:rPr>
      </w:pPr>
      <w:r>
        <w:rPr>
          <w:color w:val="FFFFFF"/>
          <w:sz w:val="2"/>
        </w:rPr>
        <w:t>Safe Harbor Statement The following presentation contains statements about expected future events, including Inseego’s planned acquisition (the “Proposed Transaction”) of Nokia’s global FWA business (the “FWA Business”), that are forward - looking and subject to risks and uncertainties. For these statements, we claim the safe harbor for “forward - looking statements” within the meaning of the Private Securities Litigation Reform Act of 1995. Forward looking statements are typically identified by words or phrases such as “may,” “will,” “intend,” “should,” “believe,” “expect,” “anticipate,” “project,” “estimate” and other words or terms that do not relate solely to historical matters. These forward - looking statements include, but are not limited to, statements regarding Inseego’s expected operational and financial performance and the anticipated timing and benefits of the Proposed Transaction. For a discussion of factors that could cause actual results to differ materially from expectations, including risks and uncertainties related to the Proposed Transaction, such as the possibility that closing conditions may not be satisfied, the transaction may not close on the anticipated timeline or at all, anticipated synergies from the Proposed Transaction may not be realized when expected, or at all, and integration may be more difficult, costly or time - consuming than anticipated, please refer to the risk factors described in our filings with the SEC, including filings related to the Proposed Transaction. Any forward - looking statement speaks only as of the date on which it is made, and Inseego expressly disclaims any obligation to update or revise its forward - looking statements to reflect information, events or circumstances that arise after the date of this presentation, except as may be required by applicable law. Non - GAAP Financial Measures Non - GAAP gross margins and operating expenses exclude restructuring charges, share based compensation expenses, debt restructuring charges, impairments of capitalized software charges, acquisition - related intangible asset amortization, non - recurring transaction related costs, and other certain non - recurring gains and losses. This presentation contains references to certain non - GAAP financial measures and should be viewed in conjunction with our press releases and supplementary information on our website ( www.inseego.com/investors ) which present a complete reconciliation of GAAP and Non - GAAP results. Market Data and Statistics This presentation includes statistical and other industry and market data that Inseego obtained from industry publications and research, surveys, studies, and other similar third - party sources, as well as Inseego’s estimates based on such data and on Inseego’s internal sources . Such data and estimates involve a number of assumptions and limitations, and you are cautioned not to give undue weight to such data and estimates . Inseego believes that the information from these third - party sources is reliable ; however, Inseego has not independently verified them, makes no representation as to their accuracy or completeness, and does not undertake to update the data from such sources after the date of this presentation . Trademarks This presentation contains trademarks, service marks, trade names, and copyrights of Inseego, Nokia, and third parties, which are the property of their respective owners . The use or display of third parties’ trademarks, service marks, trade names, or copyrights in this presentation is not intended to, and does not imply, a relationship with Inseego or Nokia, or an endorsement or sponsorship by or of Inseego or Nokia . 19 Disclaimers</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t> </w:t>
      </w:r>
    </w:p>
    <w:p>
      <w:pPr>
        <w:pStyle w:val="TextBody"/>
        <w:bidi w:val="0"/>
        <w:jc w:val="center"/>
        <w:rPr/>
      </w:pPr>
      <w:r>
        <w:rPr/>
        <w:t> </w:t>
      </w:r>
    </w:p>
    <w:p>
      <w:pPr>
        <w:pStyle w:val="TextBody"/>
        <w:bidi w:val="0"/>
        <w:jc w:val="center"/>
        <w:rPr/>
      </w:pPr>
      <w:r>
        <w:rPr/>
        <w:drawing>
          <wp:inline distT="0" distB="0" distL="0" distR="0">
            <wp:extent cx="7620000" cy="506730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7620000" cy="5067300"/>
                    </a:xfrm>
                    <a:prstGeom prst="rect">
                      <a:avLst/>
                    </a:prstGeom>
                  </pic:spPr>
                </pic:pic>
              </a:graphicData>
            </a:graphic>
          </wp:inline>
        </w:drawing>
      </w:r>
      <w:r>
        <w:rPr/>
        <w:t> </w:t>
      </w:r>
    </w:p>
    <w:p>
      <w:pPr>
        <w:pStyle w:val="TextBody"/>
        <w:bidi w:val="0"/>
        <w:jc w:val="center"/>
        <w:rPr/>
      </w:pPr>
      <w:r>
        <w:rPr/>
        <w:t> </w:t>
      </w:r>
    </w:p>
    <w:p>
      <w:pPr>
        <w:pStyle w:val="TextBody"/>
        <w:bidi w:val="0"/>
        <w:jc w:val="center"/>
        <w:rPr/>
      </w:pPr>
      <w:r>
        <w:rPr/>
        <w:t> </w:t>
      </w:r>
    </w:p>
    <w:p>
      <w:pPr>
        <w:pStyle w:val="TextBody"/>
        <w:bidi w:val="0"/>
        <w:jc w:val="center"/>
        <w:rPr>
          <w:color w:val="FFFFFF"/>
          <w:sz w:val="2"/>
        </w:rPr>
      </w:pPr>
      <w:r>
        <w:rPr>
          <w:color w:val="FFFFFF"/>
          <w:sz w:val="2"/>
        </w:rPr>
        <w:t>www.inseego.com NASDAQ: INSG</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6549</Words>
  <Characters>35464</Characters>
  <CharactersWithSpaces>42668</CharactersWithSpaces>
  <Paragraphs>2109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