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Gatoff Steven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09/14/2023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INSEEGO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INSG</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3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INSEEGO CORP</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9710 SCRANTON ROAD,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w:t>
      </w:r>
    </w:p>
    <w:p>
      <w:pPr>
        <w:spacing w:after="0" w:line="31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92121 DIEGO</w:t>
      </w:r>
    </w:p>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3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9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Please see Power of Attorney Exhibit 24.</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Kurt E. Scheuerman,</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3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4" w:lineRule="exact"/>
        <w:rPr>
          <w:sz w:val="20"/>
          <w:szCs w:val="20"/>
          <w:color w:val="auto"/>
        </w:rPr>
      </w:pPr>
    </w:p>
    <w:p>
      <w:pPr>
        <w:ind w:right="20" w:firstLine="720"/>
        <w:spacing w:after="0" w:line="277" w:lineRule="auto"/>
        <w:rPr>
          <w:sz w:val="20"/>
          <w:szCs w:val="20"/>
          <w:color w:val="auto"/>
        </w:rPr>
      </w:pPr>
      <w:r>
        <w:rPr>
          <w:rFonts w:ascii="Arial" w:cs="Arial" w:eastAsia="Arial" w:hAnsi="Arial"/>
          <w:sz w:val="20"/>
          <w:szCs w:val="20"/>
          <w:color w:val="auto"/>
        </w:rPr>
        <w:t>By this Power of Attorney, the undersigned hereby constitutes and appoints each of Kurt Scheuerman, Gloria Xefos, Dolores Carroll and Edozie Anusionwu, signing singly, the undersigned’s true and lawful attorneys-in-fact to:</w:t>
      </w:r>
    </w:p>
    <w:p>
      <w:pPr>
        <w:spacing w:after="0" w:line="189" w:lineRule="exact"/>
        <w:rPr>
          <w:sz w:val="20"/>
          <w:szCs w:val="20"/>
          <w:color w:val="auto"/>
        </w:rPr>
      </w:pPr>
    </w:p>
    <w:p>
      <w:pPr>
        <w:jc w:val="both"/>
        <w:ind w:firstLine="720"/>
        <w:spacing w:after="0" w:line="264" w:lineRule="auto"/>
        <w:tabs>
          <w:tab w:leader="none" w:pos="1608"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Inseego Corp. (the “Company”), Forms 3, 4 and 5, in respect of securities of the Company, in accordance with Section 16(a) of the Securities Exchange Act of 1934, as amended (the “Exchange Act”), and the rules promulgated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809"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854"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14th day of September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2023.</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-11430</wp:posOffset>
            </wp:positionV>
            <wp:extent cx="23825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82520" cy="9525"/>
                    </a:xfrm>
                    <a:prstGeom prst="rect">
                      <a:avLst/>
                    </a:prstGeom>
                    <a:noFill/>
                  </pic:spPr>
                </pic:pic>
              </a:graphicData>
            </a:graphic>
          </wp:anchor>
        </w:drawing>
      </w:r>
    </w:p>
    <w:p>
      <w:pPr>
        <w:spacing w:after="0" w:line="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-11430</wp:posOffset>
            </wp:positionV>
            <wp:extent cx="238950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89505" cy="9525"/>
                    </a:xfrm>
                    <a:prstGeom prst="rect">
                      <a:avLst/>
                    </a:prstGeom>
                    <a:noFill/>
                  </pic:spPr>
                </pic:pic>
              </a:graphicData>
            </a:graphic>
          </wp:anchor>
        </w:drawing>
      </w:r>
    </w:p>
    <w:p>
      <w:pPr>
        <w:spacing w:after="0" w:line="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Printed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65929" TargetMode="External"/><Relationship Id="rId11" Type="http://schemas.openxmlformats.org/officeDocument/2006/relationships/hyperlink" Target="http://www.sec.gov/cgi-bin/browse-edgar?action=getcompany&amp;CIK=00010226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2023-09-15T17:49:17Z</dcterms:created>
  <dcterms:modified xsi:type="dcterms:W3CDTF">2023-09-15T17:49:17Z</dcterms:modified>
</cp:coreProperties>
</file>