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060" w:right="2040" w:hanging="4052"/>
        <w:spacing w:after="0" w:line="434"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620" w:type="dxa"/>
        <w:tblCellMar>
          <w:top w:w="0" w:type="dxa"/>
          <w:left w:w="0" w:type="dxa"/>
          <w:bottom w:w="0" w:type="dxa"/>
          <w:right w:w="0" w:type="dxa"/>
        </w:tblCellMar>
      </w:tblPr>
      <w:tr>
        <w:trPr>
          <w:trHeight w:val="253"/>
        </w:trPr>
        <w:tc>
          <w:tcPr>
            <w:tcW w:w="2560" w:type="dxa"/>
            <w:vAlign w:val="bottom"/>
          </w:tcPr>
          <w:p>
            <w:pPr>
              <w:spacing w:after="0"/>
              <w:rPr>
                <w:sz w:val="20"/>
                <w:szCs w:val="20"/>
                <w:color w:val="auto"/>
              </w:rPr>
            </w:pPr>
            <w:r>
              <w:rPr>
                <w:rFonts w:ascii="Arial" w:cs="Arial" w:eastAsia="Arial" w:hAnsi="Arial"/>
                <w:sz w:val="22"/>
                <w:szCs w:val="22"/>
                <w:color w:val="auto"/>
                <w:w w:val="89"/>
              </w:rPr>
              <w:t>For the transition period from</w:t>
            </w:r>
          </w:p>
        </w:tc>
        <w:tc>
          <w:tcPr>
            <w:tcW w:w="66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22"/>
                <w:szCs w:val="22"/>
                <w:color w:val="auto"/>
              </w:rPr>
              <w:t>to</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0"/>
        </w:trPr>
        <w:tc>
          <w:tcPr>
            <w:tcW w:w="2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7"/>
        </w:trPr>
        <w:tc>
          <w:tcPr>
            <w:tcW w:w="3480" w:type="dxa"/>
            <w:vAlign w:val="bottom"/>
            <w:gridSpan w:val="3"/>
          </w:tcPr>
          <w:p>
            <w:pPr>
              <w:ind w:left="800"/>
              <w:spacing w:after="0"/>
              <w:rPr>
                <w:sz w:val="20"/>
                <w:szCs w:val="20"/>
                <w:color w:val="auto"/>
              </w:rPr>
            </w:pPr>
            <w:r>
              <w:rPr>
                <w:rFonts w:ascii="Arial" w:cs="Arial" w:eastAsia="Arial" w:hAnsi="Arial"/>
                <w:sz w:val="18"/>
                <w:szCs w:val="18"/>
                <w:color w:val="auto"/>
                <w:w w:val="91"/>
              </w:rPr>
              <w:t>Commission file number: 000-31659</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80" w:type="dxa"/>
            <w:vAlign w:val="bottom"/>
          </w:tcPr>
          <w:p>
            <w:pPr>
              <w:jc w:val="center"/>
              <w:ind w:right="1904"/>
              <w:spacing w:after="0" w:line="149" w:lineRule="exact"/>
              <w:rPr>
                <w:sz w:val="20"/>
                <w:szCs w:val="20"/>
                <w:color w:val="auto"/>
              </w:rPr>
            </w:pPr>
            <w:r>
              <w:rPr>
                <w:rFonts w:ascii="Arial" w:cs="Arial" w:eastAsia="Arial" w:hAnsi="Arial"/>
                <w:sz w:val="14"/>
                <w:szCs w:val="14"/>
                <w:color w:val="auto"/>
                <w:w w:val="87"/>
              </w:rPr>
              <w:t>(State or Other Jurisdiction</w:t>
            </w:r>
          </w:p>
        </w:tc>
        <w:tc>
          <w:tcPr>
            <w:tcW w:w="2980" w:type="dxa"/>
            <w:vAlign w:val="bottom"/>
          </w:tcPr>
          <w:p>
            <w:pPr>
              <w:jc w:val="center"/>
              <w:ind w:left="190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of Incorporation or Organization)</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1"/>
              </w:rPr>
              <w:t>Identification No.)</w:t>
            </w:r>
          </w:p>
        </w:tc>
      </w:tr>
      <w:tr>
        <w:trPr>
          <w:trHeight w:val="408"/>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7"/>
              </w:rPr>
              <w:t>9645 Scranton Road, San Diego, CA</w:t>
            </w:r>
          </w:p>
        </w:tc>
        <w:tc>
          <w:tcPr>
            <w:tcW w:w="298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(Address of Principal Executive Offices)</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0"/>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0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060" w:type="dxa"/>
            <w:vAlign w:val="bottom"/>
          </w:tcPr>
          <w:p>
            <w:pPr>
              <w:ind w:left="460"/>
              <w:spacing w:after="0"/>
              <w:rPr>
                <w:sz w:val="20"/>
                <w:szCs w:val="20"/>
                <w:color w:val="auto"/>
              </w:rPr>
            </w:pPr>
            <w:r>
              <w:rPr>
                <w:rFonts w:ascii="Arial" w:cs="Arial" w:eastAsia="Arial" w:hAnsi="Arial"/>
                <w:sz w:val="18"/>
                <w:szCs w:val="18"/>
                <w:color w:val="auto"/>
                <w:w w:val="92"/>
              </w:rPr>
              <w:t>The number of shares of the registrant’s common stock outstanding as of May 1, 2012 was 32,403,594</w:t>
            </w:r>
          </w:p>
        </w:tc>
        <w:tc>
          <w:tcPr>
            <w:tcW w:w="3360" w:type="dxa"/>
            <w:vAlign w:val="bottom"/>
          </w:tcPr>
          <w:p>
            <w:pPr>
              <w:spacing w:after="0"/>
              <w:rPr>
                <w:sz w:val="24"/>
                <w:szCs w:val="24"/>
                <w:color w:val="auto"/>
              </w:rPr>
            </w:pPr>
          </w:p>
        </w:tc>
      </w:tr>
      <w:tr>
        <w:trPr>
          <w:trHeight w:val="205"/>
        </w:trPr>
        <w:tc>
          <w:tcPr>
            <w:tcW w:w="80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35"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the operations of Enfora, Inc., or Enfora, and any other business, products, technologies or personnel that we may acquire or retain in the future;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marketability of our products given their dependence on wireless telecommunication operators continuing to deliver acceptable wireless services;</w:t>
      </w:r>
    </w:p>
    <w:p>
      <w:pPr>
        <w:spacing w:after="0" w:line="113"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development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our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third-party technology necessary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introducing new products that could contain errors or defects;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2011. If one or more events related to these or other risks or uncertainties materialize, or if our underlying assumptions prove to be incorrect, actual results may differ materially from what we anticipate.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“MiFi.Freedom. My Way”, “Conversa”,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8240" w:type="dxa"/>
            <w:vAlign w:val="bottom"/>
          </w:tcPr>
          <w:p>
            <w:pPr>
              <w:jc w:val="center"/>
              <w:ind w:left="1392"/>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824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NOVATEL WIRELESS, INC.</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24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8240" w:type="dxa"/>
            <w:vAlign w:val="bottom"/>
          </w:tcPr>
          <w:p>
            <w:pPr>
              <w:jc w:val="center"/>
              <w:ind w:left="1392"/>
              <w:spacing w:after="0"/>
              <w:rPr>
                <w:sz w:val="20"/>
                <w:szCs w:val="20"/>
                <w:color w:val="auto"/>
              </w:rPr>
            </w:pPr>
            <w:r>
              <w:rPr>
                <w:rFonts w:ascii="Arial" w:cs="Arial" w:eastAsia="Arial" w:hAnsi="Arial"/>
                <w:sz w:val="18"/>
                <w:szCs w:val="18"/>
                <w:b w:val="1"/>
                <w:bCs w:val="1"/>
                <w:color w:val="auto"/>
                <w:w w:val="86"/>
              </w:rPr>
              <w:t>(in thousands, except per share data)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47,069</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30,816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28,267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Accounts receivable, net of allowance for doubtful accounts of $283 at March 31, 2012 and $245 at December 31, 2011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49,796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36,849</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43,275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42,279</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153,121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160,187</w:t>
            </w:r>
          </w:p>
        </w:tc>
        <w:tc>
          <w:tcPr>
            <w:tcW w:w="0" w:type="dxa"/>
            <w:vAlign w:val="bottom"/>
          </w:tcPr>
          <w:p>
            <w:pPr>
              <w:spacing w:after="0"/>
              <w:rPr>
                <w:sz w:val="1"/>
                <w:szCs w:val="1"/>
                <w:color w:val="auto"/>
              </w:rPr>
            </w:pPr>
          </w:p>
        </w:tc>
      </w:tr>
      <w:tr>
        <w:trPr>
          <w:trHeight w:val="322"/>
        </w:trPr>
        <w:tc>
          <w:tcPr>
            <w:tcW w:w="9100" w:type="dxa"/>
            <w:vAlign w:val="bottom"/>
            <w:gridSpan w:val="2"/>
          </w:tcPr>
          <w:p>
            <w:pPr>
              <w:spacing w:after="0"/>
              <w:rPr>
                <w:sz w:val="20"/>
                <w:szCs w:val="20"/>
                <w:color w:val="auto"/>
              </w:rPr>
            </w:pPr>
            <w:r>
              <w:rPr>
                <w:rFonts w:ascii="Arial" w:cs="Arial" w:eastAsia="Arial" w:hAnsi="Arial"/>
                <w:sz w:val="18"/>
                <w:szCs w:val="18"/>
                <w:color w:val="auto"/>
                <w:w w:val="92"/>
              </w:rPr>
              <w:t>Property and equipment, net of accumulated depreciation of $61,625 at March 31, 2012 and $59,217 at December 31, 2011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17,259</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18,496</w:t>
            </w:r>
          </w:p>
        </w:tc>
        <w:tc>
          <w:tcPr>
            <w:tcW w:w="0" w:type="dxa"/>
            <w:vAlign w:val="bottom"/>
          </w:tcPr>
          <w:p>
            <w:pPr>
              <w:spacing w:after="0"/>
              <w:rPr>
                <w:sz w:val="1"/>
                <w:szCs w:val="1"/>
                <w:color w:val="auto"/>
              </w:rPr>
            </w:pPr>
          </w:p>
        </w:tc>
      </w:tr>
      <w:tr>
        <w:trPr>
          <w:trHeight w:val="218"/>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w w:val="97"/>
              </w:rPr>
              <w:t>Intangible assets, net of accumulated amortization of $10,508 at March 31, 2012 and $10,899 at December 31, 2011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11,460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35,702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19,772</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82"/>
              </w:rPr>
              <w:t>Other assets</w:t>
            </w:r>
          </w:p>
        </w:tc>
        <w:tc>
          <w:tcPr>
            <w:tcW w:w="8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213,369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249,179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 w:type="dxa"/>
            <w:vAlign w:val="bottom"/>
            <w:shd w:val="clear" w:color="auto" w:fill="CCEEFF"/>
          </w:tcPr>
          <w:p>
            <w:pPr>
              <w:spacing w:after="0"/>
              <w:rPr>
                <w:sz w:val="18"/>
                <w:szCs w:val="18"/>
                <w:color w:val="auto"/>
              </w:rPr>
            </w:pPr>
          </w:p>
        </w:tc>
        <w:tc>
          <w:tcPr>
            <w:tcW w:w="8240" w:type="dxa"/>
            <w:vAlign w:val="bottom"/>
            <w:shd w:val="clear" w:color="auto" w:fill="CCEEFF"/>
          </w:tcPr>
          <w:p>
            <w:pPr>
              <w:ind w:left="176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51,578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54,030</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27,956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25,044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79,074</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83,618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83,154</w:t>
            </w: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100" w:type="dxa"/>
            <w:vAlign w:val="bottom"/>
            <w:gridSpan w:val="2"/>
          </w:tcPr>
          <w:p>
            <w:pPr>
              <w:ind w:left="440"/>
              <w:spacing w:after="0"/>
              <w:rPr>
                <w:sz w:val="20"/>
                <w:szCs w:val="20"/>
                <w:color w:val="auto"/>
              </w:rPr>
            </w:pPr>
            <w:r>
              <w:rPr>
                <w:rFonts w:ascii="Arial" w:cs="Arial" w:eastAsia="Arial" w:hAnsi="Arial"/>
                <w:sz w:val="18"/>
                <w:szCs w:val="18"/>
                <w:color w:val="auto"/>
                <w:w w:val="95"/>
              </w:rPr>
              <w:t>Common stock, par value $0.001; 50,000 shares authorized, 32,385 and 32,262 shares issued and outstanding at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ind w:left="660"/>
              <w:spacing w:after="0"/>
              <w:rPr>
                <w:sz w:val="20"/>
                <w:szCs w:val="20"/>
                <w:color w:val="auto"/>
              </w:rPr>
            </w:pPr>
            <w:r>
              <w:rPr>
                <w:rFonts w:ascii="Arial" w:cs="Arial" w:eastAsia="Arial" w:hAnsi="Arial"/>
                <w:sz w:val="18"/>
                <w:szCs w:val="18"/>
                <w:color w:val="auto"/>
              </w:rPr>
              <w:t>March 31, 2012 and December 31, 2011, respectively</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431,436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429,813</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(276,733)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(238,812)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154,751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191,025</w:t>
            </w:r>
          </w:p>
        </w:tc>
        <w:tc>
          <w:tcPr>
            <w:tcW w:w="0" w:type="dxa"/>
            <w:vAlign w:val="bottom"/>
          </w:tcPr>
          <w:p>
            <w:pPr>
              <w:spacing w:after="0"/>
              <w:rPr>
                <w:sz w:val="1"/>
                <w:szCs w:val="1"/>
                <w:color w:val="auto"/>
              </w:rPr>
            </w:pPr>
          </w:p>
        </w:tc>
      </w:tr>
      <w:tr>
        <w:trPr>
          <w:trHeight w:val="217"/>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2,436 common shares at March 31, 2012 and December 31, 2011, respectively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129,751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166,025</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213,369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249,179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Cost of net revenues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 losses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(37,827)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(37,737)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(37,921)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(22,088)</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9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(37,897)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jc w:val="center"/>
              <w:ind w:left="2372"/>
              <w:spacing w:after="0"/>
              <w:rPr>
                <w:sz w:val="20"/>
                <w:szCs w:val="20"/>
                <w:color w:val="auto"/>
              </w:rPr>
            </w:pPr>
            <w:r>
              <w:rPr>
                <w:rFonts w:ascii="Arial" w:cs="Arial" w:eastAsia="Arial" w:hAnsi="Arial"/>
                <w:sz w:val="18"/>
                <w:szCs w:val="18"/>
                <w:color w:val="auto"/>
                <w:w w:val="87"/>
              </w:rPr>
              <w:t>See accompanying notes to unaudited consolidated financial statements.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9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60" w:type="dxa"/>
            <w:vAlign w:val="bottom"/>
            <w:gridSpan w:val="2"/>
          </w:tcPr>
          <w:p>
            <w:pPr>
              <w:jc w:val="right"/>
              <w:ind w:right="3112"/>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(37,921)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goodwill and intangible assets impairments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29,337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Excess tax benefits from equity based compensation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(12,984)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(18,223)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33,354</w:t>
            </w: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Proceeds from stock option exercises net of taxes paid on vested restricted stock units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equity based compensation</w:t>
            </w:r>
          </w:p>
        </w:tc>
        <w:tc>
          <w:tcPr>
            <w:tcW w:w="1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ind w:left="1720"/>
              <w:spacing w:after="0"/>
              <w:rPr>
                <w:sz w:val="20"/>
                <w:szCs w:val="20"/>
                <w:color w:val="auto"/>
              </w:rPr>
            </w:pPr>
            <w:r>
              <w:rPr>
                <w:rFonts w:ascii="Arial" w:cs="Arial" w:eastAsia="Arial" w:hAnsi="Arial"/>
                <w:sz w:val="18"/>
                <w:szCs w:val="18"/>
                <w:color w:val="auto"/>
              </w:rPr>
              <w:t>Net decrease in cash and cash equivalents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(25,289)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21,780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2012 and the results of the Company’s operations for the three months ended March 31, 2012 and 2011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2011. The accounting policies used in preparing these condensed consolidated financial statements are the same as those described in the Company’s Form 10-K with the exception of new accounting pronouncements adopted in 2012.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September 2011, the Financial Accounting Standards Board (FASB) issued Accounting Standards Update (ASU) No. 2011-08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 Testing Goodwill for Impairment.” </w:t>
      </w:r>
      <w:r>
        <w:rPr>
          <w:rFonts w:ascii="Arial" w:cs="Arial" w:eastAsia="Arial" w:hAnsi="Arial"/>
          <w:sz w:val="16"/>
          <w:szCs w:val="16"/>
          <w:color w:val="auto"/>
        </w:rPr>
        <w:t>ASU 2011-08 amends the previous guidance under Topic 350 which required an entity to test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for impairment, on at least an annual basis, by performing the two-step goodwill impairment test described in Topic 350. The amendments in ASU 2011-08 permit an entity to first assess qualitative factors to determine whether it is more likely than not that the fair value of a reporting unit is less than its carrying amount as a basis for determining whether it is necessary to perform the two-step goodwill impairment test. The more likely than not threshold is defined as having likelihood of more than 50 percent. ASU 2011-08 is effective for annual and interim goodwill impairment tests performed for fiscal years beginning after December 15, 2011. We have adopted ASU 2011-08 for our financial statement results beginning January 1, 2012 and there was no material impact on the consolidated financial statements upon adoption.</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 Presentation of Comprehensive Income.”</w:t>
      </w:r>
      <w:r>
        <w:rPr>
          <w:rFonts w:ascii="Arial" w:cs="Arial" w:eastAsia="Arial" w:hAnsi="Arial"/>
          <w:sz w:val="18"/>
          <w:szCs w:val="18"/>
          <w:color w:val="auto"/>
        </w:rPr>
        <w:t xml:space="preserve"> ASU 2011-05 requires that all non-owner changes in stockholders’ equity be presented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is effective retrospectively for fiscal years, and interim periods within those years, beginning after December 15, 2011. We have adopted ASU 2011-05 and for the 2012 interim periods we elected to present comprehensive income (loss) along with our condensed consolidated statements of operations in a single continuous statement.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March 31, 2012</w:t>
            </w:r>
          </w:p>
        </w:tc>
        <w:tc>
          <w:tcPr>
            <w:tcW w:w="364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960" w:type="dxa"/>
            <w:vAlign w:val="bottom"/>
            <w:tcBorders>
              <w:bottom w:val="single" w:sz="8" w:color="auto"/>
            </w:tcBorders>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in Years</w:t>
            </w:r>
          </w:p>
        </w:tc>
        <w:tc>
          <w:tcPr>
            <w:tcW w:w="120" w:type="dxa"/>
            <w:vAlign w:val="bottom"/>
          </w:tcPr>
          <w:p>
            <w:pPr>
              <w:spacing w:after="0"/>
              <w:rPr>
                <w:sz w:val="14"/>
                <w:szCs w:val="14"/>
                <w:color w:val="auto"/>
              </w:rPr>
            </w:pPr>
          </w:p>
        </w:tc>
        <w:tc>
          <w:tcPr>
            <w:tcW w:w="9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4"/>
                <w:szCs w:val="14"/>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20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20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20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5,518</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20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13,185</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Marketable equity securities</w:t>
            </w:r>
          </w:p>
        </w:tc>
        <w:tc>
          <w:tcPr>
            <w:tcW w:w="20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short-term marketable securities</w:t>
            </w: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30,819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2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2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20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Corporate debentures / bonds</w:t>
            </w:r>
          </w:p>
        </w:tc>
        <w:tc>
          <w:tcPr>
            <w:tcW w:w="20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long-term marketable securities</w:t>
            </w: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16,622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47,441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vMerge w:val="restart"/>
          </w:tcPr>
          <w:p>
            <w:pPr>
              <w:jc w:val="right"/>
              <w:ind w:right="772"/>
              <w:spacing w:after="0"/>
              <w:rPr>
                <w:sz w:val="20"/>
                <w:szCs w:val="20"/>
                <w:color w:val="auto"/>
              </w:rPr>
            </w:pPr>
            <w:r>
              <w:rPr>
                <w:rFonts w:ascii="Arial" w:cs="Arial" w:eastAsia="Arial" w:hAnsi="Arial"/>
                <w:sz w:val="18"/>
                <w:szCs w:val="18"/>
                <w:color w:val="auto"/>
              </w:rPr>
              <w:t>7</w:t>
            </w: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2011</w:t>
            </w:r>
          </w:p>
        </w:tc>
        <w:tc>
          <w:tcPr>
            <w:tcW w:w="5460" w:type="dxa"/>
            <w:vAlign w:val="bottom"/>
            <w:vMerge w:val="restart"/>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in Years</w:t>
            </w:r>
          </w:p>
        </w:tc>
        <w:tc>
          <w:tcPr>
            <w:tcW w:w="120" w:type="dxa"/>
            <w:vAlign w:val="bottom"/>
          </w:tcPr>
          <w:p>
            <w:pPr>
              <w:spacing w:after="0"/>
              <w:rPr>
                <w:sz w:val="14"/>
                <w:szCs w:val="14"/>
                <w:color w:val="auto"/>
              </w:rPr>
            </w:pPr>
          </w:p>
        </w:tc>
        <w:tc>
          <w:tcPr>
            <w:tcW w:w="9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4"/>
                <w:szCs w:val="14"/>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6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Corporate debentures/bonds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8,615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8,390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Marketable equity securities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28,275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debentures/bonds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13,498</w:t>
            </w: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41,773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As of March 31, 2012, the Company recorded a net unrealized gain of $16,000. The Company’s net unrealized gain is the result of market conditions affecting its fixed-income, debt and equity securities, which are included in accumulated other comprehensive income (loss) in the condensed consolidated balance sheet for the period then ended.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March 31,</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320" w:type="dxa"/>
            <w:vAlign w:val="bottom"/>
            <w:gridSpan w:val="2"/>
          </w:tcPr>
          <w:p>
            <w:pPr>
              <w:jc w:val="center"/>
              <w:ind w:left="4659"/>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4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$ 38,268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47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5,007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jc w:val="center"/>
              <w:ind w:left="4359"/>
              <w:spacing w:after="0"/>
              <w:rPr>
                <w:sz w:val="20"/>
                <w:szCs w:val="20"/>
                <w:color w:val="auto"/>
              </w:rPr>
            </w:pPr>
            <w:r>
              <w:rPr>
                <w:rFonts w:ascii="Arial" w:cs="Arial" w:eastAsia="Arial" w:hAnsi="Arial"/>
                <w:sz w:val="18"/>
                <w:szCs w:val="18"/>
                <w:color w:val="auto"/>
                <w:w w:val="82"/>
              </w:rPr>
              <w:t>$ 43,275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740" w:type="dxa"/>
            <w:vAlign w:val="bottom"/>
            <w:vMerge w:val="restart"/>
          </w:tcPr>
          <w:p>
            <w:pPr>
              <w:jc w:val="right"/>
              <w:ind w:right="3059"/>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6"/>
              </w:rPr>
              <w:t>March 31,</w:t>
            </w:r>
          </w:p>
        </w:tc>
        <w:tc>
          <w:tcPr>
            <w:tcW w:w="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4"/>
                <w:szCs w:val="14"/>
                <w:color w:val="auto"/>
              </w:rPr>
            </w:pPr>
          </w:p>
        </w:tc>
        <w:tc>
          <w:tcPr>
            <w:tcW w:w="23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1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$ 5,419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700" w:type="dxa"/>
            <w:vAlign w:val="bottom"/>
            <w:gridSpan w:val="4"/>
          </w:tcPr>
          <w:p>
            <w:pPr>
              <w:jc w:val="right"/>
              <w:ind w:right="272"/>
              <w:spacing w:after="0"/>
              <w:rPr>
                <w:sz w:val="20"/>
                <w:szCs w:val="20"/>
                <w:color w:val="auto"/>
              </w:rPr>
            </w:pPr>
            <w:r>
              <w:rPr>
                <w:rFonts w:ascii="Arial" w:cs="Arial" w:eastAsia="Arial" w:hAnsi="Arial"/>
                <w:sz w:val="18"/>
                <w:szCs w:val="18"/>
                <w:color w:val="auto"/>
              </w:rPr>
              <w:t>10,797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70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2700" w:type="dxa"/>
            <w:vAlign w:val="bottom"/>
            <w:gridSpan w:val="4"/>
          </w:tcPr>
          <w:p>
            <w:pPr>
              <w:jc w:val="right"/>
              <w:ind w:right="272"/>
              <w:spacing w:after="0"/>
              <w:rPr>
                <w:sz w:val="20"/>
                <w:szCs w:val="20"/>
                <w:color w:val="auto"/>
              </w:rPr>
            </w:pPr>
            <w:r>
              <w:rPr>
                <w:rFonts w:ascii="Arial" w:cs="Arial" w:eastAsia="Arial" w:hAnsi="Arial"/>
                <w:sz w:val="18"/>
                <w:szCs w:val="18"/>
                <w:color w:val="auto"/>
              </w:rPr>
              <w:t>1,816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0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1,266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Professional fees</w:t>
            </w:r>
          </w:p>
        </w:tc>
        <w:tc>
          <w:tcPr>
            <w:tcW w:w="2700" w:type="dxa"/>
            <w:vAlign w:val="bottom"/>
            <w:gridSpan w:val="4"/>
          </w:tcPr>
          <w:p>
            <w:pPr>
              <w:jc w:val="right"/>
              <w:ind w:right="272"/>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6,366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tcPr>
          <w:p>
            <w:pPr>
              <w:spacing w:after="0"/>
              <w:rPr>
                <w:sz w:val="19"/>
                <w:szCs w:val="19"/>
                <w:color w:val="auto"/>
              </w:rPr>
            </w:pPr>
          </w:p>
        </w:tc>
        <w:tc>
          <w:tcPr>
            <w:tcW w:w="2700" w:type="dxa"/>
            <w:vAlign w:val="bottom"/>
            <w:gridSpan w:val="4"/>
          </w:tcPr>
          <w:p>
            <w:pPr>
              <w:jc w:val="right"/>
              <w:ind w:right="272"/>
              <w:spacing w:after="0"/>
              <w:rPr>
                <w:sz w:val="20"/>
                <w:szCs w:val="20"/>
                <w:color w:val="auto"/>
              </w:rPr>
            </w:pPr>
            <w:r>
              <w:rPr>
                <w:rFonts w:ascii="Arial" w:cs="Arial" w:eastAsia="Arial" w:hAnsi="Arial"/>
                <w:sz w:val="18"/>
                <w:szCs w:val="18"/>
                <w:color w:val="auto"/>
              </w:rPr>
              <w:t>$ 27,956</w:t>
            </w:r>
          </w:p>
        </w:tc>
        <w:tc>
          <w:tcPr>
            <w:tcW w:w="16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1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140" w:type="dxa"/>
            <w:vAlign w:val="bottom"/>
            <w:gridSpan w:val="2"/>
          </w:tcPr>
          <w:p>
            <w:pPr>
              <w:spacing w:after="0"/>
              <w:rPr>
                <w:sz w:val="12"/>
                <w:szCs w:val="12"/>
                <w:color w:val="auto"/>
              </w:rPr>
            </w:pPr>
          </w:p>
        </w:tc>
        <w:tc>
          <w:tcPr>
            <w:tcW w:w="5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14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$ 1,525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$ 2,279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700" w:type="dxa"/>
            <w:vAlign w:val="bottom"/>
            <w:gridSpan w:val="4"/>
          </w:tcPr>
          <w:p>
            <w:pPr>
              <w:jc w:val="right"/>
              <w:spacing w:after="0"/>
              <w:rPr>
                <w:sz w:val="20"/>
                <w:szCs w:val="20"/>
                <w:color w:val="auto"/>
              </w:rPr>
            </w:pPr>
            <w:r>
              <w:rPr>
                <w:rFonts w:ascii="Arial" w:cs="Arial" w:eastAsia="Arial" w:hAnsi="Arial"/>
                <w:sz w:val="18"/>
                <w:szCs w:val="18"/>
                <w:color w:val="auto"/>
              </w:rPr>
              <w:t>1,267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14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14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color w:val="auto"/>
              </w:rPr>
              <w:t>$ 1,738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revenues in the condensed consolidated statements of operations and comprehensive income (loss) at the time revenue is recognized. In estimating our future warranty obligations we consider various relevant factors, including the historical frequency and volume of claims, and the cost to replace or repair products under warranty.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
              <w:spacing w:after="0"/>
              <w:rPr>
                <w:sz w:val="20"/>
                <w:szCs w:val="20"/>
                <w:color w:val="auto"/>
              </w:rPr>
            </w:pPr>
            <w:r>
              <w:rPr>
                <w:rFonts w:ascii="Arial" w:cs="Arial" w:eastAsia="Arial" w:hAnsi="Arial"/>
                <w:sz w:val="14"/>
                <w:szCs w:val="14"/>
                <w:b w:val="1"/>
                <w:bCs w:val="1"/>
                <w:color w:val="auto"/>
                <w:w w:val="87"/>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Impairment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(5,123)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(15,477)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(4,163)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12,800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(1,707)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(1,387)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(1,727)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(1,609)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(8,557)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 (22,790)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11,173</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5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(7,159)</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961</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437</w:t>
            </w:r>
          </w:p>
        </w:tc>
        <w:tc>
          <w:tcPr>
            <w:tcW w:w="5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1,398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March 31, 2012, the Company performed a preliminary interim impairment assessment of its purchased intangible assets. The resulting estimated impairment of $22.8 million has been recorded as a loss in the current quarter and the intangible asset values have been recorded at their estimated fair value. See Note 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details of the amortization of existing purchased intangible assets that is currently estimated to be expensed in the remainder of 2012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 (remaining 9 months)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11,173</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Additionally, at March 31, 2012 and December 31, 2011, the Company had $287,000 and $341,000, respectively, of acquired software licenses, net of accumulated amortization of $2.0 million and $3.7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the carrying amount of goodwill for the three month periods ended March 31, 2012 and 2011 are as follows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M2M Products and</w:t>
            </w: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Solutions</w:t>
            </w: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$19,772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$22,258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 impairment during the period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(6,547)</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13,225</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22,258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first quarter of 2012, based on actual operating results, and reductions in management’s estimates 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upon fair value tests performed with the assistance of a third party independent appraisal, the Company recorded a preliminary pre-tax goodwill impairment charge of approximately $6.5 million and a preliminary purchased intangible asset charge of approximately $22.8 million during the first quarter of 2012. As of May 10, 2012, the Company had not finalized its review of these impairments analyses due to the limited time period from the first indication of the potential impairments to the date of this filing and the complexities involved in estimating the fair value of certain assets and liabilities. Any adjustments to those estimated charges resulting from the completion of the measurement of the impairment losses will be recognized in the second quarter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financial instruments consist principally of cash and cash equivalents, short-term and long-term marketable securities, and short-term and long-term debt securities. The Company’s cash and cash equivalents consist of its investment in money market securities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 (Level 2 of the fair value hierarchy).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0" w:name="page11"/>
    <w:bookmarkEnd w:id="10"/>
    <w:p>
      <w:pPr>
        <w:ind w:right="2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fair value of the majority of our cash and cash equivalents and marketable equity securities were determined based on Level 1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2012</w:t>
            </w: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7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US Treasury notes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Corporate debentures/bonds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13,182</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5,520</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5,940</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4,502</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16,641</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three months ended March 31, 2012. All of our long-term marketable debt securities had maturities of between one and two years in duration at March 31, 2012.</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2011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as of</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gridSpan w:val="3"/>
            <w:vMerge w:val="continue"/>
          </w:tcPr>
          <w:p>
            <w:pPr>
              <w:spacing w:after="0"/>
              <w:rPr>
                <w:sz w:val="14"/>
                <w:szCs w:val="14"/>
                <w:color w:val="auto"/>
              </w:rPr>
            </w:pPr>
          </w:p>
        </w:tc>
        <w:tc>
          <w:tcPr>
            <w:tcW w:w="16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December 31, 2011</w:t>
            </w:r>
          </w:p>
        </w:tc>
        <w:tc>
          <w:tcPr>
            <w:tcW w:w="58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w w:val="96"/>
              </w:rPr>
              <w:t>Level 1</w:t>
            </w:r>
          </w:p>
        </w:tc>
        <w:tc>
          <w:tcPr>
            <w:tcW w:w="500" w:type="dxa"/>
            <w:vAlign w:val="bottom"/>
          </w:tcPr>
          <w:p>
            <w:pPr>
              <w:spacing w:after="0"/>
              <w:rPr>
                <w:sz w:val="14"/>
                <w:szCs w:val="14"/>
                <w:color w:val="auto"/>
              </w:rPr>
            </w:pPr>
          </w:p>
        </w:tc>
        <w:tc>
          <w:tcPr>
            <w:tcW w:w="68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US Treasury notes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debenture/bonds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8,384</w:t>
            </w:r>
          </w:p>
        </w:tc>
        <w:tc>
          <w:tcPr>
            <w:tcW w:w="52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6,912</w:t>
            </w:r>
          </w:p>
        </w:tc>
        <w:tc>
          <w:tcPr>
            <w:tcW w:w="52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equity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5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28,229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5,969</w:t>
            </w:r>
          </w:p>
        </w:tc>
        <w:tc>
          <w:tcPr>
            <w:tcW w:w="52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72,683</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25,175</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0" w:right="239" w:bottom="9"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80" w:right="239" w:bottom="9"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Share-Based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condensed consolidated statements of operations and comprehensive income (loss) for the three months ended March 31, 2012 and 2011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w:t>
            </w:r>
          </w:p>
        </w:tc>
        <w:tc>
          <w:tcPr>
            <w:tcW w:w="10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48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Mobile Computing Products segment—includes our MiFi products, USB and PC-card modems and Embedded Modules that enable data transmission and services via cellular wireless networks. All products within the segment represent a single product family.</w:t>
      </w:r>
    </w:p>
    <w:p>
      <w:pPr>
        <w:spacing w:after="0" w:line="4"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M2M Products and Solutions segment—includes our intelligent asset-management solutions utilizing cellular wireless technology and M2M communication devices acquired with our acquisition of Enfora.</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Segment revenues and segment operating income (loss) represent the primary financial measures used by senior management to assess performance and include the revenue, cost of goods sold,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 from external customers, income (loss) from operations and identifiable assets for our reportable segments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844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revenues by operating segment: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57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8"/>
              </w:rPr>
              <w:t>90,878</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4"/>
              </w:rPr>
              <w:t>$ 49,796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6"/>
          </w:tcPr>
          <w:p>
            <w:pPr>
              <w:ind w:left="460"/>
              <w:spacing w:after="0"/>
              <w:rPr>
                <w:sz w:val="20"/>
                <w:szCs w:val="20"/>
                <w:color w:val="auto"/>
              </w:rPr>
            </w:pPr>
            <w:r>
              <w:rPr>
                <w:rFonts w:ascii="Arial" w:cs="Arial" w:eastAsia="Arial" w:hAnsi="Arial"/>
                <w:sz w:val="18"/>
                <w:szCs w:val="18"/>
                <w:color w:val="auto"/>
              </w:rPr>
              <w:t>Total</w:t>
            </w:r>
          </w:p>
        </w:tc>
        <w:tc>
          <w:tcPr>
            <w:tcW w:w="8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100,150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$ 61,784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11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Operating loss:</w:t>
            </w:r>
          </w:p>
        </w:tc>
        <w:tc>
          <w:tcPr>
            <w:tcW w:w="728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5"/>
          </w:tcPr>
          <w:p>
            <w:pPr>
              <w:spacing w:after="0"/>
              <w:rPr>
                <w:sz w:val="20"/>
                <w:szCs w:val="20"/>
                <w:color w:val="auto"/>
              </w:rPr>
            </w:pPr>
            <w:r>
              <w:rPr>
                <w:rFonts w:ascii="Arial" w:cs="Arial" w:eastAsia="Arial" w:hAnsi="Arial"/>
                <w:sz w:val="18"/>
                <w:szCs w:val="18"/>
                <w:color w:val="auto"/>
              </w:rPr>
              <w:t>Mobile Computing Products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 (16,681)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M2M Products and Solutions</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(34,357)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0"/>
        </w:trPr>
        <w:tc>
          <w:tcPr>
            <w:tcW w:w="8900" w:type="dxa"/>
            <w:vAlign w:val="bottom"/>
            <w:gridSpan w:val="6"/>
            <w:vMerge w:val="restart"/>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6"/>
            <w:vMerge w:val="continue"/>
          </w:tcPr>
          <w:p>
            <w:pPr>
              <w:spacing w:after="0"/>
              <w:rPr>
                <w:sz w:val="19"/>
                <w:szCs w:val="19"/>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 (37,827)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(22,070)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60" w:type="dxa"/>
            <w:vAlign w:val="bottom"/>
            <w:gridSpan w:val="5"/>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84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Mobile Computing Products</w:t>
            </w:r>
          </w:p>
        </w:tc>
        <w:tc>
          <w:tcPr>
            <w:tcW w:w="5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w w:val="85"/>
              </w:rPr>
              <w:t>$175,327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181,180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38,042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6"/>
          </w:tcPr>
          <w:p>
            <w:pPr>
              <w:ind w:left="460"/>
              <w:spacing w:after="0"/>
              <w:rPr>
                <w:sz w:val="20"/>
                <w:szCs w:val="20"/>
                <w:color w:val="auto"/>
              </w:rPr>
            </w:pPr>
            <w:r>
              <w:rPr>
                <w:rFonts w:ascii="Arial" w:cs="Arial" w:eastAsia="Arial" w:hAnsi="Arial"/>
                <w:sz w:val="18"/>
                <w:szCs w:val="18"/>
                <w:color w:val="auto"/>
              </w:rPr>
              <w:t>Total</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213,369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249,179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1920" w:hanging="5612"/>
        <w:spacing w:after="0" w:line="440" w:lineRule="auto"/>
        <w:tabs>
          <w:tab w:leader="none" w:pos="4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preliminary estimated impairment charges of $22.8 million against intangible assets and $6.5 million against goodwill. 12</w:t>
      </w:r>
    </w:p>
    <w:p>
      <w:pPr>
        <w:sectPr>
          <w:pgSz w:w="11900" w:h="16838" w:orient="portrait"/>
          <w:cols w:equalWidth="0" w:num="1">
            <w:col w:w="11360"/>
          </w:cols>
          <w:pgMar w:left="240" w:top="274" w:right="299" w:bottom="1440" w:gutter="0" w:footer="0" w:header="0"/>
        </w:sectPr>
      </w:pPr>
    </w:p>
    <w:bookmarkStart w:id="12" w:name="page13"/>
    <w:bookmarkEnd w:id="12"/>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$207,936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243,030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Canada</w:t>
            </w:r>
          </w:p>
        </w:tc>
        <w:tc>
          <w:tcPr>
            <w:tcW w:w="1580" w:type="dxa"/>
            <w:vAlign w:val="bottom"/>
            <w:gridSpan w:val="4"/>
          </w:tcPr>
          <w:p>
            <w:pPr>
              <w:jc w:val="right"/>
              <w:ind w:right="112"/>
              <w:spacing w:after="0"/>
              <w:rPr>
                <w:sz w:val="20"/>
                <w:szCs w:val="20"/>
                <w:color w:val="auto"/>
              </w:rPr>
            </w:pPr>
            <w:r>
              <w:rPr>
                <w:rFonts w:ascii="Arial" w:cs="Arial" w:eastAsia="Arial" w:hAnsi="Arial"/>
                <w:sz w:val="18"/>
                <w:szCs w:val="18"/>
                <w:color w:val="auto"/>
              </w:rPr>
              <w:t>3,933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5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Asia</w:t>
            </w:r>
          </w:p>
        </w:tc>
        <w:tc>
          <w:tcPr>
            <w:tcW w:w="740" w:type="dxa"/>
            <w:vAlign w:val="bottom"/>
          </w:tcPr>
          <w:p>
            <w:pPr>
              <w:spacing w:after="0"/>
              <w:rPr>
                <w:sz w:val="18"/>
                <w:szCs w:val="18"/>
                <w:color w:val="auto"/>
              </w:rPr>
            </w:pPr>
          </w:p>
        </w:tc>
        <w:tc>
          <w:tcPr>
            <w:tcW w:w="840" w:type="dxa"/>
            <w:vAlign w:val="bottom"/>
            <w:gridSpan w:val="3"/>
          </w:tcPr>
          <w:p>
            <w:pPr>
              <w:jc w:val="right"/>
              <w:ind w:right="112"/>
              <w:spacing w:after="0"/>
              <w:rPr>
                <w:sz w:val="20"/>
                <w:szCs w:val="20"/>
                <w:color w:val="auto"/>
              </w:rPr>
            </w:pPr>
            <w:r>
              <w:rPr>
                <w:rFonts w:ascii="Arial" w:cs="Arial" w:eastAsia="Arial" w:hAnsi="Arial"/>
                <w:sz w:val="18"/>
                <w:szCs w:val="18"/>
                <w:color w:val="auto"/>
              </w:rPr>
              <w:t>1,358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213,369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w w:val="98"/>
              </w:rPr>
              <w:t>The following table details the concentration of the Company’s net revenues by geographic region:</w:t>
            </w: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12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Latin America</w:t>
            </w:r>
          </w:p>
        </w:tc>
        <w:tc>
          <w:tcPr>
            <w:tcW w:w="1820" w:type="dxa"/>
            <w:vAlign w:val="bottom"/>
            <w:gridSpan w:val="5"/>
          </w:tcPr>
          <w:p>
            <w:pPr>
              <w:jc w:val="right"/>
              <w:ind w:right="2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Europe / Middle East / Africa</w:t>
            </w:r>
          </w:p>
        </w:tc>
        <w:tc>
          <w:tcPr>
            <w:tcW w:w="18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Asia / Australia</w:t>
            </w:r>
          </w:p>
        </w:tc>
        <w:tc>
          <w:tcPr>
            <w:tcW w:w="1120" w:type="dxa"/>
            <w:vAlign w:val="bottom"/>
            <w:gridSpan w:val="2"/>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cellular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significant portion of the Company’s net revenues are derived from a small number of customers. For the three months ended March 31, 2012, sales to our three largest customers accounted for 55%, 13% and 8% of net revenues. In the same period in 2011, sales to our three largest customers accounted for 34% 22% and 10% of net revenues. The Company outsources its manufacturing to four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March 31, 2012 and 2011, basic and diluted weighted-average common shares outstanding were 32,295,942 and 31,899,757, respectively. As of March 31, 2012 and 2011, weighted-average options, RSUs, and ESPP shares to acquire a total of 6,001,156 and 3,944,684 shares of common stock, respectively, were outstanding but not included in the computation of diluted earnings per share as their effect was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8"/>
          <w:szCs w:val="18"/>
          <w:i w:val="1"/>
          <w:iCs w:val="1"/>
          <w:color w:val="auto"/>
        </w:rPr>
        <w:t>Backe v. Novatel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Wireless, Inc., et al.</w:t>
      </w:r>
      <w:r>
        <w:rPr>
          <w:rFonts w:ascii="Arial" w:cs="Arial" w:eastAsia="Arial" w:hAnsi="Arial"/>
          <w:sz w:val="16"/>
          <w:szCs w:val="16"/>
          <w:color w:val="auto"/>
        </w:rPr>
        <w:t>, Case No. 08-CV-01689-H (RBB) (Consolidated with Case No. 08-CV-01714-H (RBB)) (U.S.D.C., S.D. Cal.). In May 2010, the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The court has set a final pretrial conference for June 15, 2012.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Diego, against the Company, as nominal defendant, and certain of our current and former officers and directors, as defendants. Two other purported shareholders,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Mark Campos and Chris Arnsdorf, separately filed substantially similar lawsuits in the same court on October 20, 2008 and November 5, 2008, respectively.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16, 2009, the plaintiffs filed a consolidated complaint. The consolidated complaint, Case No. 37-2008-00093576-CU-NP-CTL, alleges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breaches of fiduciary duties, violations of certain provisions of the California Corporations Code, unjust enrichment, and gross mismanagement.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court granted the defendants’ motion to stay the action pending the resolution of the federal securities class action described above. In July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executed a memorandum of understanding setting forth the terms to be included in a contemplated settlement. Any settlement would be subject to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The memorandum of understanding did not contemplate any restitution from the defendants. Following execution of the memorandum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understanding, plaintiffs conducted certain confirmatory discovery and sought to negotiate an award of legal fees as part of the terms to be included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stipulation of settlement. Plaintiffs have since purported to terminate the memorandum of understanding. On January 28, 2011, the court held an informal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at which plaintiffs requested that the court lift the stay of action. The court declined plaintiffs’ request. Following certain additional confirmatory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discovery and negotiations, on March 2, 2012, the parties executed a Stipulation of Settlement, which settlement was submitted to the court for approval.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preliminarily approved the settlement pursuant to an order dated March 15, 2012. The settlement requires the Company to maintain and/or implement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corporate governance measures and provides for the payment of fees and expenses to the plaintiffs’ counsel of an amount not to exceed $900,000,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 of which is to be paid out of insurance proceeds, and $400,000 to be paid by the Company. These fees have been paid in accordance with the March 15</w:t>
      </w:r>
      <w:r>
        <w:rPr>
          <w:rFonts w:ascii="Arial" w:cs="Arial" w:eastAsia="Arial" w:hAnsi="Arial"/>
          <w:sz w:val="10"/>
          <w:szCs w:val="10"/>
          <w:color w:val="auto"/>
        </w:rPr>
        <w:t>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order and on May 4, 2012, the court granted final approval of the settlement. The Company recorded the $400,000 in fees in its 2011 financial results.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operations or cash flows.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has accrued $150,000 as of March 31, 2012 related to our best estimate of potential settlements on legal and indemnification matters for which we have deemed the outcome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68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8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(37,921)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(22,088)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7"/>
        </w:trPr>
        <w:tc>
          <w:tcPr>
            <w:tcW w:w="8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(37,897)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(22,165)</w:t>
            </w:r>
          </w:p>
        </w:tc>
      </w:tr>
      <w:tr>
        <w:trPr>
          <w:trHeight w:val="20"/>
        </w:trPr>
        <w:tc>
          <w:tcPr>
            <w:tcW w:w="8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right="2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a review of the four sources of taxable income as of March 31, 2012 (as described above), the Company recognized an increase in the valuation allowance primarily related to its U.S.-based deferred tax amounts resulting from carryforward net operating losses and Canadian-based deferred tax amounts resulting from research and development tax credits generated during the quarter ended March 31, 2012. These deferred tax benefits, combined with a corresponding charge to income tax expense of $13.4 million related to the increased valuation allowance during the quarter ended March 31, 2012, resulted in an insignificant effective income tax rate for the quarter ended March 31, 2012. The Company’s valuation allowance was $49.8 million on net deferred tax assets of $50.9 million at March 31, 2012. The net unreserved portion of the Company’s remaining deferred tax assets at March 31, 2012 primarily related to research and development tax credits associated with the Company’s Canadian subsidiary.</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For the three months ended March 31, 2012, the Company recorded income tax expense, including discrete items, of $184,000. This amount varies from the tax benefit that would be computed at the U.S statutory rate resulting from its operating losses during the same period primarily due to an offsetting increase in the Company’s valuation allowance.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March 31, 2012 and December 31, 2011, the total liability for unrecognized tax benefits was $415,000 and $413,000, respectively, and is included in other long-term liabilities. For the three months ended March 31, 2012, the Company included $2,000 of interest expense related to uncertain tax positions in its consolidated statements of operations.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third quarter of 2012, the Company may release $50,000 of its liability for unrecognized tax benefits due to the expiration of the statute of limitations applicable to the 2007 taxable year.</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State of Texas is currently conducting an examination of the Company’s 2007 Texas Franchise tax return. The Company is also subject to various Federal income tax examinations for the 2003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of 2012, the Company recorded a preliminary estimated impairment charges of $22.8 million against intangible assets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$6.5 million against goodwill on a pre-tax basis against the M2M operating unit. The Company will finalize its estimate of the impairment charge during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2012, including the related impact to income taxes.</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2011 contained in our Annual Report on Form 10-K for the year ended December 31, 2011.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PCI and wireless PC-card modems, and communications and applications software. In addition, our Enfora division provides asset-management solutions utilizing intelligent platforms, customized service-delivery software, and machine-to-machine, or M2M, communications devices.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Nextel, Verizon Wireless, and Virgin Mobile;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intend to continue to identify and respond to our customers’ needs by introducing new product designs with an emphasis on supporting cutting-edge, wide area network, or WAN, technology; ease-of-use; performance; size; weight; cost; and power consumption. 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LG Innotek; Inventec Appliances Corporation, or IAC;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Dell, QUALCOMM, Sprint Nextel, Verizon Wireless, Virgin Mobile, Vodafone, Telefonica, Texas Instruments, Delta Mobile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8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increased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expense; general and administrative costs; and amortization of acquired intangibles.</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Securities and Exchange Commission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Amortization of acquired intangibles includes the amortization of customer relationships, covenant-not-to-compete agreements and trade name intangible assets purchased through the acquisition of Enfora. We also subject our intangible assets and goodwill to impairment assessments when required which can result in charges when impairment occurs.</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 The significant accounting policies used in preparation of these consolidated financial statements for the three months ended March 31, 2012 are consistent with those discussed in Note 1 to the consolidated financial statements included in our Annual Report on Form 10-K for the year ended December 31, 2011 in all material respects and in Note 1 to the consolidated financial statements included in this report. The critical accounting policies and the significant judgments and estimates used in the preparation of our consolidated financial statements for the three months ended March 31, 2012 are consistent with those discussed in our Annual Report on Form 10-K for the year ended December 31, 2011 in the section captioned “Management’s Discussion and Analysis of Financial Condition and Results of Operations — Critical Accounting Policies and Estimates.”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Compared to Three Months Ended March 31, 2011</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March 31, 2012 were $100.2 million, an increase of $38.4 million or 62.1%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2011.</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net revenues by operating segment and net revenues by product category during the three months ended March 31, 2012 and 2011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revenues by operating segment: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 Computing Products</w:t>
            </w: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90,878</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$49,796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4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100,150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revenues by product category: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61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85,616</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$48,239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8,816</w:t>
            </w:r>
          </w:p>
        </w:tc>
        <w:tc>
          <w:tcPr>
            <w:tcW w:w="580" w:type="dxa"/>
            <w:vAlign w:val="bottom"/>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100,150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for the three months ended March 31, 2012 were $90.9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$41.1 million or 82.5% compared to the same period in 2011. The significant increase in net revenues from our mobile computing products was driven by higher sales of our mobile broadband devices. The increase is primarily attributable to demand for 4G products in 2012 as compared to the delayed product rollout of our next generation 4G products in the first quarter of 2011 which encountered longer than expected approval cycles with our customers. The 2011 product transition negatively affected the demand for our older generation EV-DO 3G products as telecom carriers continued to upgrade their networks to 4G.</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for the three months ended March 31, 2012 were $9.3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$2.7M or 22.6% compared to the same period last year. The decrease is primarily due to the reduced sales volume and pricing of our 2G GPRS M2M modules in the North American market as it transitions away from 2G GSM networks. We are currently developing CDMA and 3G GSM modules and integrated solutions to address this market. These products are expected to launch later this year.</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Product Categories. </w:t>
      </w:r>
      <w:r>
        <w:rPr>
          <w:rFonts w:ascii="Arial" w:cs="Arial" w:eastAsia="Arial" w:hAnsi="Arial"/>
          <w:sz w:val="18"/>
          <w:szCs w:val="18"/>
          <w:color w:val="auto"/>
        </w:rPr>
        <w:t>We have categorized the combined product portfolios of the mobile computing and M2M businesses into three categories (1)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Devices, (2) Embedded Solutions and (3) Asset Management Solutions and Services. These categories were established due to the different markets and sales channels served. We believe this product categorization information facilitates the analysis of the our operating trends and enhances our segment disclosures.</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PC cards, USB modems and MiFi intelligent hotspots.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or CMS, that transmit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three months ended March 31, 2012 was $79.2 million, or 79.0% of net revenues, as compared to $55.8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90.3% of net revenues, for the same period in 2011. The decrease in cost of revenues as a percentage of net revenues compared to 2011 resulted from a favorable mix of products sold that included 4G products with higher gross margins and a higher revenue level in proportion to the fixed manufacturing overhead costs in 2012. Cost of net revenues for the three months ended March 31, 2012 also included amortization costs of $961,000 related to purchased intangibles. Cost of revenues as a percentage of net revenues is expected to fluctuate in future quarters depending on revenue levels, the mix of products sold, competitive pricing, new product introduction costs and other factors.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2012 was $21.0 million, or 21.0% of net revenues, compared to $6.0 million, or 9.7%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2011. The increase was primarily attributable to the changes in net revenues and cost of revenues as discussed above. We expect that our gross profit percentage will continue to fluctuate from quarter to quarter depending on revenue levels, product mix, competitive selling prices, our ability to reduce product costs and changes in unit volumes.</w:t>
      </w:r>
    </w:p>
    <w:p>
      <w:pPr>
        <w:spacing w:after="0" w:line="14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2012 were $15.8 million, or 15.8%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$15.6 million, or 25.2% of net revenues, for the same period in 2011. The decrease in research and development expenses as a percentage of revenue for the period ended March 31, 2012 as compared to the prior year period is attributable to the higher revenue levels achieved during the three months ended March 31, 2012 relative to the corresponding prior year period.</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expect to maintain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2012 were $7.7 million, or 7.7%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$7.4 million, or 12.0% of net revenues, for the same period in 2011. The increase in expense for the three months ended March 31, 2012 compared to the same period in 2011 was due primarily to higher market research costs.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2012 were $5.5 million, or 5.5%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$4.6 million, or 7.4% of net revenues, for the same period in 2011. The increase in expense for the three months ended March 31, 2012 compared to the same period in 2011 was due primarily to an $880,000 cost benefit recorded in the first quarter of 2011 due to the revision of estimated contingent consideration related to the acquisition of Enfora.</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While we are closely monitoring and undertaking to control general and administrative costs, we expect these costs to be negatively impacted by legal fees incurred by the Company to defend the claims described in Note 9 to our consolidated financial statements included in this report. During the first quarter periods in 2012 and 2011, the Company incurred $1.1 million and $1.0 million in legal expenses, respectively.</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During the first quarter of 2012, based on actual operating results, and reductions in management’s estimates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 Based on the fair value tests performed, the Company recorded a preliminary pre-tax goodwill impairment charge of $6.5 million and a preliminary purchased intangible asset charge of $22.8 million during the first quarter of 2012. See Note 4 in the condensed consolidated financial statements for the period ended March 31, 2012 included in this report.</w:t>
      </w:r>
    </w:p>
    <w:p>
      <w:pPr>
        <w:spacing w:after="0" w:line="114"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expense was $437,000 for the quarter ended March 31, 2012. The decrease in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$91,000 for the three months ended March 31, 2012 as compared to the prior year period was due to the expiration of certain non compete arrangements from the Enfora acquisition.</w:t>
      </w:r>
    </w:p>
    <w:p>
      <w:pPr>
        <w:spacing w:after="0" w:line="13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March 31, 2012 was $83,000 as compared to $158,000 for the same period in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weighted-average interest rate earned by the Company on its cash, cash equivalents and marketable securities was 0.10% and 0.20% in the first quarters of 2012 and 2011,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for the three months ended March 31, 2012 was $7,000 as compared to $122,000 of expense for the same period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three months ended March 31, 2012 was $184,000, as compared to an income tax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$298,000 for the same period in 2011.</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2012 is different than the U.S. statutory rate primarily due to a valuation allowance recorded against additional tax assets generated in the first quarter of 2012.</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March 31, 2012, we reported a net loss of $37.9 million, as compared to a net loss of $22.1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2011. Net income was negatively impacted by the preliminary estimated impairment of goodwill and a preliminary purchased intangible asset charge.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use of this margin credit facility allows the Company to meet short-term cash requirements and avoid selling cash equivalents and marketable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this facility are collateralized by Company cash equivalents and marketable securities on deposit at the bank.</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September 2009, we filed a shelf registration statement with the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have not issued any securities under this registration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73,587</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116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600" w:type="dxa"/>
            <w:vAlign w:val="bottom"/>
            <w:gridSpan w:val="3"/>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21,780</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30,816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16,641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69,237</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88,831</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Working capital is defined as the excess of current assets over current liabilities.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Included in working capital.</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working capital decreased $3.4 million from December 31, 2011 to March 31, 2012. The decrease was primarily due to the operating loss in the first quarter of 2012, net of noncash charges.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March 31, 2012, cash and cash equivalents decreased $25.3 million from December 31, 2011. The principal component of this net decrease was the cash used by our operating activities of $18.2 million, cash used to pay for acquisition of property, plant and equipment of $1.2 million, and by net purchases of our marketable securities of $5.7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(18,223)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(36,525)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880" w:type="dxa"/>
            <w:vAlign w:val="bottom"/>
            <w:gridSpan w:val="3"/>
          </w:tcPr>
          <w:p>
            <w:pPr>
              <w:jc w:val="right"/>
              <w:ind w:right="180"/>
              <w:spacing w:after="0"/>
              <w:rPr>
                <w:sz w:val="20"/>
                <w:szCs w:val="20"/>
                <w:color w:val="auto"/>
              </w:rPr>
            </w:pPr>
            <w:r>
              <w:rPr>
                <w:rFonts w:ascii="Arial" w:cs="Arial" w:eastAsia="Arial" w:hAnsi="Arial"/>
                <w:sz w:val="18"/>
                <w:szCs w:val="18"/>
                <w:color w:val="auto"/>
              </w:rPr>
              <w:t>(6,841)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86"/>
              </w:rPr>
              <w:t>Effect of exchange rates on cash and cash equivalents</w:t>
            </w:r>
          </w:p>
        </w:tc>
        <w:tc>
          <w:tcPr>
            <w:tcW w:w="40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Net decrease in cash and cash equivalents</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(25,289)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0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$ 21,780</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00" w:type="dxa"/>
            <w:vAlign w:val="bottom"/>
            <w:vMerge w:val="restart"/>
          </w:tcPr>
          <w:p>
            <w:pPr>
              <w:jc w:val="right"/>
              <w:ind w:right="3252"/>
              <w:spacing w:after="0"/>
              <w:rPr>
                <w:sz w:val="20"/>
                <w:szCs w:val="20"/>
                <w:color w:val="auto"/>
              </w:rPr>
            </w:pPr>
            <w:r>
              <w:rPr>
                <w:rFonts w:ascii="Arial" w:cs="Arial" w:eastAsia="Arial" w:hAnsi="Arial"/>
                <w:sz w:val="18"/>
                <w:szCs w:val="18"/>
                <w:color w:val="auto"/>
              </w:rPr>
              <w:t>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20" w:name="page21"/>
    <w:bookmarkEnd w:id="20"/>
    <w:p>
      <w:pPr>
        <w:ind w:right="20" w:firstLine="456"/>
        <w:spacing w:after="0" w:line="335"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Operating activities. </w:t>
      </w:r>
      <w:r>
        <w:rPr>
          <w:rFonts w:ascii="Arial" w:cs="Arial" w:eastAsia="Arial" w:hAnsi="Arial"/>
          <w:sz w:val="15"/>
          <w:szCs w:val="15"/>
          <w:color w:val="auto"/>
        </w:rPr>
        <w:t>Net cash used by operating activities decreased by $18.3 million to $18.2 million for the three months ended March 31, 2012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net cash used by operating activities of $36.5 million for the same period in 2011. The decrease in net cash used was primarily attributable to a lower comparative net loss prior to the incurrence of non cash impairment charges, along with the comparative favorable impact of working capital changes in 2012.</w:t>
      </w:r>
    </w:p>
    <w:p>
      <w:pPr>
        <w:spacing w:after="0" w:line="8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during the three months ended March 31, 2012 was $6.8 million compared to $33.4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provided during the same period in 2011. Cash used by investing activities during the three months ended March 31, 2012 was related to net sales of marketable securities of $5.7 million, and by purchases of property, plant, and equipment for approximately $1.2 million. Cash provided by investing activities during the same period in 2011 was primarily related to net sales of marketable securities of $34.7 million.</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during the three months ended March 31, 2012 was $240,000, compared to $546,000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2011. Net cash used in financing activities in 2012 was primarily related to taxes paid on behalf of employees for restricted stock units which vested during the period.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9 to our consolidated financial statements included in this report. These costs cannot be estimated at this time.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$9.4 million for discretionary capital expenditures, including the acquisition of additional software licenses.</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or from other borrowings,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2011,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2012,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2012, that have materially affected, or are reasonably likely to materially affect, the Company’s internal control over financial reporting.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Backe v. Novatel Wireless, Inc. et al.</w:t>
      </w:r>
      <w:r>
        <w:rPr>
          <w:rFonts w:ascii="Arial" w:cs="Arial" w:eastAsia="Arial" w:hAnsi="Arial"/>
          <w:sz w:val="18"/>
          <w:szCs w:val="18"/>
          <w:color w:val="auto"/>
        </w:rPr>
        <w:t>, United States District Court for the Southern District of California (San Diego), Case No. 3:08-cv-01689-AJB-RBB (consolidated with Case No. 3:08-cv-01714-H-RBB (U.S.D.C., S.D. Cal.)), the court has set the final pretrial conference for June 15, 2012. A trial date has not been scheduled.</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Jerry Rosenbaum v. Peter Leparulo, et al.</w:t>
      </w:r>
      <w:r>
        <w:rPr>
          <w:rFonts w:ascii="Arial" w:cs="Arial" w:eastAsia="Arial" w:hAnsi="Arial"/>
          <w:sz w:val="16"/>
          <w:szCs w:val="16"/>
          <w:color w:val="auto"/>
        </w:rPr>
        <w:t>, Superior Court of the State of California, County of San Diego, Case No. 37-2008-00093576-CU-NP-CTL, the parties executed a Stipulation of Settlement on March 2, 2012 which was submitted to the court for approval. The court preliminarily approved the settlement pursuant to an order dated March 15, 2012. The settlement requires the Company to maintain and/or implement certain corporate governance measures and provides for the payment of fees and expenses to the plaintiffs’ counsel of an amount not to exceed $900,000, $500,000 of which is to be paid out of insurance proceeds and $400,000 to be paid by the Company. These fees have been paid in accordance with the March 15</w:t>
      </w:r>
      <w:r>
        <w:rPr>
          <w:rFonts w:ascii="Arial" w:cs="Arial" w:eastAsia="Arial" w:hAnsi="Arial"/>
          <w:sz w:val="10"/>
          <w:szCs w:val="10"/>
          <w:color w:val="auto"/>
        </w:rPr>
        <w:t>th</w:t>
      </w:r>
      <w:r>
        <w:rPr>
          <w:rFonts w:ascii="Arial" w:cs="Arial" w:eastAsia="Arial" w:hAnsi="Arial"/>
          <w:sz w:val="16"/>
          <w:szCs w:val="16"/>
          <w:color w:val="auto"/>
        </w:rPr>
        <w:t xml:space="preserve"> order and on May 4, 2012, the court granted final approval of the settlement. The Company recorded the $400,000 in fees in its 2011 financial results.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8"/>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Certification of our Principal Executive Officer and Principal Financial Officer pursuant to Section 906 of the Sarbanes-Oxley Act of 2002.</w:t>
            </w:r>
          </w:p>
        </w:tc>
      </w:tr>
    </w:tbl>
    <w:p>
      <w:pPr>
        <w:spacing w:after="0" w:line="102" w:lineRule="exact"/>
        <w:rPr>
          <w:sz w:val="20"/>
          <w:szCs w:val="20"/>
          <w:color w:val="auto"/>
        </w:rPr>
      </w:pPr>
    </w:p>
    <w:p>
      <w:pPr>
        <w:ind w:left="1080" w:right="100" w:hanging="1072"/>
        <w:spacing w:after="0" w:line="29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March 31, 2012 formatted in Extensible Business Reporting Language (XBRL): (i) Condensed Consolidated Balance Sheets; (ii) Condensed Consolidated Statements of Operations and Comprehensive Income (Loss); (iii) Condensed Consolidated Statements of Cash Flows; and (iv) the Notes to Condensed Consolidated Financial Statements, tagged as blocks of text.</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80" w:right="239" w:bottom="1440" w:gutter="0" w:footer="0" w:header="0"/>
          <w:type w:val="continuous"/>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10, 2012</w:t>
      </w:r>
      <w:r>
        <w:rPr>
          <w:sz w:val="20"/>
          <w:szCs w:val="20"/>
          <w:color w:val="auto"/>
        </w:rPr>
        <w:tab/>
      </w:r>
      <w:r>
        <w:rPr>
          <w:rFonts w:ascii="Arial" w:cs="Arial" w:eastAsia="Arial" w:hAnsi="Arial"/>
          <w:sz w:val="16"/>
          <w:szCs w:val="16"/>
          <w:color w:val="auto"/>
        </w:rPr>
        <w:t>Novatel Wireless, Inc.</w:t>
      </w:r>
    </w:p>
    <w:p>
      <w:pPr>
        <w:spacing w:after="0" w:line="239" w:lineRule="exact"/>
        <w:rPr>
          <w:sz w:val="20"/>
          <w:szCs w:val="20"/>
          <w:color w:val="auto"/>
        </w:rPr>
      </w:pPr>
    </w:p>
    <w:p>
      <w:pPr>
        <w:ind w:left="5920"/>
        <w:spacing w:after="0"/>
        <w:tabs>
          <w:tab w:leader="none" w:pos="662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ind w:left="5920"/>
        <w:spacing w:after="0"/>
        <w:tabs>
          <w:tab w:leader="none" w:pos="662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10,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10,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Novatel Wireless Inc. (the “Company”) on Form 10-Q for the period ended March 31, 2012, as filed with the Securities and Exchange Commission on the date hereof (the “Report”), we, Peter Leparulo, Chairman and Chief Executive Officer of the Company, and Kenneth Leddon, Senior Vice President and Chief Financial Officer of the Company, do each hereby certify, pursuant to 18 U.S.C. § 1350, as adopted pursuant to § 906 of the Sarbanes-Oxley Act of 2002, that, to the best of his knowledge:</w:t>
      </w:r>
    </w:p>
    <w:p>
      <w:pPr>
        <w:spacing w:after="0" w:line="143"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10, 2012</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5960" w:type="dxa"/>
            <w:vAlign w:val="bottom"/>
          </w:tcPr>
          <w:p>
            <w:pPr>
              <w:spacing w:after="0"/>
              <w:rPr>
                <w:sz w:val="17"/>
                <w:szCs w:val="17"/>
                <w:color w:val="auto"/>
              </w:rPr>
            </w:pPr>
          </w:p>
        </w:tc>
        <w:tc>
          <w:tcPr>
            <w:tcW w:w="5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433"/>
        </w:trPr>
        <w:tc>
          <w:tcPr>
            <w:tcW w:w="5960" w:type="dxa"/>
            <w:vAlign w:val="bottom"/>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5960" w:type="dxa"/>
            <w:vAlign w:val="bottom"/>
          </w:tcPr>
          <w:p>
            <w:pPr>
              <w:spacing w:after="0"/>
              <w:rPr>
                <w:sz w:val="17"/>
                <w:szCs w:val="17"/>
                <w:color w:val="auto"/>
              </w:rPr>
            </w:pPr>
          </w:p>
        </w:tc>
        <w:tc>
          <w:tcPr>
            <w:tcW w:w="5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0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2019-12-09T11:27:09Z</dcterms:created>
  <dcterms:modified xsi:type="dcterms:W3CDTF">2019-12-09T11:27:09Z</dcterms:modified>
</cp:coreProperties>
</file>