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132715</wp:posOffset>
            </wp:positionV>
            <wp:extent cx="1243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FORM 10-Q</w:t>
      </w:r>
    </w:p>
    <w:p>
      <w:pPr>
        <w:spacing w:after="0" w:line="26"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QUARTERLY REPORT PURSUANT TO SECTION 13 OR 15(d) OF THE SECURITIES EXCHANGE ACT OF 1934</w:t>
      </w:r>
    </w:p>
    <w:p>
      <w:pPr>
        <w:spacing w:after="0" w:line="7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ind w:left="380" w:hanging="345"/>
        <w:spacing w:after="0" w:line="226" w:lineRule="auto"/>
        <w:tabs>
          <w:tab w:leader="none" w:pos="3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326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40" w:type="dxa"/>
            <w:vAlign w:val="bottom"/>
            <w:tcBorders>
              <w:bottom w:val="single" w:sz="8" w:color="auto"/>
            </w:tcBorders>
          </w:tcPr>
          <w:p>
            <w:pPr>
              <w:spacing w:after="0"/>
              <w:rPr>
                <w:sz w:val="17"/>
                <w:szCs w:val="17"/>
                <w:color w:val="auto"/>
              </w:rPr>
            </w:pP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4540" w:type="dxa"/>
            <w:vAlign w:val="bottom"/>
            <w:gridSpan w:val="4"/>
          </w:tcPr>
          <w:p>
            <w:pPr>
              <w:ind w:left="940"/>
              <w:spacing w:after="0"/>
              <w:rPr>
                <w:sz w:val="20"/>
                <w:szCs w:val="20"/>
                <w:color w:val="auto"/>
              </w:rPr>
            </w:pPr>
            <w:r>
              <w:rPr>
                <w:rFonts w:ascii="Arial" w:cs="Arial" w:eastAsia="Arial" w:hAnsi="Arial"/>
                <w:sz w:val="18"/>
                <w:szCs w:val="18"/>
                <w:b w:val="1"/>
                <w:bCs w:val="1"/>
                <w:color w:val="auto"/>
              </w:rPr>
              <w:t>Commission File Number: 001-38358</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120015</wp:posOffset>
            </wp:positionV>
            <wp:extent cx="2674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421"/>
        </w:trPr>
        <w:tc>
          <w:tcPr>
            <w:tcW w:w="3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32"/>
                <w:szCs w:val="32"/>
                <w:b w:val="1"/>
                <w:bCs w:val="1"/>
                <w:color w:val="auto"/>
              </w:rPr>
              <w:t>INSEEGO CORP.</w:t>
            </w:r>
          </w:p>
        </w:tc>
        <w:tc>
          <w:tcPr>
            <w:tcW w:w="5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29"/>
        </w:trPr>
        <w:tc>
          <w:tcPr>
            <w:tcW w:w="3580" w:type="dxa"/>
            <w:vAlign w:val="bottom"/>
          </w:tcPr>
          <w:p>
            <w:pPr>
              <w:spacing w:after="0"/>
              <w:rPr>
                <w:sz w:val="19"/>
                <w:szCs w:val="19"/>
                <w:color w:val="auto"/>
              </w:rPr>
            </w:pPr>
          </w:p>
        </w:tc>
        <w:tc>
          <w:tcPr>
            <w:tcW w:w="7680" w:type="dxa"/>
            <w:vAlign w:val="bottom"/>
            <w:gridSpan w:val="4"/>
          </w:tcPr>
          <w:p>
            <w:pPr>
              <w:ind w:left="50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53"/>
        </w:trPr>
        <w:tc>
          <w:tcPr>
            <w:tcW w:w="35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480" w:type="dxa"/>
            <w:vAlign w:val="bottom"/>
          </w:tcPr>
          <w:p>
            <w:pPr>
              <w:spacing w:after="0"/>
              <w:rPr>
                <w:sz w:val="4"/>
                <w:szCs w:val="4"/>
                <w:color w:val="auto"/>
              </w:rPr>
            </w:pPr>
          </w:p>
        </w:tc>
      </w:tr>
      <w:tr>
        <w:trPr>
          <w:trHeight w:val="372"/>
        </w:trPr>
        <w:tc>
          <w:tcPr>
            <w:tcW w:w="4420" w:type="dxa"/>
            <w:vAlign w:val="bottom"/>
            <w:gridSpan w:val="2"/>
          </w:tcPr>
          <w:p>
            <w:pPr>
              <w:jc w:val="center"/>
              <w:ind w:left="1015"/>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spacing w:after="0"/>
              <w:rPr>
                <w:sz w:val="24"/>
                <w:szCs w:val="24"/>
                <w:color w:val="auto"/>
              </w:rPr>
            </w:pPr>
          </w:p>
        </w:tc>
        <w:tc>
          <w:tcPr>
            <w:tcW w:w="4040" w:type="dxa"/>
            <w:vAlign w:val="bottom"/>
            <w:gridSpan w:val="2"/>
          </w:tcPr>
          <w:p>
            <w:pPr>
              <w:jc w:val="right"/>
              <w:ind w:right="2148"/>
              <w:spacing w:after="0"/>
              <w:rPr>
                <w:sz w:val="20"/>
                <w:szCs w:val="20"/>
                <w:color w:val="auto"/>
              </w:rPr>
            </w:pPr>
            <w:r>
              <w:rPr>
                <w:rFonts w:ascii="Arial" w:cs="Arial" w:eastAsia="Arial" w:hAnsi="Arial"/>
                <w:sz w:val="18"/>
                <w:szCs w:val="18"/>
                <w:b w:val="1"/>
                <w:bCs w:val="1"/>
                <w:color w:val="auto"/>
              </w:rPr>
              <w:t>81-3377646</w:t>
            </w:r>
          </w:p>
        </w:tc>
      </w:tr>
      <w:tr>
        <w:trPr>
          <w:trHeight w:val="180"/>
        </w:trPr>
        <w:tc>
          <w:tcPr>
            <w:tcW w:w="4420" w:type="dxa"/>
            <w:vAlign w:val="bottom"/>
            <w:gridSpan w:val="2"/>
          </w:tcPr>
          <w:p>
            <w:pPr>
              <w:jc w:val="center"/>
              <w:ind w:left="1015"/>
              <w:spacing w:after="0"/>
              <w:rPr>
                <w:sz w:val="20"/>
                <w:szCs w:val="20"/>
                <w:color w:val="auto"/>
              </w:rPr>
            </w:pPr>
            <w:r>
              <w:rPr>
                <w:rFonts w:ascii="Arial" w:cs="Arial" w:eastAsia="Arial" w:hAnsi="Arial"/>
                <w:sz w:val="14"/>
                <w:szCs w:val="14"/>
                <w:b w:val="1"/>
                <w:bCs w:val="1"/>
                <w:color w:val="auto"/>
                <w:w w:val="94"/>
              </w:rPr>
              <w:t>(State or Other Jurisdiction</w:t>
            </w:r>
          </w:p>
        </w:tc>
        <w:tc>
          <w:tcPr>
            <w:tcW w:w="2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80" w:type="dxa"/>
            <w:vAlign w:val="bottom"/>
          </w:tcPr>
          <w:p>
            <w:pPr>
              <w:jc w:val="center"/>
              <w:ind w:right="176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420" w:type="dxa"/>
            <w:vAlign w:val="bottom"/>
            <w:gridSpan w:val="2"/>
          </w:tcPr>
          <w:p>
            <w:pPr>
              <w:jc w:val="center"/>
              <w:ind w:left="1015"/>
              <w:spacing w:after="0"/>
              <w:rPr>
                <w:sz w:val="20"/>
                <w:szCs w:val="20"/>
                <w:color w:val="auto"/>
              </w:rPr>
            </w:pPr>
            <w:r>
              <w:rPr>
                <w:rFonts w:ascii="Arial" w:cs="Arial" w:eastAsia="Arial" w:hAnsi="Arial"/>
                <w:sz w:val="14"/>
                <w:szCs w:val="14"/>
                <w:b w:val="1"/>
                <w:bCs w:val="1"/>
                <w:color w:val="auto"/>
                <w:w w:val="94"/>
              </w:rPr>
              <w:t>of Incorporation or Organization)</w:t>
            </w:r>
          </w:p>
        </w:tc>
        <w:tc>
          <w:tcPr>
            <w:tcW w:w="2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80" w:type="dxa"/>
            <w:vAlign w:val="bottom"/>
          </w:tcPr>
          <w:p>
            <w:pPr>
              <w:jc w:val="center"/>
              <w:ind w:right="1768"/>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4420" w:type="dxa"/>
            <w:vAlign w:val="bottom"/>
            <w:gridSpan w:val="2"/>
          </w:tcPr>
          <w:p>
            <w:pPr>
              <w:jc w:val="center"/>
              <w:ind w:left="1015"/>
              <w:spacing w:after="0"/>
              <w:rPr>
                <w:sz w:val="20"/>
                <w:szCs w:val="20"/>
                <w:color w:val="auto"/>
              </w:rPr>
            </w:pPr>
            <w:r>
              <w:rPr>
                <w:rFonts w:ascii="Arial" w:cs="Arial" w:eastAsia="Arial" w:hAnsi="Arial"/>
                <w:sz w:val="18"/>
                <w:szCs w:val="18"/>
                <w:b w:val="1"/>
                <w:bCs w:val="1"/>
                <w:color w:val="auto"/>
                <w:w w:val="90"/>
              </w:rPr>
              <w:t>12600 Deerfield Parkway, Suite 100</w:t>
            </w:r>
          </w:p>
        </w:tc>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70"/>
        </w:trPr>
        <w:tc>
          <w:tcPr>
            <w:tcW w:w="4420" w:type="dxa"/>
            <w:vAlign w:val="bottom"/>
            <w:gridSpan w:val="2"/>
          </w:tcPr>
          <w:p>
            <w:pPr>
              <w:ind w:left="1840"/>
              <w:spacing w:after="0"/>
              <w:rPr>
                <w:sz w:val="20"/>
                <w:szCs w:val="20"/>
                <w:color w:val="auto"/>
              </w:rPr>
            </w:pPr>
            <w:r>
              <w:rPr>
                <w:rFonts w:ascii="Arial" w:cs="Arial" w:eastAsia="Arial" w:hAnsi="Arial"/>
                <w:sz w:val="18"/>
                <w:szCs w:val="18"/>
                <w:b w:val="1"/>
                <w:bCs w:val="1"/>
                <w:color w:val="auto"/>
              </w:rPr>
              <w:t>Alpharetta Georgia</w:t>
            </w:r>
          </w:p>
        </w:tc>
        <w:tc>
          <w:tcPr>
            <w:tcW w:w="2800" w:type="dxa"/>
            <w:vAlign w:val="bottom"/>
          </w:tcPr>
          <w:p>
            <w:pPr>
              <w:spacing w:after="0"/>
              <w:rPr>
                <w:sz w:val="23"/>
                <w:szCs w:val="23"/>
                <w:color w:val="auto"/>
              </w:rPr>
            </w:pPr>
          </w:p>
        </w:tc>
        <w:tc>
          <w:tcPr>
            <w:tcW w:w="4040" w:type="dxa"/>
            <w:vAlign w:val="bottom"/>
            <w:gridSpan w:val="2"/>
          </w:tcPr>
          <w:p>
            <w:pPr>
              <w:jc w:val="right"/>
              <w:ind w:right="2368"/>
              <w:spacing w:after="0"/>
              <w:rPr>
                <w:sz w:val="20"/>
                <w:szCs w:val="20"/>
                <w:color w:val="auto"/>
              </w:rPr>
            </w:pPr>
            <w:r>
              <w:rPr>
                <w:rFonts w:ascii="Arial" w:cs="Arial" w:eastAsia="Arial" w:hAnsi="Arial"/>
                <w:sz w:val="18"/>
                <w:szCs w:val="18"/>
                <w:b w:val="1"/>
                <w:bCs w:val="1"/>
                <w:color w:val="auto"/>
              </w:rPr>
              <w:t>30004</w:t>
            </w:r>
          </w:p>
        </w:tc>
      </w:tr>
      <w:tr>
        <w:trPr>
          <w:trHeight w:val="218"/>
        </w:trPr>
        <w:tc>
          <w:tcPr>
            <w:tcW w:w="4420" w:type="dxa"/>
            <w:vAlign w:val="bottom"/>
            <w:gridSpan w:val="2"/>
          </w:tcPr>
          <w:p>
            <w:pPr>
              <w:jc w:val="center"/>
              <w:ind w:left="103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80" w:type="dxa"/>
            <w:vAlign w:val="bottom"/>
          </w:tcPr>
          <w:p>
            <w:pPr>
              <w:jc w:val="center"/>
              <w:ind w:right="1768"/>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11260" w:type="dxa"/>
            <w:vAlign w:val="bottom"/>
            <w:gridSpan w:val="5"/>
          </w:tcPr>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812-3400</w:t>
            </w: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35"/>
        </w:trPr>
        <w:tc>
          <w:tcPr>
            <w:tcW w:w="4420" w:type="dxa"/>
            <w:vAlign w:val="bottom"/>
            <w:tcBorders>
              <w:bottom w:val="single" w:sz="8" w:color="auto"/>
            </w:tcBorders>
            <w:gridSpan w:val="2"/>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gridSpan w:val="2"/>
          </w:tcPr>
          <w:p>
            <w:pPr>
              <w:spacing w:after="0"/>
              <w:rPr>
                <w:sz w:val="11"/>
                <w:szCs w:val="11"/>
                <w:color w:val="auto"/>
              </w:rPr>
            </w:pPr>
          </w:p>
        </w:tc>
      </w:tr>
      <w:tr>
        <w:trPr>
          <w:trHeight w:val="237"/>
        </w:trPr>
        <w:tc>
          <w:tcPr>
            <w:tcW w:w="44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Title of each class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0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44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44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Common Stock, par value $0.001 per share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INSG</w:t>
            </w:r>
          </w:p>
        </w:tc>
        <w:tc>
          <w:tcPr>
            <w:tcW w:w="40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Nasdaq Global Select Market</w:t>
            </w:r>
          </w:p>
        </w:tc>
      </w:tr>
      <w:tr>
        <w:trPr>
          <w:trHeight w:val="270"/>
        </w:trPr>
        <w:tc>
          <w:tcPr>
            <w:tcW w:w="44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Preferred Stock Purchase Rights</w:t>
            </w:r>
          </w:p>
        </w:tc>
        <w:tc>
          <w:tcPr>
            <w:tcW w:w="2800" w:type="dxa"/>
            <w:vAlign w:val="bottom"/>
            <w:tcBorders>
              <w:right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3480" w:type="dxa"/>
            <w:vAlign w:val="bottom"/>
            <w:tcBorders>
              <w:right w:val="single" w:sz="8" w:color="auto"/>
            </w:tcBorders>
          </w:tcPr>
          <w:p>
            <w:pPr>
              <w:spacing w:after="0"/>
              <w:rPr>
                <w:sz w:val="23"/>
                <w:szCs w:val="23"/>
                <w:color w:val="auto"/>
              </w:rPr>
            </w:pPr>
          </w:p>
        </w:tc>
      </w:tr>
      <w:tr>
        <w:trPr>
          <w:trHeight w:val="27"/>
        </w:trPr>
        <w:tc>
          <w:tcPr>
            <w:tcW w:w="358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r>
    </w:tbl>
    <w:p>
      <w:pPr>
        <w:spacing w:after="0" w:line="6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1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20"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80" w:type="dxa"/>
            <w:vAlign w:val="bottom"/>
          </w:tcPr>
          <w:p>
            <w:pPr>
              <w:ind w:left="300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jc w:val="both"/>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44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May 4, 2020 was 96,222,460.</w:t>
      </w:r>
    </w:p>
    <w:p>
      <w:pPr>
        <w:sectPr>
          <w:pgSz w:w="11900" w:h="16838" w:orient="portrait"/>
          <w:cols w:equalWidth="0" w:num="1">
            <w:col w:w="11260"/>
          </w:cols>
          <w:pgMar w:left="320" w:top="247" w:right="31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988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10"/>
        </w:trPr>
        <w:tc>
          <w:tcPr>
            <w:tcW w:w="1064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I—FINANCIAL INFORMATION</w:t>
              </w:r>
            </w:hyperlink>
          </w:p>
        </w:tc>
        <w:tc>
          <w:tcPr>
            <w:tcW w:w="560" w:type="dxa"/>
            <w:vAlign w:val="bottom"/>
          </w:tcPr>
          <w:p>
            <w:pPr>
              <w:spacing w:after="0"/>
              <w:rPr>
                <w:sz w:val="24"/>
                <w:szCs w:val="24"/>
                <w:color w:val="auto"/>
              </w:rPr>
            </w:pPr>
          </w:p>
        </w:tc>
      </w:tr>
      <w:tr>
        <w:trPr>
          <w:trHeight w:val="527"/>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880" w:type="dxa"/>
            <w:vAlign w:val="bottom"/>
          </w:tcPr>
          <w:p>
            <w:pPr>
              <w:ind w:left="14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5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46"/>
        </w:trPr>
        <w:tc>
          <w:tcPr>
            <w:tcW w:w="760" w:type="dxa"/>
            <w:vAlign w:val="bottom"/>
          </w:tcPr>
          <w:p>
            <w:pPr>
              <w:spacing w:after="0"/>
              <w:rPr>
                <w:sz w:val="24"/>
                <w:szCs w:val="24"/>
                <w:color w:val="auto"/>
              </w:rPr>
            </w:pPr>
          </w:p>
        </w:tc>
        <w:tc>
          <w:tcPr>
            <w:tcW w:w="9880" w:type="dxa"/>
            <w:vAlign w:val="bottom"/>
          </w:tcPr>
          <w:p>
            <w:pPr>
              <w:ind w:left="14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 (Unaudited)</w:t>
              </w:r>
            </w:hyperlink>
          </w:p>
        </w:tc>
        <w:tc>
          <w:tcPr>
            <w:tcW w:w="56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45"/>
        </w:trPr>
        <w:tc>
          <w:tcPr>
            <w:tcW w:w="760" w:type="dxa"/>
            <w:vAlign w:val="bottom"/>
          </w:tcPr>
          <w:p>
            <w:pPr>
              <w:spacing w:after="0"/>
              <w:rPr>
                <w:sz w:val="24"/>
                <w:szCs w:val="24"/>
                <w:color w:val="auto"/>
              </w:rPr>
            </w:pPr>
          </w:p>
        </w:tc>
        <w:tc>
          <w:tcPr>
            <w:tcW w:w="988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Operations (Unaudited)</w:t>
              </w:r>
            </w:hyperlink>
          </w:p>
        </w:tc>
        <w:tc>
          <w:tcPr>
            <w:tcW w:w="56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446"/>
        </w:trPr>
        <w:tc>
          <w:tcPr>
            <w:tcW w:w="76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Condensed Consolidated Statements of Comprehensive Loss (Unaudited)</w:t>
            </w:r>
          </w:p>
        </w:tc>
        <w:tc>
          <w:tcPr>
            <w:tcW w:w="5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45"/>
        </w:trPr>
        <w:tc>
          <w:tcPr>
            <w:tcW w:w="76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Condensed Consolidated Statements of Stockholders’ Equity (Deficit) (Unaudited)</w:t>
            </w:r>
          </w:p>
        </w:tc>
        <w:tc>
          <w:tcPr>
            <w:tcW w:w="56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46"/>
        </w:trPr>
        <w:tc>
          <w:tcPr>
            <w:tcW w:w="760" w:type="dxa"/>
            <w:vAlign w:val="bottom"/>
          </w:tcPr>
          <w:p>
            <w:pPr>
              <w:spacing w:after="0"/>
              <w:rPr>
                <w:sz w:val="24"/>
                <w:szCs w:val="24"/>
                <w:color w:val="auto"/>
              </w:rPr>
            </w:pPr>
          </w:p>
        </w:tc>
        <w:tc>
          <w:tcPr>
            <w:tcW w:w="9880" w:type="dxa"/>
            <w:vAlign w:val="bottom"/>
          </w:tcPr>
          <w:p>
            <w:pPr>
              <w:ind w:left="14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Cash Flows (Unaudited)</w:t>
              </w:r>
            </w:hyperlink>
          </w:p>
        </w:tc>
        <w:tc>
          <w:tcPr>
            <w:tcW w:w="56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46"/>
        </w:trPr>
        <w:tc>
          <w:tcPr>
            <w:tcW w:w="760" w:type="dxa"/>
            <w:vAlign w:val="bottom"/>
          </w:tcPr>
          <w:p>
            <w:pPr>
              <w:spacing w:after="0"/>
              <w:rPr>
                <w:sz w:val="24"/>
                <w:szCs w:val="24"/>
                <w:color w:val="auto"/>
              </w:rPr>
            </w:pPr>
          </w:p>
        </w:tc>
        <w:tc>
          <w:tcPr>
            <w:tcW w:w="9880" w:type="dxa"/>
            <w:vAlign w:val="bottom"/>
          </w:tcPr>
          <w:p>
            <w:pPr>
              <w:ind w:left="14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 (Unaudited)</w:t>
              </w:r>
            </w:hyperlink>
          </w:p>
        </w:tc>
        <w:tc>
          <w:tcPr>
            <w:tcW w:w="56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880" w:type="dxa"/>
            <w:vAlign w:val="bottom"/>
          </w:tcPr>
          <w:p>
            <w:pPr>
              <w:ind w:left="140"/>
              <w:spacing w:after="0"/>
              <w:rPr>
                <w:rFonts w:ascii="Arial" w:cs="Arial" w:eastAsia="Arial" w:hAnsi="Arial"/>
                <w:sz w:val="18"/>
                <w:szCs w:val="18"/>
                <w:color w:val="auto"/>
              </w:rPr>
            </w:pPr>
            <w:hyperlink w:anchor="page23">
              <w:r>
                <w:rPr>
                  <w:rFonts w:ascii="Arial" w:cs="Arial" w:eastAsia="Arial" w:hAnsi="Arial"/>
                  <w:sz w:val="18"/>
                  <w:szCs w:val="18"/>
                  <w:color w:val="auto"/>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446"/>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9880" w:type="dxa"/>
            <w:vAlign w:val="bottom"/>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880" w:type="dxa"/>
            <w:vAlign w:val="bottom"/>
          </w:tcPr>
          <w:p>
            <w:pPr>
              <w:ind w:left="140"/>
              <w:spacing w:after="0"/>
              <w:rPr>
                <w:rFonts w:ascii="Arial" w:cs="Arial" w:eastAsia="Arial" w:hAnsi="Arial"/>
                <w:sz w:val="18"/>
                <w:szCs w:val="18"/>
                <w:color w:val="auto"/>
              </w:rPr>
            </w:pPr>
            <w:hyperlink w:anchor="page34">
              <w:r>
                <w:rPr>
                  <w:rFonts w:ascii="Arial" w:cs="Arial" w:eastAsia="Arial" w:hAnsi="Arial"/>
                  <w:sz w:val="18"/>
                  <w:szCs w:val="18"/>
                  <w:color w:val="auto"/>
                </w:rPr>
                <w:t>Controls and Procedures</w:t>
              </w:r>
            </w:hyperlink>
          </w:p>
        </w:tc>
        <w:tc>
          <w:tcPr>
            <w:tcW w:w="560" w:type="dxa"/>
            <w:vAlign w:val="bottom"/>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446"/>
        </w:trPr>
        <w:tc>
          <w:tcPr>
            <w:tcW w:w="10640" w:type="dxa"/>
            <w:vAlign w:val="bottom"/>
            <w:gridSpan w:val="2"/>
          </w:tcPr>
          <w:p>
            <w:pPr>
              <w:spacing w:after="0"/>
              <w:rPr>
                <w:rFonts w:ascii="Arial" w:cs="Arial" w:eastAsia="Arial" w:hAnsi="Arial"/>
                <w:sz w:val="18"/>
                <w:szCs w:val="18"/>
                <w:color w:val="auto"/>
              </w:rPr>
            </w:pPr>
            <w:hyperlink w:anchor="page35">
              <w:r>
                <w:rPr>
                  <w:rFonts w:ascii="Arial" w:cs="Arial" w:eastAsia="Arial" w:hAnsi="Arial"/>
                  <w:sz w:val="18"/>
                  <w:szCs w:val="18"/>
                  <w:color w:val="auto"/>
                </w:rPr>
                <w:t>PART II—OTHER INFORMATION</w:t>
              </w:r>
            </w:hyperlink>
          </w:p>
        </w:tc>
        <w:tc>
          <w:tcPr>
            <w:tcW w:w="560" w:type="dxa"/>
            <w:vAlign w:val="bottom"/>
          </w:tcPr>
          <w:p>
            <w:pPr>
              <w:spacing w:after="0"/>
              <w:rPr>
                <w:sz w:val="24"/>
                <w:szCs w:val="24"/>
                <w:color w:val="auto"/>
              </w:rPr>
            </w:pPr>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880" w:type="dxa"/>
            <w:vAlign w:val="bottom"/>
          </w:tcPr>
          <w:p>
            <w:pPr>
              <w:ind w:left="140"/>
              <w:spacing w:after="0"/>
              <w:rPr>
                <w:rFonts w:ascii="Arial" w:cs="Arial" w:eastAsia="Arial" w:hAnsi="Arial"/>
                <w:sz w:val="18"/>
                <w:szCs w:val="18"/>
                <w:color w:val="auto"/>
              </w:rPr>
            </w:pPr>
            <w:hyperlink w:anchor="page35">
              <w:r>
                <w:rPr>
                  <w:rFonts w:ascii="Arial" w:cs="Arial" w:eastAsia="Arial" w:hAnsi="Arial"/>
                  <w:sz w:val="18"/>
                  <w:szCs w:val="18"/>
                  <w:color w:val="auto"/>
                </w:rPr>
                <w:t>Legal Proceedings</w:t>
              </w:r>
            </w:hyperlink>
          </w:p>
        </w:tc>
        <w:tc>
          <w:tcPr>
            <w:tcW w:w="56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880" w:type="dxa"/>
            <w:vAlign w:val="bottom"/>
          </w:tcPr>
          <w:p>
            <w:pPr>
              <w:ind w:left="140"/>
              <w:spacing w:after="0"/>
              <w:rPr>
                <w:rFonts w:ascii="Arial" w:cs="Arial" w:eastAsia="Arial" w:hAnsi="Arial"/>
                <w:sz w:val="18"/>
                <w:szCs w:val="18"/>
                <w:color w:val="auto"/>
              </w:rPr>
            </w:pPr>
            <w:hyperlink w:anchor="page35">
              <w:r>
                <w:rPr>
                  <w:rFonts w:ascii="Arial" w:cs="Arial" w:eastAsia="Arial" w:hAnsi="Arial"/>
                  <w:sz w:val="18"/>
                  <w:szCs w:val="18"/>
                  <w:color w:val="auto"/>
                </w:rPr>
                <w:t>Risk Factors</w:t>
              </w:r>
            </w:hyperlink>
          </w:p>
        </w:tc>
        <w:tc>
          <w:tcPr>
            <w:tcW w:w="56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880" w:type="dxa"/>
            <w:vAlign w:val="bottom"/>
          </w:tcPr>
          <w:p>
            <w:pPr>
              <w:ind w:left="140"/>
              <w:spacing w:after="0"/>
              <w:rPr>
                <w:rFonts w:ascii="Arial" w:cs="Arial" w:eastAsia="Arial" w:hAnsi="Arial"/>
                <w:sz w:val="18"/>
                <w:szCs w:val="18"/>
                <w:color w:val="auto"/>
              </w:rPr>
            </w:pPr>
            <w:hyperlink w:anchor="page35">
              <w:r>
                <w:rPr>
                  <w:rFonts w:ascii="Arial" w:cs="Arial" w:eastAsia="Arial" w:hAnsi="Arial"/>
                  <w:sz w:val="18"/>
                  <w:szCs w:val="18"/>
                  <w:color w:val="auto"/>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9880" w:type="dxa"/>
            <w:vAlign w:val="bottom"/>
          </w:tcPr>
          <w:p>
            <w:pPr>
              <w:ind w:left="140"/>
              <w:spacing w:after="0"/>
              <w:rPr>
                <w:rFonts w:ascii="Arial" w:cs="Arial" w:eastAsia="Arial" w:hAnsi="Arial"/>
                <w:sz w:val="18"/>
                <w:szCs w:val="18"/>
                <w:color w:val="auto"/>
              </w:rPr>
            </w:pPr>
            <w:hyperlink w:anchor="page36">
              <w:r>
                <w:rPr>
                  <w:rFonts w:ascii="Arial" w:cs="Arial" w:eastAsia="Arial" w:hAnsi="Arial"/>
                  <w:sz w:val="18"/>
                  <w:szCs w:val="18"/>
                  <w:color w:val="auto"/>
                </w:rPr>
                <w:t>Defaults Upon Senior Securities</w:t>
              </w:r>
            </w:hyperlink>
          </w:p>
        </w:tc>
        <w:tc>
          <w:tcPr>
            <w:tcW w:w="56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880" w:type="dxa"/>
            <w:vAlign w:val="bottom"/>
          </w:tcPr>
          <w:p>
            <w:pPr>
              <w:ind w:left="140"/>
              <w:spacing w:after="0"/>
              <w:rPr>
                <w:rFonts w:ascii="Arial" w:cs="Arial" w:eastAsia="Arial" w:hAnsi="Arial"/>
                <w:sz w:val="18"/>
                <w:szCs w:val="18"/>
                <w:color w:val="auto"/>
              </w:rPr>
            </w:pPr>
            <w:hyperlink w:anchor="page36">
              <w:r>
                <w:rPr>
                  <w:rFonts w:ascii="Arial" w:cs="Arial" w:eastAsia="Arial" w:hAnsi="Arial"/>
                  <w:sz w:val="18"/>
                  <w:szCs w:val="18"/>
                  <w:color w:val="auto"/>
                </w:rPr>
                <w:t>Mine Safety Disclosures</w:t>
              </w:r>
            </w:hyperlink>
          </w:p>
        </w:tc>
        <w:tc>
          <w:tcPr>
            <w:tcW w:w="56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9880" w:type="dxa"/>
            <w:vAlign w:val="bottom"/>
          </w:tcPr>
          <w:p>
            <w:pPr>
              <w:ind w:left="140"/>
              <w:spacing w:after="0"/>
              <w:rPr>
                <w:rFonts w:ascii="Arial" w:cs="Arial" w:eastAsia="Arial" w:hAnsi="Arial"/>
                <w:sz w:val="18"/>
                <w:szCs w:val="18"/>
                <w:color w:val="auto"/>
              </w:rPr>
            </w:pPr>
            <w:hyperlink w:anchor="page36">
              <w:r>
                <w:rPr>
                  <w:rFonts w:ascii="Arial" w:cs="Arial" w:eastAsia="Arial" w:hAnsi="Arial"/>
                  <w:sz w:val="18"/>
                  <w:szCs w:val="18"/>
                  <w:color w:val="auto"/>
                </w:rPr>
                <w:t>Other Information</w:t>
              </w:r>
            </w:hyperlink>
          </w:p>
        </w:tc>
        <w:tc>
          <w:tcPr>
            <w:tcW w:w="56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9880" w:type="dxa"/>
            <w:vAlign w:val="bottom"/>
          </w:tcPr>
          <w:p>
            <w:pPr>
              <w:ind w:left="140"/>
              <w:spacing w:after="0"/>
              <w:rPr>
                <w:rFonts w:ascii="Arial" w:cs="Arial" w:eastAsia="Arial" w:hAnsi="Arial"/>
                <w:sz w:val="18"/>
                <w:szCs w:val="18"/>
                <w:color w:val="auto"/>
              </w:rPr>
            </w:pPr>
            <w:hyperlink w:anchor="page37">
              <w:r>
                <w:rPr>
                  <w:rFonts w:ascii="Arial" w:cs="Arial" w:eastAsia="Arial" w:hAnsi="Arial"/>
                  <w:sz w:val="18"/>
                  <w:szCs w:val="18"/>
                  <w:color w:val="auto"/>
                </w:rPr>
                <w:t>Exhibits</w:t>
              </w:r>
            </w:hyperlink>
          </w:p>
        </w:tc>
        <w:tc>
          <w:tcPr>
            <w:tcW w:w="56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446"/>
        </w:trPr>
        <w:tc>
          <w:tcPr>
            <w:tcW w:w="1064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SIGNATURES</w:t>
              </w:r>
            </w:hyperlink>
          </w:p>
        </w:tc>
        <w:tc>
          <w:tcPr>
            <w:tcW w:w="56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bl>
    <w:p>
      <w:pPr>
        <w:sectPr>
          <w:pgSz w:w="11900" w:h="16838" w:orient="portrait"/>
          <w:cols w:equalWidth="0" w:num="1">
            <w:col w:w="11200"/>
          </w:cols>
          <w:pgMar w:left="36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08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7"/>
        </w:trPr>
        <w:tc>
          <w:tcPr>
            <w:tcW w:w="8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660" w:type="dxa"/>
            <w:vAlign w:val="bottom"/>
          </w:tcPr>
          <w:p>
            <w:pPr>
              <w:ind w:left="404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30,541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12,074</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 of allowance for doubtful accounts of $1,578 and $2,133,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19,656</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14,259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25,290</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7,117</w:t>
            </w:r>
          </w:p>
        </w:tc>
        <w:tc>
          <w:tcPr>
            <w:tcW w:w="0" w:type="dxa"/>
            <w:vAlign w:val="bottom"/>
          </w:tcPr>
          <w:p>
            <w:pPr>
              <w:spacing w:after="0"/>
              <w:rPr>
                <w:sz w:val="1"/>
                <w:szCs w:val="1"/>
                <w:color w:val="auto"/>
              </w:rPr>
            </w:pPr>
          </w:p>
        </w:tc>
      </w:tr>
      <w:tr>
        <w:trPr>
          <w:trHeight w:val="217"/>
        </w:trPr>
        <w:tc>
          <w:tcPr>
            <w:tcW w:w="866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79,840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64,137</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 of accumulated depreciation of $15,795 and $16,017,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10,756</w:t>
            </w:r>
          </w:p>
        </w:tc>
        <w:tc>
          <w:tcPr>
            <w:tcW w:w="0" w:type="dxa"/>
            <w:vAlign w:val="bottom"/>
          </w:tcPr>
          <w:p>
            <w:pPr>
              <w:spacing w:after="0"/>
              <w:rPr>
                <w:sz w:val="1"/>
                <w:szCs w:val="1"/>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Rental assets, net of accumulated depreciation of $11,925 and $12,791, respectively</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4,772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5,385</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$39,991 and $33,223,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44,392</w:t>
            </w:r>
          </w:p>
        </w:tc>
        <w:tc>
          <w:tcPr>
            <w:tcW w:w="0" w:type="dxa"/>
            <w:vAlign w:val="bottom"/>
          </w:tcPr>
          <w:p>
            <w:pPr>
              <w:spacing w:after="0"/>
              <w:rPr>
                <w:sz w:val="1"/>
                <w:szCs w:val="1"/>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27,276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33,659</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Right-of-use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2,657</w:t>
            </w:r>
          </w:p>
        </w:tc>
        <w:tc>
          <w:tcPr>
            <w:tcW w:w="0" w:type="dxa"/>
            <w:vAlign w:val="bottom"/>
          </w:tcPr>
          <w:p>
            <w:pPr>
              <w:spacing w:after="0"/>
              <w:rPr>
                <w:sz w:val="1"/>
                <w:szCs w:val="1"/>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173,341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161,373</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2160"/>
              <w:spacing w:after="0"/>
              <w:rPr>
                <w:sz w:val="20"/>
                <w:szCs w:val="20"/>
                <w:color w:val="auto"/>
              </w:rPr>
            </w:pPr>
            <w:r>
              <w:rPr>
                <w:rFonts w:ascii="Arial" w:cs="Arial" w:eastAsia="Arial" w:hAnsi="Arial"/>
                <w:sz w:val="16"/>
                <w:szCs w:val="16"/>
                <w:b w:val="1"/>
                <w:bCs w:val="1"/>
                <w:color w:val="auto"/>
              </w:rPr>
              <w:t>LIABILITIES AND STOCKHOLDERS’ EQUITY (DEFICIT)</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27,550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26,482</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17,861</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Term loan, net</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46,911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DigiCore bank facilities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7"/>
        </w:trPr>
        <w:tc>
          <w:tcPr>
            <w:tcW w:w="866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92,201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44,530</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Convertible senior notes, net</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44,230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101,334</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Term loan,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46,538</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Deferred tax liabilities, net</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2,976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3,949</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17"/>
        </w:trPr>
        <w:tc>
          <w:tcPr>
            <w:tcW w:w="866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145,538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198,731</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Stockholders’ equity (deficit):</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$0.001; 2,000,000 shares authorized: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660" w:type="dxa"/>
            <w:vAlign w:val="bottom"/>
          </w:tcPr>
          <w:p>
            <w:pPr>
              <w:ind w:left="500"/>
              <w:spacing w:after="0"/>
              <w:rPr>
                <w:sz w:val="20"/>
                <w:szCs w:val="20"/>
                <w:color w:val="auto"/>
              </w:rPr>
            </w:pPr>
            <w:r>
              <w:rPr>
                <w:rFonts w:ascii="Arial" w:cs="Arial" w:eastAsia="Arial" w:hAnsi="Arial"/>
                <w:sz w:val="16"/>
                <w:szCs w:val="16"/>
                <w:color w:val="auto"/>
                <w:w w:val="93"/>
              </w:rPr>
              <w:t>Series E Preferred stock, par value $0.001; 39,500 and 10,000 shares designated, respectively, 37,330 and 10,000 shares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660" w:type="dxa"/>
            <w:vAlign w:val="bottom"/>
          </w:tcPr>
          <w:p>
            <w:pPr>
              <w:ind w:left="820"/>
              <w:spacing w:after="0"/>
              <w:rPr>
                <w:sz w:val="20"/>
                <w:szCs w:val="20"/>
                <w:color w:val="auto"/>
              </w:rPr>
            </w:pPr>
            <w:r>
              <w:rPr>
                <w:rFonts w:ascii="Arial" w:cs="Arial" w:eastAsia="Arial" w:hAnsi="Arial"/>
                <w:sz w:val="16"/>
                <w:szCs w:val="16"/>
                <w:color w:val="auto"/>
                <w:w w:val="91"/>
              </w:rPr>
              <w:t>issued and outstanding, respectively, liquidation preference of $1,000 per share (plus any accrued but unpaid dividends)</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6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Common stock, par value $0.001; 150,000,000 shares authorized, 96,179,991 and 81,974,051 shares issued and outstanding,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682,047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584,862</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(636,893)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(618,303)</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 (deficit) attributable to Inseego Corp.</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(37,238)</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 (deficit)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(37,358)</w:t>
            </w:r>
          </w:p>
        </w:tc>
        <w:tc>
          <w:tcPr>
            <w:tcW w:w="0" w:type="dxa"/>
            <w:vAlign w:val="bottom"/>
          </w:tcPr>
          <w:p>
            <w:pPr>
              <w:spacing w:after="0"/>
              <w:rPr>
                <w:sz w:val="1"/>
                <w:szCs w:val="1"/>
                <w:color w:val="auto"/>
              </w:rPr>
            </w:pPr>
          </w:p>
        </w:tc>
      </w:tr>
      <w:tr>
        <w:trPr>
          <w:trHeight w:val="244"/>
        </w:trPr>
        <w:tc>
          <w:tcPr>
            <w:tcW w:w="866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173,341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161,373</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240"/>
          </w:cols>
          <w:pgMar w:left="320" w:top="41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418"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9"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13335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32,781</w:t>
            </w:r>
          </w:p>
        </w:tc>
        <w:tc>
          <w:tcPr>
            <w:tcW w:w="0" w:type="dxa"/>
            <w:vAlign w:val="bottom"/>
          </w:tcPr>
          <w:p>
            <w:pPr>
              <w:spacing w:after="0"/>
              <w:rPr>
                <w:sz w:val="1"/>
                <w:szCs w:val="1"/>
                <w:color w:val="auto"/>
              </w:rPr>
            </w:pPr>
          </w:p>
        </w:tc>
      </w:tr>
      <w:tr>
        <w:trPr>
          <w:trHeight w:val="237"/>
        </w:trPr>
        <w:tc>
          <w:tcPr>
            <w:tcW w:w="890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16,459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15,775</w:t>
            </w:r>
          </w:p>
        </w:tc>
        <w:tc>
          <w:tcPr>
            <w:tcW w:w="0" w:type="dxa"/>
            <w:vAlign w:val="bottom"/>
          </w:tcPr>
          <w:p>
            <w:pPr>
              <w:spacing w:after="0"/>
              <w:rPr>
                <w:sz w:val="1"/>
                <w:szCs w:val="1"/>
                <w:color w:val="auto"/>
              </w:rPr>
            </w:pPr>
          </w:p>
        </w:tc>
      </w:tr>
      <w:tr>
        <w:trPr>
          <w:trHeight w:val="33"/>
        </w:trPr>
        <w:tc>
          <w:tcPr>
            <w:tcW w:w="8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48,556</w:t>
            </w:r>
          </w:p>
        </w:tc>
        <w:tc>
          <w:tcPr>
            <w:tcW w:w="0" w:type="dxa"/>
            <w:vAlign w:val="bottom"/>
          </w:tcPr>
          <w:p>
            <w:pPr>
              <w:spacing w:after="0"/>
              <w:rPr>
                <w:sz w:val="1"/>
                <w:szCs w:val="1"/>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27,600</w:t>
            </w:r>
          </w:p>
        </w:tc>
        <w:tc>
          <w:tcPr>
            <w:tcW w:w="0" w:type="dxa"/>
            <w:vAlign w:val="bottom"/>
          </w:tcPr>
          <w:p>
            <w:pPr>
              <w:spacing w:after="0"/>
              <w:rPr>
                <w:sz w:val="1"/>
                <w:szCs w:val="1"/>
                <w:color w:val="auto"/>
              </w:rPr>
            </w:pPr>
          </w:p>
        </w:tc>
      </w:tr>
      <w:tr>
        <w:trPr>
          <w:trHeight w:val="237"/>
        </w:trPr>
        <w:tc>
          <w:tcPr>
            <w:tcW w:w="890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6,196</w:t>
            </w:r>
          </w:p>
        </w:tc>
        <w:tc>
          <w:tcPr>
            <w:tcW w:w="0" w:type="dxa"/>
            <w:vAlign w:val="bottom"/>
          </w:tcPr>
          <w:p>
            <w:pPr>
              <w:spacing w:after="0"/>
              <w:rPr>
                <w:sz w:val="1"/>
                <w:szCs w:val="1"/>
                <w:color w:val="auto"/>
              </w:rPr>
            </w:pPr>
          </w:p>
        </w:tc>
      </w:tr>
      <w:tr>
        <w:trPr>
          <w:trHeight w:val="33"/>
        </w:trPr>
        <w:tc>
          <w:tcPr>
            <w:tcW w:w="8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cost of 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33,796</w:t>
            </w:r>
          </w:p>
        </w:tc>
        <w:tc>
          <w:tcPr>
            <w:tcW w:w="0" w:type="dxa"/>
            <w:vAlign w:val="bottom"/>
          </w:tcPr>
          <w:p>
            <w:pPr>
              <w:spacing w:after="0"/>
              <w:rPr>
                <w:sz w:val="1"/>
                <w:szCs w:val="1"/>
                <w:color w:val="auto"/>
              </w:rPr>
            </w:pPr>
          </w:p>
        </w:tc>
      </w:tr>
      <w:tr>
        <w:trPr>
          <w:trHeight w:val="217"/>
        </w:trPr>
        <w:tc>
          <w:tcPr>
            <w:tcW w:w="8900" w:type="dxa"/>
            <w:vAlign w:val="bottom"/>
          </w:tcPr>
          <w:p>
            <w:pPr>
              <w:ind w:left="720"/>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14,760</w:t>
            </w:r>
          </w:p>
        </w:tc>
        <w:tc>
          <w:tcPr>
            <w:tcW w:w="0" w:type="dxa"/>
            <w:vAlign w:val="bottom"/>
          </w:tcPr>
          <w:p>
            <w:pPr>
              <w:spacing w:after="0"/>
              <w:rPr>
                <w:sz w:val="1"/>
                <w:szCs w:val="1"/>
                <w:color w:val="auto"/>
              </w:rPr>
            </w:pPr>
          </w:p>
        </w:tc>
      </w:tr>
      <w:tr>
        <w:trPr>
          <w:trHeight w:val="33"/>
        </w:trPr>
        <w:tc>
          <w:tcPr>
            <w:tcW w:w="8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90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8,224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3,485</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6,391</w:t>
            </w:r>
          </w:p>
        </w:tc>
        <w:tc>
          <w:tcPr>
            <w:tcW w:w="0" w:type="dxa"/>
            <w:vAlign w:val="bottom"/>
          </w:tcPr>
          <w:p>
            <w:pPr>
              <w:spacing w:after="0"/>
              <w:rPr>
                <w:sz w:val="1"/>
                <w:szCs w:val="1"/>
                <w:color w:val="auto"/>
              </w:rPr>
            </w:pPr>
          </w:p>
        </w:tc>
      </w:tr>
      <w:tr>
        <w:trPr>
          <w:trHeight w:val="237"/>
        </w:trPr>
        <w:tc>
          <w:tcPr>
            <w:tcW w:w="890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6,474</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17"/>
        </w:trPr>
        <w:tc>
          <w:tcPr>
            <w:tcW w:w="8900" w:type="dxa"/>
            <w:vAlign w:val="bottom"/>
          </w:tcPr>
          <w:p>
            <w:pPr>
              <w:ind w:left="500"/>
              <w:spacing w:after="0"/>
              <w:rPr>
                <w:sz w:val="20"/>
                <w:szCs w:val="20"/>
                <w:color w:val="auto"/>
              </w:rPr>
            </w:pPr>
            <w:r>
              <w:rPr>
                <w:rFonts w:ascii="Arial" w:cs="Arial" w:eastAsia="Arial" w:hAnsi="Arial"/>
                <w:sz w:val="16"/>
                <w:szCs w:val="16"/>
                <w:color w:val="auto"/>
              </w:rPr>
              <w:t>Total operating costs and expenses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24,967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17,221</w:t>
            </w:r>
          </w:p>
        </w:tc>
        <w:tc>
          <w:tcPr>
            <w:tcW w:w="0" w:type="dxa"/>
            <w:vAlign w:val="bottom"/>
          </w:tcPr>
          <w:p>
            <w:pPr>
              <w:spacing w:after="0"/>
              <w:rPr>
                <w:sz w:val="1"/>
                <w:szCs w:val="1"/>
                <w:color w:val="auto"/>
              </w:rPr>
            </w:pPr>
          </w:p>
        </w:tc>
      </w:tr>
      <w:tr>
        <w:trPr>
          <w:trHeight w:val="33"/>
        </w:trPr>
        <w:tc>
          <w:tcPr>
            <w:tcW w:w="8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0" w:type="dxa"/>
            <w:vAlign w:val="bottom"/>
          </w:tcPr>
          <w:p>
            <w:pPr>
              <w:spacing w:after="0"/>
              <w:rPr>
                <w:sz w:val="1"/>
                <w:szCs w:val="1"/>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Inducement expense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90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(5,075)</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7"/>
        </w:trPr>
        <w:tc>
          <w:tcPr>
            <w:tcW w:w="890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(18,075)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(7,223)</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7"/>
        </w:trPr>
        <w:tc>
          <w:tcPr>
            <w:tcW w:w="8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(7,471)</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8900" w:type="dxa"/>
            <w:vAlign w:val="bottom"/>
          </w:tcPr>
          <w:p>
            <w:pPr>
              <w:ind w:left="40"/>
              <w:spacing w:after="0"/>
              <w:rPr>
                <w:sz w:val="20"/>
                <w:szCs w:val="20"/>
                <w:color w:val="auto"/>
              </w:rPr>
            </w:pPr>
            <w:r>
              <w:rPr>
                <w:rFonts w:ascii="Arial" w:cs="Arial" w:eastAsia="Arial" w:hAnsi="Arial"/>
                <w:sz w:val="16"/>
                <w:szCs w:val="16"/>
                <w:color w:val="auto"/>
              </w:rPr>
              <w:t>Net loss attributable to Inseego Corp.</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Series E preferred stock dividends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common shareholders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(18,590)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23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share data:</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6"/>
                <w:szCs w:val="16"/>
                <w:color w:val="auto"/>
              </w:rPr>
              <w:t>Net loss per common share: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0"/>
              <w:spacing w:after="0"/>
              <w:rPr>
                <w:sz w:val="20"/>
                <w:szCs w:val="20"/>
                <w:color w:val="auto"/>
              </w:rPr>
            </w:pPr>
            <w:r>
              <w:rPr>
                <w:rFonts w:ascii="Arial" w:cs="Arial" w:eastAsia="Arial" w:hAnsi="Arial"/>
                <w:sz w:val="16"/>
                <w:szCs w:val="16"/>
                <w:color w:val="auto"/>
              </w:rPr>
              <w:t>Weighted-average shares used in computation of net loss per common share: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9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90,874,347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74,366,879</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9"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13335</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r>
      <w:tr>
        <w:trPr>
          <w:trHeight w:val="236"/>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(7,471)</w:t>
            </w:r>
          </w:p>
        </w:tc>
      </w:tr>
      <w:tr>
        <w:trPr>
          <w:trHeight w:val="237"/>
        </w:trPr>
        <w:tc>
          <w:tcPr>
            <w:tcW w:w="890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33"/>
        </w:trPr>
        <w:tc>
          <w:tcPr>
            <w:tcW w:w="8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(8,054)</w:t>
            </w:r>
          </w:p>
        </w:tc>
      </w:tr>
      <w:tr>
        <w:trPr>
          <w:trHeight w:val="20"/>
        </w:trPr>
        <w:tc>
          <w:tcPr>
            <w:tcW w:w="8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1640" w:type="dxa"/>
            <w:vAlign w:val="bottom"/>
            <w:gridSpan w:val="5"/>
            <w:vMerge w:val="restart"/>
          </w:tcPr>
          <w:p>
            <w:pPr>
              <w:ind w:left="340"/>
              <w:spacing w:after="0"/>
              <w:rPr>
                <w:sz w:val="20"/>
                <w:szCs w:val="20"/>
                <w:color w:val="auto"/>
              </w:rPr>
            </w:pPr>
            <w:r>
              <w:rPr>
                <w:rFonts w:ascii="Arial" w:cs="Arial" w:eastAsia="Arial" w:hAnsi="Arial"/>
                <w:sz w:val="13"/>
                <w:szCs w:val="13"/>
                <w:b w:val="1"/>
                <w:bCs w:val="1"/>
                <w:color w:val="auto"/>
              </w:rPr>
              <w:t>Preferred Stock</w:t>
            </w:r>
          </w:p>
        </w:tc>
        <w:tc>
          <w:tcPr>
            <w:tcW w:w="1580" w:type="dxa"/>
            <w:vAlign w:val="bottom"/>
            <w:gridSpan w:val="5"/>
            <w:vMerge w:val="restart"/>
          </w:tcPr>
          <w:p>
            <w:pPr>
              <w:ind w:left="3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0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9"/>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26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20" w:type="dxa"/>
            <w:vAlign w:val="bottom"/>
          </w:tcPr>
          <w:p>
            <w:pPr>
              <w:spacing w:after="0"/>
              <w:rPr>
                <w:sz w:val="9"/>
                <w:szCs w:val="9"/>
                <w:color w:val="auto"/>
              </w:rPr>
            </w:pPr>
          </w:p>
        </w:tc>
        <w:tc>
          <w:tcPr>
            <w:tcW w:w="9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10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9"/>
                <w:szCs w:val="9"/>
                <w:color w:val="auto"/>
              </w:rPr>
            </w:pPr>
          </w:p>
        </w:tc>
        <w:tc>
          <w:tcPr>
            <w:tcW w:w="880" w:type="dxa"/>
            <w:vAlign w:val="bottom"/>
          </w:tcPr>
          <w:p>
            <w:pPr>
              <w:jc w:val="center"/>
              <w:ind w:right="49"/>
              <w:spacing w:after="0" w:line="110" w:lineRule="exact"/>
              <w:rPr>
                <w:sz w:val="20"/>
                <w:szCs w:val="20"/>
                <w:color w:val="auto"/>
              </w:rPr>
            </w:pPr>
            <w:r>
              <w:rPr>
                <w:rFonts w:ascii="Arial" w:cs="Arial" w:eastAsia="Arial" w:hAnsi="Arial"/>
                <w:sz w:val="12"/>
                <w:szCs w:val="12"/>
                <w:b w:val="1"/>
                <w:bCs w:val="1"/>
                <w:color w:val="auto"/>
                <w:w w:val="95"/>
              </w:rPr>
              <w:t>Stockholders’</w:t>
            </w:r>
          </w:p>
        </w:tc>
        <w:tc>
          <w:tcPr>
            <w:tcW w:w="0" w:type="dxa"/>
            <w:vAlign w:val="bottom"/>
          </w:tcPr>
          <w:p>
            <w:pPr>
              <w:spacing w:after="0"/>
              <w:rPr>
                <w:sz w:val="1"/>
                <w:szCs w:val="1"/>
                <w:color w:val="auto"/>
              </w:rPr>
            </w:pPr>
          </w:p>
        </w:tc>
      </w:tr>
      <w:tr>
        <w:trPr>
          <w:trHeight w:val="174"/>
        </w:trPr>
        <w:tc>
          <w:tcPr>
            <w:tcW w:w="26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257"/>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December 31, 2018</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73,980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546,230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(577,817)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(36,525)</w:t>
            </w:r>
          </w:p>
        </w:tc>
        <w:tc>
          <w:tcPr>
            <w:tcW w:w="0" w:type="dxa"/>
            <w:vAlign w:val="bottom"/>
          </w:tcPr>
          <w:p>
            <w:pPr>
              <w:spacing w:after="0"/>
              <w:rPr>
                <w:sz w:val="1"/>
                <w:szCs w:val="1"/>
                <w:color w:val="auto"/>
              </w:rPr>
            </w:pPr>
          </w:p>
        </w:tc>
      </w:tr>
      <w:tr>
        <w:trPr>
          <w:trHeight w:val="264"/>
        </w:trPr>
        <w:tc>
          <w:tcPr>
            <w:tcW w:w="26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(7,471)</w:t>
            </w:r>
          </w:p>
        </w:tc>
        <w:tc>
          <w:tcPr>
            <w:tcW w:w="0" w:type="dxa"/>
            <w:vAlign w:val="bottom"/>
          </w:tcPr>
          <w:p>
            <w:pPr>
              <w:spacing w:after="0"/>
              <w:rPr>
                <w:sz w:val="1"/>
                <w:szCs w:val="1"/>
                <w:color w:val="auto"/>
              </w:rPr>
            </w:pPr>
          </w:p>
        </w:tc>
      </w:tr>
      <w:tr>
        <w:trPr>
          <w:trHeight w:val="276"/>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57"/>
        </w:trPr>
        <w:tc>
          <w:tcPr>
            <w:tcW w:w="2600" w:type="dxa"/>
            <w:vAlign w:val="bottom"/>
          </w:tcPr>
          <w:p>
            <w:pPr>
              <w:ind w:left="40"/>
              <w:spacing w:after="0" w:line="157" w:lineRule="exact"/>
              <w:rPr>
                <w:sz w:val="20"/>
                <w:szCs w:val="20"/>
                <w:color w:val="auto"/>
              </w:rPr>
            </w:pPr>
            <w:r>
              <w:rPr>
                <w:rFonts w:ascii="Arial" w:cs="Arial" w:eastAsia="Arial" w:hAnsi="Arial"/>
                <w:sz w:val="14"/>
                <w:szCs w:val="14"/>
                <w:color w:val="auto"/>
              </w:rPr>
              <w:t>Exercise of stock options and vesting of</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00" w:type="dxa"/>
            <w:vAlign w:val="bottom"/>
          </w:tcPr>
          <w:p>
            <w:pPr>
              <w:ind w:left="200"/>
              <w:spacing w:after="0"/>
              <w:rPr>
                <w:sz w:val="20"/>
                <w:szCs w:val="20"/>
                <w:color w:val="auto"/>
              </w:rPr>
            </w:pPr>
            <w:r>
              <w:rPr>
                <w:rFonts w:ascii="Arial" w:cs="Arial" w:eastAsia="Arial" w:hAnsi="Arial"/>
                <w:sz w:val="14"/>
                <w:szCs w:val="14"/>
                <w:color w:val="auto"/>
              </w:rPr>
              <w:t>restricted stock units</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withheld on net settled vesting of</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 units</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64"/>
        </w:trPr>
        <w:tc>
          <w:tcPr>
            <w:tcW w:w="2600" w:type="dxa"/>
            <w:vAlign w:val="bottom"/>
          </w:tcPr>
          <w:p>
            <w:pPr>
              <w:ind w:left="40"/>
              <w:spacing w:after="0"/>
              <w:rPr>
                <w:sz w:val="20"/>
                <w:szCs w:val="20"/>
                <w:color w:val="auto"/>
              </w:rPr>
            </w:pPr>
            <w:r>
              <w:rPr>
                <w:rFonts w:ascii="Arial" w:cs="Arial" w:eastAsia="Arial" w:hAnsi="Arial"/>
                <w:sz w:val="14"/>
                <w:szCs w:val="14"/>
                <w:color w:val="auto"/>
              </w:rPr>
              <w:t>Exercise of warrants</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4,222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10,635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10,639</w:t>
            </w: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1,057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283"/>
        </w:trPr>
        <w:tc>
          <w:tcPr>
            <w:tcW w:w="2600" w:type="dxa"/>
            <w:vAlign w:val="bottom"/>
          </w:tcPr>
          <w:p>
            <w:pPr>
              <w:ind w:left="40"/>
              <w:spacing w:after="0"/>
              <w:rPr>
                <w:sz w:val="20"/>
                <w:szCs w:val="20"/>
                <w:color w:val="auto"/>
              </w:rPr>
            </w:pPr>
            <w:r>
              <w:rPr>
                <w:rFonts w:ascii="Arial" w:cs="Arial" w:eastAsia="Arial" w:hAnsi="Arial"/>
                <w:sz w:val="14"/>
                <w:szCs w:val="14"/>
                <w:color w:val="auto"/>
              </w:rPr>
              <w:t>Balance, March 31, 2019</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78,699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558,208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(5,460)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(585,302)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(32,596)</w:t>
            </w:r>
          </w:p>
        </w:tc>
        <w:tc>
          <w:tcPr>
            <w:tcW w:w="0" w:type="dxa"/>
            <w:vAlign w:val="bottom"/>
          </w:tcPr>
          <w:p>
            <w:pPr>
              <w:spacing w:after="0"/>
              <w:rPr>
                <w:sz w:val="1"/>
                <w:szCs w:val="1"/>
                <w:color w:val="auto"/>
              </w:rPr>
            </w:pPr>
          </w:p>
        </w:tc>
      </w:tr>
      <w:tr>
        <w:trPr>
          <w:trHeight w:val="264"/>
        </w:trPr>
        <w:tc>
          <w:tcPr>
            <w:tcW w:w="26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00" w:type="dxa"/>
            <w:vAlign w:val="bottom"/>
          </w:tcPr>
          <w:p>
            <w:pPr>
              <w:ind w:left="40"/>
              <w:spacing w:after="0"/>
              <w:rPr>
                <w:sz w:val="20"/>
                <w:szCs w:val="20"/>
                <w:color w:val="auto"/>
              </w:rPr>
            </w:pPr>
            <w:r>
              <w:rPr>
                <w:rFonts w:ascii="Arial" w:cs="Arial" w:eastAsia="Arial" w:hAnsi="Arial"/>
                <w:sz w:val="14"/>
                <w:szCs w:val="14"/>
                <w:color w:val="auto"/>
              </w:rPr>
              <w:t>Balance, December 31, 2019</w:t>
            </w:r>
          </w:p>
        </w:tc>
        <w:tc>
          <w:tcPr>
            <w:tcW w:w="680" w:type="dxa"/>
            <w:vAlign w:val="bottom"/>
          </w:tcPr>
          <w:p>
            <w:pPr>
              <w:ind w:left="42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81,974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584,862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(3,879)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(618,303)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(37,358)</w:t>
            </w:r>
          </w:p>
        </w:tc>
        <w:tc>
          <w:tcPr>
            <w:tcW w:w="0" w:type="dxa"/>
            <w:vAlign w:val="bottom"/>
          </w:tcPr>
          <w:p>
            <w:pPr>
              <w:spacing w:after="0"/>
              <w:rPr>
                <w:sz w:val="1"/>
                <w:szCs w:val="1"/>
                <w:color w:val="auto"/>
              </w:rPr>
            </w:pPr>
          </w:p>
        </w:tc>
      </w:tr>
      <w:tr>
        <w:trPr>
          <w:trHeight w:val="276"/>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(18,166)</w:t>
            </w:r>
          </w:p>
        </w:tc>
        <w:tc>
          <w:tcPr>
            <w:tcW w:w="0" w:type="dxa"/>
            <w:vAlign w:val="bottom"/>
          </w:tcPr>
          <w:p>
            <w:pPr>
              <w:spacing w:after="0"/>
              <w:rPr>
                <w:sz w:val="1"/>
                <w:szCs w:val="1"/>
                <w:color w:val="auto"/>
              </w:rPr>
            </w:pPr>
          </w:p>
        </w:tc>
      </w:tr>
      <w:tr>
        <w:trPr>
          <w:trHeight w:val="264"/>
        </w:trPr>
        <w:tc>
          <w:tcPr>
            <w:tcW w:w="2600" w:type="dxa"/>
            <w:vAlign w:val="bottom"/>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(13,480)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(13,480)</w:t>
            </w: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 and vesting of</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 units</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57"/>
        </w:trPr>
        <w:tc>
          <w:tcPr>
            <w:tcW w:w="2600" w:type="dxa"/>
            <w:vAlign w:val="bottom"/>
          </w:tcPr>
          <w:p>
            <w:pPr>
              <w:ind w:left="40"/>
              <w:spacing w:after="0" w:line="157" w:lineRule="exact"/>
              <w:rPr>
                <w:sz w:val="20"/>
                <w:szCs w:val="20"/>
                <w:color w:val="auto"/>
              </w:rPr>
            </w:pPr>
            <w:r>
              <w:rPr>
                <w:rFonts w:ascii="Arial" w:cs="Arial" w:eastAsia="Arial" w:hAnsi="Arial"/>
                <w:sz w:val="14"/>
                <w:szCs w:val="14"/>
                <w:color w:val="auto"/>
              </w:rPr>
              <w:t>Taxes withheld on net settled vesting of</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00" w:type="dxa"/>
            <w:vAlign w:val="bottom"/>
          </w:tcPr>
          <w:p>
            <w:pPr>
              <w:ind w:left="200"/>
              <w:spacing w:after="0"/>
              <w:rPr>
                <w:sz w:val="20"/>
                <w:szCs w:val="20"/>
                <w:color w:val="auto"/>
              </w:rPr>
            </w:pPr>
            <w:r>
              <w:rPr>
                <w:rFonts w:ascii="Arial" w:cs="Arial" w:eastAsia="Arial" w:hAnsi="Arial"/>
                <w:sz w:val="14"/>
                <w:szCs w:val="14"/>
                <w:color w:val="auto"/>
              </w:rPr>
              <w:t>restricted stock units</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6"/>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Series E preferred shares</w:t>
            </w:r>
          </w:p>
        </w:tc>
        <w:tc>
          <w:tcPr>
            <w:tcW w:w="6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27,330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27,330</w:t>
            </w:r>
          </w:p>
        </w:tc>
        <w:tc>
          <w:tcPr>
            <w:tcW w:w="0" w:type="dxa"/>
            <w:vAlign w:val="bottom"/>
          </w:tcPr>
          <w:p>
            <w:pPr>
              <w:spacing w:after="0"/>
              <w:rPr>
                <w:sz w:val="1"/>
                <w:szCs w:val="1"/>
                <w:color w:val="auto"/>
              </w:rPr>
            </w:pPr>
          </w:p>
        </w:tc>
      </w:tr>
      <w:tr>
        <w:trPr>
          <w:trHeight w:val="157"/>
        </w:trPr>
        <w:tc>
          <w:tcPr>
            <w:tcW w:w="2600" w:type="dxa"/>
            <w:vAlign w:val="bottom"/>
          </w:tcPr>
          <w:p>
            <w:pPr>
              <w:ind w:left="40"/>
              <w:spacing w:after="0" w:line="157" w:lineRule="exact"/>
              <w:rPr>
                <w:sz w:val="20"/>
                <w:szCs w:val="20"/>
                <w:color w:val="auto"/>
              </w:rPr>
            </w:pPr>
            <w:r>
              <w:rPr>
                <w:rFonts w:ascii="Arial" w:cs="Arial" w:eastAsia="Arial" w:hAnsi="Arial"/>
                <w:sz w:val="14"/>
                <w:szCs w:val="14"/>
                <w:color w:val="auto"/>
                <w:w w:val="97"/>
              </w:rPr>
              <w:t>Issuance of common shares in connection</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00" w:type="dxa"/>
            <w:vAlign w:val="bottom"/>
          </w:tcPr>
          <w:p>
            <w:pPr>
              <w:ind w:left="200"/>
              <w:spacing w:after="0"/>
              <w:rPr>
                <w:sz w:val="20"/>
                <w:szCs w:val="20"/>
                <w:color w:val="auto"/>
              </w:rPr>
            </w:pPr>
            <w:r>
              <w:rPr>
                <w:rFonts w:ascii="Arial" w:cs="Arial" w:eastAsia="Arial" w:hAnsi="Arial"/>
                <w:sz w:val="14"/>
                <w:szCs w:val="14"/>
                <w:color w:val="auto"/>
              </w:rPr>
              <w:t>with the Notes Exchange</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13,739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66,073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66,087</w:t>
            </w:r>
          </w:p>
        </w:tc>
        <w:tc>
          <w:tcPr>
            <w:tcW w:w="0" w:type="dxa"/>
            <w:vAlign w:val="bottom"/>
          </w:tcPr>
          <w:p>
            <w:pPr>
              <w:spacing w:after="0"/>
              <w:rPr>
                <w:sz w:val="1"/>
                <w:szCs w:val="1"/>
                <w:color w:val="auto"/>
              </w:rPr>
            </w:pPr>
          </w:p>
        </w:tc>
      </w:tr>
      <w:tr>
        <w:trPr>
          <w:trHeight w:val="276"/>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warrants</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264"/>
        </w:trPr>
        <w:tc>
          <w:tcPr>
            <w:tcW w:w="260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1,553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270"/>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Series E preferred stock dividends</w:t>
            </w: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4"/>
                <w:szCs w:val="14"/>
                <w:color w:val="auto"/>
              </w:rPr>
              <w:t>Balance, March 31, 2020</w:t>
            </w:r>
          </w:p>
        </w:tc>
        <w:tc>
          <w:tcPr>
            <w:tcW w:w="680" w:type="dxa"/>
            <w:vAlign w:val="bottom"/>
          </w:tcPr>
          <w:p>
            <w:pPr>
              <w:ind w:left="420"/>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96,180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682,047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(17,359)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(636,893)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27,803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1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0"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13335</wp:posOffset>
            </wp:positionV>
            <wp:extent cx="1637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(7,471)</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3,439</w:t>
            </w:r>
          </w:p>
        </w:tc>
        <w:tc>
          <w:tcPr>
            <w:tcW w:w="0" w:type="dxa"/>
            <w:vAlign w:val="bottom"/>
          </w:tcPr>
          <w:p>
            <w:pPr>
              <w:spacing w:after="0"/>
              <w:rPr>
                <w:sz w:val="1"/>
                <w:szCs w:val="1"/>
                <w:color w:val="auto"/>
              </w:rPr>
            </w:pPr>
          </w:p>
        </w:tc>
      </w:tr>
      <w:tr>
        <w:trPr>
          <w:trHeight w:val="237"/>
        </w:trPr>
        <w:tc>
          <w:tcPr>
            <w:tcW w:w="8660" w:type="dxa"/>
            <w:vAlign w:val="bottom"/>
          </w:tcPr>
          <w:p>
            <w:pPr>
              <w:ind w:left="500"/>
              <w:spacing w:after="0"/>
              <w:rPr>
                <w:sz w:val="20"/>
                <w:szCs w:val="20"/>
                <w:color w:val="auto"/>
              </w:rPr>
            </w:pPr>
            <w:r>
              <w:rPr>
                <w:rFonts w:ascii="Arial" w:cs="Arial" w:eastAsia="Arial" w:hAnsi="Arial"/>
                <w:sz w:val="16"/>
                <w:szCs w:val="16"/>
                <w:color w:val="auto"/>
              </w:rPr>
              <w:t>Provision for bad debts, net of recoveries</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Provision for excess and obsolete inventory,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37"/>
        </w:trPr>
        <w:tc>
          <w:tcPr>
            <w:tcW w:w="8660" w:type="dxa"/>
            <w:vAlign w:val="bottom"/>
          </w:tcPr>
          <w:p>
            <w:pPr>
              <w:ind w:left="50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debt discount and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2,443</w:t>
            </w:r>
          </w:p>
        </w:tc>
        <w:tc>
          <w:tcPr>
            <w:tcW w:w="0" w:type="dxa"/>
            <w:vAlign w:val="bottom"/>
          </w:tcPr>
          <w:p>
            <w:pPr>
              <w:spacing w:after="0"/>
              <w:rPr>
                <w:sz w:val="1"/>
                <w:szCs w:val="1"/>
                <w:color w:val="auto"/>
              </w:rPr>
            </w:pPr>
          </w:p>
        </w:tc>
      </w:tr>
      <w:tr>
        <w:trPr>
          <w:trHeight w:val="237"/>
        </w:trPr>
        <w:tc>
          <w:tcPr>
            <w:tcW w:w="8660" w:type="dxa"/>
            <w:vAlign w:val="bottom"/>
          </w:tcPr>
          <w:p>
            <w:pPr>
              <w:ind w:left="500"/>
              <w:spacing w:after="0"/>
              <w:rPr>
                <w:sz w:val="20"/>
                <w:szCs w:val="20"/>
                <w:color w:val="auto"/>
              </w:rPr>
            </w:pPr>
            <w:r>
              <w:rPr>
                <w:rFonts w:ascii="Arial" w:cs="Arial" w:eastAsia="Arial" w:hAnsi="Arial"/>
                <w:sz w:val="16"/>
                <w:szCs w:val="16"/>
                <w:color w:val="auto"/>
              </w:rPr>
              <w:t>Fair value of inducement shares issued in Notes Exchange</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7,933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8660" w:type="dxa"/>
            <w:vAlign w:val="bottom"/>
          </w:tcPr>
          <w:p>
            <w:pPr>
              <w:ind w:left="5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6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(7,850)</w:t>
            </w:r>
          </w:p>
        </w:tc>
        <w:tc>
          <w:tcPr>
            <w:tcW w:w="0" w:type="dxa"/>
            <w:vAlign w:val="bottom"/>
          </w:tcPr>
          <w:p>
            <w:pPr>
              <w:spacing w:after="0"/>
              <w:rPr>
                <w:sz w:val="1"/>
                <w:szCs w:val="1"/>
                <w:color w:val="auto"/>
              </w:rPr>
            </w:pPr>
          </w:p>
        </w:tc>
      </w:tr>
      <w:tr>
        <w:trPr>
          <w:trHeight w:val="237"/>
        </w:trPr>
        <w:tc>
          <w:tcPr>
            <w:tcW w:w="8660" w:type="dxa"/>
            <w:vAlign w:val="bottom"/>
          </w:tcPr>
          <w:p>
            <w:pPr>
              <w:ind w:left="7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237"/>
        </w:trPr>
        <w:tc>
          <w:tcPr>
            <w:tcW w:w="8660" w:type="dxa"/>
            <w:vAlign w:val="bottom"/>
          </w:tcPr>
          <w:p>
            <w:pPr>
              <w:ind w:left="720"/>
              <w:spacing w:after="0"/>
              <w:rPr>
                <w:sz w:val="20"/>
                <w:szCs w:val="20"/>
                <w:color w:val="auto"/>
              </w:rPr>
            </w:pPr>
            <w:r>
              <w:rPr>
                <w:rFonts w:ascii="Arial" w:cs="Arial" w:eastAsia="Arial" w:hAnsi="Arial"/>
                <w:sz w:val="16"/>
                <w:szCs w:val="16"/>
                <w:color w:val="auto"/>
              </w:rPr>
              <w:t>Accrued expenses, income taxes, and other</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2,175</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(5,033)</w:t>
            </w:r>
          </w:p>
        </w:tc>
        <w:tc>
          <w:tcPr>
            <w:tcW w:w="0" w:type="dxa"/>
            <w:vAlign w:val="bottom"/>
          </w:tcPr>
          <w:p>
            <w:pPr>
              <w:spacing w:after="0"/>
              <w:rPr>
                <w:sz w:val="1"/>
                <w:szCs w:val="1"/>
                <w:color w:val="auto"/>
              </w:rPr>
            </w:pPr>
          </w:p>
        </w:tc>
      </w:tr>
      <w:tr>
        <w:trPr>
          <w:trHeight w:val="230"/>
        </w:trPr>
        <w:tc>
          <w:tcPr>
            <w:tcW w:w="866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Proceeds from the sale of property, plant and equipment</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capitalized software development costs and purchases of intangible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(3,942)</w:t>
            </w:r>
          </w:p>
        </w:tc>
        <w:tc>
          <w:tcPr>
            <w:tcW w:w="0" w:type="dxa"/>
            <w:vAlign w:val="bottom"/>
          </w:tcPr>
          <w:p>
            <w:pPr>
              <w:spacing w:after="0"/>
              <w:rPr>
                <w:sz w:val="1"/>
                <w:szCs w:val="1"/>
                <w:color w:val="auto"/>
              </w:rPr>
            </w:pPr>
          </w:p>
        </w:tc>
      </w:tr>
      <w:tr>
        <w:trPr>
          <w:trHeight w:val="217"/>
        </w:trPr>
        <w:tc>
          <w:tcPr>
            <w:tcW w:w="8660" w:type="dxa"/>
            <w:vAlign w:val="bottom"/>
          </w:tcPr>
          <w:p>
            <w:pPr>
              <w:ind w:left="9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Gross proceeds received from issuance of Series E preferred stock</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exercise of warrants to purchase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10,639</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Net repayment of DigiCore bank and overdraft facilities</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under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Taxes paid on vested restricted stock units, net of proceeds from stock option exercises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10,623</w:t>
            </w:r>
          </w:p>
        </w:tc>
        <w:tc>
          <w:tcPr>
            <w:tcW w:w="0" w:type="dxa"/>
            <w:vAlign w:val="bottom"/>
          </w:tcPr>
          <w:p>
            <w:pPr>
              <w:spacing w:after="0"/>
              <w:rPr>
                <w:sz w:val="1"/>
                <w:szCs w:val="1"/>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12,074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31,076</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31,939</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(received) during the year for: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60" w:type="dxa"/>
            <w:vAlign w:val="bottom"/>
          </w:tcPr>
          <w:p>
            <w:pPr>
              <w:ind w:left="500"/>
              <w:spacing w:after="0"/>
              <w:rPr>
                <w:sz w:val="20"/>
                <w:szCs w:val="20"/>
                <w:color w:val="auto"/>
              </w:rPr>
            </w:pPr>
            <w:r>
              <w:rPr>
                <w:rFonts w:ascii="Arial" w:cs="Arial" w:eastAsia="Arial" w:hAnsi="Arial"/>
                <w:sz w:val="16"/>
                <w:szCs w:val="16"/>
                <w:color w:val="auto"/>
              </w:rPr>
              <w:t>Interest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Supplemental disclosures of non-cash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Transfer of inventories to rental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37"/>
        </w:trPr>
        <w:tc>
          <w:tcPr>
            <w:tcW w:w="8660" w:type="dxa"/>
            <w:vAlign w:val="bottom"/>
          </w:tcPr>
          <w:p>
            <w:pPr>
              <w:ind w:left="500"/>
              <w:spacing w:after="0"/>
              <w:rPr>
                <w:sz w:val="20"/>
                <w:szCs w:val="20"/>
                <w:color w:val="auto"/>
              </w:rPr>
            </w:pPr>
            <w:r>
              <w:rPr>
                <w:rFonts w:ascii="Arial" w:cs="Arial" w:eastAsia="Arial" w:hAnsi="Arial"/>
                <w:sz w:val="16"/>
                <w:szCs w:val="16"/>
                <w:color w:val="auto"/>
              </w:rPr>
              <w:t>Capital expenditures financed through 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1,934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Right-of-use assets obtained in exchange for operating leases liabilities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3,554</w:t>
            </w:r>
          </w:p>
        </w:tc>
        <w:tc>
          <w:tcPr>
            <w:tcW w:w="0" w:type="dxa"/>
            <w:vAlign w:val="bottom"/>
          </w:tcPr>
          <w:p>
            <w:pPr>
              <w:spacing w:after="0"/>
              <w:rPr>
                <w:sz w:val="1"/>
                <w:szCs w:val="1"/>
                <w:color w:val="auto"/>
              </w:rPr>
            </w:pPr>
          </w:p>
        </w:tc>
      </w:tr>
      <w:tr>
        <w:trPr>
          <w:trHeight w:val="237"/>
        </w:trPr>
        <w:tc>
          <w:tcPr>
            <w:tcW w:w="8660" w:type="dxa"/>
            <w:vAlign w:val="bottom"/>
          </w:tcPr>
          <w:p>
            <w:pPr>
              <w:ind w:left="500"/>
              <w:spacing w:after="0"/>
              <w:rPr>
                <w:sz w:val="20"/>
                <w:szCs w:val="20"/>
                <w:color w:val="auto"/>
              </w:rPr>
            </w:pPr>
            <w:r>
              <w:rPr>
                <w:rFonts w:ascii="Arial" w:cs="Arial" w:eastAsia="Arial" w:hAnsi="Arial"/>
                <w:sz w:val="16"/>
                <w:szCs w:val="16"/>
                <w:color w:val="auto"/>
              </w:rPr>
              <w:t>Preferred Stock issued in extinguishment of term loan accrued interest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Debt discount and issuance costs extinguished in notes conversion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660" w:type="dxa"/>
            <w:vAlign w:val="bottom"/>
          </w:tcPr>
          <w:p>
            <w:pPr>
              <w:ind w:left="500"/>
              <w:spacing w:after="0"/>
              <w:rPr>
                <w:sz w:val="20"/>
                <w:szCs w:val="20"/>
                <w:color w:val="auto"/>
              </w:rPr>
            </w:pPr>
            <w:r>
              <w:rPr>
                <w:rFonts w:ascii="Arial" w:cs="Arial" w:eastAsia="Arial" w:hAnsi="Arial"/>
                <w:sz w:val="16"/>
                <w:szCs w:val="16"/>
                <w:color w:val="auto"/>
              </w:rPr>
              <w:t>Inseego Notes conversion to equity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59,907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Novatel Wireless Notes conversion to equity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240"/>
          </w:cols>
          <w:pgMar w:left="320" w:top="337" w:right="339" w:bottom="97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337" w:right="339" w:bottom="973"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information contained herein has been prepared by Inseego Corp. (the “Company”) in accordance with the rules of the Securities and Exchange Commission (the “SEC”). The information at March 31, 2020 and the results of the Company’s operations for the three months ended March 31, 2020 and 2019 are unaudited. The condensed consolidated financial statements reflect all adjustments, consisting of only normal recurring accruals, except otherwise disclosed herein, which are, in the opinion of management, necessary for a fair statement of the results of the interim periods presented. These unaudited condensed consolidated financial statements and notes hereto should be read in conjunction with the audited financial statements and notes thereto included in the Company’s Annual Report on Form 10-K for the year ended December 31, 2019. The year-end condensed consolidated balance sheet data as of December 31, 2019 was derived from the Company’s audited consolidated financial statements and may not include all disclosures required by accounting principles generally accepted in the United States. Certain prior period amounts were reclassified to conform to the current period presentation. These reclassifications did not affect total revenues, costs and expenses, net income (loss), assets, liabilities or stockholders’ deficit. Except as set forth below, the accounting policies used in preparing these unaudited condensed consolidated financial statements are the same as those described in the Company’s Annual Report on Form 10-K for the year ended December 31, 2019. The results of operations for the interim periods presented are not necessarily indicative of results to be expected for any other interim period or for the year as a whole.</w:t>
      </w:r>
    </w:p>
    <w:p>
      <w:pPr>
        <w:spacing w:after="0" w:line="11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global outbreak of COVID-19 was declared a pandemic by the World Health Organization and a national emergency by the U.S. Government in March 2020 and has negatively impacted the U.S. and global economy, disrupted global supply chains, resulted in significant travel and transport restrictions, including mandated closures and orders to “shelter-in-place,” and created significant disruption of the financial markets. The extent of the impact of the COVID-19 pandemic on our operational and financial performance will depend on future developments, including the duration and spread of the pandemic and related actions taken by the U.S. government, state and local government officials, and international governments to prevent disease spread, all of which are uncertain and cannot be predicted.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March 31, 2020, the Company had available cash and cash equivalents totaling $30.5 million and a working capital deficit of $12.4 million</w:t>
      </w:r>
    </w:p>
    <w:p>
      <w:pPr>
        <w:spacing w:after="0" w:line="237"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In order to make continued investments in its growth plan, on March 6, 2020, the Company issued and sold 25,000 shares of Fixed-Rate Cumulative Perpetual Preferred Stock, Series E, par value $0.001 per share (the “Series E Preferred Stock”), for an aggregate purchase price of $25.0 million.</w:t>
      </w:r>
    </w:p>
    <w:p>
      <w:pPr>
        <w:spacing w:after="0" w:line="124" w:lineRule="exact"/>
        <w:rPr>
          <w:sz w:val="20"/>
          <w:szCs w:val="20"/>
          <w:color w:val="auto"/>
        </w:rPr>
      </w:pPr>
    </w:p>
    <w:p>
      <w:pPr>
        <w:ind w:right="240" w:firstLine="391"/>
        <w:spacing w:after="0" w:line="263" w:lineRule="auto"/>
        <w:rPr>
          <w:sz w:val="20"/>
          <w:szCs w:val="20"/>
          <w:color w:val="auto"/>
        </w:rPr>
      </w:pPr>
      <w:r>
        <w:rPr>
          <w:rFonts w:ascii="Arial" w:cs="Arial" w:eastAsia="Arial" w:hAnsi="Arial"/>
          <w:sz w:val="18"/>
          <w:szCs w:val="18"/>
          <w:color w:val="auto"/>
        </w:rPr>
        <w:t>Under the terms of the indenture governing the Inseego Notes (as defined below), both the Company and the holders have rights with respect to conversion or redemption based on the value of the underlying stock. In the first quarter of 2020, $59.9 million of the Inseego Notes were exchanged for common stock.</w:t>
      </w:r>
    </w:p>
    <w:p>
      <w:pPr>
        <w:spacing w:after="0" w:line="184" w:lineRule="exact"/>
        <w:rPr>
          <w:sz w:val="20"/>
          <w:szCs w:val="20"/>
          <w:color w:val="auto"/>
        </w:rPr>
      </w:pPr>
    </w:p>
    <w:p>
      <w:pPr>
        <w:ind w:right="240" w:firstLine="391"/>
        <w:spacing w:after="0" w:line="342" w:lineRule="auto"/>
        <w:rPr>
          <w:sz w:val="20"/>
          <w:szCs w:val="20"/>
          <w:color w:val="auto"/>
        </w:rPr>
      </w:pPr>
      <w:r>
        <w:rPr>
          <w:rFonts w:ascii="Arial" w:cs="Arial" w:eastAsia="Arial" w:hAnsi="Arial"/>
          <w:sz w:val="16"/>
          <w:szCs w:val="16"/>
          <w:color w:val="auto"/>
        </w:rPr>
        <w:t>Under the terms of the indenture governing the Inseego Notes, each holder of the notes has the right to require the Company to repurchase its notes for cash on June 15, 2020 (the “Optional Repurchase Date”). In March 2020, substantially all of the remaining Inseego Note holders waived this right.</w:t>
      </w:r>
    </w:p>
    <w:p>
      <w:pPr>
        <w:spacing w:after="0" w:line="178" w:lineRule="exact"/>
        <w:rPr>
          <w:sz w:val="20"/>
          <w:szCs w:val="20"/>
          <w:color w:val="auto"/>
        </w:rPr>
      </w:pPr>
    </w:p>
    <w:p>
      <w:pPr>
        <w:ind w:right="80" w:firstLine="391"/>
        <w:spacing w:after="0" w:line="259" w:lineRule="auto"/>
        <w:rPr>
          <w:sz w:val="20"/>
          <w:szCs w:val="20"/>
          <w:color w:val="auto"/>
        </w:rPr>
      </w:pPr>
      <w:r>
        <w:rPr>
          <w:rFonts w:ascii="Arial" w:cs="Arial" w:eastAsia="Arial" w:hAnsi="Arial"/>
          <w:sz w:val="18"/>
          <w:szCs w:val="18"/>
          <w:color w:val="auto"/>
        </w:rPr>
        <w:t>Under the terms of the Credit Agreement (as defined below), interest is paid based on the three-month LIBOR plus 7.65 percent, payable in cash. In the first quarter of 2020, the Credit Agreement was amended such that any interest payment due will be made in shares of Series E Preferred Stock. In accordance with the amended Credit Agreement, the Company issued 2,330 shares of Series E Preferred Stock in satisfaction of accrued interest due under the Term Loan as of March 31, 2020.</w:t>
      </w:r>
    </w:p>
    <w:p>
      <w:pPr>
        <w:spacing w:after="0" w:line="133"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The Credit Agreement has a maturity date of August 23, 2020. On March 10, 2020, the Company entered into a letter agreement (the “Letter Agreement”) with South Ocean Funding, LLC (“South Ocean”), the Lender holding all of the aggregate principal amount currently outstanding under the Credit Agreement, which provides: (i) that the Company and South Ocean will work together, in good faith, to reach an agreement to amend or refinance the Credit Agreement in order to extend the maturity of the Credit Agreement until a date after March 15, 2021; and (ii) should an agreement not be reached to amend or refinance the Credit Agreement prior to August 23, 2020, upon request of the Company, the maturity date of the Credit Agreement will be extended to no earlier than March 15, 2021.</w:t>
      </w:r>
    </w:p>
    <w:p>
      <w:pPr>
        <w:spacing w:after="0" w:line="19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Based on the above, the Company’s management does not believe that its current cash and cash equivalents, together with anticipated cash flows from operations, will be sufficient to meet its working capital needs, including any required repayment of the Credit Agreement, without additional sources of cash. These circumstances, unless mitigated, raise substantial doubt about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3"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ability to continue as a going concern. The Company’s plan to mitigate the substantial doubt as to its ability to continue as a going concern is through the restructuring of its existing debt or issuance of additional debt or equity securities.</w:t>
      </w:r>
    </w:p>
    <w:p>
      <w:pPr>
        <w:spacing w:after="0" w:line="116"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The Company’s liquidity could be impaired if there is any interruption in its business operations, a material failure to satisfy its contractual commitments or a failure to generate revenue from new or existing products. Ultimately, the Company’s ability to attain profitability and to generate positive cash flow is dependent upon achieving a level of revenues adequate to support its evolving cost structure and increasing working capital needs. If events or circumstances occur such that the Company does not meet its operating plan as expected, the Company may be required to raise additional capital, reduce planned research and development activities, incur additional restructuring charges or reduce other operating expenses which could have an adverse impact on its ability to achieve its intended business objectives. There can be no assurance that any required or desired restructuring or financing will be available on terms favorable to the Company, or at all. In addition, in order to obtain additional borrowings, the Company must comply with certain requirements under the Credit Agreement and the Inseego Indenture (as defined below). If additional funds are raised by the issuance of equity securities or securities convertible into equity, Company stockholders could experience dilution of their ownership interests and securities issued may have rights senior to those of the holders of the Company’s common stock. If additional funds are raised by the issuance of debt securities, the Company may be subject to additional limitations on its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unaudited condensed consolidated financial statements include the accounts of the Company and its wholly- and majority-owned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and balances have been eliminated in consolidation.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391"/>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the disclosure of contingent liabilities. Actual results could differ materially from these estimates. Significant estimates include revenue recognition, capitalized software costs, allowance for doubtful accounts receivable, provision for excess and obsolete inventory, valuation of intangible and long-lived assets, valuation of goodwill, royalty costs, accruals relating to litigation, income taxes, share-based compensation expense and the Company’s ability to continue as a going concern.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333" w:lineRule="exact"/>
        <w:rPr>
          <w:sz w:val="20"/>
          <w:szCs w:val="20"/>
          <w:color w:val="auto"/>
        </w:rPr>
      </w:pPr>
    </w:p>
    <w:p>
      <w:pPr>
        <w:ind w:right="140" w:firstLine="391"/>
        <w:spacing w:after="0" w:line="279" w:lineRule="auto"/>
        <w:rPr>
          <w:sz w:val="20"/>
          <w:szCs w:val="20"/>
          <w:color w:val="auto"/>
        </w:rPr>
      </w:pPr>
      <w:r>
        <w:rPr>
          <w:rFonts w:ascii="Arial" w:cs="Arial" w:eastAsia="Arial" w:hAnsi="Arial"/>
          <w:sz w:val="17"/>
          <w:szCs w:val="17"/>
          <w:color w:val="auto"/>
        </w:rPr>
        <w:t>The Company generates revenue from a broad range of product sales including intelligent wireless hardware products for the worldwide mobile communications and industrial Internet of Things (“IoT”) markets. The Company’s products principally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w:t>
      </w:r>
    </w:p>
    <w:p>
      <w:pPr>
        <w:spacing w:after="0" w:line="279" w:lineRule="exact"/>
        <w:rPr>
          <w:sz w:val="20"/>
          <w:szCs w:val="20"/>
          <w:color w:val="auto"/>
        </w:rPr>
      </w:pPr>
    </w:p>
    <w:p>
      <w:pPr>
        <w:ind w:right="240" w:firstLine="391"/>
        <w:spacing w:after="0" w:line="263"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92"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i w:val="1"/>
          <w:iCs w:val="1"/>
          <w:color w:val="auto"/>
        </w:rPr>
        <w:t>IoT &amp; Mobile Solutions</w:t>
      </w:r>
      <w:r>
        <w:rPr>
          <w:rFonts w:ascii="Arial" w:cs="Arial" w:eastAsia="Arial" w:hAnsi="Arial"/>
          <w:sz w:val="16"/>
          <w:szCs w:val="16"/>
          <w:color w:val="auto"/>
        </w:rPr>
        <w:t>. The IoT &amp; Mobile Solutions portfolio is comprised of end-to-end edge to cloud solutions including 4G LTE mobile</w:t>
      </w:r>
      <w:r>
        <w:rPr>
          <w:rFonts w:ascii="Arial" w:cs="Arial" w:eastAsia="Arial" w:hAnsi="Arial"/>
          <w:sz w:val="16"/>
          <w:szCs w:val="16"/>
          <w:i w:val="1"/>
          <w:iCs w:val="1"/>
          <w:color w:val="auto"/>
        </w:rPr>
        <w:t xml:space="preserve"> </w:t>
      </w:r>
      <w:r>
        <w:rPr>
          <w:rFonts w:ascii="Arial" w:cs="Arial" w:eastAsia="Arial" w:hAnsi="Arial"/>
          <w:sz w:val="16"/>
          <w:szCs w:val="16"/>
          <w:color w:val="auto"/>
        </w:rPr>
        <w:t>broadband gateways, routers, modems, hotspots, HD quality VoLTE based wireless home phones, cloud management software and an advanced portfolio of 5G products. The solutions are offered under the MiFi™ brand for consumer and enterprise markets, and under the Skyus brand for industrial IoT markets.</w:t>
      </w:r>
    </w:p>
    <w:p>
      <w:pPr>
        <w:spacing w:after="0" w:line="257"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i w:val="1"/>
          <w:iCs w:val="1"/>
          <w:color w:val="auto"/>
        </w:rPr>
        <w:t>Enterprise SaaS Solutions</w:t>
      </w:r>
      <w:r>
        <w:rPr>
          <w:rFonts w:ascii="Arial" w:cs="Arial" w:eastAsia="Arial" w:hAnsi="Arial"/>
          <w:sz w:val="18"/>
          <w:szCs w:val="18"/>
          <w:color w:val="auto"/>
        </w:rPr>
        <w:t>. The Enterprise SaaS Solutions consist of various subscription offerings to gain access to the Company’s Ctrack telematics</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which provide fleet vehicle, aviation ground vehicle and asset tracking and performance information, and other telematics applications, and the Company’s Device Management System (“DMS”), a</w:t>
      </w:r>
    </w:p>
    <w:p>
      <w:pPr>
        <w:sectPr>
          <w:pgSz w:w="11900" w:h="16838" w:orient="portrait"/>
          <w:cols w:equalWidth="0" w:num="1">
            <w:col w:w="11240"/>
          </w:cols>
          <w:pgMar w:left="320" w:top="553" w:right="3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553" w:right="339" w:bottom="1440" w:gutter="0" w:footer="0" w:header="0"/>
          <w:type w:val="continuous"/>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hosted software-as-a-service (“SaaS”) platform that helps organizations manage the selection, deployment and spend of their customer’s wireless assets, helping them save money on personnel and telecom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333" w:lineRule="exact"/>
        <w:rPr>
          <w:sz w:val="20"/>
          <w:szCs w:val="20"/>
          <w:color w:val="auto"/>
        </w:rPr>
      </w:pPr>
    </w:p>
    <w:p>
      <w:pPr>
        <w:ind w:right="160" w:firstLine="391"/>
        <w:spacing w:after="0" w:line="257"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63"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7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when it accepts the purchase order.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ind w:right="60" w:firstLine="391"/>
        <w:spacing w:after="0" w:line="263"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292"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 typically at the time when the product is delivered, shipped or installed at which time the title passes to the customer, and there are no further performance obligations with regards to the hardware device.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553"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73"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i w:val="1"/>
          <w:iCs w:val="1"/>
          <w:color w:val="auto"/>
        </w:rPr>
        <w:t xml:space="preserve">SaaS and Other Services. </w:t>
      </w:r>
      <w:r>
        <w:rPr>
          <w:rFonts w:ascii="Arial" w:cs="Arial" w:eastAsia="Arial" w:hAnsi="Arial"/>
          <w:sz w:val="16"/>
          <w:szCs w:val="16"/>
          <w:color w:val="auto"/>
        </w:rPr>
        <w:t>SaaS subscription revenue is recognized over time on a ratable basis over the contract term beginning on the date that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at a point in time as discussed above in the hardware revenue recognition disclosure. Prior to adoption of the Financial Accounting Standards Board (the “FASB”) Accounting Standards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on January 1, 2019, if the customer chose to lease the monitoring device, the Company accounted for the monitoring device lease as an operating lease, recognized the revenue for the monitoring device lease over the term of the contract and recorded such revenue in accordance with the previous lease accounting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Under the new standard, because the Company’s rental asset lease contracts qualify as operating leases under ASC 842 and the contracts also include services to operate the underlying asset, and to maintain the asset, the Company has elected the practical expedient to combine the lease and the non-lease components because the service is the predominant element in the eyes of the customer and the pattern of service delivery is the same for both elements. The Company recognizes revenue over time on a ratable basis over the term of the contract.</w:t>
      </w:r>
    </w:p>
    <w:p>
      <w:pPr>
        <w:spacing w:after="0" w:line="276" w:lineRule="exact"/>
        <w:rPr>
          <w:sz w:val="20"/>
          <w:szCs w:val="20"/>
          <w:color w:val="auto"/>
        </w:rPr>
      </w:pPr>
    </w:p>
    <w:p>
      <w:pPr>
        <w:ind w:left="660" w:right="28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separately-priced warranty contracts that extend beyond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273" w:lineRule="exact"/>
        <w:rPr>
          <w:sz w:val="20"/>
          <w:szCs w:val="20"/>
          <w:color w:val="auto"/>
        </w:rPr>
      </w:pPr>
    </w:p>
    <w:p>
      <w:pPr>
        <w:ind w:left="660" w:right="30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specifically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5" w:lineRule="exact"/>
        <w:rPr>
          <w:sz w:val="20"/>
          <w:szCs w:val="20"/>
          <w:color w:val="auto"/>
        </w:rPr>
      </w:pPr>
    </w:p>
    <w:p>
      <w:pPr>
        <w:ind w:right="60" w:firstLine="391"/>
        <w:spacing w:after="0" w:line="263"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 recognizes revenue on a net basis. The portion of the gross amount billed to customers that is remitted by the Company to another party is not reflected as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333" w:lineRule="exact"/>
        <w:rPr>
          <w:sz w:val="20"/>
          <w:szCs w:val="20"/>
          <w:color w:val="auto"/>
        </w:rPr>
      </w:pPr>
    </w:p>
    <w:p>
      <w:pPr>
        <w:ind w:right="180" w:firstLine="391"/>
        <w:spacing w:after="0" w:line="263" w:lineRule="auto"/>
        <w:rPr>
          <w:sz w:val="20"/>
          <w:szCs w:val="20"/>
          <w:color w:val="auto"/>
        </w:rPr>
      </w:pPr>
      <w:r>
        <w:rPr>
          <w:rFonts w:ascii="Arial" w:cs="Arial" w:eastAsia="Arial" w:hAnsi="Arial"/>
          <w:sz w:val="18"/>
          <w:szCs w:val="18"/>
          <w:color w:val="auto"/>
        </w:rPr>
        <w:t>The Company’s contracts with customers may include commitments to transfer multiple products and services to a customer. When hardware, software and services are sold in various combinations, judgment is required to determine whether each performance obligation is considered distinct and accounted for separately, or not distinct and accounted for together with other performance obligations.</w:t>
      </w:r>
    </w:p>
    <w:p>
      <w:pPr>
        <w:spacing w:after="0" w:line="292" w:lineRule="exact"/>
        <w:rPr>
          <w:sz w:val="20"/>
          <w:szCs w:val="20"/>
          <w:color w:val="auto"/>
        </w:rPr>
      </w:pPr>
    </w:p>
    <w:p>
      <w:pPr>
        <w:ind w:right="160" w:firstLine="391"/>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232" w:lineRule="exact"/>
        <w:rPr>
          <w:sz w:val="20"/>
          <w:szCs w:val="20"/>
          <w:color w:val="auto"/>
        </w:rPr>
      </w:pPr>
    </w:p>
    <w:p>
      <w:pPr>
        <w:ind w:right="140" w:firstLine="391"/>
        <w:spacing w:after="0" w:line="259"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333" w:lineRule="exact"/>
        <w:rPr>
          <w:sz w:val="20"/>
          <w:szCs w:val="20"/>
          <w:color w:val="auto"/>
        </w:rPr>
      </w:pPr>
    </w:p>
    <w:p>
      <w:pPr>
        <w:ind w:right="60" w:firstLine="391"/>
        <w:spacing w:after="0" w:line="263"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3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March 31, 2020.</w:t>
      </w:r>
    </w:p>
    <w:p>
      <w:pPr>
        <w:sectPr>
          <w:pgSz w:w="11900" w:h="16838" w:orient="portrait"/>
          <w:cols w:equalWidth="0" w:num="1">
            <w:col w:w="11240"/>
          </w:cols>
          <w:pgMar w:left="320" w:top="553"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553" w:right="3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Applying the practical expedient in paragraph ASC 340-40-25-4,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 in the Application of the Guidance in ASC 606</w:t>
      </w:r>
    </w:p>
    <w:p>
      <w:pPr>
        <w:spacing w:after="0" w:line="333"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Determining whether products and services are considered distinct performance obligations that should be accounted for separately versus together may require significant judgment.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25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Charges</w:t>
      </w:r>
    </w:p>
    <w:p>
      <w:pPr>
        <w:spacing w:after="0" w:line="22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Fees charged to customers for shipping and handling of products are included in product revenues, and costs for shipping and handling of products are included as a component of cost of sales.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 Unless otherwise discussed, management believes the impact of recently issued standards, some of which are not yet effective, will not have a material impact on the Company’s consolidated financial statements upon adoption.</w:t>
      </w:r>
    </w:p>
    <w:p>
      <w:pPr>
        <w:spacing w:after="0" w:line="76"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which is intended to simplify the accounting for income taxes. The amendment eliminates certain exceptions related to the approach for intraperiod tax allocation, the methodology for calculating income taxes in an interim period, and the recognition of deferred tax liabilities for outside basis differences. The amendment also clarifies existing guidance related to the recognition of franchise tax, the evaluation of a step up in the tax basis of goodwill, and the effects of enacted changes in tax laws or rates in the effective tax rate computation, among other clarifications. The guidance is effective for fiscal years, and interim periods within those fiscal years, beginning after December 15, 2020. The Company early adopted the pronouncement effective for the fourth quarter 2019, the impact of which was not material to the 2019 consolidated financial statements.</w:t>
      </w:r>
    </w:p>
    <w:p>
      <w:pPr>
        <w:spacing w:after="0" w:line="6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 xml:space="preserve">In June 2016, the FASB issued Accounting Standard Update (“ASU”) 2016-13, </w:t>
      </w:r>
      <w:r>
        <w:rPr>
          <w:rFonts w:ascii="Arial" w:cs="Arial" w:eastAsia="Arial" w:hAnsi="Arial"/>
          <w:sz w:val="18"/>
          <w:szCs w:val="18"/>
          <w:i w:val="1"/>
          <w:iCs w:val="1"/>
          <w:color w:val="auto"/>
        </w:rPr>
        <w:t>Financial Instruments</w:t>
      </w:r>
      <w:r>
        <w:rPr>
          <w:rFonts w:ascii="Arial" w:cs="Arial" w:eastAsia="Arial" w:hAnsi="Arial"/>
          <w:sz w:val="18"/>
          <w:szCs w:val="18"/>
          <w:i w:val="1"/>
          <w:iCs w:val="1"/>
          <w:color w:val="252525"/>
        </w:rPr>
        <w:t>—</w:t>
      </w:r>
      <w:r>
        <w:rPr>
          <w:rFonts w:ascii="Arial" w:cs="Arial" w:eastAsia="Arial" w:hAnsi="Arial"/>
          <w:sz w:val="18"/>
          <w:szCs w:val="18"/>
          <w:i w:val="1"/>
          <w:iCs w:val="1"/>
          <w:color w:val="auto"/>
        </w:rPr>
        <w:t>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 which requires measurement and recognition of expected credit losses for financial assets held. This guidance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interim and annual periods beginning after December 15, 2019. Early adoption is permitted. There was no impact from the adoption of this pronouncement to the Company’s condensed consolidated financial statements.</w:t>
      </w:r>
    </w:p>
    <w:p>
      <w:pPr>
        <w:spacing w:after="0" w:line="187"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sets out the principles for the recognition, measurement, presentation and disclosure of leases for both parties to a contract (i.e., lessees and lessors). The new standard requires lessees to apply a dual approach, classifying leases as either financing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are accounted for similar to previous guidance for operating leases. The new standard requires lessors to account for leases using an approach that is substantially equivalent to previous guidance for sales-type leases, direct financing leases and operating leases. The Company adopted the standard on January 1, 2019, the date it became effective for public companies, using the modified retrospective approach whereby the cumulative effect of adoption was recognized on the adoption date and prior periods were not restated. There was no net cumulative effect adjustment to retained earnings as of January 1, 2019 as a result of this adoption. Upon adoption, the Company elected the package of practical expedients permitted within the standard, which among other things, allows for the carryforward of historical lease</w:t>
      </w:r>
    </w:p>
    <w:p>
      <w:pPr>
        <w:sectPr>
          <w:pgSz w:w="11900" w:h="16838" w:orient="portrait"/>
          <w:cols w:equalWidth="0" w:num="1">
            <w:col w:w="11240"/>
          </w:cols>
          <w:pgMar w:left="320" w:top="553" w:right="339" w:bottom="1440" w:gutter="0" w:footer="0" w:header="0"/>
        </w:sect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553"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1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classification. The Company also elected the practical expedient provided in a subsequent amendment to the standard that removed the requirement to separate lease and non-lease components, provided certain conditions were met. Refer to Note 10,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the impact of the adoption of this guidance on the Company’s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net,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9,602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21,229</w:t>
            </w:r>
          </w:p>
        </w:tc>
      </w:tr>
      <w:tr>
        <w:trPr>
          <w:trHeight w:val="223"/>
        </w:trPr>
        <w:tc>
          <w:tcPr>
            <w:tcW w:w="866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220" w:type="dxa"/>
            <w:vAlign w:val="bottom"/>
          </w:tcPr>
          <w:p>
            <w:pPr>
              <w:spacing w:after="0"/>
              <w:rPr>
                <w:sz w:val="19"/>
                <w:szCs w:val="19"/>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4,657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4,061</w:t>
            </w:r>
          </w:p>
        </w:tc>
      </w:tr>
      <w:tr>
        <w:trPr>
          <w:trHeight w:val="47"/>
        </w:trPr>
        <w:tc>
          <w:tcPr>
            <w:tcW w:w="86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5"/>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25,290</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80" w:type="dxa"/>
            <w:vAlign w:val="bottom"/>
          </w:tcPr>
          <w:p>
            <w:pPr>
              <w:jc w:val="right"/>
              <w:ind w:right="141"/>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r>
      <w:tr>
        <w:trPr>
          <w:trHeight w:val="236"/>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1,415</w:t>
            </w:r>
          </w:p>
        </w:tc>
      </w:tr>
      <w:tr>
        <w:trPr>
          <w:trHeight w:val="224"/>
        </w:trPr>
        <w:tc>
          <w:tcPr>
            <w:tcW w:w="864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2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3,572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2,716</w:t>
            </w:r>
          </w:p>
        </w:tc>
      </w:tr>
      <w:tr>
        <w:trPr>
          <w:trHeight w:val="47"/>
        </w:trPr>
        <w:tc>
          <w:tcPr>
            <w:tcW w:w="8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483</w:t>
            </w:r>
          </w:p>
        </w:tc>
      </w:tr>
      <w:tr>
        <w:trPr>
          <w:trHeight w:val="223"/>
        </w:trPr>
        <w:tc>
          <w:tcPr>
            <w:tcW w:w="864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2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1,543</w:t>
            </w:r>
          </w:p>
        </w:tc>
      </w:tr>
      <w:tr>
        <w:trPr>
          <w:trHeight w:val="47"/>
        </w:trPr>
        <w:tc>
          <w:tcPr>
            <w:tcW w:w="8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2,235</w:t>
            </w:r>
          </w:p>
        </w:tc>
      </w:tr>
      <w:tr>
        <w:trPr>
          <w:trHeight w:val="223"/>
        </w:trPr>
        <w:tc>
          <w:tcPr>
            <w:tcW w:w="8640" w:type="dxa"/>
            <w:vAlign w:val="bottom"/>
          </w:tcPr>
          <w:p>
            <w:pPr>
              <w:ind w:left="4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1,101</w:t>
            </w:r>
          </w:p>
        </w:tc>
      </w:tr>
      <w:tr>
        <w:trPr>
          <w:trHeight w:val="47"/>
        </w:trPr>
        <w:tc>
          <w:tcPr>
            <w:tcW w:w="8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w:t>
            </w:r>
          </w:p>
        </w:tc>
      </w:tr>
      <w:tr>
        <w:trPr>
          <w:trHeight w:val="223"/>
        </w:trPr>
        <w:tc>
          <w:tcPr>
            <w:tcW w:w="8640" w:type="dxa"/>
            <w:vAlign w:val="bottom"/>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6,969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7,368</w:t>
            </w:r>
          </w:p>
        </w:tc>
      </w:tr>
      <w:tr>
        <w:trPr>
          <w:trHeight w:val="47"/>
        </w:trPr>
        <w:tc>
          <w:tcPr>
            <w:tcW w:w="86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5"/>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accrued expenses and other current liabilities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17,618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17,861</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333"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60" w:type="dxa"/>
            <w:vAlign w:val="bottom"/>
          </w:tcPr>
          <w:p>
            <w:pPr>
              <w:jc w:val="right"/>
              <w:ind w:right="10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5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2018</w:t>
            </w:r>
          </w:p>
        </w:tc>
      </w:tr>
      <w:tr>
        <w:trPr>
          <w:trHeight w:val="23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30,541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12,074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31,878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31,015</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61</w:t>
            </w:r>
          </w:p>
        </w:tc>
      </w:tr>
      <w:tr>
        <w:trPr>
          <w:trHeight w:val="33"/>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30,541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12,074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31,076</w:t>
            </w: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22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ectPr>
          <w:pgSz w:w="11900" w:h="16838" w:orient="portrait"/>
          <w:cols w:equalWidth="0" w:num="1">
            <w:col w:w="11240"/>
          </w:cols>
          <w:pgMar w:left="320" w:top="553"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553"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9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ind w:left="1060" w:right="180" w:hanging="647"/>
        <w:spacing w:after="0" w:line="263"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are those in which transactions for the asset or liability occur in sufficient frequency and volume to provide pricing information on an ongoing basis.</w:t>
      </w:r>
    </w:p>
    <w:p>
      <w:pPr>
        <w:spacing w:after="0" w:line="184" w:lineRule="exact"/>
        <w:rPr>
          <w:sz w:val="20"/>
          <w:szCs w:val="20"/>
          <w:color w:val="auto"/>
        </w:rPr>
      </w:pPr>
    </w:p>
    <w:p>
      <w:pPr>
        <w:ind w:left="1060" w:right="10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87" w:lineRule="exact"/>
        <w:rPr>
          <w:sz w:val="20"/>
          <w:szCs w:val="20"/>
          <w:color w:val="auto"/>
        </w:rPr>
      </w:pPr>
    </w:p>
    <w:p>
      <w:pPr>
        <w:ind w:left="1060" w:right="940" w:hanging="647"/>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Pricing inputs include significant inputs that are generally less observable from objective sources, including the Company’s own</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w:t>
      </w:r>
    </w:p>
    <w:p>
      <w:pPr>
        <w:spacing w:after="0" w:line="224" w:lineRule="exact"/>
        <w:rPr>
          <w:sz w:val="20"/>
          <w:szCs w:val="20"/>
          <w:color w:val="auto"/>
        </w:rPr>
      </w:pPr>
    </w:p>
    <w:p>
      <w:pPr>
        <w:ind w:right="360" w:firstLine="432"/>
        <w:spacing w:after="0" w:line="263"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three months ended March 31, 2020.</w:t>
      </w:r>
    </w:p>
    <w:p>
      <w:pPr>
        <w:spacing w:after="0" w:line="292"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March 31, 2020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2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March 31, 2020</w:t>
            </w: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7"/>
        </w:trPr>
        <w:tc>
          <w:tcPr>
            <w:tcW w:w="7880" w:type="dxa"/>
            <w:vAlign w:val="bottom"/>
          </w:tcPr>
          <w:p>
            <w:pPr>
              <w:ind w:left="380"/>
              <w:spacing w:after="0"/>
              <w:rPr>
                <w:sz w:val="20"/>
                <w:szCs w:val="20"/>
                <w:color w:val="auto"/>
              </w:rPr>
            </w:pPr>
            <w:r>
              <w:rPr>
                <w:rFonts w:ascii="Arial" w:cs="Arial" w:eastAsia="Arial" w:hAnsi="Arial"/>
                <w:sz w:val="16"/>
                <w:szCs w:val="16"/>
                <w:color w:val="auto"/>
              </w:rPr>
              <w:t>Total cash equivalents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2019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2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2019</w:t>
            </w: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7"/>
        </w:trPr>
        <w:tc>
          <w:tcPr>
            <w:tcW w:w="7880" w:type="dxa"/>
            <w:vAlign w:val="bottom"/>
          </w:tcPr>
          <w:p>
            <w:pPr>
              <w:ind w:left="380"/>
              <w:spacing w:after="0"/>
              <w:rPr>
                <w:sz w:val="20"/>
                <w:szCs w:val="20"/>
                <w:color w:val="auto"/>
              </w:rPr>
            </w:pPr>
            <w:r>
              <w:rPr>
                <w:rFonts w:ascii="Arial" w:cs="Arial" w:eastAsia="Arial" w:hAnsi="Arial"/>
                <w:sz w:val="16"/>
                <w:szCs w:val="16"/>
                <w:color w:val="auto"/>
              </w:rPr>
              <w:t>Total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7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$45.0 million in Convertible Notes (as defined below) (see Note 4, </w:t>
      </w:r>
      <w:r>
        <w:rPr>
          <w:rFonts w:ascii="Arial" w:cs="Arial" w:eastAsia="Arial" w:hAnsi="Arial"/>
          <w:sz w:val="18"/>
          <w:szCs w:val="18"/>
          <w:i w:val="1"/>
          <w:iCs w:val="1"/>
          <w:color w:val="auto"/>
        </w:rPr>
        <w:t>Debt</w:t>
      </w:r>
      <w:r>
        <w:rPr>
          <w:rFonts w:ascii="Arial" w:cs="Arial" w:eastAsia="Arial" w:hAnsi="Arial"/>
          <w:sz w:val="18"/>
          <w:szCs w:val="18"/>
          <w:color w:val="auto"/>
        </w:rPr>
        <w:t>). The Company carries its Convertible Notes at amortized cost. The debt and equity components of the Convertible Notes were measured using Level 3 inputs and are not measured on a recurring basis. It is not practicable to determine the fair value of the Convertible Notes due to the lack of information available to calculate the fair value of such notes. The carrying value of the liability component of the Convertible Notes was $44.2 million and $101.3 million as of March 31, 2020 and December 31, 2019, respectively.</w:t>
      </w:r>
    </w:p>
    <w:p>
      <w:pPr>
        <w:spacing w:after="0" w:line="296" w:lineRule="exact"/>
        <w:rPr>
          <w:sz w:val="20"/>
          <w:szCs w:val="20"/>
          <w:color w:val="auto"/>
        </w:rPr>
      </w:pPr>
    </w:p>
    <w:p>
      <w:pPr>
        <w:ind w:right="10420" w:firstLine="8"/>
        <w:spacing w:after="0" w:line="453"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w:t>
      </w:r>
      <w:r>
        <w:rPr>
          <w:rFonts w:ascii="Arial" w:cs="Arial" w:eastAsia="Arial" w:hAnsi="Arial"/>
          <w:sz w:val="16"/>
          <w:szCs w:val="16"/>
          <w:b w:val="1"/>
          <w:bCs w:val="1"/>
          <w:i w:val="1"/>
          <w:iCs w:val="1"/>
          <w:color w:val="auto"/>
        </w:rPr>
        <w:t>Term Loan</w:t>
      </w:r>
    </w:p>
    <w:p>
      <w:pPr>
        <w:spacing w:after="0" w:line="6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On August 23, 2017, the Company and certain of its direct and indirect subsidiaries (the “Guarantors”) entered into a credit agreement (the “Credit Agreement”) with Cantor Fitzgerald Securities, as administrative agent and collateral agent, and</w:t>
      </w:r>
    </w:p>
    <w:p>
      <w:pPr>
        <w:sectPr>
          <w:pgSz w:w="11900" w:h="16838" w:orient="portrait"/>
          <w:cols w:equalWidth="0" w:num="1">
            <w:col w:w="11240"/>
          </w:cols>
          <w:pgMar w:left="320" w:top="553" w:right="339" w:bottom="144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553"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7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certain funds managed by Highbridge Capital Management, LLC, as lenders (the “Lenders”). Pursuant to the Credit Agreement, the Lenders provided the Company with a term loan in the principal amount of $48.0 million (the “Term Loan”) with a maturity date of August 23, 2020 (the “Maturity Date”). Related parties currently hold 100% of the principal amount.</w:t>
      </w:r>
    </w:p>
    <w:p>
      <w:pPr>
        <w:spacing w:after="0" w:line="29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 $14.9 million of its outstanding Inseego Notes pursuant to the terms of a note purchase agreement, dated August 23, 2017, by and among the Company and the lenders. The Company paid issuance costs of approximately $0.5 million. Additionally, the Company issued shares of its common stock and accrued an exit fee, which, when combined with the original debt discount and commitment fee, resulted in a total debt discount of approximately $4.0 million.</w:t>
      </w:r>
    </w:p>
    <w:p>
      <w:pPr>
        <w:spacing w:after="0" w:line="300" w:lineRule="exact"/>
        <w:rPr>
          <w:sz w:val="20"/>
          <w:szCs w:val="20"/>
          <w:color w:val="auto"/>
        </w:rPr>
      </w:pPr>
    </w:p>
    <w:p>
      <w:pPr>
        <w:ind w:right="80" w:firstLine="391"/>
        <w:spacing w:after="0" w:line="254" w:lineRule="auto"/>
        <w:rPr>
          <w:sz w:val="20"/>
          <w:szCs w:val="20"/>
          <w:color w:val="auto"/>
        </w:rPr>
      </w:pPr>
      <w:r>
        <w:rPr>
          <w:rFonts w:ascii="Arial" w:cs="Arial" w:eastAsia="Arial" w:hAnsi="Arial"/>
          <w:sz w:val="18"/>
          <w:szCs w:val="18"/>
          <w:color w:val="auto"/>
        </w:rPr>
        <w:t>The Term Loan is secured by a first priority lien on substantially all of the assets of the Company and the Guarantors, including equity interests in certain of the Company’s direct and indirect subsidiaries, in each case subject to certain customary exceptions and permitted liens. The Credit Agreement includes customary representations and warranties, a material adverse change clause, as well as customary reporting and financial covenants, including a restriction on the Company’s capital expenditures. The Company obtained a waiver of the capital expenditure restriction from the lender during the quarter ended March 31, 2020. As a result of the waiver, as of March 31, 2020, the Company was in compliance with all financial covenants under the Credit Agreement. On March 9, 2020, the Company and the lender entered into an amendment to the Credit Agreement, which among other things, amended certain financial covenants set forth therein and permits the use of the Company’s Series E Preferred Stock to make certain payments, including interest payments, due thereunder.</w:t>
      </w:r>
    </w:p>
    <w:p>
      <w:pPr>
        <w:spacing w:after="0" w:line="300"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The Term Loan bears interest at a rate per annum equal to the three-month LIBOR, but in no event less than 1.00%, plus 7.625% (9.238% at March 31, 2020). Interest on the Term Loan is payable on the last business day of each calendar quarter and on the Maturity Date. Principal on the Term Loan is payable on the Maturity Date.</w:t>
      </w:r>
    </w:p>
    <w:p>
      <w:pPr>
        <w:spacing w:after="0" w:line="29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March 10, 2020, the Company entered into a letter agreement (the “Letter Agreement”) with South Ocean, the lender holding all of the aggregate principal amount currently outstanding under the Credit Agreement, which provides: (i) that the Company and South Ocean will work together, in good faith, to reach an agreement to amend or refinance the Credit Agreement in order to extend the Maturity Date of the Credit Agreement until a date after March 15, 2021; and (ii) should an agreement not be reached to amend or refinance the Credit Agreement prior to August 23, 2020, upon request of the Company, the Maturity Date of the Credit Agreement will be extended to no earlier than March 15, 2021. Principal on the Term Loan is payable on the Maturity Date.</w:t>
      </w:r>
    </w:p>
    <w:p>
      <w:pPr>
        <w:spacing w:after="0" w:line="300" w:lineRule="exact"/>
        <w:rPr>
          <w:sz w:val="20"/>
          <w:szCs w:val="20"/>
          <w:color w:val="auto"/>
        </w:rPr>
      </w:pPr>
    </w:p>
    <w:p>
      <w:pPr>
        <w:ind w:right="220" w:firstLine="391"/>
        <w:spacing w:after="0" w:line="263" w:lineRule="auto"/>
        <w:rPr>
          <w:sz w:val="20"/>
          <w:szCs w:val="20"/>
          <w:color w:val="auto"/>
        </w:rPr>
      </w:pPr>
      <w:r>
        <w:rPr>
          <w:rFonts w:ascii="Arial" w:cs="Arial" w:eastAsia="Arial" w:hAnsi="Arial"/>
          <w:sz w:val="18"/>
          <w:szCs w:val="18"/>
          <w:color w:val="auto"/>
        </w:rPr>
        <w:t>On March 31, 2020, Inseego Corp. issued 2,330 shares of Series E Preferred Stock to South Ocean, the lender holding all of the aggregate principal amount currently outstanding under the Credit Agreement in satisfaction of all accrued interest under the Credit Agreement. Accordingly, there was no interest payable on the Term Loan as of March 31, 2020.</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consists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92"/>
        </w:trPr>
        <w:tc>
          <w:tcPr>
            <w:tcW w:w="8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47,500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47,500</w:t>
            </w:r>
          </w:p>
        </w:tc>
        <w:tc>
          <w:tcPr>
            <w:tcW w:w="0" w:type="dxa"/>
            <w:vAlign w:val="bottom"/>
          </w:tcPr>
          <w:p>
            <w:pPr>
              <w:spacing w:after="0"/>
              <w:rPr>
                <w:sz w:val="1"/>
                <w:szCs w:val="1"/>
                <w:color w:val="auto"/>
              </w:rPr>
            </w:pP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Less: unamortized debt discount and debt issuance costs</w:t>
            </w:r>
          </w:p>
        </w:tc>
        <w:tc>
          <w:tcPr>
            <w:tcW w:w="220" w:type="dxa"/>
            <w:vAlign w:val="bottom"/>
          </w:tcPr>
          <w:p>
            <w:pPr>
              <w:spacing w:after="0"/>
              <w:rPr>
                <w:sz w:val="20"/>
                <w:szCs w:val="20"/>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46,911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46,538</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effective interest rate on the Term Loan was 12.99% for the three months ended March 31, 2020. The following table sets forth total interest expense recognized related to the Term Loan (in thousands):</w:t>
      </w:r>
    </w:p>
    <w:p>
      <w:pPr>
        <w:spacing w:after="0" w:line="108"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13335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r>
      <w:tr>
        <w:trPr>
          <w:trHeight w:val="236"/>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1,180</w:t>
            </w:r>
          </w:p>
        </w:tc>
      </w:tr>
      <w:tr>
        <w:trPr>
          <w:trHeight w:val="237"/>
        </w:trPr>
        <w:tc>
          <w:tcPr>
            <w:tcW w:w="890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333</w:t>
            </w:r>
          </w:p>
        </w:tc>
      </w:tr>
      <w:tr>
        <w:trPr>
          <w:trHeight w:val="33"/>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r>
      <w:tr>
        <w:trPr>
          <w:trHeight w:val="244"/>
        </w:trPr>
        <w:tc>
          <w:tcPr>
            <w:tcW w:w="890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1,524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1,553</w:t>
            </w:r>
          </w:p>
        </w:tc>
      </w:tr>
      <w:tr>
        <w:trPr>
          <w:trHeight w:val="20"/>
        </w:trPr>
        <w:tc>
          <w:tcPr>
            <w:tcW w:w="8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553" w:right="339" w:bottom="1440" w:gutter="0" w:footer="0" w:header="0"/>
          <w:type w:val="continuous"/>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Novatel Wireless Notes</w:t>
      </w:r>
    </w:p>
    <w:p>
      <w:pPr>
        <w:spacing w:after="0" w:line="25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June 10, 2015, Novatel Wireless, Inc., a wholly owned subsidiary of Inseego Corp. (“Novatel Wireless”), issued $120.0 million of 5.50% convertible senior notes due 2020 (the “Novatel Wireless Notes”), which were governed by the terms of an indenture, dated June 10, 2015, between Novatel Wireless, as issuer, Inseego and Wilmington Trust, National Association, as trustee, as amended by certain supplemental indentures (the “Novatel Indenture”). On January 9, 2017, in connection with the settlement of an exchange offer and consent solicitation with respect to the Novatel Wireless Notes (the “Note Exchange”), approximately $119.8 million aggregate principal amount of outstanding Novatel Wireless Notes that were validly tendered and accepted for exchange and subsequently canceled. In February 2020, the holders of the remaining $250,000 of the aggregate principal amount of Novatel Wireless Notes that remained outstanding following the Note Exchange, converted their Novatel Wireless Notes into 50,000 shares of Company common stock, at the conversion price of $5.00 per share, in accordance with the terms of the Novatel Indenture. Accordingly, no Novatel Wireless Notes were outstanding as of March 31, 2020.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Inseego Notes</w:t>
      </w:r>
    </w:p>
    <w:p>
      <w:pPr>
        <w:spacing w:after="0" w:line="333"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On January 9, 2017, in connection with the Note Exchange, the Company issued approximately $119.8 million aggregate principal amount of 5.50% convertible senior notes due 2022 (the “Inseego Notes”, and together with the Novatel Wireless Notes, the “Convertible Notes”).</w:t>
      </w:r>
    </w:p>
    <w:p>
      <w:pPr>
        <w:spacing w:after="0" w:line="254"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Inseego Notes are governed by the terms of an indenture, dated January 9, 2017 (as amended by certain supplemental indentures,the “Inseego Indenture”), between the Company, as issuer, and Wilmington Trust, National Association, as trustee (the “Trustee”). The Inseego Notes are senior unsecured obligations of the Company and bear interest at a rate of 5.50% per year, payable semi-annually in arrears on June 15 and December 15 of each year. The Inseego Notes will mature on June 15, 2022, unless earlier converted, redeemed or repurchased.</w:t>
      </w:r>
    </w:p>
    <w:p>
      <w:pPr>
        <w:spacing w:after="0" w:line="279" w:lineRule="exact"/>
        <w:rPr>
          <w:sz w:val="20"/>
          <w:szCs w:val="20"/>
          <w:color w:val="auto"/>
        </w:rPr>
      </w:pPr>
    </w:p>
    <w:p>
      <w:pPr>
        <w:jc w:val="both"/>
        <w:ind w:right="180" w:firstLine="405"/>
        <w:spacing w:after="0" w:line="342" w:lineRule="auto"/>
        <w:rPr>
          <w:sz w:val="20"/>
          <w:szCs w:val="20"/>
          <w:color w:val="auto"/>
        </w:rPr>
      </w:pPr>
      <w:r>
        <w:rPr>
          <w:rFonts w:ascii="Arial" w:cs="Arial" w:eastAsia="Arial" w:hAnsi="Arial"/>
          <w:sz w:val="16"/>
          <w:szCs w:val="16"/>
          <w:color w:val="auto"/>
        </w:rPr>
        <w:t>The Inseego Notes will be convertible by the holders into cash, shares of the Company’s common stock, or a combination thereof, at the election of the Company, at any time on or after December 15, 2021 and prior to the close of business on the business day immediately preceding the maturity date.</w:t>
      </w:r>
    </w:p>
    <w:p>
      <w:pPr>
        <w:spacing w:after="0" w:line="232" w:lineRule="exact"/>
        <w:rPr>
          <w:sz w:val="20"/>
          <w:szCs w:val="20"/>
          <w:color w:val="auto"/>
        </w:rPr>
      </w:pPr>
    </w:p>
    <w:p>
      <w:pPr>
        <w:ind w:right="80" w:firstLine="391"/>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December 15, 2021, holders may convert their Inseego Notes at their option only under the following circumstances:</w:t>
      </w:r>
    </w:p>
    <w:p>
      <w:pPr>
        <w:spacing w:after="0" w:line="116" w:lineRule="exact"/>
        <w:rPr>
          <w:sz w:val="20"/>
          <w:szCs w:val="20"/>
          <w:color w:val="auto"/>
        </w:rPr>
      </w:pPr>
    </w:p>
    <w:p>
      <w:pPr>
        <w:ind w:left="580" w:right="180" w:hanging="329"/>
        <w:spacing w:after="0" w:line="255"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equals or exceeds 130% of the conversion price on such trading day;</w:t>
      </w:r>
    </w:p>
    <w:p>
      <w:pPr>
        <w:spacing w:after="0" w:line="2" w:lineRule="exact"/>
        <w:rPr>
          <w:rFonts w:ascii="Arial" w:cs="Arial" w:eastAsia="Arial" w:hAnsi="Arial"/>
          <w:sz w:val="18"/>
          <w:szCs w:val="18"/>
          <w:color w:val="auto"/>
        </w:rPr>
      </w:pPr>
    </w:p>
    <w:p>
      <w:pPr>
        <w:jc w:val="both"/>
        <w:ind w:left="580" w:hanging="329"/>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after any five consecutive trading day period (the “Measurement Period”) in which the trading price per $1,000 principal amount of the Inseego Notes for each trading day of the Measurement Period was less than 98% of the product of the last reported sale price per share of the Company’s common stock and the conversion rate on each such trading day;</w:t>
      </w: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occurrence of certain corporate events specified in the Inseego Indenture; or</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Company has called the Inseego Notes for redemption.</w:t>
      </w:r>
    </w:p>
    <w:p>
      <w:pPr>
        <w:spacing w:after="0" w:line="211" w:lineRule="exact"/>
        <w:rPr>
          <w:sz w:val="20"/>
          <w:szCs w:val="20"/>
          <w:color w:val="auto"/>
        </w:rPr>
      </w:pPr>
    </w:p>
    <w:p>
      <w:pPr>
        <w:ind w:right="460" w:firstLine="405"/>
        <w:spacing w:after="0" w:line="263" w:lineRule="auto"/>
        <w:rPr>
          <w:sz w:val="20"/>
          <w:szCs w:val="20"/>
          <w:color w:val="auto"/>
        </w:rPr>
      </w:pPr>
      <w:r>
        <w:rPr>
          <w:rFonts w:ascii="Arial" w:cs="Arial" w:eastAsia="Arial" w:hAnsi="Arial"/>
          <w:sz w:val="18"/>
          <w:szCs w:val="18"/>
          <w:color w:val="auto"/>
        </w:rPr>
        <w:t>Because the sale price condition (as defined in the Inseego Indenture), was satisfied during December 2019, the Inseego Notes were convertible during the first quarter of 2020. The sale price condition was not satisfied as of March 31, 2020. Accordingly, the Inseego Notes are not currently convertible.</w:t>
      </w:r>
    </w:p>
    <w:p>
      <w:pPr>
        <w:spacing w:after="0" w:line="184"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The conversion rate for the Inseego Notes is 212.7660 shares of common stock per $1,000 principal amount of the Inseego Notes, which corresponds to a conversion price of $4.70 per share of the Company’s common stock. The conversion rate is subject to adjustment from time to time upon the occurrence of certain events, including, but not limited to, the issuance of stock dividends and payment of cash dividends.</w:t>
      </w:r>
    </w:p>
    <w:p>
      <w:pPr>
        <w:spacing w:after="0" w:line="111" w:lineRule="exact"/>
        <w:rPr>
          <w:sz w:val="20"/>
          <w:szCs w:val="20"/>
          <w:color w:val="auto"/>
        </w:rPr>
      </w:pPr>
    </w:p>
    <w:p>
      <w:pPr>
        <w:ind w:right="20" w:firstLine="391"/>
        <w:spacing w:after="0" w:line="257" w:lineRule="auto"/>
        <w:rPr>
          <w:sz w:val="20"/>
          <w:szCs w:val="20"/>
          <w:color w:val="auto"/>
        </w:rPr>
      </w:pPr>
      <w:r>
        <w:rPr>
          <w:rFonts w:ascii="Arial" w:cs="Arial" w:eastAsia="Arial" w:hAnsi="Arial"/>
          <w:sz w:val="18"/>
          <w:szCs w:val="18"/>
          <w:color w:val="auto"/>
        </w:rPr>
        <w:t>The Company may redeem all or a portion of the Inseego Notes at its option if the last reported sale price per share of the Company’s common stock equals or exceeds 140% of the conversion price for each of at least 20 trading days (whether or not consecutive) during the 30 consecutive trading days ending on, and including, the trading day immediately prior to the date on which the Company provides written notice of redemption, at a redemption price equal to 100% of the principal amount of the Inseego Notes to be redeemed, plus any accrued and unpaid interest on such Inseego Notes, subject to the right of holders as of</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553"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7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close of business on an interest record date to receive the related interest. In addition, if the Company calls the Inseego Notes for redemption, a “make-whole fundamental change” (as defined in the Inseego Indenture) will be deemed to occur. As a result, the Company will, in certain circumstances, increase the conversion rate for holders who convert their Inseego Notes in connection with such redemption.</w:t>
      </w:r>
    </w:p>
    <w:p>
      <w:pPr>
        <w:spacing w:after="0" w:line="292" w:lineRule="exact"/>
        <w:rPr>
          <w:sz w:val="20"/>
          <w:szCs w:val="20"/>
          <w:color w:val="auto"/>
        </w:rPr>
      </w:pPr>
    </w:p>
    <w:p>
      <w:pPr>
        <w:ind w:right="120" w:firstLine="391"/>
        <w:spacing w:after="0" w:line="275" w:lineRule="auto"/>
        <w:rPr>
          <w:sz w:val="20"/>
          <w:szCs w:val="20"/>
          <w:color w:val="auto"/>
        </w:rPr>
      </w:pPr>
      <w:r>
        <w:rPr>
          <w:rFonts w:ascii="Arial" w:cs="Arial" w:eastAsia="Arial" w:hAnsi="Arial"/>
          <w:sz w:val="17"/>
          <w:szCs w:val="17"/>
          <w:color w:val="auto"/>
        </w:rPr>
        <w:t>The Inseego Notes are subject to repurchase by the Company at the election of each holder on June 15, 2020 (the “Optional Repurchase Date”) at a repurchase price in cash equal to 100% of the principal amount of the Inseego Notes to be repurchased, plus accrued and unpaid interest to, but excluding, the Optional Repurchase Date, subject to the right of holders of the Inseego Notes on a record date to receive interest through the corresponding interest payment date. On March 6, 2020, the holders of substantially all of the outstanding indebtedness under the notes agreed to waive their optional right to require the Company to repurchase the notes on the Optional Repurchase Date.</w:t>
      </w:r>
    </w:p>
    <w:p>
      <w:pPr>
        <w:spacing w:after="0" w:line="122"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On March 3, 2020 the Company and the Trustee entered into a First Supplemental Indenture which eliminated certain covenants in the Inseego Indenture prohibiting the incurrence of certain indebtedness and certain restricted payments.</w:t>
      </w:r>
    </w:p>
    <w:p>
      <w:pPr>
        <w:spacing w:after="0" w:line="116" w:lineRule="exact"/>
        <w:rPr>
          <w:sz w:val="20"/>
          <w:szCs w:val="20"/>
          <w:color w:val="auto"/>
        </w:rPr>
      </w:pPr>
    </w:p>
    <w:p>
      <w:pPr>
        <w:ind w:right="40" w:firstLine="391"/>
        <w:spacing w:after="0" w:line="290" w:lineRule="auto"/>
        <w:rPr>
          <w:sz w:val="20"/>
          <w:szCs w:val="20"/>
          <w:color w:val="auto"/>
        </w:rPr>
      </w:pPr>
      <w:r>
        <w:rPr>
          <w:rFonts w:ascii="Arial" w:cs="Arial" w:eastAsia="Arial" w:hAnsi="Arial"/>
          <w:sz w:val="16"/>
          <w:szCs w:val="16"/>
          <w:color w:val="auto"/>
        </w:rPr>
        <w:t>The Inseego Indenture also provides for customary events of default. If an event of default (other than certain events of bankruptcy, insolvency or reorganization involving the Company) occurs and is continuing, the Trustee, by notice to the Company, or the holders of at least 25% in principal amount of the outstanding Inseego Notes, by notice to the Company and the Trustee, may declare the principal and accrued and unpaid interest on the outstanding Inseego Notes to be immediately due and payable. Upon the occurrence of certain events of bankruptcy, insolvency or reorganization involving the Company, 100% of the principal and accrued and unpaid interest of the Inseego Notes will automatically become immediately due and payable. Notwithstanding the foregoing, the Inseego Indenture provides that, to the extent the Company elects and for up to 60 days, the sole remedy for an event of default relating to certain failures by the Company to comply with certain reporting covenants consists exclusively of the right to receive special interest on the Inseego Notes at a rate equal to 0.50% per annum on the principal amount of the outstanding Inseego Notes.</w:t>
      </w:r>
    </w:p>
    <w:p>
      <w:pPr>
        <w:spacing w:after="0" w:line="273" w:lineRule="exact"/>
        <w:rPr>
          <w:sz w:val="20"/>
          <w:szCs w:val="20"/>
          <w:color w:val="auto"/>
        </w:rPr>
      </w:pPr>
    </w:p>
    <w:p>
      <w:pPr>
        <w:ind w:right="100" w:firstLine="391"/>
        <w:spacing w:after="0" w:line="255" w:lineRule="auto"/>
        <w:rPr>
          <w:sz w:val="20"/>
          <w:szCs w:val="20"/>
          <w:color w:val="auto"/>
        </w:rPr>
      </w:pPr>
      <w:r>
        <w:rPr>
          <w:rFonts w:ascii="Arial" w:cs="Arial" w:eastAsia="Arial" w:hAnsi="Arial"/>
          <w:sz w:val="18"/>
          <w:szCs w:val="18"/>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In accordance with authoritative guidance, the Company recognized $3.6 million as an additional component of debt discount and additional paid-in capital attributed to the increase in the fair value of the embedded conversion feature of the Inseego Notes before and after modification. The Company will amortize the debt discount on the Inseego Notes as a component of interest expense using the effective interest method through June 2020.</w:t>
      </w:r>
    </w:p>
    <w:p>
      <w:pPr>
        <w:spacing w:after="0" w:line="13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the three months ended March 31, 2020, the Company entered into privately-negotiated exchange agreements with certain investors holding the Inseego Notes. Pursuant to the exchange agreements, the investors exchanged $59.9 million in aggregate principal amount of outstanding Inseego Notes for 13,688,876 shares of the Company’s common stock, par value $0.001 per share. The investors agreed to waive any accrued but unpaid interest on the exchanged Inseego Notes.</w:t>
      </w:r>
    </w:p>
    <w:p>
      <w:pPr>
        <w:spacing w:after="0" w:line="18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Included in the 13,688,876 shares of common stock issued in the exchange transactions described above were 942,706 shares valued at $7.9 million on the date of issuance at fair value, which were issued pursuant to the terms of the privately-negotiated exchange agreements and were in excess of the consideration issuable under the original conversion terms of the exchanged Inseego Notes. ASC 470 - “Debt” requires the recognition through earnings of an inducement charge equal to the fair value of the consideration delivered in excess of the consideration issuable under the original conversion terms. This resulted in a non-cash charge of $7.9 million for the three months ended March 31, 2020, which was recorded as inducement expense in the condensed consolidated statement of operations.</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March 31, 2020, substantially all of the Inseego Notes were held by related parties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Convertible Notes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80" w:type="dxa"/>
            <w:vAlign w:val="bottom"/>
          </w:tcPr>
          <w:p>
            <w:pPr>
              <w:jc w:val="right"/>
              <w:ind w:right="14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r>
      <w:tr>
        <w:trPr>
          <w:trHeight w:val="237"/>
        </w:trPr>
        <w:tc>
          <w:tcPr>
            <w:tcW w:w="864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44,968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105,125</w:t>
            </w:r>
          </w:p>
        </w:tc>
      </w:tr>
      <w:tr>
        <w:trPr>
          <w:trHeight w:val="237"/>
        </w:trPr>
        <w:tc>
          <w:tcPr>
            <w:tcW w:w="8640" w:type="dxa"/>
            <w:vAlign w:val="bottom"/>
          </w:tcPr>
          <w:p>
            <w:pPr>
              <w:ind w:left="380"/>
              <w:spacing w:after="0"/>
              <w:rPr>
                <w:sz w:val="20"/>
                <w:szCs w:val="20"/>
                <w:color w:val="auto"/>
              </w:rPr>
            </w:pPr>
            <w:r>
              <w:rPr>
                <w:rFonts w:ascii="Arial" w:cs="Arial" w:eastAsia="Arial" w:hAnsi="Arial"/>
                <w:sz w:val="16"/>
                <w:szCs w:val="16"/>
                <w:color w:val="auto"/>
              </w:rPr>
              <w:t>Less: unamortized debt discount and debt issuance costs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(3,791)</w:t>
            </w:r>
          </w:p>
        </w:tc>
      </w:tr>
      <w:tr>
        <w:trPr>
          <w:trHeight w:val="33"/>
        </w:trPr>
        <w:tc>
          <w:tcPr>
            <w:tcW w:w="8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44,230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101,334</w:t>
            </w: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5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7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effective interest rate on the liability component of the Convertible Notes was 10.76% for the three months ended March 31, 2020. The following table sets forth total interest expense recognized related to the Convertible Notes (in thousands):</w:t>
      </w:r>
    </w:p>
    <w:p>
      <w:pPr>
        <w:spacing w:after="0" w:line="108"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13335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r>
      <w:tr>
        <w:trPr>
          <w:trHeight w:val="236"/>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1,446</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2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1,252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1,956</w:t>
            </w:r>
          </w:p>
        </w:tc>
      </w:tr>
      <w:tr>
        <w:trPr>
          <w:trHeight w:val="33"/>
        </w:trPr>
        <w:tc>
          <w:tcPr>
            <w:tcW w:w="8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w:t>
            </w:r>
          </w:p>
        </w:tc>
      </w:tr>
      <w:tr>
        <w:trPr>
          <w:trHeight w:val="244"/>
        </w:trPr>
        <w:tc>
          <w:tcPr>
            <w:tcW w:w="886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1,942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3,516</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w:t>
      </w:r>
    </w:p>
    <w:p>
      <w:pPr>
        <w:spacing w:after="0" w:line="121"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108"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13335</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r>
      <w:tr>
        <w:trPr>
          <w:trHeight w:val="236"/>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175</w:t>
            </w:r>
          </w:p>
        </w:tc>
      </w:tr>
      <w:tr>
        <w:trPr>
          <w:trHeight w:val="46"/>
        </w:trPr>
        <w:tc>
          <w:tcPr>
            <w:tcW w:w="8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545</w:t>
            </w:r>
          </w:p>
        </w:tc>
      </w:tr>
      <w:tr>
        <w:trPr>
          <w:trHeight w:val="47"/>
        </w:trPr>
        <w:tc>
          <w:tcPr>
            <w:tcW w:w="89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5"/>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1,057</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2019</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9,044,304</w:t>
            </w:r>
          </w:p>
        </w:tc>
      </w:tr>
      <w:tr>
        <w:trPr>
          <w:trHeight w:val="223"/>
        </w:trPr>
        <w:tc>
          <w:tcPr>
            <w:tcW w:w="101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939,750</w:t>
            </w:r>
          </w:p>
        </w:tc>
      </w:tr>
      <w:tr>
        <w:trPr>
          <w:trHeight w:val="33"/>
        </w:trPr>
        <w:tc>
          <w:tcPr>
            <w:tcW w:w="10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10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(30,079)</w:t>
            </w:r>
          </w:p>
        </w:tc>
      </w:tr>
      <w:tr>
        <w:trPr>
          <w:trHeight w:val="223"/>
        </w:trPr>
        <w:tc>
          <w:tcPr>
            <w:tcW w:w="1010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120" w:type="dxa"/>
            <w:vAlign w:val="bottom"/>
          </w:tcPr>
          <w:p>
            <w:pPr>
              <w:jc w:val="right"/>
              <w:spacing w:after="0"/>
              <w:rPr>
                <w:sz w:val="20"/>
                <w:szCs w:val="20"/>
                <w:color w:val="auto"/>
              </w:rPr>
            </w:pPr>
            <w:r>
              <w:rPr>
                <w:rFonts w:ascii="Arial" w:cs="Arial" w:eastAsia="Arial" w:hAnsi="Arial"/>
                <w:sz w:val="16"/>
                <w:szCs w:val="16"/>
                <w:color w:val="auto"/>
              </w:rPr>
              <w:t>(176,687)</w:t>
            </w:r>
          </w:p>
        </w:tc>
      </w:tr>
      <w:tr>
        <w:trPr>
          <w:trHeight w:val="33"/>
        </w:trPr>
        <w:tc>
          <w:tcPr>
            <w:tcW w:w="10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10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March 31, 2020</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9,777,288</w:t>
            </w:r>
          </w:p>
        </w:tc>
      </w:tr>
      <w:tr>
        <w:trPr>
          <w:trHeight w:val="20"/>
        </w:trPr>
        <w:tc>
          <w:tcPr>
            <w:tcW w:w="10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10100" w:type="dxa"/>
            <w:vAlign w:val="bottom"/>
          </w:tcPr>
          <w:p>
            <w:pPr>
              <w:ind w:left="40"/>
              <w:spacing w:after="0"/>
              <w:rPr>
                <w:sz w:val="20"/>
                <w:szCs w:val="20"/>
                <w:color w:val="auto"/>
              </w:rPr>
            </w:pPr>
            <w:r>
              <w:rPr>
                <w:rFonts w:ascii="Arial" w:cs="Arial" w:eastAsia="Arial" w:hAnsi="Arial"/>
                <w:sz w:val="16"/>
                <w:szCs w:val="16"/>
                <w:color w:val="auto"/>
              </w:rPr>
              <w:t>Exercisable — March 31, 2020</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3,984,801</w:t>
            </w:r>
          </w:p>
        </w:tc>
      </w:tr>
      <w:tr>
        <w:trPr>
          <w:trHeight w:val="20"/>
        </w:trPr>
        <w:tc>
          <w:tcPr>
            <w:tcW w:w="10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At March 31, 2020, total unrecognized compensation expense related to stock options was $11.7 million, which is expected to be recognized over a weighted-average period of 2.87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restricted stock unit (“RSU”) activity: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2019</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400,315</w:t>
            </w:r>
          </w:p>
        </w:tc>
      </w:tr>
      <w:tr>
        <w:trPr>
          <w:trHeight w:val="224"/>
        </w:trPr>
        <w:tc>
          <w:tcPr>
            <w:tcW w:w="101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46,156</w:t>
            </w:r>
          </w:p>
        </w:tc>
      </w:tr>
      <w:tr>
        <w:trPr>
          <w:trHeight w:val="33"/>
        </w:trPr>
        <w:tc>
          <w:tcPr>
            <w:tcW w:w="10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10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(151,467)</w:t>
            </w:r>
          </w:p>
        </w:tc>
      </w:tr>
      <w:tr>
        <w:trPr>
          <w:trHeight w:val="243"/>
        </w:trPr>
        <w:tc>
          <w:tcPr>
            <w:tcW w:w="10100" w:type="dxa"/>
            <w:vAlign w:val="bottom"/>
          </w:tcPr>
          <w:p>
            <w:pPr>
              <w:ind w:left="40"/>
              <w:spacing w:after="0"/>
              <w:rPr>
                <w:sz w:val="20"/>
                <w:szCs w:val="20"/>
                <w:color w:val="auto"/>
              </w:rPr>
            </w:pPr>
            <w:r>
              <w:rPr>
                <w:rFonts w:ascii="Arial" w:cs="Arial" w:eastAsia="Arial" w:hAnsi="Arial"/>
                <w:sz w:val="16"/>
                <w:szCs w:val="16"/>
                <w:color w:val="auto"/>
              </w:rPr>
              <w:t>Non-vested — March 31, 2020</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295,004</w:t>
            </w:r>
          </w:p>
        </w:tc>
      </w:tr>
      <w:tr>
        <w:trPr>
          <w:trHeight w:val="20"/>
        </w:trPr>
        <w:tc>
          <w:tcPr>
            <w:tcW w:w="10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At March 31, 2020, total unrecognized compensation expense related to RSUs was $0.7 million, which is expected to be recognized over a weighted-average period of 1.33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Basic earnings per share (“EPS”) excludes dilution and is computed by dividing net income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w:t>
      </w:r>
    </w:p>
    <w:p>
      <w:pPr>
        <w:sectPr>
          <w:pgSz w:w="11900" w:h="16838" w:orient="portrait"/>
          <w:cols w:equalWidth="0" w:num="1">
            <w:col w:w="11240"/>
          </w:cols>
          <w:pgMar w:left="320" w:top="553" w:right="339" w:bottom="939"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553" w:right="339" w:bottom="939"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converted and treasury stock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38"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For the three months ended March 31, 2020, the computation of diluted EPS excluded 22,028,548 shares related to the Convertible Notes, warrants, stock options and RSUs as their effect would have been anti-dilutive. For the three months ended March 31, 2019, the computation of diluted EPS excluded 35,706,077 shares primarily related to the Convertible Notes, warrants, stock options and RSUs as their effect would have been anti-dilutive.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Private Placements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333"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On August 6, 2018, the Company completed a private placement of 12,062,000 shares of common stock, par value $0.001 per share, and warrants to purchase an additional 4,221,700 shares of common stock (the “2018 Warrants”), subject to adjustment for stock splits, reverse stock splits, stock dividends and similar transactions, to certain accredited investors. 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“2019 Warrants”) to the accredited investors. Each 2019 Warrant has an initial exercise price of $7.00 per share, subject to adjustment for stock splits, reverse stock splits, stock dividends and similar transactions, will be exercisable at any time on or after September 28, 2019, and will expire on June 30, 2022. The 2019 Warrants may be exercisable on a cashless exercise basis if, and only if, the shares of common stock underlying such warrants cannot be immediately resold pursuant to an effective registration statement or Rule 144 of the Securities Act of 1933, as amended, without volume or manner of sale restrictions.</w:t>
      </w:r>
    </w:p>
    <w:p>
      <w:pPr>
        <w:spacing w:after="0" w:line="112" w:lineRule="exact"/>
        <w:rPr>
          <w:sz w:val="20"/>
          <w:szCs w:val="20"/>
          <w:color w:val="auto"/>
        </w:rPr>
      </w:pPr>
    </w:p>
    <w:p>
      <w:pPr>
        <w:ind w:right="320" w:firstLine="391"/>
        <w:spacing w:after="0" w:line="277" w:lineRule="auto"/>
        <w:rPr>
          <w:sz w:val="20"/>
          <w:szCs w:val="20"/>
          <w:color w:val="auto"/>
        </w:rPr>
      </w:pPr>
      <w:r>
        <w:rPr>
          <w:rFonts w:ascii="Arial" w:cs="Arial" w:eastAsia="Arial" w:hAnsi="Arial"/>
          <w:sz w:val="18"/>
          <w:szCs w:val="18"/>
          <w:color w:val="auto"/>
        </w:rPr>
        <w:t>During the first quarter of 2020, the Company received $1.9 million in net cash proceeds from the exercise of 338,454 of the Company’s common stock purchase warrants issued in 2015.</w:t>
      </w:r>
    </w:p>
    <w:p>
      <w:pPr>
        <w:spacing w:after="0" w:line="11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 xml:space="preserve">The Company assessed the terms of the warrants under ASC 815, </w:t>
      </w:r>
      <w:r>
        <w:rPr>
          <w:rFonts w:ascii="Arial" w:cs="Arial" w:eastAsia="Arial" w:hAnsi="Arial"/>
          <w:sz w:val="18"/>
          <w:szCs w:val="18"/>
          <w:i w:val="1"/>
          <w:iCs w:val="1"/>
          <w:color w:val="auto"/>
        </w:rPr>
        <w:t>Derivatives and Hedges</w:t>
      </w:r>
      <w:r>
        <w:rPr>
          <w:rFonts w:ascii="Arial" w:cs="Arial" w:eastAsia="Arial" w:hAnsi="Arial"/>
          <w:sz w:val="18"/>
          <w:szCs w:val="18"/>
          <w:color w:val="auto"/>
        </w:rPr>
        <w:t>. Pursuant to this guidance, the Company has determined that the warrants do not require liability accounting and has classified the warrants as equity.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333"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August 9, 2019, the Company completed a private placement of 10,000 shares of Series E Preferred Stock for an aggregate purchase price of $10.0 million in accordance with the terms and provisions of a Securities Purchase Agreement, dated August 9, 2019, by and among the Company and certain accredited investors. Each share of Series E Preferred Stock entitles the holder thereof to receive, when, as and if declared by the Company out of assets legally available therefor, cumulative cash dividends at an annual rate of 9.00% payable quarterly in arrears on January 1, April 1, July 1 and October 1 of each year, beginning on October 1, 2019. If dividends are not declared and paid in any quarter, or if such dividends are declared but holders of the Series E Preferred Stock elect not to receive them in cash, the quarterly dividend will be deemed to accrue and will be added to the Series E Base Amount. The Series E Preferred Stock has no voting rights unless otherwise required by law. The Series E Preferred Stock is perpetual and has no maturity date. However, the Company may, at its option, redeem shares of the Series E Preferred Stock, in whole or in part, on or after July 1, 2022, at a price equal to 110% of the Series E Base Amount plus (without duplication) any accrued and unpaid dividends. The “Series E Base Amount” means $1,000 per share, plus any accrued but unpaid dividends, whether or not declared by the Company’s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w:t>
      </w:r>
    </w:p>
    <w:p>
      <w:pPr>
        <w:spacing w:after="0" w:line="27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On March 6, 2020, the Company issued and sold an additional 25,000 shares of Series E Preferred Stock for an aggregate purchase price of $25.0 million. The terms of the Series E Preferred Stock are consistent with the terms described above.</w:t>
      </w:r>
    </w:p>
    <w:p>
      <w:pPr>
        <w:spacing w:after="0" w:line="116"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On March 31, 2020, Inseego Corp. issued 2,330 shares of Series E Preferred Stock to South Ocean, the lender holding all of the aggregate principal amount currently outstanding under the Credit Agreement, in satisfaction of certain deferred interest obligations pursuant to the terms and conditions of the Credit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5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Geographic Information and Concentrations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63"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13335</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r>
      <w:tr>
        <w:trPr>
          <w:trHeight w:val="236"/>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42,350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33,494</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8,238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8,369</w:t>
            </w:r>
          </w:p>
        </w:tc>
      </w:tr>
      <w:tr>
        <w:trPr>
          <w:trHeight w:val="46"/>
        </w:trPr>
        <w:tc>
          <w:tcPr>
            <w:tcW w:w="8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6,693</w:t>
            </w:r>
          </w:p>
        </w:tc>
      </w:tr>
      <w:tr>
        <w:trPr>
          <w:trHeight w:val="243"/>
        </w:trPr>
        <w:tc>
          <w:tcPr>
            <w:tcW w:w="890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56,840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48,556</w:t>
            </w:r>
          </w:p>
        </w:tc>
      </w:tr>
      <w:tr>
        <w:trPr>
          <w:trHeight w:val="20"/>
        </w:trPr>
        <w:tc>
          <w:tcPr>
            <w:tcW w:w="8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March 31, 2020 and 2019, one customer accounted for 53.4% and 53.3% of net revenues, respectively.</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March 31, 2020, one customer accounted for 42.0% of accounts receivable, net. As of December 31, 2019, two customers accounted for 25.0% and 11.2% of accounts receivable, net, respectively.</w:t>
      </w:r>
    </w:p>
    <w:p>
      <w:pPr>
        <w:spacing w:after="0" w:line="220" w:lineRule="exact"/>
        <w:rPr>
          <w:sz w:val="20"/>
          <w:szCs w:val="20"/>
          <w:color w:val="auto"/>
        </w:rPr>
      </w:pPr>
    </w:p>
    <w:p>
      <w:pPr>
        <w:ind w:right="8500" w:firstLine="8"/>
        <w:spacing w:after="0" w:line="376"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w:t>
      </w:r>
    </w:p>
    <w:p>
      <w:pPr>
        <w:spacing w:after="0" w:line="30"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some patent infringement lawsuits in the U.S. and may be required to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consolidated results of operations or financial condition.</w:t>
      </w:r>
    </w:p>
    <w:p>
      <w:pPr>
        <w:spacing w:after="0" w:line="269"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The Company’s remaining liability under the Settlement Agreement at March 31, 2020 consists of approximately $1.0 million in current liabilities.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7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53"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27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ASC 842, the Company has elected to account for the lease and non-lease components as a single lease component. Lease payments, which may include lease components and non-lease components, are included in the measurement of the Company’s lease liabilities to the extent that such payments are either fixed amounts or variable amounts based on a rate or index (fixed in substance) as stipulated in the lease contract.</w:t>
      </w:r>
    </w:p>
    <w:p>
      <w:pPr>
        <w:spacing w:after="0" w:line="22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None of the Company’s lease agreements contain any material residual value guarantees or material restrictive covenants. As a result of the Company’s election of the package of practical expedients permitted within ASC 842, which among other things, allows for the carryforward of historical lease classification, all of the Company’s lease agreements in existence at the date of adoption that were classified as operating leases under ASC 840 have been classified as operating leases under ASC 842. Lease expense for payments related to the Company’s operating leases is recognized on a straight-line basis over the related lease term, which includes options to extend or terminate the lease when it is reasonably certain that the Company will exercise that option.</w:t>
      </w:r>
    </w:p>
    <w:p>
      <w:pPr>
        <w:spacing w:after="0" w:line="246"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Right-of-use assets represent the Company’s right to use an underlying asset during the lease term and lease liabilities represent the Company’s obligation to make lease payments as specified in the lease. Right-of-use assets and lease liabilities 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information available surrounding the Company’s borrowing rates at the lease commencement date in determining the present value of lease payments. The right-of-use asset also includes any lease payments made at or before lease commencement less any lease incentives. As of March 31, 2020, the Company had right-of-use assets of $6.5 million and lease liabilities related to its operating leases of $6.7 million. Right-of-use assets are included in right-of-use assets, net, on the condensed consolidated balance sheet and lease liabilities related to the Company’s operating leases are included in accrued expenses and other liabilities and other long-term liabilities on the condensed consolidated balance sheet. As of March 31, 2020, the Company’s weighted-average remaining lease term and weighted-average discount rate related to its operating leases were 5.7 years and 9.1%, respectively.</w:t>
      </w:r>
    </w:p>
    <w:p>
      <w:pPr>
        <w:spacing w:after="0" w:line="239"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During the three months ended March 31, 2020 and 2019, the cash paid for amounts included in the measurement of lease liabilities related to the Company’s operating leases was approximately $0.3 million and $0.5 million, respectively, which is included as an operating cash outflow within the consolidated statements of cash flows. During the three months ended March 31, 2020 and 2019, the operating lease costs related to the Company’s operating leases were approximately $0.3 million and $0.5 million, respectively, which is included in operating costs and expenses in the condensed consolidated statements of operations. During the three months ended March 31, 2020, the Company entered into a lease agreement for its new corporate offices for which a right-of-use asset was recorded in exchange for a new lease liability.</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future minimum payments under operating leases were as follows at March 31, 2020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 (remainder)</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w:t>
            </w:r>
          </w:p>
        </w:tc>
      </w:tr>
      <w:tr>
        <w:trPr>
          <w:trHeight w:val="223"/>
        </w:trPr>
        <w:tc>
          <w:tcPr>
            <w:tcW w:w="9760" w:type="dxa"/>
            <w:vAlign w:val="bottom"/>
          </w:tcPr>
          <w:p>
            <w:pPr>
              <w:ind w:left="40"/>
              <w:spacing w:after="0"/>
              <w:rPr>
                <w:sz w:val="20"/>
                <w:szCs w:val="20"/>
                <w:color w:val="auto"/>
              </w:rPr>
            </w:pPr>
            <w:r>
              <w:rPr>
                <w:rFonts w:ascii="Arial" w:cs="Arial" w:eastAsia="Arial" w:hAnsi="Arial"/>
                <w:sz w:val="16"/>
                <w:szCs w:val="16"/>
                <w:color w:val="auto"/>
              </w:rPr>
              <w:t>2021</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1,718</w:t>
            </w:r>
          </w:p>
        </w:tc>
      </w:tr>
      <w:tr>
        <w:trPr>
          <w:trHeight w:val="33"/>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1,463</w:t>
            </w:r>
          </w:p>
        </w:tc>
      </w:tr>
      <w:tr>
        <w:trPr>
          <w:trHeight w:val="223"/>
        </w:trPr>
        <w:tc>
          <w:tcPr>
            <w:tcW w:w="9760" w:type="dxa"/>
            <w:vAlign w:val="bottom"/>
          </w:tcPr>
          <w:p>
            <w:pPr>
              <w:ind w:left="40"/>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1,145</w:t>
            </w:r>
          </w:p>
        </w:tc>
      </w:tr>
      <w:tr>
        <w:trPr>
          <w:trHeight w:val="33"/>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1,015</w:t>
            </w:r>
          </w:p>
        </w:tc>
      </w:tr>
      <w:tr>
        <w:trPr>
          <w:trHeight w:val="224"/>
        </w:trPr>
        <w:tc>
          <w:tcPr>
            <w:tcW w:w="97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2,425</w:t>
            </w:r>
          </w:p>
        </w:tc>
      </w:tr>
      <w:tr>
        <w:trPr>
          <w:trHeight w:val="33"/>
        </w:trPr>
        <w:tc>
          <w:tcPr>
            <w:tcW w:w="9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9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minimum operating lease payments</w:t>
            </w: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8,839</w:t>
            </w:r>
          </w:p>
        </w:tc>
      </w:tr>
      <w:tr>
        <w:trPr>
          <w:trHeight w:val="223"/>
        </w:trPr>
        <w:tc>
          <w:tcPr>
            <w:tcW w:w="9760" w:type="dxa"/>
            <w:vAlign w:val="bottom"/>
          </w:tcPr>
          <w:p>
            <w:pPr>
              <w:ind w:left="40"/>
              <w:spacing w:after="0"/>
              <w:rPr>
                <w:sz w:val="20"/>
                <w:szCs w:val="20"/>
                <w:color w:val="auto"/>
              </w:rPr>
            </w:pPr>
            <w:r>
              <w:rPr>
                <w:rFonts w:ascii="Arial" w:cs="Arial" w:eastAsia="Arial" w:hAnsi="Arial"/>
                <w:sz w:val="16"/>
                <w:szCs w:val="16"/>
                <w:color w:val="auto"/>
              </w:rPr>
              <w:t>Less: amounts representing interest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(2,115)</w:t>
            </w:r>
          </w:p>
        </w:tc>
      </w:tr>
      <w:tr>
        <w:trPr>
          <w:trHeight w:val="33"/>
        </w:trPr>
        <w:tc>
          <w:tcPr>
            <w:tcW w:w="9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9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Present value of net minimum operating lease payments</w:t>
            </w: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6,724</w:t>
            </w:r>
          </w:p>
        </w:tc>
      </w:tr>
      <w:tr>
        <w:trPr>
          <w:trHeight w:val="223"/>
        </w:trPr>
        <w:tc>
          <w:tcPr>
            <w:tcW w:w="976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(1,121)</w:t>
            </w:r>
          </w:p>
        </w:tc>
      </w:tr>
      <w:tr>
        <w:trPr>
          <w:trHeight w:val="33"/>
        </w:trPr>
        <w:tc>
          <w:tcPr>
            <w:tcW w:w="9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9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operating lease obligations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current and long term portion of operating lease obligations are classified within accrued expenses and other current liabilities and other long-term liabilities, respectively, on the condensed consolidated balance sheets.</w:t>
      </w:r>
    </w:p>
    <w:p>
      <w:pPr>
        <w:sectPr>
          <w:pgSz w:w="11900" w:h="16838" w:orient="portrait"/>
          <w:cols w:equalWidth="0" w:num="1">
            <w:col w:w="11220"/>
          </w:cols>
          <w:pgMar w:left="320" w:top="553" w:right="35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20"/>
          </w:cols>
          <w:pgMar w:left="320" w:top="553" w:right="359" w:bottom="1440" w:gutter="0" w:footer="0" w:header="0"/>
          <w:type w:val="continuous"/>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225"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 xml:space="preserve">Prior to January 1, 2019, and as previously disclosed in the Company’s Form 10-K for the year ended December 31, 2018, the Company derived revenue from customers who lease the Company’s monitoring devices. The Company recorded such revenue in accordance with the previous lease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and determined that the leases qualify as operating leases.</w:t>
      </w:r>
    </w:p>
    <w:p>
      <w:pPr>
        <w:spacing w:after="0" w:line="184"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condensed consolidated balance sheets.</w:t>
      </w:r>
    </w:p>
    <w:p>
      <w:pPr>
        <w:spacing w:after="0" w:line="12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will account for the combined component as a single performance obligation under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On March 27, 2020, the President signed into law the Coronavirus Aid, Relief and Economic Security Act (the “CARES Act”), which, along with earlier issued IRS guidance, provides for the deferral of certain taxes. The Company will continue to assess the impact of the CARES Act, as well as any ongoing government guidance related to the coronavirus disease 2019 (“COVID-19”) that may be issued.</w:t>
      </w:r>
    </w:p>
    <w:p>
      <w:pPr>
        <w:spacing w:after="0" w:line="76" w:lineRule="exact"/>
        <w:rPr>
          <w:sz w:val="20"/>
          <w:szCs w:val="20"/>
          <w:color w:val="auto"/>
        </w:rPr>
      </w:pPr>
    </w:p>
    <w:p>
      <w:pPr>
        <w:jc w:val="both"/>
        <w:ind w:right="160" w:firstLine="405"/>
        <w:spacing w:after="0" w:line="311" w:lineRule="auto"/>
        <w:rPr>
          <w:sz w:val="20"/>
          <w:szCs w:val="20"/>
          <w:color w:val="auto"/>
        </w:rPr>
      </w:pPr>
      <w:r>
        <w:rPr>
          <w:rFonts w:ascii="Arial" w:cs="Arial" w:eastAsia="Arial" w:hAnsi="Arial"/>
          <w:sz w:val="16"/>
          <w:szCs w:val="16"/>
          <w:color w:val="auto"/>
        </w:rPr>
        <w:t>The Company’s income tax provision of $0.1 million and $0.2 million for the three months ended March 31, 2020 and 2019, respectively, primarily consists of foreign income taxes at certain of the Company’s international entities and minimum state taxes for its U.S.-based entities. The Company has income tax expense rather than an expected benefit based on statutory rates primarily due to full valuation allowances at most of its entities.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553" w:right="379" w:bottom="1440" w:gutter="0" w:footer="0" w:header="0"/>
        </w:sectPr>
      </w:pPr>
    </w:p>
    <w:bookmarkStart w:id="22" w:name="page23"/>
    <w:bookmarkEnd w:id="22"/>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20" w:lineRule="exact"/>
        <w:rPr>
          <w:sz w:val="20"/>
          <w:szCs w:val="20"/>
          <w:color w:val="auto"/>
        </w:rPr>
      </w:pPr>
    </w:p>
    <w:p>
      <w:pPr>
        <w:ind w:left="620" w:right="260" w:hanging="315"/>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right="580" w:hanging="315"/>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make scheduled payments of the principal of, to pay interest on, or to refinance our indebtedness, including our term loan and convertible notes obligations;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320" w:hanging="315"/>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279"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26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225" w:lineRule="exact"/>
        <w:rPr>
          <w:rFonts w:ascii="Arial" w:cs="Arial" w:eastAsia="Arial" w:hAnsi="Arial"/>
          <w:sz w:val="18"/>
          <w:szCs w:val="18"/>
          <w:color w:val="auto"/>
        </w:rPr>
      </w:pPr>
    </w:p>
    <w:p>
      <w:pPr>
        <w:ind w:left="620" w:right="580" w:hanging="315"/>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of global public health emergencies, such as the recent outbreak of the 2019 novel coronavirus (2019-nCoV), now known as “COVID-19”, which could extend lead times in our supply chain and lengthen sales cycles with our customers;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and indirect effects of COVID-19 on our employees, customers and supply chain and the economy and financial markets;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769" w:right="339" w:bottom="1440" w:gutter="0" w:footer="0" w:header="0"/>
          <w:type w:val="continuous"/>
        </w:sectPr>
      </w:pPr>
    </w:p>
    <w:bookmarkStart w:id="23" w:name="page24"/>
    <w:bookmarkEnd w:id="23"/>
    <w:p>
      <w:pPr>
        <w:ind w:left="620" w:hanging="315"/>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that new or adjusted tariffs may have on the costs of components or our products, and our ability to sell products internationally;</w:t>
      </w:r>
    </w:p>
    <w:p>
      <w:pPr>
        <w:spacing w:after="0" w:line="236" w:lineRule="exact"/>
        <w:rPr>
          <w:rFonts w:ascii="Arial" w:cs="Arial" w:eastAsia="Arial" w:hAnsi="Arial"/>
          <w:sz w:val="17"/>
          <w:szCs w:val="17"/>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wireless broadband data access in industrial IoT markets;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conducting business abroad, including foreign currency risks;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279"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2019 (“Form 10-K”). If one or more events related to these or other risks or uncertainties materialize, or if our underlying assumptions prove to be incorrect, actual results may differ materially from what we anticipate.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“Inseego”, the Inseego logo, “DigiCore”, “Novatel Wireless”, the Novatel Wireless logo, “MiFi”, “MiFi Intelligent Mobile Hotspot”, “Ctrack”, the Ctrack logo, “Inseego North America”, and “Skyus” are trademarks or registered trademarks of Inseego and its subsidiaries. Other trademarks, trade names or service marks used in this report are the property of their respective owners.</w:t>
      </w:r>
    </w:p>
    <w:p>
      <w:pPr>
        <w:spacing w:after="0" w:line="130"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“Inseego” refer to Inseego Corp., a Delaware corporation, and its wholly owned subsidiaries.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449" w:right="379" w:bottom="1440" w:gutter="0" w:footer="0" w:header="0"/>
        </w:sectPr>
      </w:pPr>
    </w:p>
    <w:bookmarkStart w:id="24" w:name="page25"/>
    <w:bookmarkEnd w:id="24"/>
    <w:p>
      <w:pPr>
        <w:jc w:val="both"/>
        <w:ind w:right="60" w:firstLine="391"/>
        <w:spacing w:after="0" w:line="286" w:lineRule="auto"/>
        <w:rPr>
          <w:sz w:val="20"/>
          <w:szCs w:val="20"/>
          <w:color w:val="auto"/>
        </w:rPr>
      </w:pPr>
      <w:r>
        <w:rPr>
          <w:rFonts w:ascii="Arial" w:cs="Arial" w:eastAsia="Arial" w:hAnsi="Arial"/>
          <w:sz w:val="17"/>
          <w:szCs w:val="17"/>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2019, contained in our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Inseego Corp. is a leader in the design and development of fixed and mobile wireless solutions (advanced 4G and 5G NR), Industrial IoT (“IIoT”) and cloud solutions for large enterprise verticals, service providers and small and medium-sized businesses around the globe. Our customers include wireless service providers, Fortune 500 enterprises, consumers, governments and first responders.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fixed wireless access (“FWA”) gateway solutions, 4G and 5G mobile broadband, IIoT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124"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We have been at the forefront of the ways in which the world stays connected and accesses information, and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83" w:lineRule="exact"/>
        <w:rPr>
          <w:sz w:val="20"/>
          <w:szCs w:val="20"/>
          <w:color w:val="auto"/>
        </w:rPr>
      </w:pPr>
    </w:p>
    <w:p>
      <w:pPr>
        <w:ind w:right="120" w:firstLine="405"/>
        <w:spacing w:after="0" w:line="269" w:lineRule="auto"/>
        <w:rPr>
          <w:sz w:val="20"/>
          <w:szCs w:val="20"/>
          <w:color w:val="auto"/>
        </w:rPr>
      </w:pPr>
      <w:r>
        <w:rPr>
          <w:rFonts w:ascii="Arial" w:cs="Arial" w:eastAsia="Arial" w:hAnsi="Arial"/>
          <w:sz w:val="17"/>
          <w:szCs w:val="17"/>
          <w:color w:val="auto"/>
        </w:rPr>
        <w:t>We provide intelligent wireless 3G, 4G and 5G hardware products for the worldwide mobile communications and in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and mobile hotspots, and wireless gateways and routers for IIoT applications, Gb speed 4G LTE hotspots and USB modems and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290"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Our MiFi customer base is comprised of wireless operators to whom we provide intelligent fixed and mobile wireless devices. These wireless operators include Verizon Wireless, AT&amp;T, and Sprint in the United States, Rogers in Canada, Telstra in Australia, as well as other international wireless operators, distributors and various companies in other vertical markets and geographies.</w:t>
      </w:r>
    </w:p>
    <w:p>
      <w:pPr>
        <w:spacing w:after="0" w:line="292"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We sell our wireless routers for IIoT, integrated telematics and mobile tracking hardware devices through our direct sales force, value-added resellers and through distributors. The customer base for our IIoT products is comprised of transportation companies, industrial enterprises,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also sold under our Ctrack brand and provided as part of our integrated SaaS solutions.</w:t>
      </w:r>
    </w:p>
    <w:p>
      <w:pPr>
        <w:spacing w:after="0" w:line="284"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Inseego sells SaaS, software and services solutions across multiple mobile and IIoT vertical markets, including fleet management, vehicle telematics, stolen vehicle recovery, asset tracking, monitoring, business connectivity and subscription management.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49" w:right="339" w:bottom="1440" w:gutter="0" w:footer="0" w:header="0"/>
        </w:sectPr>
      </w:pPr>
    </w:p>
    <w:bookmarkStart w:id="25" w:name="page26"/>
    <w:bookmarkEnd w:id="25"/>
    <w:p>
      <w:pPr>
        <w:jc w:val="both"/>
        <w:ind w:right="340" w:firstLine="405"/>
        <w:spacing w:after="0" w:line="263" w:lineRule="auto"/>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 and our Device Management Solutions, a hosted SaaS platform that helps organizations manage the selection, deployment and spend of their wireless assets by helping them to save money on personnel and telecom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by a number of factors including:</w:t>
      </w:r>
    </w:p>
    <w:p>
      <w:pPr>
        <w:spacing w:after="0" w:line="6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phase-out of earlier generation wireless technologies (such as 3G);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protection measures (such as tariffs and duties) and import or export licensing requirements;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33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anticipate introducing additional products during the next twelve months, including SaaS telematics solutions and additional service offerings, IIoT hardware and services, and other mobile and fixed wireless devices targeting the emerging 5G market. We continue to develop and maintain strategic relationships with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296"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Cost of net revenues includes all costs associated with our contract manufacturers, distribution, fulfillment and repair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including acquisition-related amortization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26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administrative costs.</w:t>
      </w:r>
    </w:p>
    <w:p>
      <w:pPr>
        <w:spacing w:after="0" w:line="278"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254"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25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ectPr>
          <w:pgSz w:w="11900" w:h="16838" w:orient="portrait"/>
          <w:cols w:equalWidth="0" w:num="1">
            <w:col w:w="11220"/>
          </w:cols>
          <w:pgMar w:left="320" w:top="503" w:right="359" w:bottom="1440" w:gutter="0" w:footer="0" w:header="0"/>
        </w:sect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20"/>
          </w:cols>
          <w:pgMar w:left="320" w:top="503" w:right="359" w:bottom="1440" w:gutter="0" w:footer="0" w:header="0"/>
          <w:type w:val="continuous"/>
        </w:sectPr>
      </w:pPr>
    </w:p>
    <w:bookmarkStart w:id="26" w:name="page27"/>
    <w:bookmarkEnd w:id="26"/>
    <w:p>
      <w:pPr>
        <w:jc w:val="both"/>
        <w:ind w:right="60" w:firstLine="405"/>
        <w:spacing w:after="0" w:line="263"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exit-related costs, as well as discontinued operations, if any.</w:t>
      </w:r>
    </w:p>
    <w:p>
      <w:pPr>
        <w:spacing w:after="0" w:line="292"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three months ended March 31, 2020 were $56.8 million, compared to $48.6 million for the same period in 2019.</w:t>
      </w:r>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6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3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7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IoT &amp; Mobile Solutions</w:t>
            </w:r>
          </w:p>
        </w:tc>
        <w:tc>
          <w:tcPr>
            <w:tcW w:w="38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40,381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32,781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16,459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15,775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47"/>
        </w:trPr>
        <w:tc>
          <w:tcPr>
            <w:tcW w:w="40" w:type="dxa"/>
            <w:vAlign w:val="bottom"/>
            <w:tcBorders>
              <w:bottom w:val="single" w:sz="8" w:color="CCEEFF"/>
            </w:tcBorders>
          </w:tcPr>
          <w:p>
            <w:pPr>
              <w:spacing w:after="0"/>
              <w:rPr>
                <w:sz w:val="4"/>
                <w:szCs w:val="4"/>
                <w:color w:val="auto"/>
              </w:rPr>
            </w:pPr>
          </w:p>
        </w:tc>
        <w:tc>
          <w:tcPr>
            <w:tcW w:w="2780" w:type="dxa"/>
            <w:vAlign w:val="bottom"/>
            <w:tcBorders>
              <w:bottom w:val="single" w:sz="8" w:color="CCEEFF"/>
            </w:tcBorders>
          </w:tcPr>
          <w:p>
            <w:pPr>
              <w:spacing w:after="0"/>
              <w:rPr>
                <w:sz w:val="4"/>
                <w:szCs w:val="4"/>
                <w:color w:val="auto"/>
              </w:rPr>
            </w:pPr>
          </w:p>
        </w:tc>
        <w:tc>
          <w:tcPr>
            <w:tcW w:w="38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Total</w:t>
            </w:r>
          </w:p>
        </w:tc>
        <w:tc>
          <w:tcPr>
            <w:tcW w:w="3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56,840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8,284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net revenues is primarily a result of increased sales in our LTE gigabit hotspots and</w:t>
      </w:r>
      <w:r>
        <w:rPr>
          <w:rFonts w:ascii="Arial" w:cs="Arial" w:eastAsia="Arial" w:hAnsi="Arial"/>
          <w:sz w:val="18"/>
          <w:szCs w:val="18"/>
          <w:i w:val="1"/>
          <w:iCs w:val="1"/>
          <w:color w:val="auto"/>
        </w:rPr>
        <w:t xml:space="preserve"> </w:t>
      </w:r>
      <w:r>
        <w:rPr>
          <w:rFonts w:ascii="Arial" w:cs="Arial" w:eastAsia="Arial" w:hAnsi="Arial"/>
          <w:sz w:val="18"/>
          <w:szCs w:val="18"/>
          <w:color w:val="auto"/>
        </w:rPr>
        <w:t>USB modems, the introduction of our 5G hotspot related to our MiFi business, and higher IoT sales.</w:t>
      </w:r>
    </w:p>
    <w:p>
      <w:pPr>
        <w:spacing w:after="0" w:line="278"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i w:val="1"/>
          <w:iCs w:val="1"/>
          <w:color w:val="auto"/>
        </w:rPr>
        <w:t xml:space="preserve">Enterprise SaaS Solutions. </w:t>
      </w:r>
      <w:r>
        <w:rPr>
          <w:rFonts w:ascii="Arial" w:cs="Arial" w:eastAsia="Arial" w:hAnsi="Arial"/>
          <w:sz w:val="17"/>
          <w:szCs w:val="17"/>
          <w:color w:val="auto"/>
        </w:rPr>
        <w:t>The increase in Enterprise SaaS Solutions net revenues is primarily a result of increased Device Management System and</w:t>
      </w:r>
      <w:r>
        <w:rPr>
          <w:rFonts w:ascii="Arial" w:cs="Arial" w:eastAsia="Arial" w:hAnsi="Arial"/>
          <w:sz w:val="17"/>
          <w:szCs w:val="17"/>
          <w:i w:val="1"/>
          <w:iCs w:val="1"/>
          <w:color w:val="auto"/>
        </w:rPr>
        <w:t xml:space="preserve"> </w:t>
      </w:r>
      <w:r>
        <w:rPr>
          <w:rFonts w:ascii="Arial" w:cs="Arial" w:eastAsia="Arial" w:hAnsi="Arial"/>
          <w:sz w:val="17"/>
          <w:szCs w:val="17"/>
          <w:color w:val="auto"/>
        </w:rPr>
        <w:t>Ctrack system revenues, partially offset by the effect of strengthening U.S. Dollar foreign exchange rates on international sales.</w:t>
      </w:r>
    </w:p>
    <w:p>
      <w:pPr>
        <w:spacing w:after="0" w:line="25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March 31, 2020 was $39.6 million, or 69.7%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$33.8 million, or 69.6% of net revenues, for the same period in 2019.</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60" w:type="dxa"/>
            <w:vAlign w:val="bottom"/>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3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7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IoT &amp; Mobile Solutions</w:t>
            </w:r>
          </w:p>
        </w:tc>
        <w:tc>
          <w:tcPr>
            <w:tcW w:w="38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32,864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5,264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6,749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6,196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47"/>
        </w:trPr>
        <w:tc>
          <w:tcPr>
            <w:tcW w:w="40" w:type="dxa"/>
            <w:vAlign w:val="bottom"/>
            <w:tcBorders>
              <w:bottom w:val="single" w:sz="8" w:color="CCEEFF"/>
            </w:tcBorders>
          </w:tcPr>
          <w:p>
            <w:pPr>
              <w:spacing w:after="0"/>
              <w:rPr>
                <w:sz w:val="4"/>
                <w:szCs w:val="4"/>
                <w:color w:val="auto"/>
              </w:rPr>
            </w:pPr>
          </w:p>
        </w:tc>
        <w:tc>
          <w:tcPr>
            <w:tcW w:w="2780" w:type="dxa"/>
            <w:vAlign w:val="bottom"/>
            <w:tcBorders>
              <w:bottom w:val="single" w:sz="8" w:color="CCEEFF"/>
            </w:tcBorders>
          </w:tcPr>
          <w:p>
            <w:pPr>
              <w:spacing w:after="0"/>
              <w:rPr>
                <w:sz w:val="4"/>
                <w:szCs w:val="4"/>
                <w:color w:val="auto"/>
              </w:rPr>
            </w:pPr>
          </w:p>
        </w:tc>
        <w:tc>
          <w:tcPr>
            <w:tcW w:w="38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39,613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33,796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5,817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increase in IoT &amp; Mobile Solutions cost of net revenues is primarily a result of the increased sales in our LTE gigabit</w:t>
      </w:r>
      <w:r>
        <w:rPr>
          <w:rFonts w:ascii="Arial" w:cs="Arial" w:eastAsia="Arial" w:hAnsi="Arial"/>
          <w:sz w:val="18"/>
          <w:szCs w:val="18"/>
          <w:i w:val="1"/>
          <w:iCs w:val="1"/>
          <w:color w:val="auto"/>
        </w:rPr>
        <w:t xml:space="preserve"> </w:t>
      </w:r>
      <w:r>
        <w:rPr>
          <w:rFonts w:ascii="Arial" w:cs="Arial" w:eastAsia="Arial" w:hAnsi="Arial"/>
          <w:sz w:val="18"/>
          <w:szCs w:val="18"/>
          <w:color w:val="auto"/>
        </w:rPr>
        <w:t>hotspots, USB modems, 5G hotspots, and IoT products as well as associated expenses such as freight and royalties.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03" w:right="339" w:bottom="1440" w:gutter="0" w:footer="0" w:header="0"/>
        </w:sectPr>
      </w:pPr>
    </w:p>
    <w:bookmarkStart w:id="27" w:name="page28"/>
    <w:bookmarkEnd w:id="27"/>
    <w:p>
      <w:pPr>
        <w:ind w:right="40" w:firstLine="405"/>
        <w:spacing w:after="0" w:line="342" w:lineRule="auto"/>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Enterprise SaaS Solutions cost of net revenues increased as a result of higher costs to service Device Management System</w:t>
      </w:r>
      <w:r>
        <w:rPr>
          <w:rFonts w:ascii="Arial" w:cs="Arial" w:eastAsia="Arial" w:hAnsi="Arial"/>
          <w:sz w:val="16"/>
          <w:szCs w:val="16"/>
          <w:i w:val="1"/>
          <w:iCs w:val="1"/>
          <w:color w:val="auto"/>
        </w:rPr>
        <w:t xml:space="preserve"> </w:t>
      </w:r>
      <w:r>
        <w:rPr>
          <w:rFonts w:ascii="Arial" w:cs="Arial" w:eastAsia="Arial" w:hAnsi="Arial"/>
          <w:sz w:val="16"/>
          <w:szCs w:val="16"/>
          <w:color w:val="auto"/>
        </w:rPr>
        <w:t>and increased Ctrack system revenues, partially offset by the effect of strengthening U.S. Dollar foreign exchange rates on international costs.</w:t>
      </w:r>
    </w:p>
    <w:p>
      <w:pPr>
        <w:spacing w:after="0" w:line="232"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March 31, 2020 was $17.2 million, or a gross margin of 30.3%, compared to $14.8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30.4%, for the same period in 2019. The increase in gross profit was primarily attributable to the increase in IoT &amp; Mobile Solutions revenues, improvements in MiFi gross margins, and the effect of strengthening U.S. Dollar foreign exchange rates.</w:t>
      </w:r>
    </w:p>
    <w:p>
      <w:pPr>
        <w:spacing w:after="0" w:line="292"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March 31, 2020 were $8.2 million, or 14.5%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net revenues, compared to $3.5 million, or 7.2% of net revenues, for the same period in 2019. The increase was primarily a result of increased staffing, test units, and other development spending related to 5G product programs.</w:t>
      </w:r>
    </w:p>
    <w:p>
      <w:pPr>
        <w:spacing w:after="0" w:line="292" w:lineRule="exact"/>
        <w:rPr>
          <w:sz w:val="20"/>
          <w:szCs w:val="20"/>
          <w:color w:val="auto"/>
        </w:rPr>
      </w:pPr>
    </w:p>
    <w:p>
      <w:pPr>
        <w:ind w:right="640" w:firstLine="405"/>
        <w:spacing w:after="0" w:line="263"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March 31, 2020 were $8.8 million, or 15.4%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compared to $6.4 million, or 13.2% of net revenues, for the same period in 2019. The increase was primarily a result of an increase in employment costs attributable to an increase in headcount.</w:t>
      </w:r>
    </w:p>
    <w:p>
      <w:pPr>
        <w:spacing w:after="0" w:line="292"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March 31, 2020 were $7.2 million, or 12.6%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net revenues, compared to $6.5 million, or 13.3% of net revenues, for the same period in 2019. The increase was primarily a result of an increase in employment costs attributable to an increase in headcount and non-recurring legal fees.</w:t>
      </w:r>
    </w:p>
    <w:p>
      <w:pPr>
        <w:spacing w:after="0" w:line="288" w:lineRule="exact"/>
        <w:rPr>
          <w:sz w:val="20"/>
          <w:szCs w:val="20"/>
          <w:color w:val="auto"/>
        </w:rPr>
      </w:pPr>
    </w:p>
    <w:p>
      <w:pPr>
        <w:ind w:right="120"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for the three months ended March 31, 2020 and 2019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$0.8 million and $0.9 million, respectively.</w:t>
      </w:r>
    </w:p>
    <w:p>
      <w:pPr>
        <w:spacing w:after="0" w:line="27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Inducement expense. </w:t>
      </w:r>
      <w:r>
        <w:rPr>
          <w:rFonts w:ascii="Arial" w:cs="Arial" w:eastAsia="Arial" w:hAnsi="Arial"/>
          <w:sz w:val="18"/>
          <w:szCs w:val="18"/>
          <w:color w:val="auto"/>
        </w:rPr>
        <w:t>The inducement expense of $7.9 million for the three months ended March 31, 2020 is related to the fair value of inducement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issued in the privately-negotiated exchange transactions with certain holders of the Inseego Notes.</w:t>
      </w:r>
    </w:p>
    <w:p>
      <w:pPr>
        <w:spacing w:after="0" w:line="278"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the three months ended March 31, 2020 and 2019 was $3.4 million and $5.1 million, respectively.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in interest expense was due to the reduction in debt associated with the conversion of debt into equity in the three months ended March 31, 2020.</w:t>
      </w:r>
    </w:p>
    <w:p>
      <w:pPr>
        <w:spacing w:after="0" w:line="23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the three months ended March 31, 2020 and 2019 was $1.0 million and $0.3 million, respectively,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consisted of foreign currency transaction gains and losses.</w:t>
      </w:r>
    </w:p>
    <w:p>
      <w:pPr>
        <w:spacing w:after="0" w:line="27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three months ended March 31, 2020 and 2019 was $0.1 million and $0.2 million,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primarily related to certain of our profitable entities in foreign jurisdictions.</w:t>
      </w:r>
    </w:p>
    <w:p>
      <w:pPr>
        <w:spacing w:after="0" w:line="27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Net income attributable to noncontrolling interests. </w:t>
      </w:r>
      <w:r>
        <w:rPr>
          <w:rFonts w:ascii="Arial" w:cs="Arial" w:eastAsia="Arial" w:hAnsi="Arial"/>
          <w:sz w:val="18"/>
          <w:szCs w:val="18"/>
          <w:color w:val="auto"/>
        </w:rPr>
        <w:t>Net income attributable to noncontrolling interests for the three months ended March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$32,000, compared to a net income attributable to noncontrolling interests of $14,000 for the same period in 2019.</w:t>
      </w:r>
    </w:p>
    <w:p>
      <w:pPr>
        <w:spacing w:after="0" w:line="116"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Series E preferred stock dividends. </w:t>
      </w:r>
      <w:r>
        <w:rPr>
          <w:rFonts w:ascii="Arial" w:cs="Arial" w:eastAsia="Arial" w:hAnsi="Arial"/>
          <w:sz w:val="18"/>
          <w:szCs w:val="18"/>
          <w:color w:val="auto"/>
        </w:rPr>
        <w:t>During the three months ended March 31, 2020, we recorded dividends of $0.4 million on our Fixed-Rate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Cumulative Perpetual Preferred Stock, Series E, par value $0.001 per share (the “Series E Preferred Stock”).</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have Series E Preferred Stock dividends during the same period in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Our principal sources of liquidity are our existing cash and cash equivalents and cash generated from operations and financing sources. As of</w:t>
      </w:r>
    </w:p>
    <w:p>
      <w:pPr>
        <w:spacing w:after="0" w:line="3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March 31, 2020, we had cash and cash equivalents of $30.5 million compared with cash and cash equivalents of $12.1 million as of December 31, 2019.</w:t>
      </w:r>
    </w:p>
    <w:p>
      <w:pPr>
        <w:spacing w:after="0" w:line="288"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On August 6, 2018, the Company completed a private placement of 12,062,000 shares of common stock and warrants to purchase an additional 4,221,700 shares of common stock (the “2018 Warrants”).</w:t>
      </w:r>
    </w:p>
    <w:p>
      <w:pPr>
        <w:spacing w:after="0" w:line="278" w:lineRule="exact"/>
        <w:rPr>
          <w:sz w:val="20"/>
          <w:szCs w:val="20"/>
          <w:color w:val="auto"/>
        </w:rPr>
      </w:pPr>
    </w:p>
    <w:p>
      <w:pPr>
        <w:jc w:val="both"/>
        <w:ind w:right="620" w:firstLine="405"/>
        <w:spacing w:after="0" w:line="263" w:lineRule="auto"/>
        <w:rPr>
          <w:sz w:val="20"/>
          <w:szCs w:val="20"/>
          <w:color w:val="auto"/>
        </w:rPr>
      </w:pPr>
      <w:r>
        <w:rPr>
          <w:rFonts w:ascii="Arial" w:cs="Arial" w:eastAsia="Arial" w:hAnsi="Arial"/>
          <w:sz w:val="18"/>
          <w:szCs w:val="18"/>
          <w:color w:val="auto"/>
        </w:rPr>
        <w:t>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new warrants have an initial exercise</w:t>
      </w:r>
    </w:p>
    <w:p>
      <w:pPr>
        <w:sectPr>
          <w:pgSz w:w="11900" w:h="16838" w:orient="portrait"/>
          <w:cols w:equalWidth="0" w:num="1">
            <w:col w:w="11220"/>
          </w:cols>
          <w:pgMar w:left="320" w:top="503" w:right="359" w:bottom="1440" w:gutter="0" w:footer="0" w:header="0"/>
        </w:sect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20"/>
          </w:cols>
          <w:pgMar w:left="320" w:top="503" w:right="359" w:bottom="1440" w:gutter="0" w:footer="0" w:header="0"/>
          <w:type w:val="continuous"/>
        </w:sectPr>
      </w:pPr>
    </w:p>
    <w:bookmarkStart w:id="28" w:name="page29"/>
    <w:bookmarkEnd w:id="28"/>
    <w:p>
      <w:pPr>
        <w:ind w:right="100"/>
        <w:spacing w:after="0" w:line="277" w:lineRule="auto"/>
        <w:rPr>
          <w:sz w:val="20"/>
          <w:szCs w:val="20"/>
          <w:color w:val="auto"/>
        </w:rPr>
      </w:pPr>
      <w:r>
        <w:rPr>
          <w:rFonts w:ascii="Arial" w:cs="Arial" w:eastAsia="Arial" w:hAnsi="Arial"/>
          <w:sz w:val="18"/>
          <w:szCs w:val="18"/>
          <w:color w:val="auto"/>
        </w:rPr>
        <w:t>price of $7.00 per share, subject to adjustment for stock splits, reverse stock splits, stock dividends and similar transactions, will be exercisable at any time on or after September 28, 2019, and will expire on June 30, 2022.</w:t>
      </w:r>
    </w:p>
    <w:p>
      <w:pPr>
        <w:spacing w:after="0" w:line="278"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On March 6, 2020, the Company completed a private placement of 25,000 additional shares of Series E Preferred Stock, for an aggregate purchase price of $25.0 million in accordance with the terms and provisions of a Securities Purchase Agreement, dated March 6, 2020, by and among the Company and an accredited investor.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79" w:lineRule="exact"/>
        <w:rPr>
          <w:sz w:val="20"/>
          <w:szCs w:val="20"/>
          <w:color w:val="auto"/>
        </w:rPr>
      </w:pPr>
    </w:p>
    <w:p>
      <w:pPr>
        <w:ind w:right="420" w:firstLine="405"/>
        <w:spacing w:after="0" w:line="257" w:lineRule="auto"/>
        <w:rPr>
          <w:sz w:val="20"/>
          <w:szCs w:val="20"/>
          <w:color w:val="auto"/>
        </w:rPr>
      </w:pPr>
      <w:r>
        <w:rPr>
          <w:rFonts w:ascii="Arial" w:cs="Arial" w:eastAsia="Arial" w:hAnsi="Arial"/>
          <w:sz w:val="18"/>
          <w:szCs w:val="18"/>
          <w:color w:val="auto"/>
        </w:rPr>
        <w:t>On August 23, 2017, we, and certain of our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us with a term loan in the principal amount of $48.0 million (the “Term Loan”) with a maturity date of August 23, 2020 (the “Maturity Date”). Related parties currently hold 100% of the principal amount.</w:t>
      </w:r>
    </w:p>
    <w:p>
      <w:pPr>
        <w:spacing w:after="0" w:line="18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 $14.9 million of its outstanding Inseego Notes pursuant to the terms of the Note Purchase Agreement (as defined below). The Company paid issuance costs of approximately $0.5 million. Additionally, the Company issued shares of its common stock and accrued an exit fee, which, when combined with the original debt discount and commitment fee, resulted in a total debt discount of approximately $4.0 million.</w:t>
      </w:r>
    </w:p>
    <w:p>
      <w:pPr>
        <w:spacing w:after="0" w:line="246" w:lineRule="exact"/>
        <w:rPr>
          <w:sz w:val="20"/>
          <w:szCs w:val="20"/>
          <w:color w:val="auto"/>
        </w:rPr>
      </w:pPr>
    </w:p>
    <w:p>
      <w:pPr>
        <w:ind w:right="40" w:firstLine="391"/>
        <w:spacing w:after="0" w:line="291" w:lineRule="auto"/>
        <w:rPr>
          <w:sz w:val="20"/>
          <w:szCs w:val="20"/>
          <w:color w:val="auto"/>
        </w:rPr>
      </w:pPr>
      <w:r>
        <w:rPr>
          <w:rFonts w:ascii="Arial" w:cs="Arial" w:eastAsia="Arial" w:hAnsi="Arial"/>
          <w:sz w:val="16"/>
          <w:szCs w:val="16"/>
          <w:color w:val="auto"/>
        </w:rPr>
        <w:t>The Term Loan is secured by a first priority lien on substantially all of the assets of the Company and the Guarantors, including equity interests in certain of our direct and indirect subsidiaries, in each case subject to certain customary exceptions and permitted liens. The Credit Agreement includes customary representations and warranties, a material adverse change clause, as well as customary reporting and financial covenants, including a restriction on the Company’s capital expenditures. The Company obtained a waiver of the capital expenditure restriction from the lender during the quarter ended March 31, 2020. As a result of the waiver, as of March 31, 2020, the Company was in compliance with all financial covenants under the Credit Agreement. On March 9, 2020, we entered into an amendment to the Credit Agreement, which among other things, amended certain financial covenants set forth therein and permits the use of our Series E Preferred Stock to make certain payments, including interest payments, due thereunder.</w:t>
      </w:r>
    </w:p>
    <w:p>
      <w:pPr>
        <w:spacing w:after="0" w:line="274" w:lineRule="exact"/>
        <w:rPr>
          <w:sz w:val="20"/>
          <w:szCs w:val="20"/>
          <w:color w:val="auto"/>
        </w:rPr>
      </w:pPr>
    </w:p>
    <w:p>
      <w:pPr>
        <w:ind w:right="220" w:firstLine="391"/>
        <w:spacing w:after="0" w:line="263" w:lineRule="auto"/>
        <w:rPr>
          <w:sz w:val="20"/>
          <w:szCs w:val="20"/>
          <w:color w:val="auto"/>
        </w:rPr>
      </w:pPr>
      <w:r>
        <w:rPr>
          <w:rFonts w:ascii="Arial" w:cs="Arial" w:eastAsia="Arial" w:hAnsi="Arial"/>
          <w:sz w:val="18"/>
          <w:szCs w:val="18"/>
          <w:color w:val="auto"/>
        </w:rPr>
        <w:t>On March 31, 2020, Inseego Corp. issued 2,330 shares of Series E Preferred Stock to South Ocean, the lender holding all of the aggregate principal amount currently outstanding under the Credit Agreement in satisfaction of all accrued interest under the Credit Agreement. Accordingly, there was no interest payable on the Term Loan as of March 31, 2020.</w:t>
      </w:r>
    </w:p>
    <w:p>
      <w:pPr>
        <w:spacing w:after="0" w:line="292" w:lineRule="exact"/>
        <w:rPr>
          <w:sz w:val="20"/>
          <w:szCs w:val="20"/>
          <w:color w:val="auto"/>
        </w:rPr>
      </w:pPr>
    </w:p>
    <w:p>
      <w:pPr>
        <w:jc w:val="both"/>
        <w:ind w:firstLine="391"/>
        <w:spacing w:after="0" w:line="257" w:lineRule="auto"/>
        <w:rPr>
          <w:sz w:val="20"/>
          <w:szCs w:val="20"/>
          <w:color w:val="auto"/>
        </w:rPr>
      </w:pPr>
      <w:r>
        <w:rPr>
          <w:rFonts w:ascii="Arial" w:cs="Arial" w:eastAsia="Arial" w:hAnsi="Arial"/>
          <w:sz w:val="18"/>
          <w:szCs w:val="18"/>
          <w:color w:val="auto"/>
        </w:rPr>
        <w:t>On March 10, 2020, the Company entered into a letter agreement (the “Letter Agreement”) with South Ocean, which provides: (i) that the Company and South Ocean will work together, in good faith, to reach an agreement to amend or refinance the Credit Agreement in order to extend the Maturity Date of the Credit Agreement until a date after March 15, 2021; and (ii) should an agreement not be reached to amend or refinance the Credit Agreement prior to August 23, 2020, upon request of the Company, the Maturity Date of the Credit Agreement will be extended to no earlier than March 15, 2021. Principal on the Term Loan is payable on the Maturity Date.</w:t>
      </w:r>
    </w:p>
    <w:p>
      <w:pPr>
        <w:spacing w:after="0" w:line="242"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The Term Loan bears interest at a rate per annum equal to the three-month LIBOR, but in no event less than 1.00%, plus 7.625% (9.238% at March 31, 2020). Interest on the Term Loan is payable on the last business day of each calendar month and on the Maturity Date. Principal on the Term Loan is payable on the Maturity Date.</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Related parties currently hold 100% of the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On June 10, 2015, Novatel Wireless, Inc., a wholly owned subsidiary of Inseego Corp. (“Novatel Wireless”), issued $120.0 million of 5.50% convertible senior notes due 2020 (the “Novatel Wireless Notes”), which were governed by the terms of an indenture, dated June 10, 2015, between Novatel Wireless, as issuer, Inseego and Wilmington Trust, National Association, as trustee, as amended by certain supplemental indentures (the “Novatel Indenture”). On January 9, 2017, in connection with the settlement of an exchange offer and consent solicitation with respect to the Novatel Wireless Notes (the “Note Exchange”), approximately $119.8 million aggregate principal amount of outstanding Novatel Wireless Notes that were validly tendered and accepted for exchange and subsequently canceled. In February 2020, the holders of the remaining $250,000 of the aggregate principal amount of Novatel Wireless Notes that remained outstanding following the Note Exchange, converted their Novatel Wireless Notes into 50,000 shares of our common stock, at the conversion price of $5.00 per share, in accordance with the terms of the Novatel Indenture. Accordingly, no Novatel Wireless Notes were outstanding as of March 31, 2020.</w:t>
      </w:r>
    </w:p>
    <w:p>
      <w:pPr>
        <w:sectPr>
          <w:pgSz w:w="11900" w:h="16838" w:orient="portrait"/>
          <w:cols w:equalWidth="0" w:num="1">
            <w:col w:w="11240"/>
          </w:cols>
          <w:pgMar w:left="320" w:top="503" w:right="339" w:bottom="144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503" w:right="339" w:bottom="1440" w:gutter="0" w:footer="0" w:header="0"/>
          <w:type w:val="continuous"/>
        </w:sectPr>
      </w:pPr>
    </w:p>
    <w:bookmarkStart w:id="29" w:name="page30"/>
    <w:bookmarkEnd w:id="29"/>
    <w:p>
      <w:pPr>
        <w:ind w:right="20" w:firstLine="405"/>
        <w:spacing w:after="0" w:line="277" w:lineRule="auto"/>
        <w:rPr>
          <w:sz w:val="20"/>
          <w:szCs w:val="20"/>
          <w:color w:val="auto"/>
        </w:rPr>
      </w:pPr>
      <w:r>
        <w:rPr>
          <w:rFonts w:ascii="Arial" w:cs="Arial" w:eastAsia="Arial" w:hAnsi="Arial"/>
          <w:sz w:val="18"/>
          <w:szCs w:val="18"/>
          <w:color w:val="auto"/>
        </w:rPr>
        <w:t>On January 9, 2017, in connection with the Note Exchange, we issued approximately $119.8 million aggregate principal amount of 5.50% convertible senior notes due 2022 (the “Inseego Notes”).</w:t>
      </w:r>
    </w:p>
    <w:p>
      <w:pPr>
        <w:spacing w:after="0" w:line="224" w:lineRule="exact"/>
        <w:rPr>
          <w:sz w:val="20"/>
          <w:szCs w:val="20"/>
          <w:color w:val="auto"/>
        </w:rPr>
      </w:pPr>
    </w:p>
    <w:p>
      <w:pPr>
        <w:ind w:right="140" w:firstLine="391"/>
        <w:spacing w:after="0" w:line="279" w:lineRule="auto"/>
        <w:rPr>
          <w:sz w:val="20"/>
          <w:szCs w:val="20"/>
          <w:color w:val="auto"/>
        </w:rPr>
      </w:pPr>
      <w:r>
        <w:rPr>
          <w:rFonts w:ascii="Arial" w:cs="Arial" w:eastAsia="Arial" w:hAnsi="Arial"/>
          <w:sz w:val="17"/>
          <w:szCs w:val="17"/>
          <w:color w:val="auto"/>
        </w:rPr>
        <w:t>The Inseego Notes are governed by the terms of an indenture, dated January 9, 2017 (as amended by certain supplemental indentures, the “Inseego Indenture”), between the Company, as issuer, and Wilmington Trust, National Association, as trustee (the “Trustee). The Inseego Notes are senior unsecured obligations of the Company and bear interest at a rate of 5.50% per year, payable semi-annually in arrears on June 15 and December 15 of each year. The Inseego Notes will mature on June 15, 2022, unless earlier converted, redeemed or repurchased.</w:t>
      </w:r>
    </w:p>
    <w:p>
      <w:pPr>
        <w:spacing w:after="0" w:line="279" w:lineRule="exact"/>
        <w:rPr>
          <w:sz w:val="20"/>
          <w:szCs w:val="20"/>
          <w:color w:val="auto"/>
        </w:rPr>
      </w:pPr>
    </w:p>
    <w:p>
      <w:pPr>
        <w:jc w:val="both"/>
        <w:ind w:right="220" w:firstLine="391"/>
        <w:spacing w:after="0" w:line="342" w:lineRule="auto"/>
        <w:rPr>
          <w:sz w:val="20"/>
          <w:szCs w:val="20"/>
          <w:color w:val="auto"/>
        </w:rPr>
      </w:pPr>
      <w:r>
        <w:rPr>
          <w:rFonts w:ascii="Arial" w:cs="Arial" w:eastAsia="Arial" w:hAnsi="Arial"/>
          <w:sz w:val="16"/>
          <w:szCs w:val="16"/>
          <w:color w:val="auto"/>
        </w:rPr>
        <w:t>The Inseego Notes will be convertible by the holders into cash, shares of the Company’s common stock, or a combination thereof, at the election of the Company, at any time on or after December 15, 2021 and prior to the close of business on the business day immediately preceding the maturity date.</w:t>
      </w:r>
    </w:p>
    <w:p>
      <w:pPr>
        <w:spacing w:after="0" w:line="232" w:lineRule="exact"/>
        <w:rPr>
          <w:sz w:val="20"/>
          <w:szCs w:val="20"/>
          <w:color w:val="auto"/>
        </w:rPr>
      </w:pPr>
    </w:p>
    <w:p>
      <w:pPr>
        <w:ind w:right="100" w:firstLine="391"/>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December 15, 2021, holders may convert their Inseego Notes at their option only under the following circumstances:</w:t>
      </w:r>
    </w:p>
    <w:p>
      <w:pPr>
        <w:spacing w:after="0" w:line="116" w:lineRule="exact"/>
        <w:rPr>
          <w:sz w:val="20"/>
          <w:szCs w:val="20"/>
          <w:color w:val="auto"/>
        </w:rPr>
      </w:pPr>
    </w:p>
    <w:p>
      <w:pPr>
        <w:ind w:left="580" w:hanging="329"/>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any calendar quarter (and only during such calendar quarter), if the last reported sale price of the Company’s common stock for at least 20</w:t>
      </w:r>
    </w:p>
    <w:p>
      <w:pPr>
        <w:spacing w:after="0" w:line="46" w:lineRule="exact"/>
        <w:rPr>
          <w:rFonts w:ascii="Arial" w:cs="Arial" w:eastAsia="Arial" w:hAnsi="Arial"/>
          <w:sz w:val="16"/>
          <w:szCs w:val="16"/>
          <w:color w:val="auto"/>
        </w:rPr>
      </w:pPr>
    </w:p>
    <w:p>
      <w:pPr>
        <w:ind w:left="820" w:right="440"/>
        <w:spacing w:after="0" w:line="250" w:lineRule="auto"/>
        <w:rPr>
          <w:rFonts w:ascii="Arial" w:cs="Arial" w:eastAsia="Arial" w:hAnsi="Arial"/>
          <w:sz w:val="16"/>
          <w:szCs w:val="16"/>
          <w:color w:val="auto"/>
        </w:rPr>
      </w:pPr>
      <w:r>
        <w:rPr>
          <w:rFonts w:ascii="Arial" w:cs="Arial" w:eastAsia="Arial" w:hAnsi="Arial"/>
          <w:sz w:val="18"/>
          <w:szCs w:val="18"/>
          <w:color w:val="auto"/>
        </w:rPr>
        <w:t>trading days (whether or not consecutive) during a period of 30 consecutive trading days ending on the last trading day of the immediately preceding calendar quarter equals or exceeds 130% of the conversion price on such trading day;</w:t>
      </w:r>
    </w:p>
    <w:p>
      <w:pPr>
        <w:ind w:left="820" w:right="20" w:hanging="569"/>
        <w:spacing w:after="0" w:line="281" w:lineRule="auto"/>
        <w:tabs>
          <w:tab w:leader="none" w:pos="568"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the five consecutive business day period immediately after any five consecutive trading day period (the “Measurement Period”) in which the trading price per $1,000 principal amount of the Inseego Notes for each trading day of the Measurement Period was less than 98% of the product of the last reported sale price per share of the Company’s common stock and the conversion rate on each such trading day;</w:t>
      </w:r>
    </w:p>
    <w:p>
      <w:pPr>
        <w:spacing w:after="0" w:line="1" w:lineRule="exact"/>
        <w:rPr>
          <w:rFonts w:ascii="Arial" w:cs="Arial" w:eastAsia="Arial" w:hAnsi="Arial"/>
          <w:sz w:val="16"/>
          <w:szCs w:val="16"/>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occurrence of certain corporate events specified in the Inseego Indenture; or</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Company has called the Inseego Notes for redemption.</w:t>
      </w:r>
    </w:p>
    <w:p>
      <w:pPr>
        <w:spacing w:after="0" w:line="211" w:lineRule="exact"/>
        <w:rPr>
          <w:sz w:val="20"/>
          <w:szCs w:val="20"/>
          <w:color w:val="auto"/>
        </w:rPr>
      </w:pPr>
    </w:p>
    <w:p>
      <w:pPr>
        <w:jc w:val="both"/>
        <w:ind w:right="20" w:firstLine="391"/>
        <w:spacing w:after="0" w:line="342" w:lineRule="auto"/>
        <w:rPr>
          <w:sz w:val="20"/>
          <w:szCs w:val="20"/>
          <w:color w:val="auto"/>
        </w:rPr>
      </w:pPr>
      <w:r>
        <w:rPr>
          <w:rFonts w:ascii="Arial" w:cs="Arial" w:eastAsia="Arial" w:hAnsi="Arial"/>
          <w:sz w:val="16"/>
          <w:szCs w:val="16"/>
          <w:color w:val="auto"/>
        </w:rPr>
        <w:t>Because the sale price condition (as defined in the Inseego Indenture) was satisfied during December 2019, the Inseego Notes were convertible during the first quarter of 2020. The sale price condition was not satisfied as of March 31, 2020. Accordingly, the Inseego Notes are not currently convertible.</w:t>
      </w:r>
    </w:p>
    <w:p>
      <w:pPr>
        <w:spacing w:after="0" w:line="124" w:lineRule="exact"/>
        <w:rPr>
          <w:sz w:val="20"/>
          <w:szCs w:val="20"/>
          <w:color w:val="auto"/>
        </w:rPr>
      </w:pPr>
    </w:p>
    <w:p>
      <w:pPr>
        <w:jc w:val="both"/>
        <w:ind w:firstLine="391"/>
        <w:spacing w:after="0" w:line="263" w:lineRule="auto"/>
        <w:rPr>
          <w:sz w:val="20"/>
          <w:szCs w:val="20"/>
          <w:color w:val="auto"/>
        </w:rPr>
      </w:pPr>
      <w:r>
        <w:rPr>
          <w:rFonts w:ascii="Arial" w:cs="Arial" w:eastAsia="Arial" w:hAnsi="Arial"/>
          <w:sz w:val="18"/>
          <w:szCs w:val="18"/>
          <w:color w:val="auto"/>
        </w:rPr>
        <w:t>The conversion rate for the Inseego Notes is 212.7660 shares of common stock per $1,000 principal amount of the Inseego Notes, which corresponds to a conversion price of $4.70 per share of our common stock. The conversion rate is subject to adjustment from time to time upon the occurrence of certain events, including, but not limited to, the issuance of stock dividends and payment of cash dividends.</w:t>
      </w:r>
    </w:p>
    <w:p>
      <w:pPr>
        <w:spacing w:after="0" w:line="130" w:lineRule="exact"/>
        <w:rPr>
          <w:sz w:val="20"/>
          <w:szCs w:val="20"/>
          <w:color w:val="auto"/>
        </w:rPr>
      </w:pPr>
    </w:p>
    <w:p>
      <w:pPr>
        <w:ind w:right="200" w:firstLine="391"/>
        <w:spacing w:after="0" w:line="291" w:lineRule="auto"/>
        <w:rPr>
          <w:sz w:val="20"/>
          <w:szCs w:val="20"/>
          <w:color w:val="auto"/>
        </w:rPr>
      </w:pPr>
      <w:r>
        <w:rPr>
          <w:rFonts w:ascii="Arial" w:cs="Arial" w:eastAsia="Arial" w:hAnsi="Arial"/>
          <w:sz w:val="16"/>
          <w:szCs w:val="16"/>
          <w:color w:val="auto"/>
        </w:rPr>
        <w:t>We may redeem all or a portion of the Inseego Notes at its option if the last reported sale price per share of the Company’s common stock equals or exceeds 140% of the conversion price for each of at least 20 trading days (whether or not consecutive) during the 30 consecutive trading days ending on, and including, the trading day immediately prior to the date on which the Company provides written notice of redemption, at a redemption price equal to 100% of the principal amount of the Inseego Notes to be redeemed, plus any accrued and unpaid interest on such Inseego Notes, subject to the right of holders as of the close of business on an interest record date to receive the related interest. In addition, if the Company calls the Inseego Notes for redemption, a “make-whole fundamental change” (as defined in the Inseego Indenture) will be deemed to occur. As a result, the Company will, in certain circumstances, increase the conversion rate for holders who convert their Inseego Notes in connection with such redemption.</w:t>
      </w:r>
    </w:p>
    <w:p>
      <w:pPr>
        <w:spacing w:after="0" w:line="274" w:lineRule="exact"/>
        <w:rPr>
          <w:sz w:val="20"/>
          <w:szCs w:val="20"/>
          <w:color w:val="auto"/>
        </w:rPr>
      </w:pPr>
    </w:p>
    <w:p>
      <w:pPr>
        <w:ind w:right="120" w:firstLine="391"/>
        <w:spacing w:after="0" w:line="275" w:lineRule="auto"/>
        <w:rPr>
          <w:sz w:val="20"/>
          <w:szCs w:val="20"/>
          <w:color w:val="auto"/>
        </w:rPr>
      </w:pPr>
      <w:r>
        <w:rPr>
          <w:rFonts w:ascii="Arial" w:cs="Arial" w:eastAsia="Arial" w:hAnsi="Arial"/>
          <w:sz w:val="17"/>
          <w:szCs w:val="17"/>
          <w:color w:val="auto"/>
        </w:rPr>
        <w:t>The Inseego Notes are subject to repurchase by the Company at the election of each holder on June 15, 2020 (the “Optional Repurchase Date”) at a repurchase price in cash equal to 100% of the principal amount of the Inseego Notes to be repurchased, plus accrued and unpaid interest to, but excluding, the Optional Repurchase Date, subject to the right of holders of the Inseego Notes on a record date to receive interest through the corresponding interest payment date. On March 6, 2020, the holders of substantially all of the outstanding indebtedness under the notes agreed to waive their optional right to require the Company to repurchase the notes on the Optional Repurchase Date.</w:t>
      </w:r>
    </w:p>
    <w:p>
      <w:pPr>
        <w:spacing w:after="0" w:line="122" w:lineRule="exact"/>
        <w:rPr>
          <w:sz w:val="20"/>
          <w:szCs w:val="20"/>
          <w:color w:val="auto"/>
        </w:rPr>
      </w:pPr>
    </w:p>
    <w:p>
      <w:pPr>
        <w:ind w:right="560" w:firstLine="391"/>
        <w:spacing w:after="0" w:line="277" w:lineRule="auto"/>
        <w:rPr>
          <w:sz w:val="20"/>
          <w:szCs w:val="20"/>
          <w:color w:val="auto"/>
        </w:rPr>
      </w:pPr>
      <w:r>
        <w:rPr>
          <w:rFonts w:ascii="Arial" w:cs="Arial" w:eastAsia="Arial" w:hAnsi="Arial"/>
          <w:sz w:val="18"/>
          <w:szCs w:val="18"/>
          <w:color w:val="auto"/>
        </w:rPr>
        <w:t>On March 3, 2020 the Company and the Trustee entered into a First Supplemental Indenture which eliminated certain covenants in the Inseego Indenture prohibiting the incurrence of certain indebtedness and certain restricted payments.</w:t>
      </w:r>
    </w:p>
    <w:p>
      <w:pPr>
        <w:spacing w:after="0" w:line="116" w:lineRule="exact"/>
        <w:rPr>
          <w:sz w:val="20"/>
          <w:szCs w:val="20"/>
          <w:color w:val="auto"/>
        </w:rPr>
      </w:pPr>
    </w:p>
    <w:p>
      <w:pPr>
        <w:ind w:right="120" w:firstLine="391"/>
        <w:spacing w:after="0" w:line="257" w:lineRule="auto"/>
        <w:rPr>
          <w:sz w:val="20"/>
          <w:szCs w:val="20"/>
          <w:color w:val="auto"/>
        </w:rPr>
      </w:pPr>
      <w:r>
        <w:rPr>
          <w:rFonts w:ascii="Arial" w:cs="Arial" w:eastAsia="Arial" w:hAnsi="Arial"/>
          <w:sz w:val="18"/>
          <w:szCs w:val="18"/>
          <w:color w:val="auto"/>
        </w:rPr>
        <w:t>The Inseego Indenture also provides for customary events of default. If an event of default (other than certain events of bankruptcy, insolvency or reorganization involving the Company) occurs and is continuing, the Trustee, by notice to the Company, or the holders of at least 25% in principal amount of the outstanding Inseego Notes, by notice to the Company and the Trustee, may declare the principal and accrued and unpaid interest on the outstanding Inseego Notes to be immediately due and payable. Upon the occurrence of certain events of bankruptcy, insolvency or reorganization involving the Company, 100%</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49" w:right="339" w:bottom="1440" w:gutter="0" w:footer="0" w:header="0"/>
        </w:sectPr>
      </w:pPr>
    </w:p>
    <w:bookmarkStart w:id="30" w:name="page31"/>
    <w:bookmarkEnd w:id="30"/>
    <w:p>
      <w:pPr>
        <w:ind w:right="40"/>
        <w:spacing w:after="0" w:line="279" w:lineRule="auto"/>
        <w:rPr>
          <w:sz w:val="20"/>
          <w:szCs w:val="20"/>
          <w:color w:val="auto"/>
        </w:rPr>
      </w:pPr>
      <w:r>
        <w:rPr>
          <w:rFonts w:ascii="Arial" w:cs="Arial" w:eastAsia="Arial" w:hAnsi="Arial"/>
          <w:sz w:val="17"/>
          <w:szCs w:val="17"/>
          <w:color w:val="auto"/>
        </w:rPr>
        <w:t>of the principal and accrued and unpaid interest of the Inseego Notes will automatically become immediately due and payable. Notwithstanding the foregoing, the Inseego Indenture provides that, to the extent the Company elects and for up to 60 days, the sole remedy for an event of default relating to certain failures by the Company to comply with certain reporting covenants consists exclusively of the right to receive special interest on the Inseego Notes at a rate equal to 0.50% per annum on the principal amount of the outstanding Inseego Notes.</w:t>
      </w:r>
    </w:p>
    <w:p>
      <w:pPr>
        <w:spacing w:after="0" w:line="279" w:lineRule="exact"/>
        <w:rPr>
          <w:sz w:val="20"/>
          <w:szCs w:val="20"/>
          <w:color w:val="auto"/>
        </w:rPr>
      </w:pPr>
    </w:p>
    <w:p>
      <w:pPr>
        <w:ind w:right="100" w:firstLine="391"/>
        <w:spacing w:after="0" w:line="255" w:lineRule="auto"/>
        <w:rPr>
          <w:sz w:val="20"/>
          <w:szCs w:val="20"/>
          <w:color w:val="auto"/>
        </w:rPr>
      </w:pPr>
      <w:r>
        <w:rPr>
          <w:rFonts w:ascii="Arial" w:cs="Arial" w:eastAsia="Arial" w:hAnsi="Arial"/>
          <w:sz w:val="18"/>
          <w:szCs w:val="18"/>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In accordance with authoritative guidance, the Company recognized $3.6 million as an additional component of debt discount and additional paid-in capital attributed to the increase in the fair value of the embedded conversion feature of the Inseego Notes before and after modification. The Company will amortize the debt discount on the Inseego Notes as a component of interest expense using the effective interest method through June 2020.</w:t>
      </w:r>
    </w:p>
    <w:p>
      <w:pPr>
        <w:spacing w:after="0" w:line="138" w:lineRule="exact"/>
        <w:rPr>
          <w:sz w:val="20"/>
          <w:szCs w:val="20"/>
          <w:color w:val="auto"/>
        </w:rPr>
      </w:pPr>
    </w:p>
    <w:p>
      <w:pPr>
        <w:ind w:firstLine="391"/>
        <w:spacing w:after="0" w:line="259" w:lineRule="auto"/>
        <w:rPr>
          <w:sz w:val="20"/>
          <w:szCs w:val="20"/>
          <w:color w:val="auto"/>
        </w:rPr>
      </w:pPr>
      <w:r>
        <w:rPr>
          <w:rFonts w:ascii="Arial" w:cs="Arial" w:eastAsia="Arial" w:hAnsi="Arial"/>
          <w:sz w:val="18"/>
          <w:szCs w:val="18"/>
          <w:color w:val="auto"/>
        </w:rPr>
        <w:t>During the three months ended March 31, 2020, the Company entered into privately-negotiated exchange agreements with certain investors holding the Inseego Notes. Pursuant to the exchange agreements, the investors exchanged $59.9 million in aggregate principal amount of outstanding Inseego Notes for 13,688,876 shares (“Exchange Shares”) of the Company’s common stock, par value $0.001 per share. The investors agreed to waive any accrued but unpaid interest on the exchanged Inseego Notes.</w:t>
      </w:r>
    </w:p>
    <w:p>
      <w:pPr>
        <w:spacing w:after="0" w:line="18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Included in the 13,688,876 shares of common stock issued in the exchange transactions described above were 942,706 shares valued at $7.9 million on the date of issuance at fair value, which were issued pursuant to the terms of the privately-negotiated exchange agreements and were in excess of the consideration issuable under the original conversion terms of the exchanged Inseego Notes. ASC 470 - “Debt” requires the recognition through earnings of an inducement charge equal to the fair value of the consideration delivered in excess of the consideration issuable under the original conversion terms. This resulted in a non-cash charge of $7.9 million for the three months ended March 31, 2020, which was recorded as inducement expense in the condensed consolidated statement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Agreement</w:t>
      </w:r>
    </w:p>
    <w:p>
      <w:pPr>
        <w:spacing w:after="0" w:line="225"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Pursuant to the amended merger agreement with respect to our acquisition of R.E.R. Enterprises, Inc. (“RER”) and its wholly-owned subsidiary and principal operating asset, Feeney Wireless, LLC (which has been renamed Inseego North America, LLC, the Company agreed to pay a total of</w:t>
      </w:r>
    </w:p>
    <w:p>
      <w:pPr>
        <w:ind w:right="20"/>
        <w:spacing w:after="0" w:line="253" w:lineRule="auto"/>
        <w:rPr>
          <w:sz w:val="20"/>
          <w:szCs w:val="20"/>
          <w:color w:val="auto"/>
        </w:rPr>
      </w:pPr>
      <w:r>
        <w:rPr>
          <w:rFonts w:ascii="Arial" w:cs="Arial" w:eastAsia="Arial" w:hAnsi="Arial"/>
          <w:sz w:val="18"/>
          <w:szCs w:val="18"/>
          <w:color w:val="auto"/>
        </w:rPr>
        <w:t>$15.0 million in deferred purchase price in five cash installments over a four-year period, beginning in March 2016. The Company also agreed to provide earn-out consideration to the former stockholders of RER in the form of $6.1 million in cash over a four-year period, beginning in March 2016, and issuance of up to 2,920,000 shares of the Company’s common stock in three equal annual installments, beginning in March 2016, contingent upon retention of certain key personnel of RER.</w:t>
      </w:r>
    </w:p>
    <w:p>
      <w:pPr>
        <w:spacing w:after="0" w:line="193"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The Company’s remaining liability under the Settlement Agreement at March 31, 2020 consists of approximately $1.0 million in current liabilities.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Agreement</w:t>
      </w:r>
    </w:p>
    <w:p>
      <w:pPr>
        <w:spacing w:after="0" w:line="225" w:lineRule="exact"/>
        <w:rPr>
          <w:sz w:val="20"/>
          <w:szCs w:val="20"/>
          <w:color w:val="auto"/>
        </w:rPr>
      </w:pPr>
    </w:p>
    <w:p>
      <w:pPr>
        <w:ind w:right="20" w:firstLine="391"/>
        <w:spacing w:after="0" w:line="259" w:lineRule="auto"/>
        <w:rPr>
          <w:sz w:val="20"/>
          <w:szCs w:val="20"/>
          <w:color w:val="auto"/>
        </w:rPr>
      </w:pPr>
      <w:r>
        <w:rPr>
          <w:rFonts w:ascii="Arial" w:cs="Arial" w:eastAsia="Arial" w:hAnsi="Arial"/>
          <w:sz w:val="18"/>
          <w:szCs w:val="18"/>
          <w:color w:val="auto"/>
        </w:rPr>
        <w:t>On January 22, 2018, the Company entered into the Rights Agreement and issued a preferred share purchase right (a “Right”) to each of the stockholders of record of each share of the Company’s common stock outstanding on February 2, 2018. Each Right entitles the registered holder, under certain circumstances, to purchase from the Company one one-thousandth of a share of Series D Preferred Stock, par value $0.001 per share (the “Preferred Shares”), of the Company, at a price of $10.00 per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03" w:right="339" w:bottom="1440" w:gutter="0" w:footer="0" w:header="0"/>
        </w:sectPr>
      </w:pPr>
    </w:p>
    <w:bookmarkStart w:id="31" w:name="page32"/>
    <w:bookmarkEnd w:id="31"/>
    <w:p>
      <w:pPr>
        <w:ind w:right="240"/>
        <w:spacing w:after="0" w:line="277" w:lineRule="auto"/>
        <w:rPr>
          <w:sz w:val="20"/>
          <w:szCs w:val="20"/>
          <w:color w:val="auto"/>
        </w:rPr>
      </w:pPr>
      <w:r>
        <w:rPr>
          <w:rFonts w:ascii="Arial" w:cs="Arial" w:eastAsia="Arial" w:hAnsi="Arial"/>
          <w:sz w:val="18"/>
          <w:szCs w:val="18"/>
          <w:color w:val="auto"/>
        </w:rPr>
        <w:t>one one-thousandth of a Preferred Share represented by a Right, subject to adjustment. The description and terms of the Rights are set forth in the Rights Agreement.</w:t>
      </w:r>
    </w:p>
    <w:p>
      <w:pPr>
        <w:spacing w:after="0" w:line="170" w:lineRule="exact"/>
        <w:rPr>
          <w:sz w:val="20"/>
          <w:szCs w:val="20"/>
          <w:color w:val="auto"/>
        </w:rPr>
      </w:pPr>
    </w:p>
    <w:p>
      <w:pPr>
        <w:ind w:right="20" w:firstLine="391"/>
        <w:spacing w:after="0" w:line="308" w:lineRule="auto"/>
        <w:rPr>
          <w:sz w:val="20"/>
          <w:szCs w:val="20"/>
          <w:color w:val="auto"/>
        </w:rPr>
      </w:pPr>
      <w:r>
        <w:rPr>
          <w:rFonts w:ascii="Arial" w:cs="Arial" w:eastAsia="Arial" w:hAnsi="Arial"/>
          <w:sz w:val="17"/>
          <w:szCs w:val="17"/>
          <w:color w:val="auto"/>
        </w:rPr>
        <w:t>The Rights are not exercisable until the Distribution Date (as defined in the Rights Agreement). The Rights will expire on the earlier of (i) the close of business on January 22, 2021, (ii) the time at which the Rights are redeemed and (iii) the time at which the Rights are exchanged.</w:t>
      </w:r>
    </w:p>
    <w:p>
      <w:pPr>
        <w:spacing w:after="0" w:line="146" w:lineRule="exact"/>
        <w:rPr>
          <w:sz w:val="20"/>
          <w:szCs w:val="20"/>
          <w:color w:val="auto"/>
        </w:rPr>
      </w:pPr>
    </w:p>
    <w:p>
      <w:pPr>
        <w:ind w:right="160" w:firstLine="391"/>
        <w:spacing w:after="0" w:line="277" w:lineRule="auto"/>
        <w:rPr>
          <w:sz w:val="20"/>
          <w:szCs w:val="20"/>
          <w:color w:val="auto"/>
        </w:rPr>
      </w:pPr>
      <w:r>
        <w:rPr>
          <w:rFonts w:ascii="Arial" w:cs="Arial" w:eastAsia="Arial" w:hAnsi="Arial"/>
          <w:sz w:val="18"/>
          <w:szCs w:val="18"/>
          <w:color w:val="auto"/>
        </w:rPr>
        <w:t>Until a Right is exercised, the holder thereof, as such, will have no rights as a stockholder of the Company, including, without limitation, the right to vote or to receive dividends.</w:t>
      </w:r>
    </w:p>
    <w:p>
      <w:pPr>
        <w:spacing w:after="0" w:line="62" w:lineRule="exact"/>
        <w:rPr>
          <w:sz w:val="20"/>
          <w:szCs w:val="20"/>
          <w:color w:val="auto"/>
        </w:rPr>
      </w:pPr>
    </w:p>
    <w:p>
      <w:pPr>
        <w:ind w:firstLine="391"/>
        <w:spacing w:after="0" w:line="301" w:lineRule="auto"/>
        <w:rPr>
          <w:sz w:val="20"/>
          <w:szCs w:val="20"/>
          <w:color w:val="auto"/>
        </w:rPr>
      </w:pPr>
      <w:r>
        <w:rPr>
          <w:rFonts w:ascii="Arial" w:cs="Arial" w:eastAsia="Arial" w:hAnsi="Arial"/>
          <w:sz w:val="16"/>
          <w:szCs w:val="16"/>
          <w:color w:val="auto"/>
        </w:rPr>
        <w:t>In connection with an issuance of warrants, on March 28, 2019, we entered into Amendment No. 3 to the Rights Agreement, dated January 22, 2018, as amended from time to time, between us and Computershare Trust Company, N.A., as rights agent, for the purpose of modifying the definition of “Acquiring Person” under the Rights Agreement to permit each of North Sound Trading, L.P. and Golden Harbor Ltd. (together the “Investors”) to remain a Grandfathered Stockholder (as defined in the Rights Agreement) and not be deemed an “Acquiring Person” under the Rights Agreement.</w:t>
      </w:r>
    </w:p>
    <w:p>
      <w:pPr>
        <w:spacing w:after="0" w:line="157" w:lineRule="exact"/>
        <w:rPr>
          <w:sz w:val="20"/>
          <w:szCs w:val="20"/>
          <w:color w:val="auto"/>
        </w:rPr>
      </w:pPr>
    </w:p>
    <w:p>
      <w:pPr>
        <w:ind w:right="100" w:firstLine="391"/>
        <w:spacing w:after="0" w:line="263" w:lineRule="auto"/>
        <w:rPr>
          <w:sz w:val="20"/>
          <w:szCs w:val="20"/>
          <w:color w:val="auto"/>
        </w:rPr>
      </w:pPr>
      <w:r>
        <w:rPr>
          <w:rFonts w:ascii="Arial" w:cs="Arial" w:eastAsia="Arial" w:hAnsi="Arial"/>
          <w:sz w:val="18"/>
          <w:szCs w:val="18"/>
          <w:color w:val="auto"/>
        </w:rPr>
        <w:t>The Investors will remain Grandfathered Stockholders as long as they do not acquire, after the date of the Third Amendment to Rights Agreement, beneficial ownership of our securities (other than as a result of any adjustment provision or the accrual of interest under any outstanding convertible notes) equal to more than 0.50% of the then-outstanding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unaudited condensed consolidated statements of cash flows for the periods indicated (in thousands):</w:t>
      </w:r>
    </w:p>
    <w:p>
      <w:pPr>
        <w:spacing w:after="0" w:line="17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13335</wp:posOffset>
            </wp:positionV>
            <wp:extent cx="1637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(5,033)</w:t>
            </w:r>
          </w:p>
        </w:tc>
      </w:tr>
      <w:tr>
        <w:trPr>
          <w:trHeight w:val="223"/>
        </w:trPr>
        <w:tc>
          <w:tcPr>
            <w:tcW w:w="86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(4,320)</w:t>
            </w:r>
          </w:p>
        </w:tc>
      </w:tr>
      <w:tr>
        <w:trPr>
          <w:trHeight w:val="47"/>
        </w:trPr>
        <w:tc>
          <w:tcPr>
            <w:tcW w:w="8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10,623</w:t>
            </w:r>
          </w:p>
        </w:tc>
      </w:tr>
      <w:tr>
        <w:trPr>
          <w:trHeight w:val="223"/>
        </w:trPr>
        <w:tc>
          <w:tcPr>
            <w:tcW w:w="8660" w:type="dxa"/>
            <w:vAlign w:val="bottom"/>
          </w:tcPr>
          <w:p>
            <w:pPr>
              <w:ind w:left="4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46"/>
        </w:trPr>
        <w:tc>
          <w:tcPr>
            <w:tcW w:w="86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863</w:t>
            </w:r>
          </w:p>
        </w:tc>
      </w:tr>
      <w:tr>
        <w:trPr>
          <w:trHeight w:val="223"/>
        </w:trPr>
        <w:tc>
          <w:tcPr>
            <w:tcW w:w="866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12,074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31,076</w:t>
            </w:r>
          </w:p>
        </w:tc>
      </w:tr>
      <w:tr>
        <w:trPr>
          <w:trHeight w:val="47"/>
        </w:trPr>
        <w:tc>
          <w:tcPr>
            <w:tcW w:w="86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55"/>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31,939</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$0.3 million for the three months ended March 31, 2020, compared to net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in operating activities of $5.0 million for the same period in 2019. Net cash provided by operating activities for the three months ended March 31, 2020 was primarily attributable to the net loss in the period and net cash used for working capital, partially offset by non-cash charges for the fair value of inducement shares issued in the privately-negotiated exchange transactions with certain holders of the Inseego Notes, depreciation and amortization, including the amortization of debt discount and debt issuance costs, and share-based compensation expense. Net cash used in operating activities for the three months ended March 31, 2019 was primarily attributable to the net loss in the period and net cash used in working capital, partially offset by non-cash charges for depreciation and amortization, including the amortization of debt discount and debt issuance costs, provision for excess and obsolete inventory and share-based compensation expense.</w:t>
      </w:r>
    </w:p>
    <w:p>
      <w:pPr>
        <w:spacing w:after="0" w:line="19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three months ended March 31, 2020 was $4.9 million, compared to net cash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investing activities of $4.3 million for the same period in 2019. Cash used in investing activities during the three months ended March 31, 2020 was primarily related to the purchases of property, plant and equipment and capitalization of certain costs related to the research and development of software to be sold in our products, in large part due to the increase in development in support of 5G products and services. Cash used in investing activities during the same period in 2019 was primarily related to the purchases of property, plant and equipment and capitalization of certain costs related to the research and development of software to be sold in our products.</w:t>
      </w:r>
    </w:p>
    <w:p>
      <w:pPr>
        <w:spacing w:after="0" w:line="192" w:lineRule="exact"/>
        <w:rPr>
          <w:sz w:val="20"/>
          <w:szCs w:val="20"/>
          <w:color w:val="auto"/>
        </w:rPr>
      </w:pPr>
    </w:p>
    <w:p>
      <w:pPr>
        <w:ind w:right="80" w:firstLine="432"/>
        <w:spacing w:after="0" w:line="296"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during the three months ended March 31, 2020 was $26.3 million, compared to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provided by financing activities of $10.6 million for the same period in 2019. Net cash provided by financing activities during the three months ended March 31, 2020 was primarily related to proceeds received from the issuance and sale of Series E Preferred Stock and the exercise of warrants to purchase common stock, partially offset by net repayments of bank and overdraft facilities of DigiCore Holdings Limited, principal payments under finance lease obligations and taxes paid on vested restricted stock units. Net cash provided by financing activities for the same period in 2019 was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49" w:right="339" w:bottom="1440" w:gutter="0" w:footer="0" w:header="0"/>
        </w:sectPr>
      </w:pPr>
    </w:p>
    <w:bookmarkStart w:id="32" w:name="page33"/>
    <w:bookmarkEnd w:id="32"/>
    <w:p>
      <w:pPr>
        <w:ind w:right="20"/>
        <w:spacing w:after="0" w:line="277" w:lineRule="auto"/>
        <w:rPr>
          <w:sz w:val="20"/>
          <w:szCs w:val="20"/>
          <w:color w:val="auto"/>
        </w:rPr>
      </w:pPr>
      <w:r>
        <w:rPr>
          <w:rFonts w:ascii="Arial" w:cs="Arial" w:eastAsia="Arial" w:hAnsi="Arial"/>
          <w:sz w:val="18"/>
          <w:szCs w:val="18"/>
          <w:color w:val="auto"/>
        </w:rPr>
        <w:t>primarily related to proceeds received from the exercise of warrants to purchase common stock and proceeds received from stock option exercises, partially offset by principal payments under finance lease obligations and taxes paid on vested restricted stock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jc w:val="both"/>
        <w:ind w:right="180" w:firstLine="391"/>
        <w:spacing w:after="0" w:line="311" w:lineRule="auto"/>
        <w:rPr>
          <w:sz w:val="20"/>
          <w:szCs w:val="20"/>
          <w:color w:val="auto"/>
        </w:rPr>
      </w:pPr>
      <w:r>
        <w:rPr>
          <w:rFonts w:ascii="Arial" w:cs="Arial" w:eastAsia="Arial" w:hAnsi="Arial"/>
          <w:sz w:val="16"/>
          <w:szCs w:val="16"/>
          <w:color w:val="auto"/>
        </w:rPr>
        <w:t>Under the terms of the indenture governing the Inseego Notes, each holder of the notes has the right to require the Company to repurchase its notes for cash on June 15, 2020 (“the Optional Repurchase Date”). On March 6, 2020, the holders of substantially all of the outstanding indebtedness under the Inseego Notes agreed to waive their optional right to require the Company to repurchase the Inseego Notes on the Optional Repurchase Date.</w:t>
      </w:r>
    </w:p>
    <w:p>
      <w:pPr>
        <w:spacing w:after="0" w:line="14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Credit Agreement has a maturity date of August 23, 2020</w:t>
      </w:r>
      <w:r>
        <w:rPr>
          <w:rFonts w:ascii="Arial" w:cs="Arial" w:eastAsia="Arial" w:hAnsi="Arial"/>
          <w:sz w:val="18"/>
          <w:szCs w:val="18"/>
          <w:color w:val="0000FF"/>
        </w:rPr>
        <w:t>.</w:t>
      </w:r>
      <w:r>
        <w:rPr>
          <w:rFonts w:ascii="Arial" w:cs="Arial" w:eastAsia="Arial" w:hAnsi="Arial"/>
          <w:sz w:val="18"/>
          <w:szCs w:val="18"/>
          <w:color w:val="auto"/>
        </w:rPr>
        <w:t xml:space="preserve"> On March 10, 2020, the Company entered into a letter agreement (the “Letter Agreement”) with South Ocean, the lender holding all of the aggregate principal amount currently outstanding under the Credit Agreement, which provides: (i) that the Company and South Ocean will work together, in good faith, to reach an agreement to amend or refinance the Credit Agreement in order to extend the maturity of the Credit Agreement until a date after March 15, 2021; and (ii) should an agreement not be reached to amend or refinance the Credit Agreement prior to August 23, 2020, upon request of the Company, the maturity date of the Credit Agreement will be extended to no earlier than March 15, 2021.</w:t>
      </w:r>
    </w:p>
    <w:p>
      <w:pPr>
        <w:spacing w:after="0" w:line="19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Based on the above, the Company’s management does not believe that its current cash and cash equivalents, together with anticipated cash flows from operations, will be sufficient to meet its working capital needs, including any required repayment of the Credit Agreement, without additional sources of cash. These circumstances, unless mitigated, raise substantial doubt about the Company’s ability to continue as a going concern. The Company’s plan to mitigate the substantial doubt as to its ability to continue as a going concern is through the restructuring of its existing debt or issuance of additional debt or equity securities.</w:t>
      </w:r>
    </w:p>
    <w:p>
      <w:pPr>
        <w:spacing w:after="0" w:line="8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Company’s liquidity could be compromised if there is any interruption in its business operations, a material failure to satisfy its contractual commitments or a failure to generate revenue from new or existing products. Ultimately, the Company’s ability to attain profitability and to generate positive cash flow is dependent upon achieving a level of revenues adequate to support its evolving cost structure and increasing working capital needs. If events or circumstances occur such that the Company does not meet its operating plan as expected, the Company may be required to raise additional capital, reduce planned research and development activities, incur additional restructuring charges or reduce other operating expenses which could have an adverse impact on the Company’s ability to achieve its intended business objectives. There can be no assurance that any required or desired restructuring or financing will be available on terms favorable to the Company, or at all. In addition, in order to obtain additional borrowings, the Company must comply with certain requirements under the Credit Agreement and the Inseego Indenture. If additional funds are raised by the issuance of equity securities, Company stockholders could experience dilution of their ownership interests and securities issued may have rights senior to those of the holders of the Company’s common stock. If additional funds are raised by the issuance of debt securities, the Company may be subject to additional limitations on its operations.</w:t>
      </w:r>
    </w:p>
    <w:p>
      <w:pPr>
        <w:spacing w:after="0" w:line="7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global outbreak of COVID-19 was declared a pandemic by the World Health Organization and a national emergency by the U.S. Government in March 2020 and has negatively impacted the U.S. and global economy, disrupted global supply chains, resulted in significant travel and transport restrictions, including mandated closures and orders to “shelter-in-place,” and created significant disruption of the financial markets. The extent of the impact of the COVID-19 pandemic on our operational and financial performance will depend on future developments, including the duration and spread of the pandemic and related actions taken by the U.S. government, state and local government officials, and international governments to prevent disease spread, all of which are uncertain and cannot be predicted.</w:t>
      </w:r>
    </w:p>
    <w:p>
      <w:pPr>
        <w:spacing w:after="0" w:line="192"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On March 27, 2020, the President of the United States signed and enacted into law the CARES Act, a $2 trillion economic relief bill. We are evaluating the impact of the CARES Act including related stimulus and economic relief actions on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any off-balance sheet arrangements.</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49" w:right="33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 13a-15(e) and 15d-15(e)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8"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As required by Rule 13a-15(b) promulgated under the Exchange Act, the Company carried out an evaluation, under the supervision and with the participation of the Company’s management, including the Company’s principal executive officer and principal financial officer, of the effectiveness of the design and operation of the Company’s disclosure controls and procedures as of March 31, 2020, the end of the period covered by this report. Based on the foregoing, our principal executive officer and principal financial officer concluded that our disclosure controls and procedures were effective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and 15d-15(f) promulgated under the Exchange Act, during the three months ended March 31, 2020, that have materially affected, or are reasonably likely to materially affect, the Company’s internal control over financial reporting.</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320" w:top="715" w:right="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 xml:space="preserve">The disclosure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170"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288"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Except as set forth below, there have been no material changes in our risk factors from those disclosed in “Item 1A. </w:t>
      </w:r>
      <w:r>
        <w:rPr>
          <w:rFonts w:ascii="Arial" w:cs="Arial" w:eastAsia="Arial" w:hAnsi="Arial"/>
          <w:sz w:val="16"/>
          <w:szCs w:val="16"/>
          <w:i w:val="1"/>
          <w:iCs w:val="1"/>
          <w:color w:val="auto"/>
        </w:rPr>
        <w:t>Risk Factors</w:t>
      </w:r>
      <w:r>
        <w:rPr>
          <w:rFonts w:ascii="Arial" w:cs="Arial" w:eastAsia="Arial" w:hAnsi="Arial"/>
          <w:sz w:val="16"/>
          <w:szCs w:val="16"/>
          <w:color w:val="auto"/>
        </w:rPr>
        <w:t>” of the Form 10-K.</w:t>
      </w:r>
    </w:p>
    <w:p>
      <w:pPr>
        <w:spacing w:after="0" w:line="3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effects of COVID-19 and other potential future public health crises, epidemics, pandemics or similar events on our business, operating results and cash flows are uncertain.</w:t>
      </w:r>
    </w:p>
    <w:p>
      <w:pPr>
        <w:spacing w:after="0" w:line="11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global outbreak of COVID-19 was declared a pandemic by the World Health Organization and a national emergency by the U.S. Government in March 2020 and has negatively impacted the U.S. and global economy, disrupted global supply chains, resulted in significant travel and transport restrictions, including mandated closures and orders to “shelter-in-place,” and created significant disruption of the financial markets. The extent of the impact of the COVID-19 pandemic on our operational and financial performance will depend on future developments, including the duration and spread of the pandemic and related actions taken by the U.S. government, state and local government officials, and international governments to prevent disease spread, all of which are uncertain and cannot be predicted.</w:t>
      </w:r>
    </w:p>
    <w:p>
      <w:pPr>
        <w:spacing w:after="0" w:line="19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As a result, temporary precautionary measures intended to help minimize the risk of the pandemic to our employees and to comply with government mandated closures and “shelter-in-place” orders have been put in place, including temporarily requiring most employees to work remotely, suspending all non-essential travel worldwide for our employees, and suspending employee attendance at industry events and in-person work-related meetings. These efforts could negatively affect our business. While most of our global operations have continued to operate, facility closures or work slowdowns or temporary stoppages could occur. In addition, different countries have different practices and policies that can affect our international operations and the operations of our suppliers and customers. For example, our business in South Africa has not been able to perform new domestic installations or installations in other jurisdictions in observance of such countries’ COVID-19 policies, which we believe may adversely impact revenues from Ctrack. Any impact is dependent on the length of the closure.</w:t>
      </w:r>
    </w:p>
    <w:p>
      <w:pPr>
        <w:spacing w:after="0" w:line="192"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rely on contract manufacturers and other companies to provide materials, components and products that we sell to our customers. The spread of COVID-19 could negatively affect the operations at our third-party manufacturers, which could result in delays or disruptions in the supply of our products and could impact our ability to meet customer demand. If we are not able to implement alternatives or other mitigations with respect to suppliers that may have potential delivery impacts due to COVID-19, our sales and financial results could be adversely impacted.</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COVID-19 outbreak is a widespread health crisis that could adversely affect the economies and financial markets of many countries, resulting in an economic downturn that could affect longer-term demand for our products and likely impact our operating results. The impact of COVID-19 could worsen if there is an extended duration of any COVID-19 outbreak or a resurgence of COVID-19 infection in affected regions after they have begun to experience improvement. Prolonged impacts of COVID-19 could result in delays in payment by customers, the speed of regulatory approvals such as FCC and other licenses that are needed for releases of new products, and delays in new 5G network rollouts. Current limitations on travel to customer locations could impact international orders.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None, except as previously disclosed in the Company’s Current Reports on Form 8-K, and except for the issuances of common stock described below.</w:t>
      </w:r>
    </w:p>
    <w:p>
      <w:pPr>
        <w:spacing w:after="0" w:line="248" w:lineRule="exact"/>
        <w:rPr>
          <w:sz w:val="20"/>
          <w:szCs w:val="20"/>
          <w:color w:val="auto"/>
        </w:rPr>
      </w:pPr>
    </w:p>
    <w:p>
      <w:pPr>
        <w:ind w:right="360" w:firstLine="391"/>
        <w:spacing w:after="0" w:line="286" w:lineRule="auto"/>
        <w:rPr>
          <w:sz w:val="20"/>
          <w:szCs w:val="20"/>
          <w:color w:val="auto"/>
        </w:rPr>
      </w:pPr>
      <w:r>
        <w:rPr>
          <w:rFonts w:ascii="Arial" w:cs="Arial" w:eastAsia="Arial" w:hAnsi="Arial"/>
          <w:sz w:val="17"/>
          <w:szCs w:val="17"/>
          <w:color w:val="auto"/>
        </w:rPr>
        <w:t>Pursuant to privately-negotiated exchange agreements (each, an “Exchange Agreement”) with various investors holding Inseego Notes, certain investor exchanged the aggregate principal amount of outstanding Inseego Notes set forth in the table below (the “Exchanged Notes”) for shares of the Company’s common stock, par value $0.001 per share (“Exchange Shares”), in the amounts set forth in the table below: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553"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0"/>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Date of Exchange Agreement</w:t>
            </w:r>
          </w:p>
        </w:tc>
        <w:tc>
          <w:tcPr>
            <w:tcW w:w="3980" w:type="dxa"/>
            <w:vAlign w:val="bottom"/>
          </w:tcPr>
          <w:p>
            <w:pPr>
              <w:ind w:left="1320"/>
              <w:spacing w:after="0"/>
              <w:rPr>
                <w:sz w:val="20"/>
                <w:szCs w:val="20"/>
                <w:color w:val="auto"/>
              </w:rPr>
            </w:pPr>
            <w:r>
              <w:rPr>
                <w:rFonts w:ascii="Arial" w:cs="Arial" w:eastAsia="Arial" w:hAnsi="Arial"/>
                <w:sz w:val="16"/>
                <w:szCs w:val="16"/>
                <w:b w:val="1"/>
                <w:bCs w:val="1"/>
                <w:color w:val="auto"/>
              </w:rPr>
              <w:t>Number of Exchange Shares</w:t>
            </w:r>
          </w:p>
        </w:tc>
        <w:tc>
          <w:tcPr>
            <w:tcW w:w="3880" w:type="dxa"/>
            <w:vAlign w:val="bottom"/>
          </w:tcPr>
          <w:p>
            <w:pPr>
              <w:ind w:left="700"/>
              <w:spacing w:after="0"/>
              <w:rPr>
                <w:sz w:val="20"/>
                <w:szCs w:val="20"/>
                <w:color w:val="auto"/>
              </w:rPr>
            </w:pPr>
            <w:r>
              <w:rPr>
                <w:rFonts w:ascii="Arial" w:cs="Arial" w:eastAsia="Arial" w:hAnsi="Arial"/>
                <w:sz w:val="16"/>
                <w:szCs w:val="16"/>
                <w:b w:val="1"/>
                <w:bCs w:val="1"/>
                <w:color w:val="auto"/>
              </w:rPr>
              <w:t>Principal Amount of Exchanged Notes</w:t>
            </w:r>
          </w:p>
        </w:tc>
      </w:tr>
      <w:tr>
        <w:trPr>
          <w:trHeight w:val="33"/>
        </w:trPr>
        <w:tc>
          <w:tcPr>
            <w:tcW w:w="33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5, 2020</w:t>
            </w:r>
          </w:p>
        </w:tc>
        <w:tc>
          <w:tcPr>
            <w:tcW w:w="3980" w:type="dxa"/>
            <w:vAlign w:val="bottom"/>
            <w:tcBorders>
              <w:bottom w:val="single" w:sz="8" w:color="CCEEFF"/>
            </w:tcBorders>
            <w:shd w:val="clear" w:color="auto" w:fill="CCEEFF"/>
          </w:tcPr>
          <w:p>
            <w:pPr>
              <w:jc w:val="center"/>
              <w:ind w:left="539"/>
              <w:spacing w:after="0"/>
              <w:rPr>
                <w:sz w:val="20"/>
                <w:szCs w:val="20"/>
                <w:color w:val="auto"/>
              </w:rPr>
            </w:pPr>
            <w:r>
              <w:rPr>
                <w:rFonts w:ascii="Arial" w:cs="Arial" w:eastAsia="Arial" w:hAnsi="Arial"/>
                <w:sz w:val="16"/>
                <w:szCs w:val="16"/>
                <w:color w:val="auto"/>
                <w:w w:val="89"/>
              </w:rPr>
              <w:t>233,730</w:t>
            </w:r>
          </w:p>
        </w:tc>
        <w:tc>
          <w:tcPr>
            <w:tcW w:w="388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2"/>
              </w:rPr>
              <w:t>$1,000,000</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February 11, 2020</w:t>
            </w:r>
          </w:p>
        </w:tc>
        <w:tc>
          <w:tcPr>
            <w:tcW w:w="3980" w:type="dxa"/>
            <w:vAlign w:val="bottom"/>
          </w:tcPr>
          <w:p>
            <w:pPr>
              <w:jc w:val="center"/>
              <w:ind w:left="539"/>
              <w:spacing w:after="0"/>
              <w:rPr>
                <w:sz w:val="20"/>
                <w:szCs w:val="20"/>
                <w:color w:val="auto"/>
              </w:rPr>
            </w:pPr>
            <w:r>
              <w:rPr>
                <w:rFonts w:ascii="Arial" w:cs="Arial" w:eastAsia="Arial" w:hAnsi="Arial"/>
                <w:sz w:val="16"/>
                <w:szCs w:val="16"/>
                <w:color w:val="auto"/>
                <w:w w:val="89"/>
              </w:rPr>
              <w:t>57,250</w:t>
            </w:r>
          </w:p>
        </w:tc>
        <w:tc>
          <w:tcPr>
            <w:tcW w:w="3880" w:type="dxa"/>
            <w:vAlign w:val="bottom"/>
          </w:tcPr>
          <w:p>
            <w:pPr>
              <w:jc w:val="center"/>
              <w:ind w:left="99"/>
              <w:spacing w:after="0"/>
              <w:rPr>
                <w:sz w:val="20"/>
                <w:szCs w:val="20"/>
                <w:color w:val="auto"/>
              </w:rPr>
            </w:pPr>
            <w:r>
              <w:rPr>
                <w:rFonts w:ascii="Arial" w:cs="Arial" w:eastAsia="Arial" w:hAnsi="Arial"/>
                <w:sz w:val="16"/>
                <w:szCs w:val="16"/>
                <w:color w:val="auto"/>
                <w:w w:val="92"/>
              </w:rPr>
              <w:t>$250,000</w:t>
            </w:r>
          </w:p>
        </w:tc>
      </w:tr>
      <w:tr>
        <w:trPr>
          <w:trHeight w:val="33"/>
        </w:trPr>
        <w:tc>
          <w:tcPr>
            <w:tcW w:w="33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24"/>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5, 2020</w:t>
            </w:r>
          </w:p>
        </w:tc>
        <w:tc>
          <w:tcPr>
            <w:tcW w:w="3980" w:type="dxa"/>
            <w:vAlign w:val="bottom"/>
            <w:shd w:val="clear" w:color="auto" w:fill="CCEEFF"/>
          </w:tcPr>
          <w:p>
            <w:pPr>
              <w:jc w:val="center"/>
              <w:ind w:left="539"/>
              <w:spacing w:after="0"/>
              <w:rPr>
                <w:sz w:val="20"/>
                <w:szCs w:val="20"/>
                <w:color w:val="auto"/>
              </w:rPr>
            </w:pPr>
            <w:r>
              <w:rPr>
                <w:rFonts w:ascii="Arial" w:cs="Arial" w:eastAsia="Arial" w:hAnsi="Arial"/>
                <w:sz w:val="16"/>
                <w:szCs w:val="16"/>
                <w:color w:val="auto"/>
                <w:w w:val="89"/>
              </w:rPr>
              <w:t>626,531</w:t>
            </w:r>
          </w:p>
        </w:tc>
        <w:tc>
          <w:tcPr>
            <w:tcW w:w="38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2"/>
              </w:rPr>
              <w:t>$2,769,000</w:t>
            </w:r>
          </w:p>
        </w:tc>
      </w:tr>
      <w:tr>
        <w:trPr>
          <w:trHeight w:val="33"/>
        </w:trPr>
        <w:tc>
          <w:tcPr>
            <w:tcW w:w="338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Each investor agreed to waive any accrued but unpaid interest on the Exchanged Notes. The Exchange Shares were issued in reliance on the exemption from registration provided by Section 3(a)(9) of the Securities Act, as securities exchanged by the Company with its existing security holders exclusively where no commission or other remuneration is paid or given directly or indirectly for soliciting the exchange.</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details issuances of common stock upon the exercise of outstanding warrants:</w:t>
      </w: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180" w:type="dxa"/>
            <w:vAlign w:val="bottom"/>
          </w:tcPr>
          <w:p>
            <w:pPr>
              <w:spacing w:after="0"/>
              <w:rPr>
                <w:sz w:val="20"/>
                <w:szCs w:val="20"/>
                <w:color w:val="auto"/>
              </w:rPr>
            </w:pPr>
            <w:r>
              <w:rPr>
                <w:rFonts w:ascii="Arial" w:cs="Arial" w:eastAsia="Arial" w:hAnsi="Arial"/>
                <w:sz w:val="14"/>
                <w:szCs w:val="14"/>
                <w:b w:val="1"/>
                <w:bCs w:val="1"/>
                <w:color w:val="333333"/>
              </w:rPr>
              <w:t>Date</w:t>
            </w:r>
          </w:p>
        </w:tc>
        <w:tc>
          <w:tcPr>
            <w:tcW w:w="6380" w:type="dxa"/>
            <w:vAlign w:val="bottom"/>
          </w:tcPr>
          <w:p>
            <w:pPr>
              <w:ind w:left="1120"/>
              <w:spacing w:after="0"/>
              <w:rPr>
                <w:sz w:val="20"/>
                <w:szCs w:val="20"/>
                <w:color w:val="auto"/>
              </w:rPr>
            </w:pPr>
            <w:r>
              <w:rPr>
                <w:rFonts w:ascii="Arial" w:cs="Arial" w:eastAsia="Arial" w:hAnsi="Arial"/>
                <w:sz w:val="14"/>
                <w:szCs w:val="14"/>
                <w:b w:val="1"/>
                <w:bCs w:val="1"/>
                <w:color w:val="333333"/>
              </w:rPr>
              <w:t>Shares of Common Stock Issued upon Exercise of Outstanding Warrants</w:t>
            </w:r>
          </w:p>
        </w:tc>
        <w:tc>
          <w:tcPr>
            <w:tcW w:w="2240" w:type="dxa"/>
            <w:vAlign w:val="bottom"/>
          </w:tcPr>
          <w:p>
            <w:pPr>
              <w:ind w:left="800"/>
              <w:spacing w:after="0"/>
              <w:rPr>
                <w:sz w:val="20"/>
                <w:szCs w:val="20"/>
                <w:color w:val="auto"/>
              </w:rPr>
            </w:pPr>
            <w:r>
              <w:rPr>
                <w:rFonts w:ascii="Arial" w:cs="Arial" w:eastAsia="Arial" w:hAnsi="Arial"/>
                <w:sz w:val="14"/>
                <w:szCs w:val="14"/>
                <w:b w:val="1"/>
                <w:bCs w:val="1"/>
                <w:color w:val="333333"/>
                <w:w w:val="89"/>
              </w:rPr>
              <w:t>Consideration Received</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January 6, 2020</w:t>
            </w:r>
          </w:p>
        </w:tc>
        <w:tc>
          <w:tcPr>
            <w:tcW w:w="6380" w:type="dxa"/>
            <w:vAlign w:val="bottom"/>
          </w:tcPr>
          <w:p>
            <w:pPr>
              <w:jc w:val="center"/>
              <w:ind w:left="268"/>
              <w:spacing w:after="0"/>
              <w:rPr>
                <w:sz w:val="20"/>
                <w:szCs w:val="20"/>
                <w:color w:val="auto"/>
              </w:rPr>
            </w:pPr>
            <w:r>
              <w:rPr>
                <w:rFonts w:ascii="Arial" w:cs="Arial" w:eastAsia="Arial" w:hAnsi="Arial"/>
                <w:sz w:val="14"/>
                <w:szCs w:val="14"/>
                <w:color w:val="auto"/>
                <w:w w:val="93"/>
              </w:rPr>
              <w:t>35,300</w:t>
            </w:r>
          </w:p>
        </w:tc>
        <w:tc>
          <w:tcPr>
            <w:tcW w:w="2240" w:type="dxa"/>
            <w:vAlign w:val="bottom"/>
          </w:tcPr>
          <w:p>
            <w:pPr>
              <w:jc w:val="center"/>
              <w:ind w:left="708"/>
              <w:spacing w:after="0"/>
              <w:rPr>
                <w:sz w:val="20"/>
                <w:szCs w:val="20"/>
                <w:color w:val="auto"/>
              </w:rPr>
            </w:pPr>
            <w:r>
              <w:rPr>
                <w:rFonts w:ascii="Arial" w:cs="Arial" w:eastAsia="Arial" w:hAnsi="Arial"/>
                <w:sz w:val="14"/>
                <w:szCs w:val="14"/>
                <w:color w:val="auto"/>
                <w:w w:val="92"/>
              </w:rPr>
              <w:t>$194,150</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January 7, 2020</w:t>
            </w:r>
          </w:p>
        </w:tc>
        <w:tc>
          <w:tcPr>
            <w:tcW w:w="6380" w:type="dxa"/>
            <w:vAlign w:val="bottom"/>
          </w:tcPr>
          <w:p>
            <w:pPr>
              <w:jc w:val="center"/>
              <w:ind w:left="268"/>
              <w:spacing w:after="0"/>
              <w:rPr>
                <w:sz w:val="20"/>
                <w:szCs w:val="20"/>
                <w:color w:val="auto"/>
              </w:rPr>
            </w:pPr>
            <w:r>
              <w:rPr>
                <w:rFonts w:ascii="Arial" w:cs="Arial" w:eastAsia="Arial" w:hAnsi="Arial"/>
                <w:sz w:val="14"/>
                <w:szCs w:val="14"/>
                <w:color w:val="auto"/>
                <w:w w:val="93"/>
              </w:rPr>
              <w:t>40,300</w:t>
            </w:r>
          </w:p>
        </w:tc>
        <w:tc>
          <w:tcPr>
            <w:tcW w:w="2240" w:type="dxa"/>
            <w:vAlign w:val="bottom"/>
          </w:tcPr>
          <w:p>
            <w:pPr>
              <w:jc w:val="center"/>
              <w:ind w:left="708"/>
              <w:spacing w:after="0"/>
              <w:rPr>
                <w:sz w:val="20"/>
                <w:szCs w:val="20"/>
                <w:color w:val="auto"/>
              </w:rPr>
            </w:pPr>
            <w:r>
              <w:rPr>
                <w:rFonts w:ascii="Arial" w:cs="Arial" w:eastAsia="Arial" w:hAnsi="Arial"/>
                <w:sz w:val="14"/>
                <w:szCs w:val="14"/>
                <w:color w:val="auto"/>
                <w:w w:val="92"/>
              </w:rPr>
              <w:t>$221,650</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January 8, 2020</w:t>
            </w:r>
          </w:p>
        </w:tc>
        <w:tc>
          <w:tcPr>
            <w:tcW w:w="6380" w:type="dxa"/>
            <w:vAlign w:val="bottom"/>
          </w:tcPr>
          <w:p>
            <w:pPr>
              <w:jc w:val="center"/>
              <w:ind w:left="268"/>
              <w:spacing w:after="0"/>
              <w:rPr>
                <w:sz w:val="20"/>
                <w:szCs w:val="20"/>
                <w:color w:val="auto"/>
              </w:rPr>
            </w:pPr>
            <w:r>
              <w:rPr>
                <w:rFonts w:ascii="Arial" w:cs="Arial" w:eastAsia="Arial" w:hAnsi="Arial"/>
                <w:sz w:val="14"/>
                <w:szCs w:val="14"/>
                <w:color w:val="auto"/>
                <w:w w:val="93"/>
              </w:rPr>
              <w:t>12,600</w:t>
            </w:r>
          </w:p>
        </w:tc>
        <w:tc>
          <w:tcPr>
            <w:tcW w:w="2240" w:type="dxa"/>
            <w:vAlign w:val="bottom"/>
          </w:tcPr>
          <w:p>
            <w:pPr>
              <w:jc w:val="center"/>
              <w:ind w:left="728"/>
              <w:spacing w:after="0"/>
              <w:rPr>
                <w:sz w:val="20"/>
                <w:szCs w:val="20"/>
                <w:color w:val="auto"/>
              </w:rPr>
            </w:pPr>
            <w:r>
              <w:rPr>
                <w:rFonts w:ascii="Arial" w:cs="Arial" w:eastAsia="Arial" w:hAnsi="Arial"/>
                <w:sz w:val="14"/>
                <w:szCs w:val="14"/>
                <w:color w:val="auto"/>
                <w:w w:val="94"/>
              </w:rPr>
              <w:t>$69,300</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January 9, 2020</w:t>
            </w:r>
          </w:p>
        </w:tc>
        <w:tc>
          <w:tcPr>
            <w:tcW w:w="6380" w:type="dxa"/>
            <w:vAlign w:val="bottom"/>
          </w:tcPr>
          <w:p>
            <w:pPr>
              <w:jc w:val="center"/>
              <w:ind w:left="268"/>
              <w:spacing w:after="0"/>
              <w:rPr>
                <w:sz w:val="20"/>
                <w:szCs w:val="20"/>
                <w:color w:val="auto"/>
              </w:rPr>
            </w:pPr>
            <w:r>
              <w:rPr>
                <w:rFonts w:ascii="Arial" w:cs="Arial" w:eastAsia="Arial" w:hAnsi="Arial"/>
                <w:sz w:val="14"/>
                <w:szCs w:val="14"/>
                <w:color w:val="auto"/>
                <w:w w:val="93"/>
              </w:rPr>
              <w:t>48,900</w:t>
            </w:r>
          </w:p>
        </w:tc>
        <w:tc>
          <w:tcPr>
            <w:tcW w:w="2240" w:type="dxa"/>
            <w:vAlign w:val="bottom"/>
          </w:tcPr>
          <w:p>
            <w:pPr>
              <w:jc w:val="center"/>
              <w:ind w:left="708"/>
              <w:spacing w:after="0"/>
              <w:rPr>
                <w:sz w:val="20"/>
                <w:szCs w:val="20"/>
                <w:color w:val="auto"/>
              </w:rPr>
            </w:pPr>
            <w:r>
              <w:rPr>
                <w:rFonts w:ascii="Arial" w:cs="Arial" w:eastAsia="Arial" w:hAnsi="Arial"/>
                <w:sz w:val="14"/>
                <w:szCs w:val="14"/>
                <w:color w:val="auto"/>
                <w:w w:val="92"/>
              </w:rPr>
              <w:t>$268,950</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January 14, 2020</w:t>
            </w:r>
          </w:p>
        </w:tc>
        <w:tc>
          <w:tcPr>
            <w:tcW w:w="6380" w:type="dxa"/>
            <w:vAlign w:val="bottom"/>
          </w:tcPr>
          <w:p>
            <w:pPr>
              <w:jc w:val="center"/>
              <w:ind w:left="268"/>
              <w:spacing w:after="0"/>
              <w:rPr>
                <w:sz w:val="20"/>
                <w:szCs w:val="20"/>
                <w:color w:val="auto"/>
              </w:rPr>
            </w:pPr>
            <w:r>
              <w:rPr>
                <w:rFonts w:ascii="Arial" w:cs="Arial" w:eastAsia="Arial" w:hAnsi="Arial"/>
                <w:sz w:val="14"/>
                <w:szCs w:val="14"/>
                <w:color w:val="auto"/>
                <w:w w:val="91"/>
              </w:rPr>
              <w:t>7,800</w:t>
            </w:r>
          </w:p>
        </w:tc>
        <w:tc>
          <w:tcPr>
            <w:tcW w:w="2240" w:type="dxa"/>
            <w:vAlign w:val="bottom"/>
          </w:tcPr>
          <w:p>
            <w:pPr>
              <w:jc w:val="center"/>
              <w:ind w:left="728"/>
              <w:spacing w:after="0"/>
              <w:rPr>
                <w:sz w:val="20"/>
                <w:szCs w:val="20"/>
                <w:color w:val="auto"/>
              </w:rPr>
            </w:pPr>
            <w:r>
              <w:rPr>
                <w:rFonts w:ascii="Arial" w:cs="Arial" w:eastAsia="Arial" w:hAnsi="Arial"/>
                <w:sz w:val="14"/>
                <w:szCs w:val="14"/>
                <w:color w:val="auto"/>
                <w:w w:val="94"/>
              </w:rPr>
              <w:t>$42,900</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January 15, 2020</w:t>
            </w:r>
          </w:p>
        </w:tc>
        <w:tc>
          <w:tcPr>
            <w:tcW w:w="6380" w:type="dxa"/>
            <w:vAlign w:val="bottom"/>
          </w:tcPr>
          <w:p>
            <w:pPr>
              <w:jc w:val="center"/>
              <w:ind w:left="268"/>
              <w:spacing w:after="0"/>
              <w:rPr>
                <w:sz w:val="20"/>
                <w:szCs w:val="20"/>
                <w:color w:val="auto"/>
              </w:rPr>
            </w:pPr>
            <w:r>
              <w:rPr>
                <w:rFonts w:ascii="Arial" w:cs="Arial" w:eastAsia="Arial" w:hAnsi="Arial"/>
                <w:sz w:val="14"/>
                <w:szCs w:val="14"/>
                <w:color w:val="auto"/>
                <w:w w:val="93"/>
              </w:rPr>
              <w:t>28,400</w:t>
            </w:r>
          </w:p>
        </w:tc>
        <w:tc>
          <w:tcPr>
            <w:tcW w:w="2240" w:type="dxa"/>
            <w:vAlign w:val="bottom"/>
          </w:tcPr>
          <w:p>
            <w:pPr>
              <w:jc w:val="center"/>
              <w:ind w:left="708"/>
              <w:spacing w:after="0"/>
              <w:rPr>
                <w:sz w:val="20"/>
                <w:szCs w:val="20"/>
                <w:color w:val="auto"/>
              </w:rPr>
            </w:pPr>
            <w:r>
              <w:rPr>
                <w:rFonts w:ascii="Arial" w:cs="Arial" w:eastAsia="Arial" w:hAnsi="Arial"/>
                <w:sz w:val="14"/>
                <w:szCs w:val="14"/>
                <w:color w:val="auto"/>
                <w:w w:val="92"/>
              </w:rPr>
              <w:t>$156,200</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January 16, 2020</w:t>
            </w:r>
          </w:p>
        </w:tc>
        <w:tc>
          <w:tcPr>
            <w:tcW w:w="6380" w:type="dxa"/>
            <w:vAlign w:val="bottom"/>
          </w:tcPr>
          <w:p>
            <w:pPr>
              <w:jc w:val="center"/>
              <w:ind w:left="268"/>
              <w:spacing w:after="0"/>
              <w:rPr>
                <w:sz w:val="20"/>
                <w:szCs w:val="20"/>
                <w:color w:val="auto"/>
              </w:rPr>
            </w:pPr>
            <w:r>
              <w:rPr>
                <w:rFonts w:ascii="Arial" w:cs="Arial" w:eastAsia="Arial" w:hAnsi="Arial"/>
                <w:sz w:val="14"/>
                <w:szCs w:val="14"/>
                <w:color w:val="auto"/>
                <w:w w:val="93"/>
              </w:rPr>
              <w:t>13,700</w:t>
            </w:r>
          </w:p>
        </w:tc>
        <w:tc>
          <w:tcPr>
            <w:tcW w:w="2240" w:type="dxa"/>
            <w:vAlign w:val="bottom"/>
          </w:tcPr>
          <w:p>
            <w:pPr>
              <w:jc w:val="center"/>
              <w:ind w:left="728"/>
              <w:spacing w:after="0"/>
              <w:rPr>
                <w:sz w:val="20"/>
                <w:szCs w:val="20"/>
                <w:color w:val="auto"/>
              </w:rPr>
            </w:pPr>
            <w:r>
              <w:rPr>
                <w:rFonts w:ascii="Arial" w:cs="Arial" w:eastAsia="Arial" w:hAnsi="Arial"/>
                <w:sz w:val="14"/>
                <w:szCs w:val="14"/>
                <w:color w:val="auto"/>
                <w:w w:val="94"/>
              </w:rPr>
              <w:t>$75,350</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January 17, 2020</w:t>
            </w:r>
          </w:p>
        </w:tc>
        <w:tc>
          <w:tcPr>
            <w:tcW w:w="6380" w:type="dxa"/>
            <w:vAlign w:val="bottom"/>
          </w:tcPr>
          <w:p>
            <w:pPr>
              <w:jc w:val="center"/>
              <w:ind w:left="268"/>
              <w:spacing w:after="0"/>
              <w:rPr>
                <w:sz w:val="20"/>
                <w:szCs w:val="20"/>
                <w:color w:val="auto"/>
              </w:rPr>
            </w:pPr>
            <w:r>
              <w:rPr>
                <w:rFonts w:ascii="Arial" w:cs="Arial" w:eastAsia="Arial" w:hAnsi="Arial"/>
                <w:sz w:val="14"/>
                <w:szCs w:val="14"/>
                <w:color w:val="auto"/>
                <w:w w:val="93"/>
              </w:rPr>
              <w:t>20,800</w:t>
            </w:r>
          </w:p>
        </w:tc>
        <w:tc>
          <w:tcPr>
            <w:tcW w:w="2240" w:type="dxa"/>
            <w:vAlign w:val="bottom"/>
          </w:tcPr>
          <w:p>
            <w:pPr>
              <w:jc w:val="center"/>
              <w:ind w:left="728"/>
              <w:spacing w:after="0"/>
              <w:rPr>
                <w:sz w:val="20"/>
                <w:szCs w:val="20"/>
                <w:color w:val="auto"/>
              </w:rPr>
            </w:pPr>
            <w:r>
              <w:rPr>
                <w:rFonts w:ascii="Arial" w:cs="Arial" w:eastAsia="Arial" w:hAnsi="Arial"/>
                <w:sz w:val="14"/>
                <w:szCs w:val="14"/>
                <w:color w:val="auto"/>
                <w:w w:val="88"/>
              </w:rPr>
              <w:t>$114,400</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January 21, 2020</w:t>
            </w:r>
          </w:p>
        </w:tc>
        <w:tc>
          <w:tcPr>
            <w:tcW w:w="6380" w:type="dxa"/>
            <w:vAlign w:val="bottom"/>
          </w:tcPr>
          <w:p>
            <w:pPr>
              <w:jc w:val="center"/>
              <w:ind w:left="268"/>
              <w:spacing w:after="0"/>
              <w:rPr>
                <w:sz w:val="20"/>
                <w:szCs w:val="20"/>
                <w:color w:val="auto"/>
              </w:rPr>
            </w:pPr>
            <w:r>
              <w:rPr>
                <w:rFonts w:ascii="Arial" w:cs="Arial" w:eastAsia="Arial" w:hAnsi="Arial"/>
                <w:sz w:val="14"/>
                <w:szCs w:val="14"/>
                <w:color w:val="auto"/>
                <w:w w:val="93"/>
              </w:rPr>
              <w:t>17,900</w:t>
            </w:r>
          </w:p>
        </w:tc>
        <w:tc>
          <w:tcPr>
            <w:tcW w:w="2240" w:type="dxa"/>
            <w:vAlign w:val="bottom"/>
          </w:tcPr>
          <w:p>
            <w:pPr>
              <w:jc w:val="center"/>
              <w:ind w:left="728"/>
              <w:spacing w:after="0"/>
              <w:rPr>
                <w:sz w:val="20"/>
                <w:szCs w:val="20"/>
                <w:color w:val="auto"/>
              </w:rPr>
            </w:pPr>
            <w:r>
              <w:rPr>
                <w:rFonts w:ascii="Arial" w:cs="Arial" w:eastAsia="Arial" w:hAnsi="Arial"/>
                <w:sz w:val="14"/>
                <w:szCs w:val="14"/>
                <w:color w:val="auto"/>
                <w:w w:val="94"/>
              </w:rPr>
              <w:t>$98,450</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January 23, 2020</w:t>
            </w:r>
          </w:p>
        </w:tc>
        <w:tc>
          <w:tcPr>
            <w:tcW w:w="6380" w:type="dxa"/>
            <w:vAlign w:val="bottom"/>
          </w:tcPr>
          <w:p>
            <w:pPr>
              <w:jc w:val="center"/>
              <w:ind w:left="268"/>
              <w:spacing w:after="0"/>
              <w:rPr>
                <w:sz w:val="20"/>
                <w:szCs w:val="20"/>
                <w:color w:val="auto"/>
              </w:rPr>
            </w:pPr>
            <w:r>
              <w:rPr>
                <w:rFonts w:ascii="Arial" w:cs="Arial" w:eastAsia="Arial" w:hAnsi="Arial"/>
                <w:sz w:val="14"/>
                <w:szCs w:val="14"/>
                <w:color w:val="auto"/>
                <w:w w:val="93"/>
              </w:rPr>
              <w:t>14,700</w:t>
            </w:r>
          </w:p>
        </w:tc>
        <w:tc>
          <w:tcPr>
            <w:tcW w:w="2240" w:type="dxa"/>
            <w:vAlign w:val="bottom"/>
          </w:tcPr>
          <w:p>
            <w:pPr>
              <w:jc w:val="center"/>
              <w:ind w:left="728"/>
              <w:spacing w:after="0"/>
              <w:rPr>
                <w:sz w:val="20"/>
                <w:szCs w:val="20"/>
                <w:color w:val="auto"/>
              </w:rPr>
            </w:pPr>
            <w:r>
              <w:rPr>
                <w:rFonts w:ascii="Arial" w:cs="Arial" w:eastAsia="Arial" w:hAnsi="Arial"/>
                <w:sz w:val="14"/>
                <w:szCs w:val="14"/>
                <w:color w:val="auto"/>
                <w:w w:val="94"/>
              </w:rPr>
              <w:t>$80,850</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January 29, 2020</w:t>
            </w:r>
          </w:p>
        </w:tc>
        <w:tc>
          <w:tcPr>
            <w:tcW w:w="6380" w:type="dxa"/>
            <w:vAlign w:val="bottom"/>
          </w:tcPr>
          <w:p>
            <w:pPr>
              <w:jc w:val="center"/>
              <w:ind w:left="268"/>
              <w:spacing w:after="0"/>
              <w:rPr>
                <w:sz w:val="20"/>
                <w:szCs w:val="20"/>
                <w:color w:val="auto"/>
              </w:rPr>
            </w:pPr>
            <w:r>
              <w:rPr>
                <w:rFonts w:ascii="Arial" w:cs="Arial" w:eastAsia="Arial" w:hAnsi="Arial"/>
                <w:sz w:val="14"/>
                <w:szCs w:val="14"/>
                <w:color w:val="auto"/>
                <w:w w:val="91"/>
              </w:rPr>
              <w:t>3,200</w:t>
            </w:r>
          </w:p>
        </w:tc>
        <w:tc>
          <w:tcPr>
            <w:tcW w:w="2240" w:type="dxa"/>
            <w:vAlign w:val="bottom"/>
          </w:tcPr>
          <w:p>
            <w:pPr>
              <w:jc w:val="center"/>
              <w:ind w:left="728"/>
              <w:spacing w:after="0"/>
              <w:rPr>
                <w:sz w:val="20"/>
                <w:szCs w:val="20"/>
                <w:color w:val="auto"/>
              </w:rPr>
            </w:pPr>
            <w:r>
              <w:rPr>
                <w:rFonts w:ascii="Arial" w:cs="Arial" w:eastAsia="Arial" w:hAnsi="Arial"/>
                <w:sz w:val="14"/>
                <w:szCs w:val="14"/>
                <w:color w:val="auto"/>
                <w:w w:val="94"/>
              </w:rPr>
              <w:t>$17,600</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February 3, 2020</w:t>
            </w:r>
          </w:p>
        </w:tc>
        <w:tc>
          <w:tcPr>
            <w:tcW w:w="6380" w:type="dxa"/>
            <w:vAlign w:val="bottom"/>
          </w:tcPr>
          <w:p>
            <w:pPr>
              <w:jc w:val="center"/>
              <w:ind w:left="268"/>
              <w:spacing w:after="0"/>
              <w:rPr>
                <w:sz w:val="20"/>
                <w:szCs w:val="20"/>
                <w:color w:val="auto"/>
              </w:rPr>
            </w:pPr>
            <w:r>
              <w:rPr>
                <w:rFonts w:ascii="Arial" w:cs="Arial" w:eastAsia="Arial" w:hAnsi="Arial"/>
                <w:sz w:val="14"/>
                <w:szCs w:val="14"/>
                <w:color w:val="auto"/>
                <w:w w:val="91"/>
              </w:rPr>
              <w:t>2,500</w:t>
            </w:r>
          </w:p>
        </w:tc>
        <w:tc>
          <w:tcPr>
            <w:tcW w:w="2240" w:type="dxa"/>
            <w:vAlign w:val="bottom"/>
          </w:tcPr>
          <w:p>
            <w:pPr>
              <w:jc w:val="center"/>
              <w:ind w:left="728"/>
              <w:spacing w:after="0"/>
              <w:rPr>
                <w:sz w:val="20"/>
                <w:szCs w:val="20"/>
                <w:color w:val="auto"/>
              </w:rPr>
            </w:pPr>
            <w:r>
              <w:rPr>
                <w:rFonts w:ascii="Arial" w:cs="Arial" w:eastAsia="Arial" w:hAnsi="Arial"/>
                <w:sz w:val="14"/>
                <w:szCs w:val="14"/>
                <w:color w:val="auto"/>
                <w:w w:val="94"/>
              </w:rPr>
              <w:t>$13,750</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February 19, 2020</w:t>
            </w:r>
          </w:p>
        </w:tc>
        <w:tc>
          <w:tcPr>
            <w:tcW w:w="6380" w:type="dxa"/>
            <w:vAlign w:val="bottom"/>
          </w:tcPr>
          <w:p>
            <w:pPr>
              <w:jc w:val="center"/>
              <w:ind w:left="268"/>
              <w:spacing w:after="0"/>
              <w:rPr>
                <w:sz w:val="20"/>
                <w:szCs w:val="20"/>
                <w:color w:val="auto"/>
              </w:rPr>
            </w:pPr>
            <w:r>
              <w:rPr>
                <w:rFonts w:ascii="Arial" w:cs="Arial" w:eastAsia="Arial" w:hAnsi="Arial"/>
                <w:sz w:val="14"/>
                <w:szCs w:val="14"/>
                <w:color w:val="auto"/>
                <w:w w:val="93"/>
              </w:rPr>
              <w:t>92,354</w:t>
            </w:r>
          </w:p>
        </w:tc>
        <w:tc>
          <w:tcPr>
            <w:tcW w:w="2240" w:type="dxa"/>
            <w:vAlign w:val="bottom"/>
          </w:tcPr>
          <w:p>
            <w:pPr>
              <w:jc w:val="center"/>
              <w:ind w:left="708"/>
              <w:spacing w:after="0"/>
              <w:rPr>
                <w:sz w:val="20"/>
                <w:szCs w:val="20"/>
                <w:color w:val="auto"/>
              </w:rPr>
            </w:pPr>
            <w:r>
              <w:rPr>
                <w:rFonts w:ascii="Arial" w:cs="Arial" w:eastAsia="Arial" w:hAnsi="Arial"/>
                <w:sz w:val="14"/>
                <w:szCs w:val="14"/>
                <w:color w:val="auto"/>
                <w:w w:val="92"/>
              </w:rPr>
              <w:t>$507,947</w:t>
            </w:r>
          </w:p>
        </w:tc>
      </w:tr>
    </w:tbl>
    <w:p>
      <w:pPr>
        <w:spacing w:after="0" w:line="214" w:lineRule="exact"/>
        <w:rPr>
          <w:sz w:val="20"/>
          <w:szCs w:val="20"/>
          <w:color w:val="auto"/>
        </w:rPr>
      </w:pPr>
    </w:p>
    <w:p>
      <w:pPr>
        <w:ind w:right="2020" w:firstLine="405"/>
        <w:spacing w:after="0" w:line="263" w:lineRule="auto"/>
        <w:rPr>
          <w:sz w:val="20"/>
          <w:szCs w:val="20"/>
          <w:color w:val="auto"/>
        </w:rPr>
      </w:pPr>
      <w:r>
        <w:rPr>
          <w:rFonts w:ascii="Arial" w:cs="Arial" w:eastAsia="Arial" w:hAnsi="Arial"/>
          <w:sz w:val="18"/>
          <w:szCs w:val="18"/>
          <w:color w:val="auto"/>
        </w:rPr>
        <w:t>The issuances of common stock described in the table above were exempt from the registration requirements of the Securities Act pursuant to the exemption for transactions by an issuer not involving any public offering under Section 4(a)(2) of the Securities Act.</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20" w:right="339" w:bottom="1440" w:gutter="0" w:footer="0" w:header="0"/>
        </w:sectPr>
      </w:pPr>
    </w:p>
    <w:bookmarkStart w:id="36" w:name="page37"/>
    <w:bookmarkEnd w:id="36"/>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ectPr>
          <w:pgSz w:w="11900" w:h="16838" w:orient="portrait"/>
          <w:cols w:equalWidth="0" w:num="1">
            <w:col w:w="11200"/>
          </w:cols>
          <w:pgMar w:left="320" w:top="553" w:right="379" w:bottom="1440" w:gutter="0" w:footer="0" w:header="0"/>
        </w:sect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42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3.5</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10.5</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101.INS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101.CAL</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101.DEF</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101.PRE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104</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641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19" w:lineRule="exact"/>
        <w:rPr>
          <w:sz w:val="20"/>
          <w:szCs w:val="20"/>
          <w:color w:val="auto"/>
        </w:rPr>
      </w:pPr>
    </w:p>
    <w:p>
      <w:pPr>
        <w:ind w:right="60"/>
        <w:spacing w:after="0" w:line="277" w:lineRule="auto"/>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Amended and Restated Certificate of Incorporation (incorporated by reference to Exhibit 3.1 to the Company’s Current Report on Form 8-</w:t>
        </w:r>
      </w:hyperlink>
      <w:hyperlink r:id="rId20">
        <w:r>
          <w:rPr>
            <w:rFonts w:ascii="Arial" w:cs="Arial" w:eastAsia="Arial" w:hAnsi="Arial"/>
            <w:sz w:val="18"/>
            <w:szCs w:val="18"/>
            <w:u w:val="single" w:color="auto"/>
            <w:color w:val="0000FF"/>
          </w:rPr>
          <w:t>K, filed November 9, 2016).</w:t>
        </w:r>
      </w:hyperlink>
    </w:p>
    <w:p>
      <w:pPr>
        <w:spacing w:after="0" w:line="116" w:lineRule="exact"/>
        <w:rPr>
          <w:sz w:val="20"/>
          <w:szCs w:val="20"/>
          <w:color w:val="auto"/>
        </w:rPr>
      </w:pPr>
    </w:p>
    <w:p>
      <w:pPr>
        <w:ind w:right="140"/>
        <w:spacing w:after="0" w:line="277" w:lineRule="auto"/>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Amended and Restated Bylaws (incorporated by reference to Exhibit 3.2 to the Company’s Current Report on Form 8-K, filed November</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9, 2016).</w:t>
        </w:r>
      </w:hyperlink>
    </w:p>
    <w:p>
      <w:pPr>
        <w:spacing w:after="0" w:line="116" w:lineRule="exact"/>
        <w:rPr>
          <w:sz w:val="20"/>
          <w:szCs w:val="20"/>
          <w:color w:val="auto"/>
        </w:rPr>
      </w:pPr>
    </w:p>
    <w:p>
      <w:pPr>
        <w:spacing w:after="0" w:line="277" w:lineRule="auto"/>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Certificate of Designation of Series D Junior Participating Preferred Stock of Inseego Corp. (incorporated by reference to Exhibit 3.1 to the</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Company’s Current Report on Form 8-K, filed January 22, 2018).</w:t>
        </w:r>
      </w:hyperlink>
    </w:p>
    <w:p>
      <w:pPr>
        <w:spacing w:after="0" w:line="62" w:lineRule="exact"/>
        <w:rPr>
          <w:sz w:val="20"/>
          <w:szCs w:val="20"/>
          <w:color w:val="auto"/>
        </w:rPr>
      </w:pPr>
    </w:p>
    <w:p>
      <w:pPr>
        <w:jc w:val="both"/>
        <w:ind w:right="300"/>
        <w:spacing w:after="0" w:line="263"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Certificate of Designation of Series E Fixed-Rate Cumulative Perpetual Preferred Stock filed with the Secretary of State of the State of</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Delaware on August 8, 2019 (incorporated by reference to Exhibit 3.1 to the Company’s Current Report on Form 8-K, filed August 13,</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2019).</w:t>
        </w:r>
      </w:hyperlink>
    </w:p>
    <w:p>
      <w:pPr>
        <w:spacing w:after="0" w:line="22" w:lineRule="exact"/>
        <w:rPr>
          <w:rFonts w:ascii="Arial" w:cs="Arial" w:eastAsia="Arial" w:hAnsi="Arial"/>
          <w:sz w:val="18"/>
          <w:szCs w:val="18"/>
          <w:u w:val="single" w:color="auto"/>
          <w:color w:val="0000FF"/>
        </w:rPr>
      </w:pPr>
    </w:p>
    <w:p>
      <w:pPr>
        <w:ind w:right="340"/>
        <w:spacing w:after="0" w:line="277" w:lineRule="auto"/>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Certificate of Amendment to Certificate of Designation of Series E Fixed-Rate Cumulative Perpetual Preferred Stock (incorporated by</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reference to Exhibit 3.1 to the Company’s Current Report on Form 8-K, filed March 10, 2020).</w:t>
        </w:r>
      </w:hyperlink>
    </w:p>
    <w:p>
      <w:pPr>
        <w:spacing w:after="0" w:line="8" w:lineRule="exact"/>
        <w:rPr>
          <w:sz w:val="20"/>
          <w:szCs w:val="20"/>
          <w:color w:val="auto"/>
        </w:rPr>
      </w:pPr>
    </w:p>
    <w:p>
      <w:pPr>
        <w:ind w:right="660"/>
        <w:spacing w:after="0" w:line="298" w:lineRule="auto"/>
        <w:rPr>
          <w:rFonts w:ascii="Arial" w:cs="Arial" w:eastAsia="Arial" w:hAnsi="Arial"/>
          <w:sz w:val="17"/>
          <w:szCs w:val="17"/>
          <w:u w:val="single" w:color="auto"/>
          <w:color w:val="0000FF"/>
        </w:rPr>
      </w:pPr>
      <w:hyperlink r:id="rId25">
        <w:r>
          <w:rPr>
            <w:rFonts w:ascii="Arial" w:cs="Arial" w:eastAsia="Arial" w:hAnsi="Arial"/>
            <w:sz w:val="17"/>
            <w:szCs w:val="17"/>
            <w:u w:val="single" w:color="auto"/>
            <w:color w:val="0000FF"/>
          </w:rPr>
          <w:t>First Supplemental Indenture, dated March 3, 2020, among Inseego Corp. and Wilmington Trust, National Association, as Trustee</w:t>
        </w:r>
      </w:hyperlink>
      <w:r>
        <w:rPr>
          <w:rFonts w:ascii="Arial" w:cs="Arial" w:eastAsia="Arial" w:hAnsi="Arial"/>
          <w:sz w:val="17"/>
          <w:szCs w:val="17"/>
          <w:u w:val="single" w:color="auto"/>
          <w:color w:val="0000FF"/>
        </w:rPr>
        <w:t xml:space="preserve"> </w:t>
      </w:r>
      <w:hyperlink r:id="rId25">
        <w:r>
          <w:rPr>
            <w:rFonts w:ascii="Arial" w:cs="Arial" w:eastAsia="Arial" w:hAnsi="Arial"/>
            <w:sz w:val="17"/>
            <w:szCs w:val="17"/>
            <w:u w:val="single" w:color="auto"/>
            <w:color w:val="0000FF"/>
          </w:rPr>
          <w:t>(incorporated by reference to Exhibit 10.1 to the Company’s Current Report on Form 8-K, filed March 9, 2020).</w:t>
        </w:r>
      </w:hyperlink>
    </w:p>
    <w:p>
      <w:pPr>
        <w:spacing w:after="0" w:line="1" w:lineRule="exact"/>
        <w:rPr>
          <w:sz w:val="20"/>
          <w:szCs w:val="20"/>
          <w:color w:val="auto"/>
        </w:rPr>
      </w:pPr>
    </w:p>
    <w:p>
      <w:pPr>
        <w:ind w:right="100"/>
        <w:spacing w:after="0" w:line="277" w:lineRule="auto"/>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Form of Waiver Agreement between Inseego Corp. and holders of Inseego Corp. 5.50% Convertible Senior Notes due 2022 (incorporated</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by reference to Exhibit 10.2 to the Company’s Current Report on Form 8-K, filed March 9, 2020).</w:t>
        </w:r>
      </w:hyperlink>
    </w:p>
    <w:p>
      <w:pPr>
        <w:spacing w:after="0" w:line="8" w:lineRule="exact"/>
        <w:rPr>
          <w:sz w:val="20"/>
          <w:szCs w:val="20"/>
          <w:color w:val="auto"/>
        </w:rPr>
      </w:pPr>
    </w:p>
    <w:p>
      <w:pPr>
        <w:ind w:right="580"/>
        <w:spacing w:after="0" w:line="298" w:lineRule="auto"/>
        <w:rPr>
          <w:rFonts w:ascii="Arial" w:cs="Arial" w:eastAsia="Arial" w:hAnsi="Arial"/>
          <w:sz w:val="17"/>
          <w:szCs w:val="17"/>
          <w:u w:val="single" w:color="auto"/>
          <w:color w:val="0000FF"/>
        </w:rPr>
      </w:pPr>
      <w:hyperlink r:id="rId27">
        <w:r>
          <w:rPr>
            <w:rFonts w:ascii="Arial" w:cs="Arial" w:eastAsia="Arial" w:hAnsi="Arial"/>
            <w:sz w:val="17"/>
            <w:szCs w:val="17"/>
            <w:u w:val="single" w:color="auto"/>
            <w:color w:val="0000FF"/>
          </w:rPr>
          <w:t>Securities Purchase Agreement, dated March 6, 2020, by and among Inseego Corp. and the Investor identified on Exhibit A thereto</w:t>
        </w:r>
      </w:hyperlink>
      <w:r>
        <w:rPr>
          <w:rFonts w:ascii="Arial" w:cs="Arial" w:eastAsia="Arial" w:hAnsi="Arial"/>
          <w:sz w:val="17"/>
          <w:szCs w:val="17"/>
          <w:u w:val="single" w:color="auto"/>
          <w:color w:val="0000FF"/>
        </w:rPr>
        <w:t xml:space="preserve"> </w:t>
      </w:r>
      <w:hyperlink r:id="rId27">
        <w:r>
          <w:rPr>
            <w:rFonts w:ascii="Arial" w:cs="Arial" w:eastAsia="Arial" w:hAnsi="Arial"/>
            <w:sz w:val="17"/>
            <w:szCs w:val="17"/>
            <w:u w:val="single" w:color="auto"/>
            <w:color w:val="0000FF"/>
          </w:rPr>
          <w:t>(incorporated by reference to Exhibit 10.1 to the Company’s Current Report on Form 8-K, filed on March 10, 2020).</w:t>
        </w:r>
      </w:hyperlink>
    </w:p>
    <w:p>
      <w:pPr>
        <w:spacing w:after="0" w:line="1" w:lineRule="exact"/>
        <w:rPr>
          <w:sz w:val="20"/>
          <w:szCs w:val="20"/>
          <w:color w:val="auto"/>
        </w:rPr>
      </w:pPr>
    </w:p>
    <w:p>
      <w:pPr>
        <w:ind w:right="640"/>
        <w:spacing w:after="0" w:line="263" w:lineRule="auto"/>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Second Amendment to Credit Agreement dated March 9, 2020, by and among Inseego Corp. and certain of its direct and indirect</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subsidiaries, Cantor Fitzgerald Securities, as Agent, and the lenders party thereto. (incorporated by reference to Exhibit 10.1 to the</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Company’s Current Report on Form 8-K, filed on March 11, 2020).</w:t>
        </w:r>
      </w:hyperlink>
    </w:p>
    <w:p>
      <w:pPr>
        <w:spacing w:after="0" w:line="22" w:lineRule="exact"/>
        <w:rPr>
          <w:rFonts w:ascii="Arial" w:cs="Arial" w:eastAsia="Arial" w:hAnsi="Arial"/>
          <w:sz w:val="18"/>
          <w:szCs w:val="18"/>
          <w:u w:val="single" w:color="auto"/>
          <w:color w:val="0000FF"/>
        </w:rPr>
      </w:pPr>
    </w:p>
    <w:p>
      <w:pPr>
        <w:ind w:right="380"/>
        <w:spacing w:after="0" w:line="277" w:lineRule="auto"/>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Letter Agreement dated March 10, 2020, by and between Inseego Corp. and South Ocean Funding, LLC (incorporated by reference to</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Exhibit 10.2 to the Company’s Current Report on Form 8-K, filed on March 11, 2020).</w:t>
        </w:r>
      </w:hyperlink>
    </w:p>
    <w:p>
      <w:pPr>
        <w:spacing w:after="0" w:line="8" w:lineRule="exact"/>
        <w:rPr>
          <w:sz w:val="20"/>
          <w:szCs w:val="20"/>
          <w:color w:val="auto"/>
        </w:rPr>
      </w:pPr>
    </w:p>
    <w:p>
      <w:pPr>
        <w:ind w:right="40"/>
        <w:spacing w:after="0" w:line="263" w:lineRule="auto"/>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Form of Exchange Agreement, by and among Inseego Corp. and certain investors holding the Company’s 5.50% Convertible Senior Notes</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due 2022 (incorporated by reference to Exhibit 10.22 to the Company’s Annual Report on Form 10-K for the period ended December 31,</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2019, filed on March 16, 2020).</w:t>
        </w:r>
      </w:hyperlink>
    </w:p>
    <w:p>
      <w:pPr>
        <w:spacing w:after="0" w:line="76" w:lineRule="exact"/>
        <w:rPr>
          <w:rFonts w:ascii="Arial" w:cs="Arial" w:eastAsia="Arial" w:hAnsi="Arial"/>
          <w:sz w:val="18"/>
          <w:szCs w:val="18"/>
          <w:u w:val="single" w:color="auto"/>
          <w:color w:val="0000FF"/>
        </w:rPr>
      </w:pPr>
    </w:p>
    <w:p>
      <w:pPr>
        <w:spacing w:after="0"/>
        <w:rPr>
          <w:rFonts w:ascii="Arial" w:cs="Arial" w:eastAsia="Arial" w:hAnsi="Arial"/>
          <w:sz w:val="18"/>
          <w:szCs w:val="18"/>
          <w:color w:val="0000FF"/>
        </w:rPr>
      </w:pPr>
      <w:hyperlink w:anchor="page39">
        <w:r>
          <w:rPr>
            <w:rFonts w:ascii="Arial" w:cs="Arial" w:eastAsia="Arial" w:hAnsi="Arial"/>
            <w:sz w:val="18"/>
            <w:szCs w:val="18"/>
            <w:u w:val="single" w:color="auto"/>
            <w:color w:val="0000FF"/>
          </w:rPr>
          <w:t>Certification of our Principal Executive Officer adopted pursuant to Section 302 of the Sarbanes-Oxley Act of 2002</w:t>
        </w:r>
        <w:r>
          <w:rPr>
            <w:rFonts w:ascii="Arial" w:cs="Arial" w:eastAsia="Arial" w:hAnsi="Arial"/>
            <w:sz w:val="18"/>
            <w:szCs w:val="18"/>
            <w:color w:val="0000FF"/>
          </w:rPr>
          <w:t>.</w:t>
        </w:r>
      </w:hyperlink>
    </w:p>
    <w:p>
      <w:pPr>
        <w:spacing w:after="0" w:line="171"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Certification of our Principal Financial Officer adopted pursuant to Section 302 of the Sarbanes-Oxley Act of 2002.</w:t>
        </w:r>
      </w:hyperlink>
    </w:p>
    <w:p>
      <w:pPr>
        <w:spacing w:after="0" w:line="171" w:lineRule="exact"/>
        <w:rPr>
          <w:rFonts w:ascii="Arial" w:cs="Arial" w:eastAsia="Arial" w:hAnsi="Arial"/>
          <w:sz w:val="18"/>
          <w:szCs w:val="18"/>
          <w:u w:val="single" w:color="auto"/>
          <w:color w:val="0000FF"/>
        </w:rPr>
      </w:pPr>
    </w:p>
    <w:p>
      <w:pPr>
        <w:ind w:right="60"/>
        <w:spacing w:after="0" w:line="277" w:lineRule="auto"/>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Certification of Principal Executive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Act of 2002.</w:t>
        </w:r>
      </w:hyperlink>
    </w:p>
    <w:p>
      <w:pPr>
        <w:spacing w:after="0" w:line="116" w:lineRule="exact"/>
        <w:rPr>
          <w:sz w:val="20"/>
          <w:szCs w:val="20"/>
          <w:color w:val="auto"/>
        </w:rPr>
      </w:pPr>
    </w:p>
    <w:p>
      <w:pPr>
        <w:ind w:right="100"/>
        <w:spacing w:after="0" w:line="277" w:lineRule="auto"/>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Certification of Principal Financial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Act of 2002.</w:t>
        </w:r>
      </w:hyperlink>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ectPr>
          <w:pgSz w:w="11900" w:h="16838" w:orient="portrait"/>
          <w:cols w:equalWidth="0" w:num="2">
            <w:col w:w="740" w:space="420"/>
            <w:col w:w="10040"/>
          </w:cols>
          <w:pgMar w:left="320" w:top="553" w:right="37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00"/>
          </w:cols>
          <w:pgMar w:left="320" w:top="553" w:right="37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May 7, 2020</w:t>
            </w:r>
          </w:p>
        </w:tc>
        <w:tc>
          <w:tcPr>
            <w:tcW w:w="4540" w:type="dxa"/>
            <w:vAlign w:val="bottom"/>
            <w:gridSpan w:val="2"/>
          </w:tcPr>
          <w:p>
            <w:pPr>
              <w:ind w:left="3100"/>
              <w:spacing w:after="0"/>
              <w:rPr>
                <w:sz w:val="20"/>
                <w:szCs w:val="20"/>
                <w:color w:val="auto"/>
              </w:rPr>
            </w:pPr>
            <w:r>
              <w:rPr>
                <w:rFonts w:ascii="Arial" w:cs="Arial" w:eastAsia="Arial" w:hAnsi="Arial"/>
                <w:sz w:val="18"/>
                <w:szCs w:val="18"/>
                <w:color w:val="auto"/>
              </w:rPr>
              <w:t>Inseego Corp.</w:t>
            </w:r>
          </w:p>
        </w:tc>
        <w:tc>
          <w:tcPr>
            <w:tcW w:w="7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392"/>
        </w:trPr>
        <w:tc>
          <w:tcPr>
            <w:tcW w:w="3420" w:type="dxa"/>
            <w:vAlign w:val="bottom"/>
          </w:tcPr>
          <w:p>
            <w:pPr>
              <w:spacing w:after="0"/>
              <w:rPr>
                <w:sz w:val="24"/>
                <w:szCs w:val="24"/>
                <w:color w:val="auto"/>
              </w:rPr>
            </w:pPr>
          </w:p>
        </w:tc>
        <w:tc>
          <w:tcPr>
            <w:tcW w:w="4540" w:type="dxa"/>
            <w:vAlign w:val="bottom"/>
            <w:gridSpan w:val="2"/>
          </w:tcPr>
          <w:p>
            <w:pPr>
              <w:ind w:left="3100"/>
              <w:spacing w:after="0"/>
              <w:rPr>
                <w:sz w:val="20"/>
                <w:szCs w:val="20"/>
                <w:color w:val="auto"/>
              </w:rPr>
            </w:pPr>
            <w:r>
              <w:rPr>
                <w:rFonts w:ascii="Arial" w:cs="Arial" w:eastAsia="Arial" w:hAnsi="Arial"/>
                <w:sz w:val="18"/>
                <w:szCs w:val="18"/>
                <w:color w:val="auto"/>
              </w:rPr>
              <w:t>By:</w:t>
            </w:r>
          </w:p>
        </w:tc>
        <w:tc>
          <w:tcPr>
            <w:tcW w:w="700" w:type="dxa"/>
            <w:vAlign w:val="bottom"/>
          </w:tcPr>
          <w:p>
            <w:pPr>
              <w:ind w:left="500"/>
              <w:spacing w:after="0"/>
              <w:rPr>
                <w:sz w:val="20"/>
                <w:szCs w:val="20"/>
                <w:color w:val="auto"/>
              </w:rPr>
            </w:pPr>
            <w:r>
              <w:rPr>
                <w:rFonts w:ascii="Arial" w:cs="Arial" w:eastAsia="Arial" w:hAnsi="Arial"/>
                <w:sz w:val="16"/>
                <w:szCs w:val="16"/>
                <w:color w:val="auto"/>
              </w:rPr>
              <w:t>/s/</w:t>
            </w:r>
          </w:p>
        </w:tc>
        <w:tc>
          <w:tcPr>
            <w:tcW w:w="2540" w:type="dxa"/>
            <w:vAlign w:val="bottom"/>
          </w:tcPr>
          <w:p>
            <w:pPr>
              <w:jc w:val="center"/>
              <w:ind w:right="1104"/>
              <w:spacing w:after="0"/>
              <w:rPr>
                <w:sz w:val="20"/>
                <w:szCs w:val="20"/>
                <w:color w:val="auto"/>
              </w:rPr>
            </w:pPr>
            <w:r>
              <w:rPr>
                <w:rFonts w:ascii="Arial" w:cs="Arial" w:eastAsia="Arial" w:hAnsi="Arial"/>
                <w:sz w:val="16"/>
                <w:szCs w:val="16"/>
                <w:color w:val="auto"/>
              </w:rPr>
              <w:t>DAN MONDOR</w:t>
            </w:r>
          </w:p>
        </w:tc>
      </w:tr>
      <w:tr>
        <w:trPr>
          <w:trHeight w:val="27"/>
        </w:trPr>
        <w:tc>
          <w:tcPr>
            <w:tcW w:w="34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84"/>
        </w:trPr>
        <w:tc>
          <w:tcPr>
            <w:tcW w:w="34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40" w:type="dxa"/>
            <w:vAlign w:val="bottom"/>
          </w:tcPr>
          <w:p>
            <w:pPr>
              <w:jc w:val="center"/>
              <w:ind w:right="1424"/>
              <w:spacing w:after="0"/>
              <w:rPr>
                <w:sz w:val="20"/>
                <w:szCs w:val="20"/>
                <w:color w:val="auto"/>
              </w:rPr>
            </w:pPr>
            <w:r>
              <w:rPr>
                <w:rFonts w:ascii="Arial" w:cs="Arial" w:eastAsia="Arial" w:hAnsi="Arial"/>
                <w:sz w:val="14"/>
                <w:szCs w:val="14"/>
                <w:b w:val="1"/>
                <w:bCs w:val="1"/>
                <w:color w:val="auto"/>
                <w:w w:val="97"/>
              </w:rPr>
              <w:t>Dan Mondor</w:t>
            </w:r>
          </w:p>
        </w:tc>
      </w:tr>
      <w:tr>
        <w:trPr>
          <w:trHeight w:val="257"/>
        </w:trPr>
        <w:tc>
          <w:tcPr>
            <w:tcW w:w="34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40" w:type="dxa"/>
            <w:vAlign w:val="bottom"/>
            <w:gridSpan w:val="2"/>
          </w:tcPr>
          <w:p>
            <w:pPr>
              <w:jc w:val="center"/>
              <w:ind w:right="724"/>
              <w:spacing w:after="0"/>
              <w:rPr>
                <w:sz w:val="20"/>
                <w:szCs w:val="20"/>
                <w:color w:val="auto"/>
              </w:rPr>
            </w:pPr>
            <w:r>
              <w:rPr>
                <w:rFonts w:ascii="Arial" w:cs="Arial" w:eastAsia="Arial" w:hAnsi="Arial"/>
                <w:sz w:val="14"/>
                <w:szCs w:val="14"/>
                <w:b w:val="1"/>
                <w:bCs w:val="1"/>
                <w:color w:val="auto"/>
                <w:w w:val="93"/>
              </w:rPr>
              <w:t>Chief Executive Officer</w:t>
            </w:r>
          </w:p>
        </w:tc>
      </w:tr>
      <w:tr>
        <w:trPr>
          <w:trHeight w:val="755"/>
        </w:trPr>
        <w:tc>
          <w:tcPr>
            <w:tcW w:w="3420" w:type="dxa"/>
            <w:vAlign w:val="bottom"/>
          </w:tcPr>
          <w:p>
            <w:pPr>
              <w:spacing w:after="0"/>
              <w:rPr>
                <w:sz w:val="24"/>
                <w:szCs w:val="24"/>
                <w:color w:val="auto"/>
              </w:rPr>
            </w:pPr>
          </w:p>
        </w:tc>
        <w:tc>
          <w:tcPr>
            <w:tcW w:w="4540" w:type="dxa"/>
            <w:vAlign w:val="bottom"/>
            <w:gridSpan w:val="2"/>
          </w:tcPr>
          <w:p>
            <w:pPr>
              <w:ind w:left="3100"/>
              <w:spacing w:after="0"/>
              <w:rPr>
                <w:sz w:val="20"/>
                <w:szCs w:val="20"/>
                <w:color w:val="auto"/>
              </w:rPr>
            </w:pPr>
            <w:r>
              <w:rPr>
                <w:rFonts w:ascii="Arial" w:cs="Arial" w:eastAsia="Arial" w:hAnsi="Arial"/>
                <w:sz w:val="18"/>
                <w:szCs w:val="18"/>
                <w:color w:val="auto"/>
              </w:rPr>
              <w:t>By:</w:t>
            </w:r>
          </w:p>
        </w:tc>
        <w:tc>
          <w:tcPr>
            <w:tcW w:w="700" w:type="dxa"/>
            <w:vAlign w:val="bottom"/>
          </w:tcPr>
          <w:p>
            <w:pPr>
              <w:ind w:left="440"/>
              <w:spacing w:after="0"/>
              <w:rPr>
                <w:sz w:val="20"/>
                <w:szCs w:val="20"/>
                <w:color w:val="auto"/>
              </w:rPr>
            </w:pPr>
            <w:r>
              <w:rPr>
                <w:rFonts w:ascii="Arial" w:cs="Arial" w:eastAsia="Arial" w:hAnsi="Arial"/>
                <w:sz w:val="16"/>
                <w:szCs w:val="16"/>
                <w:color w:val="auto"/>
              </w:rPr>
              <w:t>/s/</w:t>
            </w:r>
          </w:p>
        </w:tc>
        <w:tc>
          <w:tcPr>
            <w:tcW w:w="2540" w:type="dxa"/>
            <w:vAlign w:val="bottom"/>
          </w:tcPr>
          <w:p>
            <w:pPr>
              <w:jc w:val="center"/>
              <w:ind w:right="1104"/>
              <w:spacing w:after="0"/>
              <w:rPr>
                <w:sz w:val="20"/>
                <w:szCs w:val="20"/>
                <w:color w:val="auto"/>
              </w:rPr>
            </w:pPr>
            <w:r>
              <w:rPr>
                <w:rFonts w:ascii="Arial" w:cs="Arial" w:eastAsia="Arial" w:hAnsi="Arial"/>
                <w:sz w:val="16"/>
                <w:szCs w:val="16"/>
                <w:color w:val="auto"/>
                <w:w w:val="95"/>
              </w:rPr>
              <w:t>STEPHEN SMITH</w:t>
            </w:r>
          </w:p>
        </w:tc>
      </w:tr>
      <w:tr>
        <w:trPr>
          <w:trHeight w:val="27"/>
        </w:trPr>
        <w:tc>
          <w:tcPr>
            <w:tcW w:w="34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84"/>
        </w:trPr>
        <w:tc>
          <w:tcPr>
            <w:tcW w:w="34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40" w:type="dxa"/>
            <w:vAlign w:val="bottom"/>
          </w:tcPr>
          <w:p>
            <w:pPr>
              <w:jc w:val="center"/>
              <w:ind w:right="1404"/>
              <w:spacing w:after="0"/>
              <w:rPr>
                <w:sz w:val="20"/>
                <w:szCs w:val="20"/>
                <w:color w:val="auto"/>
              </w:rPr>
            </w:pPr>
            <w:r>
              <w:rPr>
                <w:rFonts w:ascii="Arial" w:cs="Arial" w:eastAsia="Arial" w:hAnsi="Arial"/>
                <w:sz w:val="14"/>
                <w:szCs w:val="14"/>
                <w:b w:val="1"/>
                <w:bCs w:val="1"/>
                <w:color w:val="auto"/>
                <w:w w:val="91"/>
              </w:rPr>
              <w:t>Stephen Smith</w:t>
            </w:r>
          </w:p>
        </w:tc>
      </w:tr>
      <w:tr>
        <w:trPr>
          <w:trHeight w:val="256"/>
        </w:trPr>
        <w:tc>
          <w:tcPr>
            <w:tcW w:w="34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40" w:type="dxa"/>
            <w:vAlign w:val="bottom"/>
            <w:gridSpan w:val="2"/>
          </w:tcPr>
          <w:p>
            <w:pPr>
              <w:jc w:val="center"/>
              <w:ind w:right="704"/>
              <w:spacing w:after="0"/>
              <w:rPr>
                <w:sz w:val="20"/>
                <w:szCs w:val="20"/>
                <w:color w:val="auto"/>
              </w:rPr>
            </w:pPr>
            <w:r>
              <w:rPr>
                <w:rFonts w:ascii="Arial" w:cs="Arial" w:eastAsia="Arial" w:hAnsi="Arial"/>
                <w:sz w:val="14"/>
                <w:szCs w:val="14"/>
                <w:b w:val="1"/>
                <w:bCs w:val="1"/>
                <w:color w:val="auto"/>
                <w:w w:val="95"/>
              </w:rPr>
              <w:t>Chief Financial Officer</w:t>
            </w:r>
          </w:p>
        </w:tc>
      </w:tr>
      <w:tr>
        <w:trPr>
          <w:trHeight w:val="809"/>
        </w:trPr>
        <w:tc>
          <w:tcPr>
            <w:tcW w:w="3420" w:type="dxa"/>
            <w:vAlign w:val="bottom"/>
          </w:tcPr>
          <w:p>
            <w:pPr>
              <w:spacing w:after="0"/>
              <w:rPr>
                <w:sz w:val="24"/>
                <w:szCs w:val="24"/>
                <w:color w:val="auto"/>
              </w:rPr>
            </w:pPr>
          </w:p>
        </w:tc>
        <w:tc>
          <w:tcPr>
            <w:tcW w:w="3740" w:type="dxa"/>
            <w:vAlign w:val="bottom"/>
          </w:tcPr>
          <w:p>
            <w:pPr>
              <w:jc w:val="right"/>
              <w:ind w:right="1390"/>
              <w:spacing w:after="0"/>
              <w:rPr>
                <w:sz w:val="20"/>
                <w:szCs w:val="20"/>
                <w:color w:val="auto"/>
              </w:rPr>
            </w:pPr>
            <w:r>
              <w:rPr>
                <w:rFonts w:ascii="Arial" w:cs="Arial" w:eastAsia="Arial" w:hAnsi="Arial"/>
                <w:sz w:val="18"/>
                <w:szCs w:val="18"/>
                <w:color w:val="auto"/>
              </w:rPr>
              <w:t>38</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71" w:lineRule="exact"/>
        <w:rPr>
          <w:sz w:val="20"/>
          <w:szCs w:val="20"/>
          <w:color w:val="auto"/>
        </w:rPr>
      </w:pPr>
    </w:p>
    <w:p>
      <w:pPr>
        <w:ind w:left="640" w:hanging="17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71" w:lineRule="exact"/>
        <w:rPr>
          <w:rFonts w:ascii="Arial" w:cs="Arial" w:eastAsia="Arial" w:hAnsi="Arial"/>
          <w:sz w:val="18"/>
          <w:szCs w:val="18"/>
          <w:color w:val="auto"/>
        </w:rPr>
      </w:pPr>
    </w:p>
    <w:p>
      <w:pPr>
        <w:ind w:right="120" w:firstLine="467"/>
        <w:spacing w:after="0" w:line="342" w:lineRule="auto"/>
        <w:tabs>
          <w:tab w:leader="none" w:pos="639"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67"/>
        <w:spacing w:after="0" w:line="277" w:lineRule="auto"/>
        <w:tabs>
          <w:tab w:leader="none" w:pos="6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67"/>
        <w:spacing w:after="0" w:line="263" w:lineRule="auto"/>
        <w:tabs>
          <w:tab w:leader="none" w:pos="6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7" w:lineRule="exact"/>
        <w:rPr>
          <w:rFonts w:ascii="Arial" w:cs="Arial" w:eastAsia="Arial" w:hAnsi="Arial"/>
          <w:sz w:val="18"/>
          <w:szCs w:val="18"/>
          <w:color w:val="auto"/>
        </w:rPr>
      </w:pPr>
    </w:p>
    <w:p>
      <w:pPr>
        <w:ind w:left="1040" w:right="160" w:hanging="246"/>
        <w:spacing w:after="0" w:line="263"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040" w:right="300" w:hanging="256"/>
        <w:spacing w:after="0" w:line="263"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040" w:right="460" w:hanging="246"/>
        <w:spacing w:after="0" w:line="342" w:lineRule="auto"/>
        <w:tabs>
          <w:tab w:leader="none" w:pos="10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040" w:right="160" w:hanging="256"/>
        <w:spacing w:after="0" w:line="263"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0" w:firstLine="467"/>
        <w:spacing w:after="0" w:line="308" w:lineRule="auto"/>
        <w:tabs>
          <w:tab w:leader="none" w:pos="63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1040" w:right="700" w:hanging="246"/>
        <w:spacing w:after="0" w:line="342" w:lineRule="auto"/>
        <w:tabs>
          <w:tab w:leader="none" w:pos="10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040" w:right="400" w:hanging="256"/>
        <w:spacing w:after="0" w:line="27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74" w:lineRule="exact"/>
        <w:rPr>
          <w:sz w:val="20"/>
          <w:szCs w:val="20"/>
          <w:color w:val="auto"/>
        </w:rPr>
      </w:pPr>
    </w:p>
    <w:p>
      <w:pPr>
        <w:ind w:left="3000"/>
        <w:spacing w:after="0"/>
        <w:tabs>
          <w:tab w:leader="none" w:pos="3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31750</wp:posOffset>
            </wp:positionV>
            <wp:extent cx="3385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Dan Mondor</w:t>
      </w:r>
    </w:p>
    <w:p>
      <w:pPr>
        <w:spacing w:after="0" w:line="162"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Chief Executive Officer</w:t>
      </w:r>
    </w:p>
    <w:p>
      <w:pPr>
        <w:spacing w:after="0" w:line="36"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44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Smith, certify that:</w:t>
      </w:r>
    </w:p>
    <w:p>
      <w:pPr>
        <w:spacing w:after="0" w:line="171" w:lineRule="exact"/>
        <w:rPr>
          <w:sz w:val="20"/>
          <w:szCs w:val="20"/>
          <w:color w:val="auto"/>
        </w:rPr>
      </w:pPr>
    </w:p>
    <w:p>
      <w:pPr>
        <w:ind w:left="640" w:hanging="17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292" w:lineRule="exact"/>
        <w:rPr>
          <w:rFonts w:ascii="Arial" w:cs="Arial" w:eastAsia="Arial" w:hAnsi="Arial"/>
          <w:sz w:val="18"/>
          <w:szCs w:val="18"/>
          <w:color w:val="auto"/>
        </w:rPr>
      </w:pPr>
    </w:p>
    <w:p>
      <w:pPr>
        <w:ind w:right="120" w:firstLine="467"/>
        <w:spacing w:after="0" w:line="342" w:lineRule="auto"/>
        <w:tabs>
          <w:tab w:leader="none" w:pos="6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6"/>
          <w:szCs w:val="16"/>
          <w:color w:val="auto"/>
        </w:rPr>
      </w:pPr>
    </w:p>
    <w:p>
      <w:pPr>
        <w:ind w:right="100" w:firstLine="467"/>
        <w:spacing w:after="0" w:line="277" w:lineRule="auto"/>
        <w:tabs>
          <w:tab w:leader="none" w:pos="6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7" w:lineRule="exact"/>
        <w:rPr>
          <w:rFonts w:ascii="Arial" w:cs="Arial" w:eastAsia="Arial" w:hAnsi="Arial"/>
          <w:sz w:val="18"/>
          <w:szCs w:val="18"/>
          <w:color w:val="auto"/>
        </w:rPr>
      </w:pPr>
    </w:p>
    <w:p>
      <w:pPr>
        <w:ind w:right="80" w:firstLine="467"/>
        <w:spacing w:after="0" w:line="263" w:lineRule="auto"/>
        <w:tabs>
          <w:tab w:leader="none" w:pos="6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9" w:lineRule="exact"/>
        <w:rPr>
          <w:rFonts w:ascii="Arial" w:cs="Arial" w:eastAsia="Arial" w:hAnsi="Arial"/>
          <w:sz w:val="18"/>
          <w:szCs w:val="18"/>
          <w:color w:val="auto"/>
        </w:rPr>
      </w:pPr>
    </w:p>
    <w:p>
      <w:pPr>
        <w:ind w:left="1040" w:right="160" w:hanging="246"/>
        <w:spacing w:after="0" w:line="263"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040" w:right="300" w:hanging="256"/>
        <w:spacing w:after="0" w:line="263"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040" w:right="460" w:hanging="246"/>
        <w:spacing w:after="0" w:line="342" w:lineRule="auto"/>
        <w:tabs>
          <w:tab w:leader="none" w:pos="10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040" w:right="160" w:hanging="256"/>
        <w:spacing w:after="0" w:line="263"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0" w:firstLine="467"/>
        <w:spacing w:after="0" w:line="308" w:lineRule="auto"/>
        <w:tabs>
          <w:tab w:leader="none" w:pos="63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1040" w:right="700" w:hanging="246"/>
        <w:spacing w:after="0" w:line="342" w:lineRule="auto"/>
        <w:tabs>
          <w:tab w:leader="none" w:pos="10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040" w:right="400" w:hanging="256"/>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74" w:lineRule="exact"/>
        <w:rPr>
          <w:sz w:val="20"/>
          <w:szCs w:val="20"/>
          <w:color w:val="auto"/>
        </w:rPr>
      </w:pPr>
    </w:p>
    <w:p>
      <w:pPr>
        <w:ind w:left="3000"/>
        <w:spacing w:after="0"/>
        <w:tabs>
          <w:tab w:leader="none" w:pos="3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31750</wp:posOffset>
            </wp:positionV>
            <wp:extent cx="33858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Stephen Smith</w:t>
      </w:r>
    </w:p>
    <w:p>
      <w:pPr>
        <w:spacing w:after="0" w:line="162"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283"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00" w:lineRule="exact"/>
        <w:rPr>
          <w:sz w:val="20"/>
          <w:szCs w:val="20"/>
          <w:color w:val="auto"/>
        </w:rPr>
      </w:pPr>
    </w:p>
    <w:p>
      <w:pPr>
        <w:spacing w:after="0" w:line="281" w:lineRule="exact"/>
        <w:rPr>
          <w:sz w:val="20"/>
          <w:szCs w:val="20"/>
          <w:color w:val="auto"/>
        </w:rPr>
      </w:pPr>
    </w:p>
    <w:p>
      <w:pPr>
        <w:ind w:left="1520" w:right="420" w:hanging="797"/>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2020 (the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520" w:right="120" w:hanging="797"/>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74" w:lineRule="exact"/>
        <w:rPr>
          <w:sz w:val="20"/>
          <w:szCs w:val="20"/>
          <w:color w:val="auto"/>
        </w:rPr>
      </w:pPr>
    </w:p>
    <w:p>
      <w:pPr>
        <w:ind w:left="3060"/>
        <w:spacing w:after="0"/>
        <w:tabs>
          <w:tab w:leader="none" w:pos="3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31750</wp:posOffset>
            </wp:positionV>
            <wp:extent cx="3300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Dan Mondor</w:t>
      </w:r>
    </w:p>
    <w:p>
      <w:pPr>
        <w:spacing w:after="0" w:line="81"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28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I, Stephen Smith,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00" w:lineRule="exact"/>
        <w:rPr>
          <w:sz w:val="20"/>
          <w:szCs w:val="20"/>
          <w:color w:val="auto"/>
        </w:rPr>
      </w:pPr>
    </w:p>
    <w:p>
      <w:pPr>
        <w:spacing w:after="0" w:line="281" w:lineRule="exact"/>
        <w:rPr>
          <w:sz w:val="20"/>
          <w:szCs w:val="20"/>
          <w:color w:val="auto"/>
        </w:rPr>
      </w:pPr>
    </w:p>
    <w:p>
      <w:pPr>
        <w:ind w:left="1300" w:right="660" w:hanging="793"/>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2020 (the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300" w:right="340" w:hanging="793"/>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74" w:lineRule="exact"/>
        <w:rPr>
          <w:sz w:val="20"/>
          <w:szCs w:val="20"/>
          <w:color w:val="auto"/>
        </w:rPr>
      </w:pPr>
    </w:p>
    <w:p>
      <w:pPr>
        <w:ind w:left="3060"/>
        <w:spacing w:after="0"/>
        <w:tabs>
          <w:tab w:leader="none" w:pos="3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31750</wp:posOffset>
            </wp:positionV>
            <wp:extent cx="3300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53"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Stephen Smith</w:t>
      </w:r>
    </w:p>
    <w:p>
      <w:pPr>
        <w:spacing w:after="0" w:line="94"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1."/>
      <w:numFmt w:val="decimal"/>
      <w:start w:val="9"/>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Roman"/>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20" Type="http://schemas.openxmlformats.org/officeDocument/2006/relationships/hyperlink" Target="http://www.sec.gov/Archives/edgar/data/1022652/000119312516763609/d261554dex31.htm" TargetMode="External"/><Relationship Id="rId21" Type="http://schemas.openxmlformats.org/officeDocument/2006/relationships/hyperlink" Target="http://www.sec.gov/Archives/edgar/data/1022652/000119312516763609/d261554dex32.htm" TargetMode="External"/><Relationship Id="rId22" Type="http://schemas.openxmlformats.org/officeDocument/2006/relationships/hyperlink" Target="http://www.sec.gov/Archives/edgar/data/1022652/000119312518015371/d525985dex31.htm" TargetMode="External"/><Relationship Id="rId23" Type="http://schemas.openxmlformats.org/officeDocument/2006/relationships/hyperlink" Target="http://www.sec.gov/Archives/edgar/data/1022652/000119312519219943/d792529dex31.htm" TargetMode="External"/><Relationship Id="rId24" Type="http://schemas.openxmlformats.org/officeDocument/2006/relationships/hyperlink" Target="http://www.sec.gov/Archives/edgar/data/1022652/000119312520067668/d824727dex31.htm" TargetMode="External"/><Relationship Id="rId25" Type="http://schemas.openxmlformats.org/officeDocument/2006/relationships/hyperlink" Target="http://www.sec.gov/Archives/edgar/data/1022652/000119312520066438/d842536dex101.htm" TargetMode="External"/><Relationship Id="rId26" Type="http://schemas.openxmlformats.org/officeDocument/2006/relationships/hyperlink" Target="http://www.sec.gov/Archives/edgar/data/1022652/000119312520066438/d842536dex102.htm" TargetMode="External"/><Relationship Id="rId27" Type="http://schemas.openxmlformats.org/officeDocument/2006/relationships/hyperlink" Target="http://www.sec.gov/Archives/edgar/data/1022652/000119312520067668/d824727dex101.htm" TargetMode="External"/><Relationship Id="rId28" Type="http://schemas.openxmlformats.org/officeDocument/2006/relationships/hyperlink" Target="http://www.sec.gov/Archives/edgar/data/1022652/000119312520069689/d903208dex101.htm" TargetMode="External"/><Relationship Id="rId29" Type="http://schemas.openxmlformats.org/officeDocument/2006/relationships/hyperlink" Target="http://www.sec.gov/Archives/edgar/data/1022652/000119312520069689/d903208dex102.htm" TargetMode="External"/><Relationship Id="rId30" Type="http://schemas.openxmlformats.org/officeDocument/2006/relationships/hyperlink" Target="http://www.sec.gov/Archives/edgar/data/1022652/000102265220000007/insg20191231ex1022for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2020-05-07T16:29:23Z</dcterms:created>
  <dcterms:modified xsi:type="dcterms:W3CDTF">2020-05-07T16:29:23Z</dcterms:modified>
</cp:coreProperties>
</file>