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4140" w:right="2040" w:hanging="4132"/>
        <w:spacing w:after="0" w:line="434"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0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580" w:type="dxa"/>
        <w:tblCellMar>
          <w:top w:w="0" w:type="dxa"/>
          <w:left w:w="0" w:type="dxa"/>
          <w:bottom w:w="0" w:type="dxa"/>
          <w:right w:w="0" w:type="dxa"/>
        </w:tblCellMar>
      </w:tblPr>
      <w:tr>
        <w:trPr>
          <w:trHeight w:val="253"/>
        </w:trPr>
        <w:tc>
          <w:tcPr>
            <w:tcW w:w="2640" w:type="dxa"/>
            <w:vAlign w:val="bottom"/>
          </w:tcPr>
          <w:p>
            <w:pPr>
              <w:spacing w:after="0"/>
              <w:rPr>
                <w:sz w:val="20"/>
                <w:szCs w:val="20"/>
                <w:color w:val="auto"/>
              </w:rPr>
            </w:pPr>
            <w:r>
              <w:rPr>
                <w:rFonts w:ascii="Arial" w:cs="Arial" w:eastAsia="Arial" w:hAnsi="Arial"/>
                <w:sz w:val="22"/>
                <w:szCs w:val="22"/>
                <w:color w:val="auto"/>
                <w:w w:val="92"/>
              </w:rPr>
              <w:t>For the transition period from</w:t>
            </w:r>
          </w:p>
        </w:tc>
        <w:tc>
          <w:tcPr>
            <w:tcW w:w="640" w:type="dxa"/>
            <w:vAlign w:val="bottom"/>
            <w:tcBorders>
              <w:bottom w:val="single" w:sz="8" w:color="auto"/>
            </w:tcBorders>
          </w:tcPr>
          <w:p>
            <w:pPr>
              <w:spacing w:after="0"/>
              <w:rPr>
                <w:sz w:val="21"/>
                <w:szCs w:val="21"/>
                <w:color w:val="auto"/>
              </w:rPr>
            </w:pPr>
          </w:p>
        </w:tc>
        <w:tc>
          <w:tcPr>
            <w:tcW w:w="280" w:type="dxa"/>
            <w:vAlign w:val="bottom"/>
          </w:tcPr>
          <w:p>
            <w:pPr>
              <w:ind w:left="60"/>
              <w:spacing w:after="0"/>
              <w:rPr>
                <w:sz w:val="20"/>
                <w:szCs w:val="20"/>
                <w:color w:val="auto"/>
              </w:rPr>
            </w:pPr>
            <w:r>
              <w:rPr>
                <w:rFonts w:ascii="Arial" w:cs="Arial" w:eastAsia="Arial" w:hAnsi="Arial"/>
                <w:sz w:val="22"/>
                <w:szCs w:val="22"/>
                <w:color w:val="auto"/>
              </w:rPr>
              <w:t>to</w:t>
            </w:r>
          </w:p>
        </w:tc>
        <w:tc>
          <w:tcPr>
            <w:tcW w:w="64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r>
        <w:trPr>
          <w:trHeight w:val="397"/>
        </w:trPr>
        <w:tc>
          <w:tcPr>
            <w:tcW w:w="3560" w:type="dxa"/>
            <w:vAlign w:val="bottom"/>
            <w:gridSpan w:val="3"/>
          </w:tcPr>
          <w:p>
            <w:pPr>
              <w:ind w:left="840"/>
              <w:spacing w:after="0"/>
              <w:rPr>
                <w:sz w:val="20"/>
                <w:szCs w:val="20"/>
                <w:color w:val="auto"/>
              </w:rPr>
            </w:pPr>
            <w:r>
              <w:rPr>
                <w:rFonts w:ascii="Arial" w:cs="Arial" w:eastAsia="Arial" w:hAnsi="Arial"/>
                <w:sz w:val="18"/>
                <w:szCs w:val="18"/>
                <w:color w:val="auto"/>
                <w:w w:val="93"/>
              </w:rPr>
              <w:t>Commission file number: 000-31659</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296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884"/>
              <w:spacing w:after="0" w:line="149" w:lineRule="exact"/>
              <w:rPr>
                <w:sz w:val="20"/>
                <w:szCs w:val="20"/>
                <w:color w:val="auto"/>
              </w:rPr>
            </w:pPr>
            <w:r>
              <w:rPr>
                <w:rFonts w:ascii="Arial" w:cs="Arial" w:eastAsia="Arial" w:hAnsi="Arial"/>
                <w:sz w:val="14"/>
                <w:szCs w:val="14"/>
                <w:color w:val="auto"/>
                <w:w w:val="88"/>
              </w:rPr>
              <w:t>(State or Other Jurisdiction of</w:t>
            </w:r>
          </w:p>
        </w:tc>
        <w:tc>
          <w:tcPr>
            <w:tcW w:w="2960" w:type="dxa"/>
            <w:vAlign w:val="bottom"/>
          </w:tcPr>
          <w:p>
            <w:pPr>
              <w:jc w:val="center"/>
              <w:ind w:left="188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60" w:type="dxa"/>
            <w:vAlign w:val="bottom"/>
          </w:tcPr>
          <w:p>
            <w:pPr>
              <w:jc w:val="center"/>
              <w:ind w:right="1884"/>
              <w:spacing w:after="0"/>
              <w:rPr>
                <w:sz w:val="20"/>
                <w:szCs w:val="20"/>
                <w:color w:val="auto"/>
              </w:rPr>
            </w:pPr>
            <w:r>
              <w:rPr>
                <w:rFonts w:ascii="Arial" w:cs="Arial" w:eastAsia="Arial" w:hAnsi="Arial"/>
                <w:sz w:val="14"/>
                <w:szCs w:val="14"/>
                <w:color w:val="auto"/>
                <w:w w:val="89"/>
              </w:rPr>
              <w:t>Incorporation or Organization)</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93"/>
              </w:rPr>
              <w:t>Identification No.)</w:t>
            </w:r>
          </w:p>
        </w:tc>
      </w:tr>
      <w:tr>
        <w:trPr>
          <w:trHeight w:val="40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296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60" w:type="dxa"/>
            <w:vAlign w:val="bottom"/>
          </w:tcPr>
          <w:p>
            <w:pPr>
              <w:jc w:val="center"/>
              <w:ind w:right="1864"/>
              <w:spacing w:after="0"/>
              <w:rPr>
                <w:sz w:val="20"/>
                <w:szCs w:val="20"/>
                <w:color w:val="auto"/>
              </w:rPr>
            </w:pPr>
            <w:r>
              <w:rPr>
                <w:rFonts w:ascii="Arial" w:cs="Arial" w:eastAsia="Arial" w:hAnsi="Arial"/>
                <w:sz w:val="14"/>
                <w:szCs w:val="14"/>
                <w:color w:val="auto"/>
                <w:w w:val="89"/>
              </w:rPr>
              <w:t>(Address of Principal Executive Offices)</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87"/>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324"/>
        </w:trPr>
        <w:tc>
          <w:tcPr>
            <w:tcW w:w="80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806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33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060" w:type="dxa"/>
            <w:vAlign w:val="bottom"/>
          </w:tcPr>
          <w:p>
            <w:pPr>
              <w:ind w:left="460"/>
              <w:spacing w:after="0"/>
              <w:rPr>
                <w:sz w:val="20"/>
                <w:szCs w:val="20"/>
                <w:color w:val="auto"/>
              </w:rPr>
            </w:pPr>
            <w:r>
              <w:rPr>
                <w:rFonts w:ascii="Arial" w:cs="Arial" w:eastAsia="Arial" w:hAnsi="Arial"/>
                <w:sz w:val="18"/>
                <w:szCs w:val="18"/>
                <w:color w:val="auto"/>
                <w:w w:val="89"/>
              </w:rPr>
              <w:t>The number of shares of the registrant’s common stock outstanding as of August 5, 2013 was 34,070,316.</w:t>
            </w:r>
          </w:p>
        </w:tc>
        <w:tc>
          <w:tcPr>
            <w:tcW w:w="3360" w:type="dxa"/>
            <w:vAlign w:val="bottom"/>
          </w:tcPr>
          <w:p>
            <w:pPr>
              <w:spacing w:after="0"/>
              <w:rPr>
                <w:sz w:val="24"/>
                <w:szCs w:val="24"/>
                <w:color w:val="auto"/>
              </w:rPr>
            </w:pPr>
          </w:p>
        </w:tc>
      </w:tr>
      <w:tr>
        <w:trPr>
          <w:trHeight w:val="205"/>
        </w:trPr>
        <w:tc>
          <w:tcPr>
            <w:tcW w:w="80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435"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the operations of Enfora and any other business, products, technologies or personnel that we may acquire in the future;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marketability of our products is dependent on wireless telecommunication operators delivering acceptable wireless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introducing new products that could contain errors or defects;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including the information in “Item 1A. Risk Factors” in Part I of our Annual Report on Form 10-K for the year ended December 31, 2012. If one or more events related to these or other risks or uncertainties materialize, or if our underlying assumptions prove to be incorrect, actual results may differ materially from what we anticipate.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“Novatel Wireless”, the Novatel Wireless logo, “MiFi”, “MiFi Intelligent Mobile Hotspot”, “MiFi OS”, “MiFi Home”, “MobiLink”, “Ovation,” “Expedite” and “MiFi.Freedom. My Way”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24,863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21,203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marketable securities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$1,009 at June 30, 2013 and $627 at December 31, 2012</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39,582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121,697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140,731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Property and equipment, net of accumulated depreciation of $63,680 at June 30, 2013 and $59,702 at December 31, 2012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11,586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$12,478 at June 30, 2013 and $11,951 at December 31, 2012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150,396</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27,593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margin loan facility</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77,812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73,532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80,369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Common stock, par value $0.001; 50,000 shares authorized, 33,957 and 33,655 shares issued and outstanding at June 30,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2013 and December 31, 2012, respectively</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440,109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(345,092)</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(328,078)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2,436 common shares at June 30, 2013 and December 31, 2012, respectively</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60" w:type="dxa"/>
            <w:vAlign w:val="bottom"/>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150,396</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91,124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177,045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Cost of net revenues</w:t>
            </w:r>
          </w:p>
        </w:tc>
        <w:tc>
          <w:tcPr>
            <w:tcW w:w="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72,100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141,173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158,357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44,239</w:t>
            </w:r>
          </w:p>
        </w:tc>
        <w:tc>
          <w:tcPr>
            <w:tcW w:w="0" w:type="dxa"/>
            <w:vAlign w:val="bottom"/>
          </w:tcPr>
          <w:p>
            <w:pPr>
              <w:spacing w:after="0"/>
              <w:rPr>
                <w:sz w:val="1"/>
                <w:szCs w:val="1"/>
                <w:color w:val="auto"/>
              </w:rPr>
            </w:pP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9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5,854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26,768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(7,744)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(16,929)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(7,788)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(16,993)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(7,892)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(42,421)</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used in computation of basic and diluted net loss per share: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33,915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w:t>
            </w: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$(7,892)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$(4,500)</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(17,014)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(42,421)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(7,927)</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(17,052)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(42,404)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(17,014)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Loss on sale/disposal of fixed asset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Impairment of goodwill and purchased intangible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Net impairment loss on marketable securities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Marketable securities maturities / sales</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14,516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short-term debt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Proceeds from stock option exercises and ESPP net of taxes paid on vested restricted stock units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24,863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15,197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June 30, 2013 and the results of the Company’s operations for the three and six months ended June 30, 2013 and 2012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2012. The accounting policies used in preparing these condensed consolidated financial statements are the same as those described in the Company’s Form 10-K.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7" w:name="page8"/>
    <w:bookmarkEnd w:id="7"/>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2013</w:t>
            </w:r>
          </w:p>
        </w:tc>
        <w:tc>
          <w:tcPr>
            <w:tcW w:w="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Maturity</w:t>
            </w: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Amortized</w:t>
            </w: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Unrealized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6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2"/>
                <w:szCs w:val="12"/>
                <w:color w:val="auto"/>
              </w:rPr>
            </w:pPr>
          </w:p>
        </w:tc>
        <w:tc>
          <w:tcPr>
            <w:tcW w:w="8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2"/>
                <w:szCs w:val="12"/>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1,004</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10,576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2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short-term marketable securities</w:t>
            </w: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22,793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Corporate debentures / bonds</w:t>
            </w:r>
          </w:p>
        </w:tc>
        <w:tc>
          <w:tcPr>
            <w:tcW w:w="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8,238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marketable securities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11,615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$ 34,408</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$ 34,372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2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Maturity</w:t>
            </w: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Amortized</w:t>
            </w: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6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2"/>
                <w:szCs w:val="12"/>
                <w:color w:val="auto"/>
              </w:rPr>
            </w:pPr>
          </w:p>
        </w:tc>
        <w:tc>
          <w:tcPr>
            <w:tcW w:w="8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2"/>
                <w:szCs w:val="12"/>
                <w:color w:val="auto"/>
              </w:rPr>
            </w:pPr>
          </w:p>
        </w:tc>
        <w:tc>
          <w:tcPr>
            <w:tcW w:w="9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Government agency securities</w:t>
            </w:r>
          </w:p>
        </w:tc>
        <w:tc>
          <w:tcPr>
            <w:tcW w:w="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3,265</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2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short-term marketable securities</w:t>
            </w: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38,041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marketable securities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$ 39,241</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$ 39,265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condensed consolidated balance sheet at fair market value with the related unrealized gains and losses included in accumulated other comprehensive income (loss) on the condensed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Company has a credit facility with a bank to allow margin borrowings based on the Company’s investments in cash equivalents and marketable securities held with the bank. This facility is collateralized by the Company’s cash equivalents and marketable securities held with the bank. At June 30, 2013, the Company had approximately $11.7 million in marketable securities held at this bank. Any monies borrowed and interest incurred are payable on demand, and there is no express expiration date to the credit facility. During the three and six months ended June 30, 2013, the Company borrowed approximately $3.0 million and $10.0 million, respectively, and had outstanding borrowings of $1.6 million under this facility at June 30, 2013. Under the terms of the credit facility, the bank may liquidate any of the Company’s cash equivalents or marketable securities held at any time in order to recoup the outstanding balance of the facility. Accordingly, a like amount of marketable equity securities have been classified by the Company as restricted marketable securities on the balance sheet at</w:t>
      </w:r>
    </w:p>
    <w:p>
      <w:pPr>
        <w:ind w:right="220"/>
        <w:spacing w:after="0" w:line="261" w:lineRule="auto"/>
        <w:rPr>
          <w:sz w:val="20"/>
          <w:szCs w:val="20"/>
          <w:color w:val="auto"/>
        </w:rPr>
      </w:pPr>
      <w:r>
        <w:rPr>
          <w:rFonts w:ascii="Arial" w:cs="Arial" w:eastAsia="Arial" w:hAnsi="Arial"/>
          <w:sz w:val="18"/>
          <w:szCs w:val="18"/>
          <w:color w:val="auto"/>
        </w:rPr>
        <w:t>June 30, 2013. At June 30, 2013 the Company had no cash equivalents held at this bank. The restricted marketable securities of $1.6 million are included in the June 30, 2013 marketable securities presented in the table above.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June 30, 2013, the Company recorded a net unrealized loss of $36,000, or $24,000 net of tax. The Company’s net unrealized loss is the result of market conditions affecting its fixed-income, debt and equity securities, which are included in accumulated other comprehensive income (loss) in the condensed consolidated balance sheet for the period then ended. As of June 30, 2013 and December 31, 2012, we did not have any investments in marketable securities with a material unrealized loss position for twelve months or greater.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$19,810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28,897</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0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Market development funds and price protection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27,593</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00" w:type="dxa"/>
            <w:vAlign w:val="bottom"/>
          </w:tcPr>
          <w:p>
            <w:pPr>
              <w:spacing w:after="0"/>
              <w:rPr>
                <w:sz w:val="20"/>
                <w:szCs w:val="20"/>
                <w:color w:val="auto"/>
              </w:rPr>
            </w:pPr>
            <w:r>
              <w:rPr>
                <w:rFonts w:ascii="Arial" w:cs="Arial" w:eastAsia="Arial" w:hAnsi="Arial"/>
                <w:sz w:val="18"/>
                <w:szCs w:val="18"/>
                <w:color w:val="auto"/>
                <w:w w:val="90"/>
              </w:rPr>
              <w:t>Accrued warranty obligations consist of the following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June 30, 2013</w:t>
            </w:r>
          </w:p>
        </w:tc>
        <w:tc>
          <w:tcPr>
            <w:tcW w:w="16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June 30, 2012</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June 30, 2013</w:t>
            </w:r>
          </w:p>
        </w:tc>
        <w:tc>
          <w:tcPr>
            <w:tcW w:w="120" w:type="dxa"/>
            <w:vAlign w:val="bottom"/>
          </w:tcPr>
          <w:p>
            <w:pPr>
              <w:spacing w:after="0"/>
              <w:rPr>
                <w:sz w:val="14"/>
                <w:szCs w:val="14"/>
                <w:color w:val="auto"/>
              </w:rPr>
            </w:pPr>
          </w:p>
        </w:tc>
        <w:tc>
          <w:tcPr>
            <w:tcW w:w="1180" w:type="dxa"/>
            <w:vAlign w:val="bottom"/>
            <w:gridSpan w:val="5"/>
          </w:tcPr>
          <w:p>
            <w:pPr>
              <w:ind w:left="14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(3,241)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2,451</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2,674</w:t>
            </w:r>
          </w:p>
        </w:tc>
        <w:tc>
          <w:tcPr>
            <w:tcW w:w="30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2,451</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net revenues in the condensed consolidated statements of operations at the time revenue is recognized. In estimating our future warranty obligations, we consider various relevant factors, including the historical frequency and volume of claims, and the cost to replace or repair products under warranty.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5"/>
              </w:rPr>
              <w:t>June 30, 2013</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Impairment</w:t>
            </w:r>
          </w:p>
        </w:tc>
        <w:tc>
          <w:tcPr>
            <w:tcW w:w="80" w:type="dxa"/>
            <w:vAlign w:val="bottom"/>
          </w:tcPr>
          <w:p>
            <w:pPr>
              <w:spacing w:after="0"/>
              <w:rPr>
                <w:sz w:val="14"/>
                <w:szCs w:val="14"/>
                <w:color w:val="auto"/>
              </w:rPr>
            </w:pPr>
          </w:p>
        </w:tc>
        <w:tc>
          <w:tcPr>
            <w:tcW w:w="420" w:type="dxa"/>
            <w:vAlign w:val="bottom"/>
          </w:tcPr>
          <w:p>
            <w:pPr>
              <w:jc w:val="right"/>
              <w:ind w:right="76"/>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(19,547)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7"/>
              </w:rPr>
              <w:t>(5,786)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Trade name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1,812</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3,720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(10,304)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(29,749)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2,467</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(9,856)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38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9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$167</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quarter ended March 31, 2012, the Company recorded an impairment loss of $22.8 million related to a decrease in the estimated fair values of the purchased intangible assets fair values.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currently estimated to be expensed in the remainder of 2013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26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 (remaining 6 months)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38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2016</w:t>
            </w:r>
          </w:p>
        </w:tc>
        <w:tc>
          <w:tcPr>
            <w:tcW w:w="38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Additionally, at June 30, 2013 and December 31, 2012, the Company had $168,000 and $248,000, respectively, of acquired software licenses, net of accumulated amortization of $2.2 million and $2.1 million, respectively. The acquired software licenses represent rights to use certain software necessary for commercial sale of the Company’s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As a result of goodwill impairment charges recorded during the twelve months ended December 31, 2012, the carrying amount of goodwill at December 31, 2012 and June 30, 2013 was zero. The carrying amount of goodwill at December 31, 2011 was $19.8 million. The Company recorded goodwill impairment charges during the first and third quarters of 2012 of $6.6 million and $13.2 million, respectively.</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first and third quarters of 2012, based on actual operating results, and reductions in management’s then estimates of forecasted operating results of the M2M Products and Solutions reporting unit principally due to updated views of competitive pressures impacting average selling prices, customer product and technology selections, and the loss of certain customers, the Company determined there were sufficient indicators of impairment present to require an interim impairment analysis during the respective impacted quarters.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Based upon fair value tests performed with the assistance of third party independent appraisals, during the first quarter of 2012 the Company recorded pre-tax goodwill impairment charges of $6.6 million and a purchased intangible asset impairment charge of $22.8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Fair Value Measurement of Assets and Liabilities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financial instruments consist principally of cash and cash equivalents, and short-term and long-term marketable debt securities. The Company’s cash and cash equivalents consist of its investment in money market securities and treasury bills. The Company’s marketable debt securities consist primarily of government agency securities, municipal bonds, time deposits and investment-grade corporate bonds.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fair value of the majority of our cash and cash equivalents and marketable equity securities were determined based on Level 1 inputs. The fair value of our marketable debt securities was determined based on Level 2 inputs. We do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June 30, 2013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June 30, 2013</w:t>
            </w: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68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1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Government agency securities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22,786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9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11,586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1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gridSpan w:val="2"/>
            <w:vMerge w:val="restart"/>
          </w:tcPr>
          <w:p>
            <w:pPr>
              <w:ind w:left="440"/>
              <w:spacing w:after="0"/>
              <w:rPr>
                <w:sz w:val="20"/>
                <w:szCs w:val="20"/>
                <w:color w:val="auto"/>
              </w:rPr>
            </w:pPr>
            <w:r>
              <w:rPr>
                <w:rFonts w:ascii="Arial" w:cs="Arial" w:eastAsia="Arial" w:hAnsi="Arial"/>
                <w:sz w:val="18"/>
                <w:szCs w:val="18"/>
                <w:color w:val="auto"/>
              </w:rPr>
              <w:t>See Note 2 for discussion of restricted marketable securities related to our credit facility.</w:t>
            </w: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5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2012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7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58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60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4080" w:type="dxa"/>
            <w:vAlign w:val="bottom"/>
            <w:gridSpan w:val="2"/>
            <w:shd w:val="clear" w:color="auto" w:fill="CCEEFF"/>
          </w:tcPr>
          <w:p>
            <w:pPr>
              <w:ind w:left="3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3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37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Government agency securities</w:t>
            </w: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6,205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3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3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38,064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37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3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3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4080" w:type="dxa"/>
            <w:vAlign w:val="bottom"/>
            <w:gridSpan w:val="2"/>
            <w:shd w:val="clear" w:color="auto" w:fill="CCEEFF"/>
          </w:tcPr>
          <w:p>
            <w:pPr>
              <w:ind w:left="3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42,741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720" w:type="dxa"/>
            <w:vAlign w:val="bottom"/>
            <w:vMerge w:val="restart"/>
          </w:tcPr>
          <w:p>
            <w:pPr>
              <w:jc w:val="right"/>
              <w:ind w:right="2152"/>
              <w:spacing w:after="0"/>
              <w:rPr>
                <w:sz w:val="20"/>
                <w:szCs w:val="20"/>
                <w:color w:val="auto"/>
              </w:rPr>
            </w:pPr>
            <w:r>
              <w:rPr>
                <w:rFonts w:ascii="Arial" w:cs="Arial" w:eastAsia="Arial" w:hAnsi="Arial"/>
                <w:sz w:val="18"/>
                <w:szCs w:val="18"/>
                <w:color w:val="auto"/>
              </w:rPr>
              <w:t>12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Share-Based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condensed consolidated statements of operations for the three and six months ended June 30, 2013 and 2012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1,388</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1,160</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3,657</w:t>
            </w:r>
          </w:p>
        </w:tc>
        <w:tc>
          <w:tcPr>
            <w:tcW w:w="10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 and Concentrations of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8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Mobile Computing Products segment — includes our MiFi products, USB and PC-card modems and Embedded Modules that enable data transmission and services via cellular wireless networks.</w:t>
      </w:r>
    </w:p>
    <w:p>
      <w:pPr>
        <w:spacing w:after="0" w:line="50" w:lineRule="exact"/>
        <w:rPr>
          <w:rFonts w:ascii="Arial" w:cs="Arial" w:eastAsia="Arial" w:hAnsi="Arial"/>
          <w:sz w:val="18"/>
          <w:szCs w:val="18"/>
          <w:color w:val="auto"/>
        </w:rPr>
      </w:pPr>
    </w:p>
    <w:p>
      <w:pPr>
        <w:ind w:left="900" w:right="4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M2M Products and Solutions segment was established as a result of our acquisition of Enfora in 2010. It includes our intelligent asset-management solutions utilizing cellular wireless technology, and M2M communication devices, and embedded modules that enable M2M data transmission and services via cellular wireless networks.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Segment revenues and segment operating income (loss) represent the primary financial measures used by senior management to assess performance and include the net revenues, cost of net revenues, sales and other operating 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impairment and integration costs. The table below presents net revenues from external customers, operating loss and identifiable assets for our reportable segments (in thousands):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2"/>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5"/>
          </w:tcPr>
          <w:p>
            <w:pPr>
              <w:jc w:val="center"/>
              <w:ind w:left="52"/>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1380" w:type="dxa"/>
            <w:vAlign w:val="bottom"/>
            <w:tcBorders>
              <w:bottom w:val="single" w:sz="8" w:color="CCEEFF"/>
            </w:tcBorders>
            <w:gridSpan w:val="3"/>
            <w:shd w:val="clear" w:color="auto" w:fill="CCEEFF"/>
          </w:tcPr>
          <w:p>
            <w:pPr>
              <w:spacing w:after="0"/>
              <w:rPr>
                <w:sz w:val="15"/>
                <w:szCs w:val="15"/>
                <w:color w:val="auto"/>
              </w:rPr>
            </w:pPr>
          </w:p>
        </w:tc>
        <w:tc>
          <w:tcPr>
            <w:tcW w:w="24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$80,823</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92,552</w:t>
            </w:r>
          </w:p>
        </w:tc>
        <w:tc>
          <w:tcPr>
            <w:tcW w:w="1140" w:type="dxa"/>
            <w:vAlign w:val="bottom"/>
            <w:gridSpan w:val="5"/>
          </w:tcPr>
          <w:p>
            <w:pPr>
              <w:jc w:val="right"/>
              <w:ind w:right="180"/>
              <w:spacing w:after="0"/>
              <w:rPr>
                <w:sz w:val="20"/>
                <w:szCs w:val="20"/>
                <w:color w:val="auto"/>
              </w:rPr>
            </w:pPr>
            <w:r>
              <w:rPr>
                <w:rFonts w:ascii="Arial" w:cs="Arial" w:eastAsia="Arial" w:hAnsi="Arial"/>
                <w:sz w:val="18"/>
                <w:szCs w:val="18"/>
                <w:color w:val="auto"/>
              </w:rPr>
              <w:t>$156,443</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$183,431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5"/>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91,124</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102,446</w:t>
            </w:r>
          </w:p>
        </w:tc>
        <w:tc>
          <w:tcPr>
            <w:tcW w:w="1140" w:type="dxa"/>
            <w:vAlign w:val="bottom"/>
            <w:gridSpan w:val="5"/>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177,045</w:t>
            </w:r>
          </w:p>
        </w:tc>
        <w:tc>
          <w:tcPr>
            <w:tcW w:w="9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Operating loss by reportable segment:</w:t>
            </w:r>
          </w:p>
        </w:tc>
        <w:tc>
          <w:tcPr>
            <w:tcW w:w="1260" w:type="dxa"/>
            <w:vAlign w:val="bottom"/>
            <w:tcBorders>
              <w:bottom w:val="single" w:sz="8" w:color="CCEEFF"/>
            </w:tcBorders>
            <w:gridSpan w:val="2"/>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3240" w:type="dxa"/>
            <w:vAlign w:val="bottom"/>
            <w:gridSpan w:val="3"/>
          </w:tcPr>
          <w:p>
            <w:pPr>
              <w:jc w:val="right"/>
              <w:ind w:right="92"/>
              <w:spacing w:after="0"/>
              <w:rPr>
                <w:sz w:val="20"/>
                <w:szCs w:val="20"/>
                <w:color w:val="auto"/>
              </w:rPr>
            </w:pPr>
            <w:r>
              <w:rPr>
                <w:rFonts w:ascii="Arial" w:cs="Arial" w:eastAsia="Arial" w:hAnsi="Arial"/>
                <w:sz w:val="18"/>
                <w:szCs w:val="18"/>
                <w:color w:val="auto"/>
              </w:rPr>
              <w:t>$ (3,348)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1140" w:type="dxa"/>
            <w:vAlign w:val="bottom"/>
            <w:gridSpan w:val="5"/>
          </w:tcPr>
          <w:p>
            <w:pPr>
              <w:jc w:val="right"/>
              <w:ind w:right="120"/>
              <w:spacing w:after="0"/>
              <w:rPr>
                <w:sz w:val="20"/>
                <w:szCs w:val="20"/>
                <w:color w:val="auto"/>
              </w:rPr>
            </w:pPr>
            <w:r>
              <w:rPr>
                <w:rFonts w:ascii="Arial" w:cs="Arial" w:eastAsia="Arial" w:hAnsi="Arial"/>
                <w:sz w:val="18"/>
                <w:szCs w:val="18"/>
                <w:color w:val="auto"/>
              </w:rPr>
              <w:t>$  (8,848)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(4,396)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(3,727)</w:t>
            </w:r>
          </w:p>
        </w:tc>
        <w:tc>
          <w:tcPr>
            <w:tcW w:w="11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(8,081)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(38,084)</w:t>
            </w:r>
          </w:p>
        </w:tc>
        <w:tc>
          <w:tcPr>
            <w:tcW w:w="0" w:type="dxa"/>
            <w:vAlign w:val="bottom"/>
          </w:tcPr>
          <w:p>
            <w:pPr>
              <w:spacing w:after="0"/>
              <w:rPr>
                <w:sz w:val="1"/>
                <w:szCs w:val="1"/>
                <w:color w:val="auto"/>
              </w:rPr>
            </w:pPr>
          </w:p>
        </w:tc>
      </w:tr>
      <w:tr>
        <w:trPr>
          <w:trHeight w:val="20"/>
        </w:trPr>
        <w:tc>
          <w:tcPr>
            <w:tcW w:w="414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5"/>
            <w:vMerge w:val="continue"/>
          </w:tcPr>
          <w:p>
            <w:pPr>
              <w:spacing w:after="0"/>
              <w:rPr>
                <w:sz w:val="19"/>
                <w:szCs w:val="19"/>
                <w:color w:val="auto"/>
              </w:rPr>
            </w:pPr>
          </w:p>
        </w:tc>
        <w:tc>
          <w:tcPr>
            <w:tcW w:w="3240" w:type="dxa"/>
            <w:vAlign w:val="bottom"/>
            <w:gridSpan w:val="3"/>
          </w:tcPr>
          <w:p>
            <w:pPr>
              <w:jc w:val="right"/>
              <w:ind w:right="92"/>
              <w:spacing w:after="0"/>
              <w:rPr>
                <w:sz w:val="20"/>
                <w:szCs w:val="20"/>
                <w:color w:val="auto"/>
              </w:rPr>
            </w:pPr>
            <w:r>
              <w:rPr>
                <w:rFonts w:ascii="Arial" w:cs="Arial" w:eastAsia="Arial" w:hAnsi="Arial"/>
                <w:sz w:val="18"/>
                <w:szCs w:val="18"/>
                <w:color w:val="auto"/>
              </w:rPr>
              <w:t>$ (7,744)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(4,445)</w:t>
            </w:r>
          </w:p>
        </w:tc>
        <w:tc>
          <w:tcPr>
            <w:tcW w:w="1140" w:type="dxa"/>
            <w:vAlign w:val="bottom"/>
            <w:gridSpan w:val="5"/>
          </w:tcPr>
          <w:p>
            <w:pPr>
              <w:jc w:val="right"/>
              <w:ind w:right="120"/>
              <w:spacing w:after="0"/>
              <w:rPr>
                <w:sz w:val="20"/>
                <w:szCs w:val="20"/>
                <w:color w:val="auto"/>
              </w:rPr>
            </w:pPr>
            <w:r>
              <w:rPr>
                <w:rFonts w:ascii="Arial" w:cs="Arial" w:eastAsia="Arial" w:hAnsi="Arial"/>
                <w:sz w:val="18"/>
                <w:szCs w:val="18"/>
                <w:color w:val="auto"/>
              </w:rPr>
              <w:t>$ (16,929)</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 (42,272)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26"/>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24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102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4"/>
          </w:tcPr>
          <w:p>
            <w:pPr>
              <w:jc w:val="right"/>
              <w:ind w:right="152"/>
              <w:spacing w:after="0"/>
              <w:rPr>
                <w:sz w:val="20"/>
                <w:szCs w:val="20"/>
                <w:color w:val="auto"/>
              </w:rPr>
            </w:pPr>
            <w:r>
              <w:rPr>
                <w:rFonts w:ascii="Arial" w:cs="Arial" w:eastAsia="Arial" w:hAnsi="Arial"/>
                <w:sz w:val="18"/>
                <w:szCs w:val="18"/>
                <w:color w:val="auto"/>
                <w:w w:val="95"/>
              </w:rPr>
              <w:t>$131,536</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141,045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18,860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40" w:type="dxa"/>
            <w:vAlign w:val="bottom"/>
            <w:gridSpan w:val="5"/>
            <w:vMerge w:val="continue"/>
          </w:tcPr>
          <w:p>
            <w:pPr>
              <w:spacing w:after="0"/>
              <w:rPr>
                <w:sz w:val="19"/>
                <w:szCs w:val="19"/>
                <w:color w:val="auto"/>
              </w:rPr>
            </w:pPr>
          </w:p>
        </w:tc>
        <w:tc>
          <w:tcPr>
            <w:tcW w:w="2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right"/>
              <w:ind w:right="152"/>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150,396</w:t>
            </w:r>
          </w:p>
        </w:tc>
        <w:tc>
          <w:tcPr>
            <w:tcW w:w="18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40" w:type="dxa"/>
            <w:vAlign w:val="bottom"/>
            <w:vMerge w:val="restart"/>
          </w:tcPr>
          <w:p>
            <w:pPr>
              <w:jc w:val="right"/>
              <w:ind w:right="1152"/>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3" w:name="page14"/>
    <w:bookmarkEnd w:id="13"/>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operations in the United States, Canada, Europe, Latin America and Asia. The following table details the geographic concentration of the Company’s assets in the United States, Canada, Europe, Latin America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0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$146,441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157,661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92"/>
              <w:spacing w:after="0"/>
              <w:rPr>
                <w:sz w:val="20"/>
                <w:szCs w:val="20"/>
                <w:color w:val="auto"/>
              </w:rPr>
            </w:pPr>
            <w:r>
              <w:rPr>
                <w:rFonts w:ascii="Arial" w:cs="Arial" w:eastAsia="Arial" w:hAnsi="Arial"/>
                <w:sz w:val="18"/>
                <w:szCs w:val="18"/>
                <w:color w:val="auto"/>
              </w:rPr>
              <w:t>2,634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4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gridSpan w:val="5"/>
          </w:tcPr>
          <w:p>
            <w:pPr>
              <w:jc w:val="right"/>
              <w:ind w:right="1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150,396</w:t>
            </w:r>
          </w:p>
        </w:tc>
        <w:tc>
          <w:tcPr>
            <w:tcW w:w="20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161,531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w w:val="89"/>
              </w:rPr>
              <w:t>The following table details the concentration of the Company’s net revenues by geographic region:</w:t>
            </w: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20" w:type="dxa"/>
            <w:vAlign w:val="bottom"/>
          </w:tcPr>
          <w:p>
            <w:pPr>
              <w:spacing w:after="0"/>
              <w:rPr>
                <w:sz w:val="24"/>
                <w:szCs w:val="24"/>
                <w:color w:val="auto"/>
              </w:rPr>
            </w:pPr>
          </w:p>
        </w:tc>
        <w:tc>
          <w:tcPr>
            <w:tcW w:w="158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w w:val="92"/>
              </w:rPr>
              <w:t>Three months ended</w:t>
            </w:r>
          </w:p>
        </w:tc>
        <w:tc>
          <w:tcPr>
            <w:tcW w:w="300" w:type="dxa"/>
            <w:vAlign w:val="bottom"/>
          </w:tcPr>
          <w:p>
            <w:pPr>
              <w:spacing w:after="0"/>
              <w:rPr>
                <w:sz w:val="24"/>
                <w:szCs w:val="24"/>
                <w:color w:val="auto"/>
              </w:rPr>
            </w:pPr>
          </w:p>
        </w:tc>
        <w:tc>
          <w:tcPr>
            <w:tcW w:w="160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98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95.8%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Latin America</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Asia and Australia</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4"/>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cellular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4" w:name="page15"/>
    <w:bookmarkEnd w:id="14"/>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significant portion of the Company’s net revenues are derived from a small number of customers. For the three months ended June 30, 2013, sales to our largest customer accounted for 65% of net revenues. In the same period in 2012, sales to our largest customer accounted for 63% of net revenues. For the six months ended June 30, 2013, sales to our largest customer accounted for 63% of net revenues. In the same period in 2012, sales to our two largest customers accounted for 60% and 11% of net revenues, respectively. The Company outsources its manufacturing to several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the three and six months ended June 30, 2013, basic and diluted weighted-average common shares outstanding were 33,915,424 and 33,816,558, respectively. During these same periods, weighted-average options and RSUs to acquire a total of 5,962,759 and 5,995,066 shares of common stock, respectively, were outstanding but not included in the computation of diluted earnings per share as their effect was anti-dilutive.</w:t>
      </w:r>
    </w:p>
    <w:p>
      <w:pPr>
        <w:spacing w:after="0" w:line="107"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For the three and six months ended June 30, 2012, basic and diluted weighted-average common shares outstanding were 32,674,404 and 32,485,173, respectively. During these same periods, weighted-average options, RSUs, and ESPP shares to acquire a total of 6,425,869 and 6,213,505 shares of common stock, respectively, were outstanding but not included in the computation of diluted earnings per share as their effect was anti-dilutive.</w:t>
      </w:r>
    </w:p>
    <w:p>
      <w:pPr>
        <w:spacing w:after="0" w:line="182" w:lineRule="exact"/>
        <w:rPr>
          <w:sz w:val="20"/>
          <w:szCs w:val="20"/>
          <w:color w:val="auto"/>
        </w:rPr>
      </w:pPr>
    </w:p>
    <w:p>
      <w:pPr>
        <w:ind w:left="460" w:right="8740" w:hanging="452"/>
        <w:spacing w:after="0" w:line="391" w:lineRule="auto"/>
        <w:tabs>
          <w:tab w:leader="none" w:pos="179"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potential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our common stock between February 27, 2007 and September 15, 2008. On February 14, 2011, following extensive discovery, we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On July 9, 2012, the court vacated the final pretrial conference date. On December 14, 2012, the court issued an order denying defendants’ motion to exclude the testimony of plaintiffs’ loss causation expert. The court set a pretrial conference for March 8, 2013 and a trial date of June 3, 2013. On February 7, 2013, the court reconsidered its December 14, 2012 order and granted defendants’ motion to exclude plaintiffs’ expert on loss causation. The court, however, gave plaintiffs the opportunity to provide a new report from the expert seeking to cure the deficiencies in the expert’s testimony. The court provided a schedule for the cure process and ordered plaintiffs to bear the burden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defendants’ expenses incurred in this process. The plaintiffs moved for reconsideration of the court’s February 7, 2013 order. On March 6, 2013, the court denied the plaintiffs’ motion for reconsideration with respect to the plaintiffs’ expert report, but granted the motion with respect to shifting the costs of the defendants’ expenses. The parties have briefed the court on this issue. On July 30, 2013, the court issued an amended scheduling order setting the pretrial conference for November 21, 2013 and a trial date of January 6, 2014. The Company intends to defend this litigation vigorously. At this time, there can be no assurance as to the ultimate outcome of this litigation. We have not recorded any significant accruals for contingent liabilities associated with this matter based on our belief that a liability, while possible, is not probable. Further, any possible range of loss cannot be estimated at this time.</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On September 24, 2010, NovAtel, Inc., a Canadian company (“NovAtel Canada”) filed a trademark infringement lawsuit entitled </w:t>
      </w:r>
      <w:r>
        <w:rPr>
          <w:rFonts w:ascii="Arial" w:cs="Arial" w:eastAsia="Arial" w:hAnsi="Arial"/>
          <w:sz w:val="16"/>
          <w:szCs w:val="16"/>
          <w:i w:val="1"/>
          <w:iCs w:val="1"/>
          <w:color w:val="auto"/>
        </w:rPr>
        <w:t>NovAtel, Inc. v. Novatel</w:t>
      </w:r>
      <w:r>
        <w:rPr>
          <w:rFonts w:ascii="Arial" w:cs="Arial" w:eastAsia="Arial" w:hAnsi="Arial"/>
          <w:sz w:val="16"/>
          <w:szCs w:val="16"/>
          <w:color w:val="auto"/>
        </w:rPr>
        <w:t xml:space="preserve"> </w:t>
      </w:r>
      <w:r>
        <w:rPr>
          <w:rFonts w:ascii="Arial" w:cs="Arial" w:eastAsia="Arial" w:hAnsi="Arial"/>
          <w:sz w:val="16"/>
          <w:szCs w:val="16"/>
          <w:i w:val="1"/>
          <w:iCs w:val="1"/>
          <w:color w:val="auto"/>
        </w:rPr>
        <w:t>Wireless Technologies, Ltd., et al</w:t>
      </w:r>
      <w:r>
        <w:rPr>
          <w:rFonts w:ascii="Arial" w:cs="Arial" w:eastAsia="Arial" w:hAnsi="Arial"/>
          <w:sz w:val="16"/>
          <w:szCs w:val="16"/>
          <w:color w:val="auto"/>
        </w:rPr>
        <w:t>, Action No. 1001-14265 in the Court of Queens Bench of Alberta Canada, Judicial District of Calgary. The Statement of Claim</w:t>
      </w:r>
      <w:r>
        <w:rPr>
          <w:rFonts w:ascii="Arial" w:cs="Arial" w:eastAsia="Arial" w:hAnsi="Arial"/>
          <w:sz w:val="16"/>
          <w:szCs w:val="16"/>
          <w:i w:val="1"/>
          <w:iCs w:val="1"/>
          <w:color w:val="auto"/>
        </w:rPr>
        <w:t xml:space="preserve"> </w:t>
      </w:r>
      <w:r>
        <w:rPr>
          <w:rFonts w:ascii="Arial" w:cs="Arial" w:eastAsia="Arial" w:hAnsi="Arial"/>
          <w:sz w:val="16"/>
          <w:szCs w:val="16"/>
          <w:color w:val="auto"/>
        </w:rPr>
        <w:t>alleges that Novatel Wireless Technologies, Ltd., Novatel Wireless Solutions, Inc. and Novatel Wireless, Inc., or collectively, the Company, are infringing NovAtel Canada’s purported rights in the “Novatel” trademark in breach of a settlement agreement between NovAtel Canada and the Company. The parties resolved all claims alleged in this matter without any payment by the Company. The matter was dismissed on March 12, 2013.</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approximately $756,000 during the three and six months ended June 30, 2013 related to settlements on legal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After a review of the four sources of taxable income as of June 30, 2013 (as described above), the Company recognized increases in the valuation allowance primarily related to its U.S.-based deferred tax amounts, resulting from carryforward net operating losses generated during the three and six months ended June 30, 2013. These deferred tax benefits, combined with a corresponding charge to income tax expense related to an increased valuation allowance of $4.4 million and $8.8 million for the three and six months ended June 30, 2013, respectively, resulted in an insignificant effective income tax rate. The Company’s valuation allowance was $72.7 million on net deferred tax assets of $73.2 million at June 30, 2013. The net unreserved portion of the Company’s remaining deferred tax assets at June 30, 2013 primarily related to research and development tax credits associated with the Company’s Canadian subsidiary.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six months ended June 30, 2013, the Company recorded an income tax expense, including discrete items, of $104,000 and expense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$21,000, respectively. These amounts vary from the income tax benefit that would be computed at the U.S. statutory rate resulting from its operating loss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those same periods primarily due to the aforementioned offsetting increase in the Company’s deferred tax assets valuation allowance.</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that is “more-likely-than-not” to be sustained upon audit by the relevant taxing authority. An uncertain income tax position will not be recognized if it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less than a 50% likelihood of being sustained. As of June 30, 2013 and December 31, 2012, the total liability for unrecognized tax benefits was $199,000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$367,000, respectively, and is included in other long-term liabilities. For the three and six months ended June 30, 2013, the Company included $1,000 of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and $168,000 of interest benefit, respectively, related to uncertain tax positions in its condensed consolidated statements of operations.</w:t>
      </w:r>
    </w:p>
    <w:p>
      <w:pPr>
        <w:spacing w:after="0" w:line="18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fourth quarter of 2013, the Company expects to release $71,000 of its liability for unrecognized tax benefits due to the expiration of the statute of limitations applicable to the 2008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Federal income tax examinations for the 2003 through 2010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2012 contained in our Annual Report on Form 10-K for the year ended December 31,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machine-to-machine (M2M) and mobile computing OEMs, integrated asset-management M2M devices, and communications and applications software.</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Sprint, and Verizon Wireless;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providers of security systems, application service providers and distributors. We have strategic relationships with several of these customers for technology development and marketing.</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hardware used in our solutions is produced by contract manufacturers. Their services include component procurement, assembly, testing, quality control, and fulfillment. We have agreements with Inventec Appliances Corporation, or IAC; Hon Hai Precision Industry co., LTD; and Benchmark Electronics for the outsourced manufacturing of our products. Under our manufacturing agreements, contract 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 or EMEA.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Sprint, Verizon Wireless, AT&amp;T, Texas Instruments,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prices of our products. This pressure has the potential to materially adversely affect our results of operations and financial condition in future periods and we cannot predict the magnitude or timing of future reductions in the average selling prices of our products.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overhead,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We have incurred these expenses in the past and expect to continue to incur these expenses in future periods prior to recognizing net revenues from sales of these products.</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professional legal fees, administrative support, and professional fees. This category also includes the expenses needed to operate as a publicly-traded company, including Sarbanes-Oxley compliance, SEC filings, stock-exchange fees, and investor-relations expense. Although general and administrative expenses have been relatively stable and are not directly related to revenue levels, certain expenses such as litigation settlements, legal expenses, and provisions for bad debts may impact future general and administrative expenses.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also subject our intangible assets and goodwill to impairment assessments when required which can result in charges when impairment occurs.</w:t>
      </w:r>
    </w:p>
    <w:p>
      <w:pPr>
        <w:spacing w:after="0" w:line="19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four years. As most of these assets are associated with technology or trade conditions that may change rapidly; such changes could have an immediate impact on our impairment analysis.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Our goodwill resulted from the acquisition of Enfora (M2M Products and Solutions) in the fourth quarter of 2010. In accordance with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Standards Codification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Topic 350”), we review goodwill for impairment at least annually at the beginning of the fourth quarter of each year, and more frequently if events or changes in circumstances occur that indicate a potential reduction in the fair value of the reporting unit below its carrying value. During the year ended December 31, 2012 impairment charges were recorded for the full remaining amount of goodwill resulting in a zero balance in goodwill at December 31, 2012.</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significant accounting policies used in preparation of these consolidated financial statements for the three and six months ended June 30, 2013 are consistent with those discussed in Note 1 to the consolidated financial statements included in our Annual Report on Form 10-K for the year ended December 31, 2012 in all material respects and in Note 1 to the consolidated financial statements included in this report. The critical accounting policies and the significant judgments and estimates used in the preparation of our condensed consolidated financial statements for the three and six months ended June 30, 2013 are consistent with those discussed in our Annual Report on Form 10-K for the year ended December 31, 2012 in the section captioned “Management’s Discussion and Analysis of Financial Condition and Results of Operations — Critical Accounting Policies and Estimates.”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2013 Compared to Three Months Ended June 30, 2012</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June 30, 2013 were $91.1 million, a decrease of $11.3 million or 11.1%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2012.</w:t>
      </w:r>
    </w:p>
    <w:p>
      <w:pPr>
        <w:spacing w:after="0" w:line="132"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net revenues by product categories during the three months ended June 30, 2013 and June 30, 2012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7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$80,823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4"/>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91,124</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604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$75,582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6,752</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91,124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i w:val="1"/>
          <w:iCs w:val="1"/>
          <w:color w:val="auto"/>
        </w:rPr>
        <w:t xml:space="preserve">Mobile Computing Products. </w:t>
      </w:r>
      <w:r>
        <w:rPr>
          <w:rFonts w:ascii="Arial" w:cs="Arial" w:eastAsia="Arial" w:hAnsi="Arial"/>
          <w:sz w:val="15"/>
          <w:szCs w:val="15"/>
          <w:color w:val="auto"/>
        </w:rPr>
        <w:t>Net revenues from our Mobile Computing Products segment for the three months ended June 30, 2013 were $80.8 million, a</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of $11.7 million or 12.7% compared to the same period in 2012. The decrease is primarily attributable to lower average sales prices during the quarter.</w:t>
      </w:r>
    </w:p>
    <w:p>
      <w:pPr>
        <w:spacing w:after="0" w:line="6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three months ended June 30, 2013 were $10.3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$9.9 million for the same period last year. The increase is primarily due to increased sales of our recently launched HS3001 module.</w:t>
      </w:r>
    </w:p>
    <w:p>
      <w:pPr>
        <w:spacing w:after="0" w:line="85"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Asset Management Solutions and Services are mobile intelligent wireless broadband terminal devices and communications management software, or CMS, that transmit information about the assets into which these products interface. These hardware and software products can be bundled or sold separately. The CMS software activates the terminal device onto the wireless network and manages its functionality and data received from the terminal device.</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three months ended June 30, 2013 was $72.1 million, or 79.1% of net revenues, as compared to $79.2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77.3% of net revenues, for the same period in 2012. During the second quarter of 2013, the cost of net revenues as a percentage of net revenues increased due to lower average sales prices during the quarter, an increase in the inventory obsolescence provision, partially offset by lower quarter over quarter purchased intangible amortization expense decreasing to $83,000 during the quarter ended June 30, 2013 as compared to $289,000 in the comparable quarter of 2012. The cost of net revenues as a percentage of revenues is expected to fluctuate in future quarters depending on revenue levels, the mix of products sold, competitive pricing, new product introduction costs and other factors.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ind w:right="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June 30, 2013 was $19.0 million, or a gross margin of 20.9% of net revenues, compared to $23.3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a gross margin of 22.7% of net revenues for the same period in 2012. The gross margin decrease was primarily attributable to the changes in net revenues and cost of net revenues as discussed above. We expect that our gross margin percentage will continue to fluctuate from quarter to quarter depending on revenue levels, product mix, competitive selling prices, our ability to reduce product costs and changes in unit volumes.</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2013 were $13.0 million, or 14.3%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$14.5 million, or 14.1% of net revenues, for the same period in 2012. Research and development expenses for the three months ended June 30, 2013 were lower as compared to the same period in 2012, due to reduced labor cost attributed to headcount reductions.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June 30, 2013 were $5.9 million, or 6.4%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$7.3 million, or 7.1% of net revenues, for the same period in 2012. Sales and marketing expenses for the three months ended June 30, 2013 were lower as compared to the same period in 2012, primarily due to a decrease in salaries and related expenditures.</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June 30, 2013 were $7.8 million, or 8.5%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$5.7 million, or 5.6% of net revenues, for the same period in 2012. General and administrative expenses for the three months ended June 30, 2013 were higher as compared to the same period in 2012 primarily due to increased legal fees, partially offset by reduced labor cost attributed to headcount reductions. While we are closely monitoring and working to control general and administrative costs, we expect these costs to be negatively impacted by legal fees to defend the claims described in Note 9 to our condensed consolidated financial statements included in this report. During the second quarter periods in 2013 and 2012, the Company incurred $3.0 million and $1.7 million in professional legal expenses, respectively. During the second quarter of 2013, the Company reached settlement agreements of $0.8 million. The increase in legal expenses is primarily due to external legal fees related to litigation and resulting settlement agreements reached during the three months ended June 30, 2013.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Goodwill and intangible assets impairments. </w:t>
      </w:r>
      <w:r>
        <w:rPr>
          <w:rFonts w:ascii="Arial" w:cs="Arial" w:eastAsia="Arial" w:hAnsi="Arial"/>
          <w:sz w:val="18"/>
          <w:szCs w:val="18"/>
          <w:color w:val="auto"/>
        </w:rPr>
        <w:t>No impairments were recorded during the three months ended June 30, 2013 and 2012.</w:t>
      </w:r>
    </w:p>
    <w:p>
      <w:pPr>
        <w:spacing w:after="0" w:line="165" w:lineRule="exact"/>
        <w:rPr>
          <w:sz w:val="20"/>
          <w:szCs w:val="20"/>
          <w:color w:val="auto"/>
        </w:rPr>
      </w:pPr>
    </w:p>
    <w:p>
      <w:pPr>
        <w:jc w:val="both"/>
        <w:ind w:right="320" w:firstLine="456"/>
        <w:spacing w:after="0" w:line="310" w:lineRule="auto"/>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amortization of purchased intangible assets for the three months ended June 30, 2013 was $141,000,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$227,000 for the same period 2012. The decrease in amortization expense for the three months ended June 30, 2013 was caused by the lower net asset value of the intangible assets resulting from impairment charges recorded during 2012.</w:t>
      </w:r>
    </w:p>
    <w:p>
      <w:pPr>
        <w:spacing w:after="0" w:line="10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June 30, 2013 was $21,000 as compared to $83,000 for the same period in 2012.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weighted-average interest rate earned by the Company on its cash, cash equivalents and marketable securities was 0.35% and 0.50% in the second quarters of 2013 and 2012, respectively.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June 30, 2013 was $65,000 of expense as compared to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$153,000 for the same period in 2012.</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three months ended June 30, 2013 was $104,000, as compared to $15,000 of benefit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effective tax rate for the three months ended June 30, 2013 is different than the U.S. statutory rate primarily due to a valuation allowance recorded against additional tax assets generated in the second quarter of 2013.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Net loss. </w:t>
      </w:r>
      <w:r>
        <w:rPr>
          <w:rFonts w:ascii="Arial" w:cs="Arial" w:eastAsia="Arial" w:hAnsi="Arial"/>
          <w:sz w:val="15"/>
          <w:szCs w:val="15"/>
          <w:color w:val="auto"/>
        </w:rPr>
        <w:t>For the three months ended June 30, 2013, we reported a net loss of $7.9 million, as compared to a net loss of $4.5 million for the same period in</w:t>
      </w:r>
    </w:p>
    <w:p>
      <w:pPr>
        <w:spacing w:after="0" w:line="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2012. Our net loss was impacted by changes in net revenue and cost of net revenues and higher general and administrative expenses caused by increased legal expenses primarily related to litigation and resulting settlement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2013 Compared to Six Months Ended June 30, 2012</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six months ended June 30, 2013 were $177.0 million, a decrease of $25.6 million or 12.6%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net revenues by reportable segment and net revenues by product categories during the six months ended June 30, 2013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2012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9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$156,443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20,602</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177,045</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596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$145,740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177,045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i w:val="1"/>
          <w:iCs w:val="1"/>
          <w:color w:val="auto"/>
        </w:rPr>
        <w:t xml:space="preserve">Mobile Computing Products. </w:t>
      </w:r>
      <w:r>
        <w:rPr>
          <w:rFonts w:ascii="Arial" w:cs="Arial" w:eastAsia="Arial" w:hAnsi="Arial"/>
          <w:sz w:val="15"/>
          <w:szCs w:val="15"/>
          <w:color w:val="auto"/>
        </w:rPr>
        <w:t>Net revenues from our Mobile Computing Products segment for the six months ended June 30, 2013 were $156.4 million, a</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of $27.0 million or 14.7% compared to the same period in 2012. The decrease is primarily attributable to lower average sales prices during the period.</w:t>
      </w:r>
    </w:p>
    <w:p>
      <w:pPr>
        <w:spacing w:after="0" w:line="6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six months ended June 30, 2013 were $20.6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$19.2 million for the same period last year. The increase is primarily due to increased sales of our recently launched HS3001 module.</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2013 was $141.2 million, or 79.7% of net revenues, as compared to $158.4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78.2% of net revenues, for the same period in 2012. During the six months ended June 30, 2013, the cost of net revenues as a percentage of net revenues increased primarily due to lower average sales prices during the period, an increase in the inventory obsolescence provision and an increase in warranty expense, partially offset by lower purchased intangible amortization expense decreasing to $167,000 during the six months ended June 30, 2013 as compared to $1.3 million in the comparable period of 2012.</w:t>
      </w:r>
    </w:p>
    <w:p>
      <w:pPr>
        <w:spacing w:after="0" w:line="14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2013 was $35.9 million, or a gross margin of 20.3% of net revenues, compared to $44.2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a gross margin of 21.8% of net revenues for the same period in 2012. The gross margin decrease was primarily attributable to the changes in net revenues and cost of net revenues as discussed above.</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2013 were $26.8 million, or 15.2%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$30.3 million, or 14.9% of net revenues, for the same period in 2012. Research and development expenses for the six months ended June 30, 2013 were lower as compared to the same period in 2012, due to reduced labor cost attributed to headcount reductions.</w:t>
      </w:r>
    </w:p>
    <w:p>
      <w:pPr>
        <w:spacing w:after="0" w:line="10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six months ended June 30, 2013 were $11.6 million, or 6.6%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$15.0 million, or 7.4% of net revenues, for the same period in 2012. Sales and marketing expenses for the six months ended June 30, 2013 were lower as compared to the same period in 2012, primarily due to a decrease in salaries and related expenditures.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General and administrative expenses. </w:t>
      </w:r>
      <w:r>
        <w:rPr>
          <w:rFonts w:ascii="Arial" w:cs="Arial" w:eastAsia="Arial" w:hAnsi="Arial"/>
          <w:sz w:val="16"/>
          <w:szCs w:val="16"/>
          <w:color w:val="auto"/>
        </w:rPr>
        <w:t>General and administrative expenses for the six months ended June 30, 2013 were $14.1 million, or 8.0%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$11.2 million, or 5.5% of net revenues, for the same period in 2012. General and administrative expenses for the six months ended June 30, 2013 were higher as compared to the same period in 2012 primarily due to increased legal fees, partially offset by reduced labor cost attributed to headcount reductions. While we are closely monitoring and working to control general and administrative costs, we expect these costs to be negatively impacted by legal fees to defend the claims described in Note 9 to our condensed consolidated financial statements included in this report. During the six months ended June 30, 2013 and 2012, the Company incurred $5.3 million and $2.7 million in professional legal expenses, respectively. During the second quarter of 2013, the Company reached settlement agreements of $0.8 million. The increase in legal expenses is primarily due to external legal fees related to litigation and resulting settlement agreements reached during the second quarter of 2013.</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Goodwill and intangible assets impairments. </w:t>
      </w:r>
      <w:r>
        <w:rPr>
          <w:rFonts w:ascii="Arial" w:cs="Arial" w:eastAsia="Arial" w:hAnsi="Arial"/>
          <w:sz w:val="18"/>
          <w:szCs w:val="18"/>
          <w:color w:val="auto"/>
        </w:rPr>
        <w:t>No impairments were recorded during the six months ended June 30, 2013. During the first quarter of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actual operating results, and reductions in management’s estimates of forecasted operating results of the M2M products and solutions reporting unit principally due to an updated view of competitive pressures impacting average selling prices, customer product and technology selections, and the loss of certain customers, the Company determined there were sufficient indicators of impairment present to require an interim impairment analysis. Based on the fair value tests performed, the Company recorded a pre-tax goodwill impairment charge of $6.6 million and a purchased intangible asset charge of $22.8 million during the first quarter of 2012.</w:t>
      </w:r>
    </w:p>
    <w:p>
      <w:pPr>
        <w:spacing w:after="0" w:line="138"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six months ended June 30, 2013 was $281,000,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$664,000 for the same period 2012. The decrease in amortization expense for the six months ended June 30, 2013 was caused by the lower net asset value of the intangible assets resulting from impairment charges recorded during 2012.</w:t>
      </w:r>
    </w:p>
    <w:p>
      <w:pPr>
        <w:spacing w:after="0" w:line="13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six months ended June 30, 2013 was $78,000 as compared to $166,000 for the same period in 2012.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weighted-average interest rate earned by the Company on its cash, cash equivalents and marketable securities was 0.39% and 0.45% in the six months ended June 30, 2013 and 2012, respectively.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six months ended June 30, 2013 was $142,000 of expense as compared to $146,000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for the same period in 2012.</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six months ended June 30, 2013 was $21,000, as compared to $169,000 of expense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2012.</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effective tax rate for the six months ended June 30, 2013 is different than the U.S. statutory rate primarily due to a valuation allowance recorded against additional tax assets generated in the six months ended June 30, 2013.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Net loss. </w:t>
      </w:r>
      <w:r>
        <w:rPr>
          <w:rFonts w:ascii="Arial" w:cs="Arial" w:eastAsia="Arial" w:hAnsi="Arial"/>
          <w:sz w:val="15"/>
          <w:szCs w:val="15"/>
          <w:color w:val="auto"/>
        </w:rPr>
        <w:t>For the six months ended June 30, 2013, we reported a net loss of $17.0 million, as compared to a net loss of $42.4 million for the same period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2012. The improvement in net loss primarily resulted from no impairment being recorded during the six months ended June 30, 2013. During the same period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 we recorded pre-tax goodwill impairment charges of $6.6 million and a purchased intangible asset impairment charge of $22.8 million.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address short term liquidity requirements resulting from working capital changes the Company entered into a margin credit facility with a bank in 2011. The use of this margin credit facility allows the Company to meet short-term cash requirements and avoid selling cash equivalents and marketable securities. Borrowings under this facility are collateralized by Company cash and cash equivalents and marketable securities on deposit at the bank. During the three and six months ended June 30, 2013, the Company borrowed approximately $3.0 million and $10.0 million, respectively, and had outstanding borrowings of $1.6 million under this facility at June 30, 2013. Under the terms of the credit facility, the bank may liquidate any of the Company’s cash equivalents or marketable securities held at any time in order to recoup the outstanding balance of the facility. Accordingly, a like amount of marketable equity securities have been classified by the Company as restricted marketable securities on the balance sheet at June 30, 2013. At June 30, 2013 the Company had no cash equivalents held at this bank. The Company’s borrowing limit at June 30, 2013 under the credit facility was $4.4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3"/>
              </w:rPr>
              <w:t>43,885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340" w:type="dxa"/>
            <w:vAlign w:val="bottom"/>
          </w:tcPr>
          <w:p>
            <w:pPr>
              <w:spacing w:after="0"/>
              <w:rPr>
                <w:sz w:val="24"/>
                <w:szCs w:val="24"/>
                <w:color w:val="auto"/>
              </w:rPr>
            </w:pPr>
          </w:p>
        </w:tc>
        <w:tc>
          <w:tcPr>
            <w:tcW w:w="7060" w:type="dxa"/>
            <w:vAlign w:val="bottom"/>
            <w:gridSpan w:val="3"/>
          </w:tcPr>
          <w:p>
            <w:pPr>
              <w:ind w:left="12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24,863</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16,044</w:t>
            </w:r>
          </w:p>
        </w:tc>
        <w:tc>
          <w:tcPr>
            <w:tcW w:w="100" w:type="dxa"/>
            <w:vAlign w:val="bottom"/>
          </w:tcPr>
          <w:p>
            <w:pPr>
              <w:spacing w:after="0"/>
              <w:rPr>
                <w:sz w:val="24"/>
                <w:szCs w:val="24"/>
                <w:color w:val="auto"/>
              </w:rPr>
            </w:pPr>
          </w:p>
        </w:tc>
      </w:tr>
      <w:tr>
        <w:trPr>
          <w:trHeight w:val="218"/>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(2)(3)</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21,203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38,064</w:t>
            </w:r>
          </w:p>
        </w:tc>
        <w:tc>
          <w:tcPr>
            <w:tcW w:w="10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3"/>
              </w:rPr>
              <w:t>11,586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57,652</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55,309</w:t>
            </w:r>
          </w:p>
        </w:tc>
        <w:tc>
          <w:tcPr>
            <w:tcW w:w="10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2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7060" w:type="dxa"/>
            <w:vAlign w:val="bottom"/>
            <w:gridSpan w:val="3"/>
          </w:tcPr>
          <w:p>
            <w:pPr>
              <w:ind w:left="120"/>
              <w:spacing w:after="0"/>
              <w:rPr>
                <w:sz w:val="20"/>
                <w:szCs w:val="20"/>
                <w:color w:val="auto"/>
              </w:rPr>
            </w:pPr>
            <w:r>
              <w:rPr>
                <w:rFonts w:ascii="Arial" w:cs="Arial" w:eastAsia="Arial" w:hAnsi="Arial"/>
                <w:sz w:val="18"/>
                <w:szCs w:val="18"/>
                <w:color w:val="auto"/>
              </w:rPr>
              <w:t>Working capital is defined as the excess of current assets over current liabilities.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7060" w:type="dxa"/>
            <w:vAlign w:val="bottom"/>
            <w:gridSpan w:val="3"/>
          </w:tcPr>
          <w:p>
            <w:pPr>
              <w:ind w:left="120"/>
              <w:spacing w:after="0"/>
              <w:rPr>
                <w:sz w:val="20"/>
                <w:szCs w:val="20"/>
                <w:color w:val="auto"/>
              </w:rPr>
            </w:pPr>
            <w:r>
              <w:rPr>
                <w:rFonts w:ascii="Arial" w:cs="Arial" w:eastAsia="Arial" w:hAnsi="Arial"/>
                <w:sz w:val="18"/>
                <w:szCs w:val="18"/>
                <w:color w:val="auto"/>
              </w:rPr>
              <w:t>Included in working capital.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(3)</w:t>
            </w:r>
          </w:p>
        </w:tc>
        <w:tc>
          <w:tcPr>
            <w:tcW w:w="7060" w:type="dxa"/>
            <w:vAlign w:val="bottom"/>
            <w:gridSpan w:val="3"/>
          </w:tcPr>
          <w:p>
            <w:pPr>
              <w:ind w:left="120"/>
              <w:spacing w:after="0"/>
              <w:rPr>
                <w:sz w:val="20"/>
                <w:szCs w:val="20"/>
                <w:color w:val="auto"/>
              </w:rPr>
            </w:pPr>
            <w:r>
              <w:rPr>
                <w:rFonts w:ascii="Arial" w:cs="Arial" w:eastAsia="Arial" w:hAnsi="Arial"/>
                <w:sz w:val="18"/>
                <w:szCs w:val="18"/>
                <w:color w:val="auto"/>
              </w:rPr>
              <w:t>Excludes restricted marketable securities.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working capital decreased $23.3 million from December 31, 2012 to June 30, 2013. The decrease was primarily due to the operating loss for the six months ended June 30, 2013 and the investment of short-term marketable securities maturities into long-term marketable securities.</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June 30, 2013, cash and cash equivalents and marketable securities increased by $2.3 million from December 31, 2012. The principal component of this net increase was the cash provided by our operating activities of $6.5 million primarily attributable to decreases in accounts receivable and inventory and an increase in accounts payable.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(23,454)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(9,059)</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(31,872)</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16,044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24,863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$ 15,197</w:t>
            </w: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Net cash provided by operating activities was $6.5 million for the six months ended June 30, 2013 compared to net cash used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operating activities of $23.5 million for the same period in 2012. Net cash provided by operating activities for the six months ended June 30, 2013 was attributable to a net increase in cash caused by changes in working capital accounts, and non-cash charges for depreciation and amortization and share based compensation expense, partially offset by net losses in the period. The net increase in cash caused by changes in net working capital accounts primarily included decreases in accounts receivable and inventory, as well as an increase in accounts payable. Net cash used for the six months ended June 30, 2012 was attributable to net losses in the period and a net decrease in cash caused by changes in working capital accounts, offset by non-cash charges for impairments of goodwill and intangibles, depreciation and amortization, and share based compensation expense. The net decrease in cash caused by changes in net working capital accounts primarily included increases in accounts receivable and prepaid expenses and other assets, as well as a decrease in accounts payable.</w:t>
      </w:r>
    </w:p>
    <w:p>
      <w:pPr>
        <w:spacing w:after="0" w:line="10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provided by investing activities during the six months ended June 30, 2013 was $1.1 million compared to $9.1 million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2012. Cash provided by investing activities during the six months ended June 30, 2013 was related to net sales of marketable securities of $4.9 million, partially offset by purchases of property, plant, and equipment for approximately $3.7 million. Cash used in investing activities during the six months ended June 30, 2012 was related to net purchases of marketable securities of $5.5 million, and purchases of property, plant, and equipment for approximately $3.6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Financing activities. </w:t>
      </w:r>
      <w:r>
        <w:rPr>
          <w:rFonts w:ascii="Arial" w:cs="Arial" w:eastAsia="Arial" w:hAnsi="Arial"/>
          <w:sz w:val="18"/>
          <w:szCs w:val="18"/>
          <w:color w:val="auto"/>
        </w:rPr>
        <w:t>Net cash provided by financing activities during the six months ended June 30, 2013 was $1.3 million compared to cash provided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$688,000 during the same period in 2012. Net cash provided by financing activities for the six months ended June 30, 2013 was primarily related to proceeds received from borrowing on our margin credit facility, partially offset by principal repayments on our margin credit facility borrowings, and payroll taxes paid on behalf of employees for restricted stock units which vested during the period. Net cash provided by financing activities during the same period in 2012 was primarily related to cash received for ESPP purchases.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9 to our condensed consolidated financial statements included in this report. These costs cannot be estimated at this time.</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$4.5 million for discretionary capital expenditures, including the acquisition of additional software licenses.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December 31, 2012,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30, 2013,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Internal Control Over Financial Reporting.</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June 30, 2013, that have materially affected, or are reasonably likely to materially affect, the Company’s internal control over financial reporting.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Backe v. Novatel Wireless, Inc. et al.</w:t>
      </w:r>
      <w:r>
        <w:rPr>
          <w:rFonts w:ascii="Arial" w:cs="Arial" w:eastAsia="Arial" w:hAnsi="Arial"/>
          <w:sz w:val="18"/>
          <w:szCs w:val="18"/>
          <w:color w:val="auto"/>
        </w:rPr>
        <w:t>, United States District Court for the Southern District of California (San Diego), Case No. 3:08-cv-01689-AJB-RBB (consolidated with Case No. 3:08-cv-01714-H-RBB (U.S.D.C., S.D. Cal.)), the court, on July 30, 2013, issued an amended scheduling order setting the final pretrial conference for November 21, 2013 and a trial date of January 6, 2014.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these matters, see Item 3, “Legal Proceedings” in our Annual Report on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906 of the Sarbanes-Oxley Act of 2002.</w:t>
            </w:r>
          </w:p>
        </w:tc>
      </w:tr>
    </w:tbl>
    <w:p>
      <w:pPr>
        <w:spacing w:after="0" w:line="102" w:lineRule="exact"/>
        <w:rPr>
          <w:sz w:val="20"/>
          <w:szCs w:val="20"/>
          <w:color w:val="auto"/>
        </w:rPr>
      </w:pPr>
    </w:p>
    <w:p>
      <w:pPr>
        <w:ind w:left="1080" w:right="60" w:hanging="107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June 30, 2013 formatted in Extensible Business Reporting Language (XBRL): (i) Condensed Consolidated Balance Sheets; (ii) Condensed Consolidated Statements of Operations; (iii) Condensed Consolidated Statements of Comprehensive Income (Loss); (iv) Condensed Consolidated Statements of Cash Flows; and (v) the Notes to Condensed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Novatel Wireless, Inc.</w:t>
            </w:r>
          </w:p>
        </w:tc>
      </w:tr>
      <w:tr>
        <w:trPr>
          <w:trHeight w:val="43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8, 2013</w:t>
            </w:r>
          </w:p>
        </w:tc>
        <w:tc>
          <w:tcPr>
            <w:tcW w:w="112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Peter Leparulo</w:t>
            </w:r>
          </w:p>
        </w:tc>
      </w:tr>
      <w:tr>
        <w:trPr>
          <w:trHeight w:val="222"/>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43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8, 2013</w:t>
            </w:r>
          </w:p>
        </w:tc>
        <w:tc>
          <w:tcPr>
            <w:tcW w:w="112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Kenneth Leddon</w:t>
            </w:r>
          </w:p>
        </w:tc>
      </w:tr>
      <w:tr>
        <w:trPr>
          <w:trHeight w:val="222"/>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65"/>
        </w:trPr>
        <w:tc>
          <w:tcPr>
            <w:tcW w:w="5160" w:type="dxa"/>
            <w:vAlign w:val="bottom"/>
          </w:tcPr>
          <w:p>
            <w:pPr>
              <w:spacing w:after="0"/>
              <w:rPr>
                <w:sz w:val="24"/>
                <w:szCs w:val="24"/>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48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August 8, 2013</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August 8,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Novatel Wireless, Inc. (the “Company”), on Form 10-Q for the quarter ended June 30, 2013 as filed with the Securities and Exchange Commission on the date hereof (the “Report”), I, Peter Leparulo, Chairman and Chief Executive Officer of the Company, do hereby certify, pursuant to 18 U.S.C. Section 1350, that to the best of my knowledge:</w:t>
      </w:r>
    </w:p>
    <w:p>
      <w:pPr>
        <w:spacing w:after="0" w:line="5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5"/>
          <w:szCs w:val="15"/>
          <w:color w:val="auto"/>
        </w:rPr>
        <w:t>/s/ Peter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36620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Novatel Wireless, Inc. (the “Company”), on Form 10-Q for the quarter ended June 30, 2013 as filed with the Securities and Exchange Commission on the date hereof (the “Report”), I, Kenneth Leddon, Senior Vice President and Chief Financial Officer, do hereby certify, pursuant to 18 U.S.C. Section 1350, that to the best of my knowledge:</w:t>
      </w:r>
    </w:p>
    <w:p>
      <w:pPr>
        <w:spacing w:after="0" w:line="18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6"/>
          <w:szCs w:val="16"/>
          <w:color w:val="auto"/>
        </w:rPr>
        <w:t>/s/ Kenneth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0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2019-12-06T16:16:46Z</dcterms:created>
  <dcterms:modified xsi:type="dcterms:W3CDTF">2019-12-06T16:16:46Z</dcterms:modified>
</cp:coreProperties>
</file>