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3"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2967990</wp:posOffset>
            </wp:positionH>
            <wp:positionV relativeFrom="paragraph">
              <wp:posOffset>137160</wp:posOffset>
            </wp:positionV>
            <wp:extent cx="12141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2967990</wp:posOffset>
            </wp:positionH>
            <wp:positionV relativeFrom="paragraph">
              <wp:posOffset>64135</wp:posOffset>
            </wp:positionV>
            <wp:extent cx="1214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285" w:lineRule="exact"/>
        <w:rPr>
          <w:sz w:val="24"/>
          <w:szCs w:val="24"/>
          <w:color w:val="auto"/>
        </w:rPr>
      </w:pPr>
    </w:p>
    <w:p>
      <w:pPr>
        <w:ind w:left="460" w:hanging="417"/>
        <w:spacing w:after="0"/>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6" w:lineRule="exact"/>
        <w:rPr>
          <w:sz w:val="24"/>
          <w:szCs w:val="24"/>
          <w:color w:val="auto"/>
        </w:rPr>
      </w:pPr>
    </w:p>
    <w:p>
      <w:pPr>
        <w:ind w:left="400" w:hanging="377"/>
        <w:spacing w:after="0"/>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3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20" w:type="dxa"/>
            <w:vAlign w:val="bottom"/>
            <w:tcBorders>
              <w:bottom w:val="single" w:sz="8" w:color="auto"/>
            </w:tcBorders>
          </w:tcPr>
          <w:p>
            <w:pPr>
              <w:spacing w:after="0"/>
              <w:rPr>
                <w:sz w:val="17"/>
                <w:szCs w:val="17"/>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9"/>
        </w:trPr>
        <w:tc>
          <w:tcPr>
            <w:tcW w:w="444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Commission File Number: 001-38358</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2306320</wp:posOffset>
            </wp:positionH>
            <wp:positionV relativeFrom="paragraph">
              <wp:posOffset>109220</wp:posOffset>
            </wp:positionV>
            <wp:extent cx="2604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4770" cy="8255"/>
                    </a:xfrm>
                    <a:prstGeom prst="rect">
                      <a:avLst/>
                    </a:prstGeom>
                    <a:noFill/>
                  </pic:spPr>
                </pic:pic>
              </a:graphicData>
            </a:graphic>
          </wp:anchor>
        </w:drawing>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392"/>
        </w:trPr>
        <w:tc>
          <w:tcPr>
            <w:tcW w:w="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2"/>
          </w:tcPr>
          <w:p>
            <w:pPr>
              <w:jc w:val="center"/>
              <w:ind w:right="480"/>
              <w:spacing w:after="0"/>
              <w:rPr>
                <w:sz w:val="20"/>
                <w:szCs w:val="20"/>
                <w:color w:val="auto"/>
              </w:rPr>
            </w:pPr>
            <w:r>
              <w:rPr>
                <w:rFonts w:ascii="Times New Roman" w:cs="Times New Roman" w:eastAsia="Times New Roman" w:hAnsi="Times New Roman"/>
                <w:sz w:val="32"/>
                <w:szCs w:val="32"/>
                <w:b w:val="1"/>
                <w:bCs w:val="1"/>
                <w:color w:val="auto"/>
                <w:w w:val="98"/>
              </w:rPr>
              <w:t>INSEEGO CORP.</w:t>
            </w:r>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85"/>
        </w:trPr>
        <w:tc>
          <w:tcPr>
            <w:tcW w:w="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0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37"/>
        </w:trPr>
        <w:tc>
          <w:tcPr>
            <w:tcW w:w="60" w:type="dxa"/>
            <w:vAlign w:val="bottom"/>
          </w:tcPr>
          <w:p>
            <w:pPr>
              <w:spacing w:after="0"/>
              <w:rPr>
                <w:sz w:val="3"/>
                <w:szCs w:val="3"/>
                <w:color w:val="auto"/>
              </w:rPr>
            </w:pPr>
          </w:p>
        </w:tc>
        <w:tc>
          <w:tcPr>
            <w:tcW w:w="35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500" w:type="dxa"/>
            <w:vAlign w:val="bottom"/>
          </w:tcPr>
          <w:p>
            <w:pPr>
              <w:spacing w:after="0"/>
              <w:rPr>
                <w:sz w:val="3"/>
                <w:szCs w:val="3"/>
                <w:color w:val="auto"/>
              </w:rPr>
            </w:pPr>
          </w:p>
        </w:tc>
      </w:tr>
      <w:tr>
        <w:trPr>
          <w:trHeight w:val="325"/>
        </w:trPr>
        <w:tc>
          <w:tcPr>
            <w:tcW w:w="60" w:type="dxa"/>
            <w:vAlign w:val="bottom"/>
          </w:tcPr>
          <w:p>
            <w:pPr>
              <w:spacing w:after="0"/>
              <w:rPr>
                <w:sz w:val="24"/>
                <w:szCs w:val="24"/>
                <w:color w:val="auto"/>
              </w:rPr>
            </w:pPr>
          </w:p>
        </w:tc>
        <w:tc>
          <w:tcPr>
            <w:tcW w:w="4040" w:type="dxa"/>
            <w:vAlign w:val="bottom"/>
            <w:gridSpan w:val="2"/>
          </w:tcPr>
          <w:p>
            <w:pPr>
              <w:jc w:val="center"/>
              <w:ind w:left="127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5"/>
              <w:spacing w:after="0"/>
              <w:rPr>
                <w:sz w:val="20"/>
                <w:szCs w:val="20"/>
                <w:color w:val="auto"/>
              </w:rPr>
            </w:pPr>
            <w:r>
              <w:rPr>
                <w:rFonts w:ascii="Times New Roman" w:cs="Times New Roman" w:eastAsia="Times New Roman" w:hAnsi="Times New Roman"/>
                <w:sz w:val="18"/>
                <w:szCs w:val="18"/>
                <w:b w:val="1"/>
                <w:bCs w:val="1"/>
                <w:color w:val="auto"/>
              </w:rPr>
              <w:t>81-3377646</w:t>
            </w:r>
          </w:p>
        </w:tc>
      </w:tr>
      <w:tr>
        <w:trPr>
          <w:trHeight w:val="143"/>
        </w:trPr>
        <w:tc>
          <w:tcPr>
            <w:tcW w:w="60" w:type="dxa"/>
            <w:vAlign w:val="bottom"/>
          </w:tcPr>
          <w:p>
            <w:pPr>
              <w:spacing w:after="0"/>
              <w:rPr>
                <w:sz w:val="12"/>
                <w:szCs w:val="12"/>
                <w:color w:val="auto"/>
              </w:rPr>
            </w:pPr>
          </w:p>
        </w:tc>
        <w:tc>
          <w:tcPr>
            <w:tcW w:w="4040" w:type="dxa"/>
            <w:vAlign w:val="bottom"/>
            <w:gridSpan w:val="2"/>
          </w:tcPr>
          <w:p>
            <w:pPr>
              <w:jc w:val="center"/>
              <w:ind w:left="1278"/>
              <w:spacing w:after="0" w:line="143"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500" w:type="dxa"/>
            <w:vAlign w:val="bottom"/>
          </w:tcPr>
          <w:p>
            <w:pPr>
              <w:jc w:val="center"/>
              <w:ind w:right="1705"/>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60" w:type="dxa"/>
            <w:vAlign w:val="bottom"/>
          </w:tcPr>
          <w:p>
            <w:pPr>
              <w:spacing w:after="0"/>
              <w:rPr>
                <w:sz w:val="16"/>
                <w:szCs w:val="16"/>
                <w:color w:val="auto"/>
              </w:rPr>
            </w:pPr>
          </w:p>
        </w:tc>
        <w:tc>
          <w:tcPr>
            <w:tcW w:w="4040" w:type="dxa"/>
            <w:vAlign w:val="bottom"/>
            <w:gridSpan w:val="2"/>
          </w:tcPr>
          <w:p>
            <w:pPr>
              <w:jc w:val="center"/>
              <w:ind w:left="1278"/>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tcPr>
          <w:p>
            <w:pPr>
              <w:jc w:val="center"/>
              <w:ind w:right="172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2"/>
        </w:trPr>
        <w:tc>
          <w:tcPr>
            <w:tcW w:w="60" w:type="dxa"/>
            <w:vAlign w:val="bottom"/>
          </w:tcPr>
          <w:p>
            <w:pPr>
              <w:spacing w:after="0"/>
              <w:rPr>
                <w:sz w:val="24"/>
                <w:szCs w:val="24"/>
                <w:color w:val="auto"/>
              </w:rPr>
            </w:pPr>
          </w:p>
        </w:tc>
        <w:tc>
          <w:tcPr>
            <w:tcW w:w="4040" w:type="dxa"/>
            <w:vAlign w:val="bottom"/>
            <w:gridSpan w:val="2"/>
          </w:tcPr>
          <w:p>
            <w:pPr>
              <w:jc w:val="center"/>
              <w:ind w:left="1298"/>
              <w:spacing w:after="0"/>
              <w:rPr>
                <w:sz w:val="20"/>
                <w:szCs w:val="20"/>
                <w:color w:val="auto"/>
              </w:rPr>
            </w:pPr>
            <w:r>
              <w:rPr>
                <w:rFonts w:ascii="Times New Roman" w:cs="Times New Roman" w:eastAsia="Times New Roman" w:hAnsi="Times New Roman"/>
                <w:sz w:val="18"/>
                <w:szCs w:val="18"/>
                <w:b w:val="1"/>
                <w:bCs w:val="1"/>
                <w:color w:val="auto"/>
                <w:w w:val="97"/>
              </w:rPr>
              <w:t>9710 Scranton Road, Suite 200</w:t>
            </w: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4040" w:type="dxa"/>
            <w:vAlign w:val="bottom"/>
            <w:gridSpan w:val="2"/>
          </w:tcPr>
          <w:p>
            <w:pPr>
              <w:jc w:val="center"/>
              <w:ind w:left="1258"/>
              <w:spacing w:after="0"/>
              <w:rPr>
                <w:sz w:val="20"/>
                <w:szCs w:val="20"/>
                <w:color w:val="auto"/>
              </w:rPr>
            </w:pPr>
            <w:r>
              <w:rPr>
                <w:rFonts w:ascii="Times New Roman" w:cs="Times New Roman" w:eastAsia="Times New Roman" w:hAnsi="Times New Roman"/>
                <w:sz w:val="18"/>
                <w:szCs w:val="18"/>
                <w:b w:val="1"/>
                <w:bCs w:val="1"/>
                <w:color w:val="auto"/>
                <w:w w:val="97"/>
              </w:rPr>
              <w:t>San Diego, California</w:t>
            </w:r>
          </w:p>
        </w:tc>
        <w:tc>
          <w:tcPr>
            <w:tcW w:w="3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5"/>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85"/>
        </w:trPr>
        <w:tc>
          <w:tcPr>
            <w:tcW w:w="60" w:type="dxa"/>
            <w:vAlign w:val="bottom"/>
          </w:tcPr>
          <w:p>
            <w:pPr>
              <w:spacing w:after="0"/>
              <w:rPr>
                <w:sz w:val="16"/>
                <w:szCs w:val="16"/>
                <w:color w:val="auto"/>
              </w:rPr>
            </w:pPr>
          </w:p>
        </w:tc>
        <w:tc>
          <w:tcPr>
            <w:tcW w:w="4040" w:type="dxa"/>
            <w:vAlign w:val="bottom"/>
            <w:gridSpan w:val="2"/>
          </w:tcPr>
          <w:p>
            <w:pPr>
              <w:jc w:val="center"/>
              <w:ind w:left="12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tcPr>
          <w:p>
            <w:pPr>
              <w:jc w:val="center"/>
              <w:ind w:right="1705"/>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13"/>
        </w:trPr>
        <w:tc>
          <w:tcPr>
            <w:tcW w:w="60" w:type="dxa"/>
            <w:vAlign w:val="bottom"/>
          </w:tcPr>
          <w:p>
            <w:pPr>
              <w:spacing w:after="0"/>
              <w:rPr>
                <w:sz w:val="24"/>
                <w:szCs w:val="24"/>
                <w:color w:val="auto"/>
              </w:rPr>
            </w:pPr>
          </w:p>
        </w:tc>
        <w:tc>
          <w:tcPr>
            <w:tcW w:w="11180" w:type="dxa"/>
            <w:vAlign w:val="bottom"/>
            <w:gridSpan w:val="7"/>
          </w:tcPr>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812-3400</w:t>
            </w:r>
          </w:p>
        </w:tc>
      </w:tr>
      <w:tr>
        <w:trPr>
          <w:trHeight w:val="317"/>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19"/>
        </w:trPr>
        <w:tc>
          <w:tcPr>
            <w:tcW w:w="60" w:type="dxa"/>
            <w:vAlign w:val="bottom"/>
          </w:tcPr>
          <w:p>
            <w:pPr>
              <w:spacing w:after="0"/>
              <w:rPr>
                <w:sz w:val="10"/>
                <w:szCs w:val="10"/>
                <w:color w:val="auto"/>
              </w:rPr>
            </w:pPr>
          </w:p>
        </w:tc>
        <w:tc>
          <w:tcPr>
            <w:tcW w:w="4040" w:type="dxa"/>
            <w:vAlign w:val="bottom"/>
            <w:tcBorders>
              <w:bottom w:val="single" w:sz="8" w:color="auto"/>
            </w:tcBorders>
            <w:gridSpan w:val="2"/>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gridSpan w:val="2"/>
          </w:tcPr>
          <w:p>
            <w:pPr>
              <w:spacing w:after="0"/>
              <w:rPr>
                <w:sz w:val="10"/>
                <w:szCs w:val="10"/>
                <w:color w:val="auto"/>
              </w:rPr>
            </w:pPr>
          </w:p>
        </w:tc>
      </w:tr>
      <w:tr>
        <w:trPr>
          <w:trHeight w:val="217"/>
        </w:trPr>
        <w:tc>
          <w:tcPr>
            <w:tcW w:w="60" w:type="dxa"/>
            <w:vAlign w:val="bottom"/>
            <w:tcBorders>
              <w:right w:val="single" w:sz="8" w:color="auto"/>
            </w:tcBorders>
          </w:tcPr>
          <w:p>
            <w:pPr>
              <w:spacing w:after="0"/>
              <w:rPr>
                <w:sz w:val="18"/>
                <w:szCs w:val="18"/>
                <w:color w:val="auto"/>
              </w:rPr>
            </w:pPr>
          </w:p>
        </w:tc>
        <w:tc>
          <w:tcPr>
            <w:tcW w:w="4040" w:type="dxa"/>
            <w:vAlign w:val="bottom"/>
            <w:tcBorders>
              <w:bottom w:val="single" w:sz="8" w:color="auto"/>
            </w:tcBorders>
            <w:gridSpan w:val="2"/>
          </w:tcPr>
          <w:p>
            <w:pPr>
              <w:jc w:val="center"/>
              <w:ind w:left="178"/>
              <w:spacing w:after="0"/>
              <w:rPr>
                <w:sz w:val="20"/>
                <w:szCs w:val="20"/>
                <w:color w:val="auto"/>
              </w:rPr>
            </w:pPr>
            <w:r>
              <w:rPr>
                <w:rFonts w:ascii="Times New Roman" w:cs="Times New Roman" w:eastAsia="Times New Roman" w:hAnsi="Times New Roman"/>
                <w:sz w:val="18"/>
                <w:szCs w:val="18"/>
                <w:color w:val="auto"/>
                <w:w w:val="96"/>
              </w:rPr>
              <w:t>Title of each class</w:t>
            </w:r>
          </w:p>
        </w:tc>
        <w:tc>
          <w:tcPr>
            <w:tcW w:w="3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Trading Symbol(s)</w:t>
            </w: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right w:val="single" w:sz="8" w:color="auto"/>
            </w:tcBorders>
            <w:gridSpan w:val="2"/>
          </w:tcPr>
          <w:p>
            <w:pPr>
              <w:jc w:val="center"/>
              <w:ind w:right="165"/>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17"/>
        </w:trPr>
        <w:tc>
          <w:tcPr>
            <w:tcW w:w="60" w:type="dxa"/>
            <w:vAlign w:val="bottom"/>
            <w:tcBorders>
              <w:right w:val="single" w:sz="8" w:color="auto"/>
            </w:tcBorders>
          </w:tcPr>
          <w:p>
            <w:pPr>
              <w:spacing w:after="0"/>
              <w:rPr>
                <w:sz w:val="18"/>
                <w:szCs w:val="18"/>
                <w:color w:val="auto"/>
              </w:rPr>
            </w:pPr>
          </w:p>
        </w:tc>
        <w:tc>
          <w:tcPr>
            <w:tcW w:w="4040" w:type="dxa"/>
            <w:vAlign w:val="bottom"/>
            <w:tcBorders>
              <w:bottom w:val="single" w:sz="8" w:color="auto"/>
            </w:tcBorders>
            <w:gridSpan w:val="2"/>
          </w:tcPr>
          <w:p>
            <w:pPr>
              <w:jc w:val="center"/>
              <w:ind w:left="178"/>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3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INSG</w:t>
            </w: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00" w:type="dxa"/>
            <w:vAlign w:val="bottom"/>
            <w:tcBorders>
              <w:bottom w:val="single" w:sz="8" w:color="auto"/>
              <w:right w:val="single" w:sz="8" w:color="auto"/>
            </w:tcBorders>
          </w:tcPr>
          <w:p>
            <w:pPr>
              <w:jc w:val="center"/>
              <w:ind w:right="465"/>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bl>
    <w:p>
      <w:pPr>
        <w:spacing w:after="0" w:line="74" w:lineRule="exact"/>
        <w:rPr>
          <w:sz w:val="24"/>
          <w:szCs w:val="24"/>
          <w:color w:val="auto"/>
        </w:rPr>
      </w:pPr>
    </w:p>
    <w:p>
      <w:pPr>
        <w:ind w:right="120" w:firstLine="435"/>
        <w:spacing w:after="0" w:line="22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2" w:lineRule="exact"/>
        <w:rPr>
          <w:sz w:val="24"/>
          <w:szCs w:val="24"/>
          <w:color w:val="auto"/>
        </w:rPr>
      </w:pPr>
    </w:p>
    <w:p>
      <w:pPr>
        <w:ind w:right="180" w:firstLine="435"/>
        <w:spacing w:after="0" w:line="28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560" w:val="left"/>
          <w:tab w:leader="none" w:pos="124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83" w:lineRule="exact"/>
        <w:rPr>
          <w:sz w:val="24"/>
          <w:szCs w:val="24"/>
          <w:color w:val="auto"/>
        </w:rPr>
      </w:pPr>
    </w:p>
    <w:p>
      <w:pPr>
        <w:jc w:val="both"/>
        <w:ind w:right="140" w:firstLine="43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22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1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4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2" w:lineRule="exact"/>
        <w:rPr>
          <w:sz w:val="24"/>
          <w:szCs w:val="24"/>
          <w:color w:val="auto"/>
        </w:rPr>
      </w:pPr>
    </w:p>
    <w:p>
      <w:pPr>
        <w:ind w:right="2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0" w:lineRule="exact"/>
        <w:rPr>
          <w:sz w:val="24"/>
          <w:szCs w:val="24"/>
          <w:color w:val="auto"/>
        </w:rPr>
      </w:pPr>
    </w:p>
    <w:p>
      <w:pPr>
        <w:ind w:right="248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w:t>
      </w:r>
      <w:r>
        <w:rPr>
          <w:rFonts w:ascii="Times New Roman" w:cs="Times New Roman" w:eastAsia="Times New Roman" w:hAnsi="Times New Roman"/>
          <w:sz w:val="15"/>
          <w:szCs w:val="15"/>
          <w:color w:val="auto"/>
        </w:rPr>
        <w:t>(as defined in Rule 12b-2 of the Exchange Act)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April 28, 2023, was 110,002,427.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532765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0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PART I—FINANCIAL INFORMATION</w:t>
            </w: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06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spacing w:after="0"/>
              <w:rPr>
                <w:sz w:val="24"/>
                <w:szCs w:val="24"/>
                <w:color w:val="auto"/>
              </w:rPr>
            </w:pP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spacing w:after="0"/>
              <w:rPr>
                <w:sz w:val="24"/>
                <w:szCs w:val="24"/>
                <w:color w:val="auto"/>
              </w:rPr>
            </w:pP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spacing w:after="0"/>
              <w:rPr>
                <w:sz w:val="24"/>
                <w:szCs w:val="24"/>
                <w:color w:val="auto"/>
              </w:rPr>
            </w:pP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spacing w:after="0"/>
              <w:rPr>
                <w:sz w:val="24"/>
                <w:szCs w:val="24"/>
                <w:color w:val="auto"/>
              </w:rPr>
            </w:pP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spacing w:after="0"/>
              <w:rPr>
                <w:sz w:val="24"/>
                <w:szCs w:val="24"/>
                <w:color w:val="auto"/>
              </w:rPr>
            </w:pP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spacing w:after="0"/>
              <w:rPr>
                <w:sz w:val="24"/>
                <w:szCs w:val="24"/>
                <w:color w:val="auto"/>
              </w:rPr>
            </w:pP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8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7"/>
        </w:trPr>
        <w:tc>
          <w:tcPr>
            <w:tcW w:w="800" w:type="dxa"/>
            <w:vAlign w:val="bottom"/>
            <w:tcBorders>
              <w:bottom w:val="single" w:sz="8" w:color="9A9A9A"/>
            </w:tcBorders>
          </w:tcPr>
          <w:p>
            <w:pPr>
              <w:spacing w:after="0"/>
              <w:rPr>
                <w:sz w:val="24"/>
                <w:szCs w:val="24"/>
                <w:color w:val="auto"/>
              </w:rPr>
            </w:pPr>
          </w:p>
        </w:tc>
        <w:tc>
          <w:tcPr>
            <w:tcW w:w="9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 and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60" w:type="dxa"/>
            <w:vAlign w:val="bottom"/>
          </w:tcPr>
          <w:p>
            <w:pPr>
              <w:spacing w:after="0"/>
              <w:rPr>
                <w:sz w:val="13"/>
                <w:szCs w:val="13"/>
                <w:color w:val="auto"/>
              </w:rPr>
            </w:pPr>
          </w:p>
        </w:tc>
        <w:tc>
          <w:tcPr>
            <w:tcW w:w="11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w:t>
            </w:r>
          </w:p>
        </w:tc>
        <w:tc>
          <w:tcPr>
            <w:tcW w:w="0" w:type="dxa"/>
            <w:vAlign w:val="bottom"/>
          </w:tcPr>
          <w:p>
            <w:pPr>
              <w:spacing w:after="0"/>
              <w:rPr>
                <w:sz w:val="1"/>
                <w:szCs w:val="1"/>
                <w:color w:val="auto"/>
              </w:rPr>
            </w:pPr>
          </w:p>
        </w:tc>
      </w:tr>
      <w:tr>
        <w:trPr>
          <w:trHeight w:val="209"/>
        </w:trPr>
        <w:tc>
          <w:tcPr>
            <w:tcW w:w="8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$561 and $541, respectively</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25,259</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37,976</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7,978</w:t>
            </w:r>
          </w:p>
        </w:tc>
        <w:tc>
          <w:tcPr>
            <w:tcW w:w="0" w:type="dxa"/>
            <w:vAlign w:val="bottom"/>
          </w:tcPr>
          <w:p>
            <w:pPr>
              <w:spacing w:after="0"/>
              <w:rPr>
                <w:sz w:val="1"/>
                <w:szCs w:val="1"/>
                <w:color w:val="auto"/>
              </w:rPr>
            </w:pPr>
          </w:p>
        </w:tc>
      </w:tr>
      <w:tr>
        <w:trPr>
          <w:trHeight w:val="206"/>
        </w:trPr>
        <w:tc>
          <w:tcPr>
            <w:tcW w:w="8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78,356</w:t>
            </w:r>
          </w:p>
        </w:tc>
        <w:tc>
          <w:tcPr>
            <w:tcW w:w="0" w:type="dxa"/>
            <w:vAlign w:val="bottom"/>
          </w:tcPr>
          <w:p>
            <w:pPr>
              <w:spacing w:after="0"/>
              <w:rPr>
                <w:sz w:val="1"/>
                <w:szCs w:val="1"/>
                <w:color w:val="auto"/>
              </w:rPr>
            </w:pPr>
          </w:p>
        </w:tc>
      </w:tr>
      <w:tr>
        <w:trPr>
          <w:trHeight w:val="20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$26,688 and $26,049, respectively</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5,390</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assets, net of accumulated depreciation of $6,258 and $5,484, respectively</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0" w:type="dxa"/>
            <w:vAlign w:val="bottom"/>
          </w:tcPr>
          <w:p>
            <w:pPr>
              <w:spacing w:after="0"/>
              <w:rPr>
                <w:sz w:val="1"/>
                <w:szCs w:val="1"/>
                <w:color w:val="auto"/>
              </w:rPr>
            </w:pPr>
          </w:p>
        </w:tc>
      </w:tr>
      <w:tr>
        <w:trPr>
          <w:trHeight w:val="209"/>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 of $38,447 and $31,629, respectively</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41,383</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21,922</w:t>
            </w:r>
          </w:p>
        </w:tc>
        <w:tc>
          <w:tcPr>
            <w:tcW w:w="0" w:type="dxa"/>
            <w:vAlign w:val="bottom"/>
          </w:tcPr>
          <w:p>
            <w:pPr>
              <w:spacing w:after="0"/>
              <w:rPr>
                <w:sz w:val="1"/>
                <w:szCs w:val="1"/>
                <w:color w:val="auto"/>
              </w:rPr>
            </w:pPr>
          </w:p>
        </w:tc>
      </w:tr>
      <w:tr>
        <w:trPr>
          <w:trHeight w:val="209"/>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6,662</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06"/>
        </w:trPr>
        <w:tc>
          <w:tcPr>
            <w:tcW w:w="86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157,728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159,017</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29,018</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0" w:type="dxa"/>
            <w:vAlign w:val="bottom"/>
          </w:tcPr>
          <w:p>
            <w:pPr>
              <w:spacing w:after="0"/>
              <w:rPr>
                <w:sz w:val="1"/>
                <w:szCs w:val="1"/>
                <w:color w:val="auto"/>
              </w:rPr>
            </w:pPr>
          </w:p>
        </w:tc>
      </w:tr>
      <w:tr>
        <w:trPr>
          <w:trHeight w:val="206"/>
        </w:trPr>
        <w:tc>
          <w:tcPr>
            <w:tcW w:w="8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56,963</w:t>
            </w:r>
          </w:p>
        </w:tc>
        <w:tc>
          <w:tcPr>
            <w:tcW w:w="0" w:type="dxa"/>
            <w:vAlign w:val="bottom"/>
          </w:tcPr>
          <w:p>
            <w:pPr>
              <w:spacing w:after="0"/>
              <w:rPr>
                <w:sz w:val="1"/>
                <w:szCs w:val="1"/>
                <w:color w:val="auto"/>
              </w:rPr>
            </w:pPr>
          </w:p>
        </w:tc>
      </w:tr>
      <w:tr>
        <w:trPr>
          <w:trHeight w:val="189"/>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 Notes,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158,427</w:t>
            </w:r>
          </w:p>
        </w:tc>
        <w:tc>
          <w:tcPr>
            <w:tcW w:w="0" w:type="dxa"/>
            <w:vAlign w:val="bottom"/>
          </w:tcPr>
          <w:p>
            <w:pPr>
              <w:spacing w:after="0"/>
              <w:rPr>
                <w:sz w:val="1"/>
                <w:szCs w:val="1"/>
                <w:color w:val="auto"/>
              </w:rPr>
            </w:pPr>
          </w:p>
        </w:tc>
      </w:tr>
      <w:tr>
        <w:trPr>
          <w:trHeight w:val="209"/>
        </w:trPr>
        <w:tc>
          <w:tcPr>
            <w:tcW w:w="8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6,503</w:t>
            </w:r>
          </w:p>
        </w:tc>
        <w:tc>
          <w:tcPr>
            <w:tcW w:w="0" w:type="dxa"/>
            <w:vAlign w:val="bottom"/>
          </w:tcPr>
          <w:p>
            <w:pPr>
              <w:spacing w:after="0"/>
              <w:rPr>
                <w:sz w:val="1"/>
                <w:szCs w:val="1"/>
                <w:color w:val="auto"/>
              </w:rPr>
            </w:pPr>
          </w:p>
        </w:tc>
      </w:tr>
      <w:tr>
        <w:trPr>
          <w:trHeight w:val="206"/>
        </w:trPr>
        <w:tc>
          <w:tcPr>
            <w:tcW w:w="8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230,452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229,135</w:t>
            </w:r>
          </w:p>
        </w:tc>
        <w:tc>
          <w:tcPr>
            <w:tcW w:w="0" w:type="dxa"/>
            <w:vAlign w:val="bottom"/>
          </w:tcPr>
          <w:p>
            <w:pPr>
              <w:spacing w:after="0"/>
              <w:rPr>
                <w:sz w:val="1"/>
                <w:szCs w:val="1"/>
                <w:color w:val="auto"/>
              </w:rPr>
            </w:pPr>
          </w:p>
        </w:tc>
      </w:tr>
      <w:tr>
        <w:trPr>
          <w:trHeight w:val="189"/>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$0.001; 2,000,000 shares authorized: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640" w:type="dxa"/>
            <w:vAlign w:val="bottom"/>
            <w:shd w:val="clear" w:color="auto" w:fill="CCEEFF"/>
          </w:tcPr>
          <w:p>
            <w:pPr>
              <w:ind w:left="460"/>
              <w:spacing w:after="0" w:line="161" w:lineRule="exact"/>
              <w:rPr>
                <w:sz w:val="20"/>
                <w:szCs w:val="20"/>
                <w:color w:val="auto"/>
              </w:rPr>
            </w:pPr>
            <w:r>
              <w:rPr>
                <w:rFonts w:ascii="Times New Roman" w:cs="Times New Roman" w:eastAsia="Times New Roman" w:hAnsi="Times New Roman"/>
                <w:sz w:val="16"/>
                <w:szCs w:val="16"/>
                <w:color w:val="auto"/>
              </w:rPr>
              <w:t>Series E Preferred stock, par value $0.001; 39,500 shares designated, 25,000 shares issued and outstanding, liquidation</w:t>
            </w:r>
          </w:p>
        </w:tc>
        <w:tc>
          <w:tcPr>
            <w:tcW w:w="18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preference of $1,000 per share (plus any accrued but unpaid dividends)</w:t>
            </w: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6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Common stock, par value $0.001; 150,000,000 shares authorized, 109,371,693 and 108,468,150 shares issued and outstanding,</w:t>
            </w: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9"/>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793,855</w:t>
            </w:r>
          </w:p>
        </w:tc>
        <w:tc>
          <w:tcPr>
            <w:tcW w:w="0" w:type="dxa"/>
            <w:vAlign w:val="bottom"/>
          </w:tcPr>
          <w:p>
            <w:pPr>
              <w:spacing w:after="0"/>
              <w:rPr>
                <w:sz w:val="1"/>
                <w:szCs w:val="1"/>
                <w:color w:val="auto"/>
              </w:rPr>
            </w:pPr>
          </w:p>
        </w:tc>
      </w:tr>
      <w:tr>
        <w:trPr>
          <w:trHeight w:val="209"/>
        </w:trPr>
        <w:tc>
          <w:tcPr>
            <w:tcW w:w="8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(857,752)</w:t>
            </w:r>
          </w:p>
        </w:tc>
        <w:tc>
          <w:tcPr>
            <w:tcW w:w="0" w:type="dxa"/>
            <w:vAlign w:val="bottom"/>
          </w:tcPr>
          <w:p>
            <w:pPr>
              <w:spacing w:after="0"/>
              <w:rPr>
                <w:sz w:val="1"/>
                <w:szCs w:val="1"/>
                <w:color w:val="auto"/>
              </w:rPr>
            </w:pPr>
          </w:p>
        </w:tc>
      </w:tr>
      <w:tr>
        <w:trPr>
          <w:trHeight w:val="202"/>
        </w:trPr>
        <w:tc>
          <w:tcPr>
            <w:tcW w:w="8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(70,118)</w:t>
            </w:r>
          </w:p>
        </w:tc>
        <w:tc>
          <w:tcPr>
            <w:tcW w:w="0" w:type="dxa"/>
            <w:vAlign w:val="bottom"/>
          </w:tcPr>
          <w:p>
            <w:pPr>
              <w:spacing w:after="0"/>
              <w:rPr>
                <w:sz w:val="1"/>
                <w:szCs w:val="1"/>
                <w:color w:val="auto"/>
              </w:rPr>
            </w:pPr>
          </w:p>
        </w:tc>
      </w:tr>
      <w:tr>
        <w:trPr>
          <w:trHeight w:val="231"/>
        </w:trPr>
        <w:tc>
          <w:tcPr>
            <w:tcW w:w="8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546100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4"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IoT &amp; Mobile Solutions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54,505</w:t>
            </w:r>
          </w:p>
        </w:tc>
        <w:tc>
          <w:tcPr>
            <w:tcW w:w="0" w:type="dxa"/>
            <w:vAlign w:val="bottom"/>
          </w:tcPr>
          <w:p>
            <w:pPr>
              <w:spacing w:after="0"/>
              <w:rPr>
                <w:sz w:val="1"/>
                <w:szCs w:val="1"/>
                <w:color w:val="auto"/>
              </w:rPr>
            </w:pPr>
          </w:p>
        </w:tc>
      </w:tr>
      <w:tr>
        <w:trPr>
          <w:trHeight w:val="209"/>
        </w:trPr>
        <w:tc>
          <w:tcPr>
            <w:tcW w:w="8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net revenues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61,384</w:t>
            </w:r>
          </w:p>
        </w:tc>
        <w:tc>
          <w:tcPr>
            <w:tcW w:w="0" w:type="dxa"/>
            <w:vAlign w:val="bottom"/>
          </w:tcPr>
          <w:p>
            <w:pPr>
              <w:spacing w:after="0"/>
              <w:rPr>
                <w:sz w:val="1"/>
                <w:szCs w:val="1"/>
                <w:color w:val="auto"/>
              </w:rPr>
            </w:pPr>
          </w:p>
        </w:tc>
      </w:tr>
      <w:tr>
        <w:trPr>
          <w:trHeight w:val="189"/>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Cost of net revenues: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IoT &amp; Mobile Solutions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42,903</w:t>
            </w:r>
          </w:p>
        </w:tc>
        <w:tc>
          <w:tcPr>
            <w:tcW w:w="0" w:type="dxa"/>
            <w:vAlign w:val="bottom"/>
          </w:tcPr>
          <w:p>
            <w:pPr>
              <w:spacing w:after="0"/>
              <w:rPr>
                <w:sz w:val="1"/>
                <w:szCs w:val="1"/>
                <w:color w:val="auto"/>
              </w:rPr>
            </w:pPr>
          </w:p>
        </w:tc>
      </w:tr>
      <w:tr>
        <w:trPr>
          <w:trHeight w:val="209"/>
        </w:trPr>
        <w:tc>
          <w:tcPr>
            <w:tcW w:w="8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cost of net revenues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46,136</w:t>
            </w:r>
          </w:p>
        </w:tc>
        <w:tc>
          <w:tcPr>
            <w:tcW w:w="0" w:type="dxa"/>
            <w:vAlign w:val="bottom"/>
          </w:tcPr>
          <w:p>
            <w:pPr>
              <w:spacing w:after="0"/>
              <w:rPr>
                <w:sz w:val="1"/>
                <w:szCs w:val="1"/>
                <w:color w:val="auto"/>
              </w:rPr>
            </w:pPr>
          </w:p>
        </w:tc>
      </w:tr>
      <w:tr>
        <w:trPr>
          <w:trHeight w:val="202"/>
        </w:trPr>
        <w:tc>
          <w:tcPr>
            <w:tcW w:w="8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18,187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15,248</w:t>
            </w:r>
          </w:p>
        </w:tc>
        <w:tc>
          <w:tcPr>
            <w:tcW w:w="0" w:type="dxa"/>
            <w:vAlign w:val="bottom"/>
          </w:tcPr>
          <w:p>
            <w:pPr>
              <w:spacing w:after="0"/>
              <w:rPr>
                <w:sz w:val="1"/>
                <w:szCs w:val="1"/>
                <w:color w:val="auto"/>
              </w:rPr>
            </w:pPr>
          </w:p>
        </w:tc>
      </w:tr>
      <w:tr>
        <w:trPr>
          <w:trHeight w:val="19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18,560</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0" w:type="dxa"/>
            <w:vAlign w:val="bottom"/>
          </w:tcPr>
          <w:p>
            <w:pPr>
              <w:spacing w:after="0"/>
              <w:rPr>
                <w:sz w:val="1"/>
                <w:szCs w:val="1"/>
                <w:color w:val="auto"/>
              </w:rPr>
            </w:pPr>
          </w:p>
        </w:tc>
      </w:tr>
      <w:tr>
        <w:trPr>
          <w:trHeight w:val="209"/>
        </w:trPr>
        <w:tc>
          <w:tcPr>
            <w:tcW w:w="8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8,238</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purchased intangible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09"/>
        </w:trPr>
        <w:tc>
          <w:tcPr>
            <w:tcW w:w="8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37,015</w:t>
            </w:r>
          </w:p>
        </w:tc>
        <w:tc>
          <w:tcPr>
            <w:tcW w:w="0" w:type="dxa"/>
            <w:vAlign w:val="bottom"/>
          </w:tcPr>
          <w:p>
            <w:pPr>
              <w:spacing w:after="0"/>
              <w:rPr>
                <w:sz w:val="1"/>
                <w:szCs w:val="1"/>
                <w:color w:val="auto"/>
              </w:rPr>
            </w:pPr>
          </w:p>
        </w:tc>
      </w:tr>
      <w:tr>
        <w:trPr>
          <w:trHeight w:val="202"/>
        </w:trPr>
        <w:tc>
          <w:tcPr>
            <w:tcW w:w="8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(21,767)</w:t>
            </w:r>
          </w:p>
        </w:tc>
        <w:tc>
          <w:tcPr>
            <w:tcW w:w="0" w:type="dxa"/>
            <w:vAlign w:val="bottom"/>
          </w:tcPr>
          <w:p>
            <w:pPr>
              <w:spacing w:after="0"/>
              <w:rPr>
                <w:sz w:val="1"/>
                <w:szCs w:val="1"/>
                <w:color w:val="auto"/>
              </w:rPr>
            </w:pPr>
          </w:p>
        </w:tc>
      </w:tr>
      <w:tr>
        <w:trPr>
          <w:trHeight w:val="19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debt conversion and extinguishment, net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0" w:type="dxa"/>
            <w:vAlign w:val="bottom"/>
          </w:tcPr>
          <w:p>
            <w:pPr>
              <w:spacing w:after="0"/>
              <w:rPr>
                <w:sz w:val="1"/>
                <w:szCs w:val="1"/>
                <w:color w:val="auto"/>
              </w:rPr>
            </w:pPr>
          </w:p>
        </w:tc>
      </w:tr>
      <w:tr>
        <w:trPr>
          <w:trHeight w:val="209"/>
        </w:trPr>
        <w:tc>
          <w:tcPr>
            <w:tcW w:w="8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expense</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0" w:type="dxa"/>
            <w:vAlign w:val="bottom"/>
          </w:tcPr>
          <w:p>
            <w:pPr>
              <w:spacing w:after="0"/>
              <w:rPr>
                <w:sz w:val="1"/>
                <w:szCs w:val="1"/>
                <w:color w:val="auto"/>
              </w:rPr>
            </w:pPr>
          </w:p>
        </w:tc>
      </w:tr>
      <w:tr>
        <w:trPr>
          <w:trHeight w:val="202"/>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(25,545)</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2"/>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(25,223)</w:t>
            </w:r>
          </w:p>
        </w:tc>
        <w:tc>
          <w:tcPr>
            <w:tcW w:w="0" w:type="dxa"/>
            <w:vAlign w:val="bottom"/>
          </w:tcPr>
          <w:p>
            <w:pPr>
              <w:spacing w:after="0"/>
              <w:rPr>
                <w:sz w:val="1"/>
                <w:szCs w:val="1"/>
                <w:color w:val="auto"/>
              </w:rPr>
            </w:pPr>
          </w:p>
        </w:tc>
      </w:tr>
      <w:tr>
        <w:trPr>
          <w:trHeight w:val="211"/>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E preferred stock dividends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(25,884)</w:t>
            </w:r>
          </w:p>
        </w:tc>
        <w:tc>
          <w:tcPr>
            <w:tcW w:w="0" w:type="dxa"/>
            <w:vAlign w:val="bottom"/>
          </w:tcPr>
          <w:p>
            <w:pPr>
              <w:spacing w:after="0"/>
              <w:rPr>
                <w:sz w:val="1"/>
                <w:szCs w:val="1"/>
                <w:color w:val="auto"/>
              </w:rPr>
            </w:pP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Per share data:</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common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spacing w:after="0" w:line="171" w:lineRule="exact"/>
              <w:rPr>
                <w:sz w:val="20"/>
                <w:szCs w:val="20"/>
                <w:color w:val="auto"/>
              </w:rPr>
            </w:pPr>
            <w:r>
              <w:rPr>
                <w:rFonts w:ascii="Times New Roman" w:cs="Times New Roman" w:eastAsia="Times New Roman" w:hAnsi="Times New Roman"/>
                <w:sz w:val="16"/>
                <w:szCs w:val="16"/>
                <w:color w:val="auto"/>
              </w:rPr>
              <w:t>Weighted-average shares used in computation of net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82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108,601,894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105,649,419</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10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1"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(25,223)</w:t>
            </w:r>
          </w:p>
        </w:tc>
      </w:tr>
      <w:tr>
        <w:trPr>
          <w:trHeight w:val="21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r>
      <w:tr>
        <w:trPr>
          <w:trHeight w:val="204"/>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(22,325)</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87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940" w:type="dxa"/>
            <w:vAlign w:val="bottom"/>
            <w:vMerge w:val="restart"/>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4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00" w:type="dxa"/>
            <w:vAlign w:val="bottom"/>
            <w:vMerge w:val="restart"/>
          </w:tcPr>
          <w:p>
            <w:pPr>
              <w:spacing w:after="0"/>
              <w:rPr>
                <w:sz w:val="10"/>
                <w:szCs w:val="10"/>
                <w:color w:val="auto"/>
              </w:rPr>
            </w:pPr>
          </w:p>
        </w:tc>
        <w:tc>
          <w:tcPr>
            <w:tcW w:w="1480" w:type="dxa"/>
            <w:vAlign w:val="bottom"/>
            <w:gridSpan w:val="4"/>
            <w:vMerge w:val="restart"/>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780" w:type="dxa"/>
            <w:vAlign w:val="bottom"/>
          </w:tcPr>
          <w:p>
            <w:pPr>
              <w:spacing w:after="0"/>
              <w:rPr>
                <w:sz w:val="8"/>
                <w:szCs w:val="8"/>
                <w:color w:val="auto"/>
              </w:rPr>
            </w:pPr>
          </w:p>
        </w:tc>
        <w:tc>
          <w:tcPr>
            <w:tcW w:w="142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8"/>
                <w:szCs w:val="8"/>
                <w:color w:val="auto"/>
              </w:rPr>
            </w:pPr>
          </w:p>
        </w:tc>
        <w:tc>
          <w:tcPr>
            <w:tcW w:w="98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11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8"/>
                <w:szCs w:val="8"/>
                <w:color w:val="auto"/>
              </w:rPr>
            </w:pPr>
          </w:p>
        </w:tc>
        <w:tc>
          <w:tcPr>
            <w:tcW w:w="940" w:type="dxa"/>
            <w:vAlign w:val="bottom"/>
          </w:tcPr>
          <w:p>
            <w:pPr>
              <w:jc w:val="center"/>
              <w:ind w:right="31"/>
              <w:spacing w:after="0" w:line="9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 xml:space="preserve">Deficit </w:t>
            </w:r>
            <w:r>
              <w:rPr>
                <w:rFonts w:ascii="Times New Roman" w:cs="Times New Roman" w:eastAsia="Times New Roman" w:hAnsi="Times New Roman"/>
                <w:sz w:val="15"/>
                <w:szCs w:val="15"/>
                <w:b w:val="1"/>
                <w:bCs w:val="1"/>
                <w:color w:val="auto"/>
                <w:vertAlign w:val="superscript"/>
              </w:rPr>
              <w:t>1</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 xml:space="preserve">Income (Loss) </w:t>
            </w:r>
            <w:r>
              <w:rPr>
                <w:rFonts w:ascii="Times New Roman" w:cs="Times New Roman" w:eastAsia="Times New Roman" w:hAnsi="Times New Roman"/>
                <w:sz w:val="15"/>
                <w:szCs w:val="15"/>
                <w:b w:val="1"/>
                <w:bCs w:val="1"/>
                <w:color w:val="auto"/>
                <w:vertAlign w:val="superscript"/>
              </w:rPr>
              <w:t>1</w:t>
            </w:r>
          </w:p>
        </w:tc>
        <w:tc>
          <w:tcPr>
            <w:tcW w:w="100" w:type="dxa"/>
            <w:vAlign w:val="bottom"/>
          </w:tcPr>
          <w:p>
            <w:pPr>
              <w:spacing w:after="0"/>
              <w:rPr>
                <w:sz w:val="16"/>
                <w:szCs w:val="16"/>
                <w:color w:val="auto"/>
              </w:rPr>
            </w:pPr>
          </w:p>
        </w:tc>
        <w:tc>
          <w:tcPr>
            <w:tcW w:w="940" w:type="dxa"/>
            <w:vAlign w:val="bottom"/>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105,381</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770,619</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(787,047)</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(24,854)</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(25,223)</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relating to extinguishment of 2022 Notes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0" w:type="dxa"/>
            <w:vAlign w:val="bottom"/>
          </w:tcPr>
          <w:p>
            <w:pPr>
              <w:spacing w:after="0"/>
              <w:rPr>
                <w:sz w:val="1"/>
                <w:szCs w:val="1"/>
                <w:color w:val="auto"/>
              </w:rPr>
            </w:pPr>
          </w:p>
        </w:tc>
      </w:tr>
      <w:tr>
        <w:trPr>
          <w:trHeight w:val="132"/>
        </w:trPr>
        <w:tc>
          <w:tcPr>
            <w:tcW w:w="378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Exercise of stock options, vesting of restricted stock units and</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issued under employee stock purchase plan</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withheld on net settled vesting of restricted stock units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11,199</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E preferred stock dividends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107,389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784,267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(812,931)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(34,190)</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108,468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793,855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(857,752)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(70,118)</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39"/>
        </w:trPr>
        <w:tc>
          <w:tcPr>
            <w:tcW w:w="37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stock options, vesting of restricted stock units and</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issued under employee stock purchase plan</w:t>
            </w: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withheld on net settled vesting of restricted stock units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39"/>
        </w:trPr>
        <w:tc>
          <w:tcPr>
            <w:tcW w:w="37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shares in connection with a public offering,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issuance costs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E preferred stock dividends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109,372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796,981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(863,578)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(72,724)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80" w:hanging="74"/>
        <w:spacing w:after="0"/>
        <w:tabs>
          <w:tab w:leader="none" w:pos="8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Rounding may impact summation of amounts.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2"/>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76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(5,104)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(25,223)</w:t>
            </w:r>
          </w:p>
        </w:tc>
      </w:tr>
      <w:tr>
        <w:trPr>
          <w:trHeight w:val="195"/>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(used in) operating activities:</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8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5,430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7,243</w:t>
            </w:r>
          </w:p>
        </w:tc>
      </w:tr>
      <w:tr>
        <w:trPr>
          <w:trHeight w:val="195"/>
        </w:trPr>
        <w:tc>
          <w:tcPr>
            <w:tcW w:w="86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Provision for bad debts</w:t>
            </w:r>
          </w:p>
        </w:tc>
        <w:tc>
          <w:tcPr>
            <w:tcW w:w="760" w:type="dxa"/>
            <w:vAlign w:val="bottom"/>
          </w:tcPr>
          <w:p>
            <w:pPr>
              <w:spacing w:after="0"/>
              <w:rPr>
                <w:sz w:val="17"/>
                <w:szCs w:val="17"/>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0"/>
        </w:trPr>
        <w:tc>
          <w:tcPr>
            <w:tcW w:w="8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5"/>
        </w:trPr>
        <w:tc>
          <w:tcPr>
            <w:tcW w:w="86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760" w:type="dxa"/>
            <w:vAlign w:val="bottom"/>
          </w:tcPr>
          <w:p>
            <w:pPr>
              <w:spacing w:after="0"/>
              <w:rPr>
                <w:sz w:val="17"/>
                <w:szCs w:val="17"/>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r>
      <w:tr>
        <w:trPr>
          <w:trHeight w:val="200"/>
        </w:trPr>
        <w:tc>
          <w:tcPr>
            <w:tcW w:w="8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11,199</w:t>
            </w:r>
          </w:p>
        </w:tc>
      </w:tr>
      <w:tr>
        <w:trPr>
          <w:trHeight w:val="195"/>
        </w:trPr>
        <w:tc>
          <w:tcPr>
            <w:tcW w:w="86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Amortization of debt discount and debt issuance costs</w:t>
            </w:r>
          </w:p>
        </w:tc>
        <w:tc>
          <w:tcPr>
            <w:tcW w:w="760" w:type="dxa"/>
            <w:vAlign w:val="bottom"/>
          </w:tcPr>
          <w:p>
            <w:pPr>
              <w:spacing w:after="0"/>
              <w:rPr>
                <w:sz w:val="17"/>
                <w:szCs w:val="17"/>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1,650</w:t>
            </w:r>
          </w:p>
        </w:tc>
      </w:tr>
      <w:tr>
        <w:trPr>
          <w:trHeight w:val="200"/>
        </w:trPr>
        <w:tc>
          <w:tcPr>
            <w:tcW w:w="8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Fair value adjustment on derivative instrument</w:t>
            </w:r>
          </w:p>
        </w:tc>
        <w:tc>
          <w:tcPr>
            <w:tcW w:w="7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w:t>
            </w:r>
          </w:p>
        </w:tc>
      </w:tr>
      <w:tr>
        <w:trPr>
          <w:trHeight w:val="195"/>
        </w:trPr>
        <w:tc>
          <w:tcPr>
            <w:tcW w:w="86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Loss on debt conversion and extinguishment, net</w:t>
            </w:r>
          </w:p>
        </w:tc>
        <w:tc>
          <w:tcPr>
            <w:tcW w:w="76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r>
      <w:tr>
        <w:trPr>
          <w:trHeight w:val="200"/>
        </w:trPr>
        <w:tc>
          <w:tcPr>
            <w:tcW w:w="8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Deferred income taxes</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r>
      <w:tr>
        <w:trPr>
          <w:trHeight w:val="195"/>
        </w:trPr>
        <w:tc>
          <w:tcPr>
            <w:tcW w:w="86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Right-of-use assets</w:t>
            </w:r>
          </w:p>
        </w:tc>
        <w:tc>
          <w:tcPr>
            <w:tcW w:w="760" w:type="dxa"/>
            <w:vAlign w:val="bottom"/>
          </w:tcPr>
          <w:p>
            <w:pPr>
              <w:spacing w:after="0"/>
              <w:rPr>
                <w:sz w:val="17"/>
                <w:szCs w:val="17"/>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w:t>
            </w:r>
          </w:p>
        </w:tc>
      </w:tr>
      <w:tr>
        <w:trPr>
          <w:trHeight w:val="200"/>
        </w:trPr>
        <w:tc>
          <w:tcPr>
            <w:tcW w:w="8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Changes in assets and liabilities, net of effects of divestiture:</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86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Accounts receivable</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(1,997)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5,477</w:t>
            </w:r>
          </w:p>
        </w:tc>
      </w:tr>
      <w:tr>
        <w:trPr>
          <w:trHeight w:val="200"/>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Inventories</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3,097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w:t>
            </w:r>
          </w:p>
        </w:tc>
      </w:tr>
      <w:tr>
        <w:trPr>
          <w:trHeight w:val="195"/>
        </w:trPr>
        <w:tc>
          <w:tcPr>
            <w:tcW w:w="86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(1,940)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2,701</w:t>
            </w:r>
          </w:p>
        </w:tc>
      </w:tr>
      <w:tr>
        <w:trPr>
          <w:trHeight w:val="200"/>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Accounts payable</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5,544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(10,400)</w:t>
            </w:r>
          </w:p>
        </w:tc>
      </w:tr>
      <w:tr>
        <w:trPr>
          <w:trHeight w:val="195"/>
        </w:trPr>
        <w:tc>
          <w:tcPr>
            <w:tcW w:w="868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Accrued expenses, income taxes, and other</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6,819</w:t>
            </w:r>
          </w:p>
        </w:tc>
      </w:tr>
      <w:tr>
        <w:trPr>
          <w:trHeight w:val="200"/>
        </w:trPr>
        <w:tc>
          <w:tcPr>
            <w:tcW w:w="8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7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r>
      <w:tr>
        <w:trPr>
          <w:trHeight w:val="189"/>
        </w:trPr>
        <w:tc>
          <w:tcPr>
            <w:tcW w:w="868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76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7,659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w:t>
            </w:r>
          </w:p>
        </w:tc>
      </w:tr>
      <w:tr>
        <w:trPr>
          <w:trHeight w:val="20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w:t>
            </w:r>
          </w:p>
        </w:tc>
      </w:tr>
      <w:tr>
        <w:trPr>
          <w:trHeight w:val="20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Additions to capitalized software development costs</w:t>
            </w:r>
          </w:p>
        </w:tc>
        <w:tc>
          <w:tcPr>
            <w:tcW w:w="7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(2,443)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(3,127)</w:t>
            </w:r>
          </w:p>
        </w:tc>
      </w:tr>
      <w:tr>
        <w:trPr>
          <w:trHeight w:val="189"/>
        </w:trPr>
        <w:tc>
          <w:tcPr>
            <w:tcW w:w="868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(2,504)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(3,890)</w:t>
            </w:r>
          </w:p>
        </w:tc>
      </w:tr>
      <w:tr>
        <w:trPr>
          <w:trHeight w:val="20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(repayment) borrowing of bank and overdraft facilities</w:t>
            </w:r>
          </w:p>
        </w:tc>
        <w:tc>
          <w:tcPr>
            <w:tcW w:w="76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20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Principal payments under finance lease obligations</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95"/>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a public offering, net of issuance costs</w:t>
            </w:r>
          </w:p>
        </w:tc>
        <w:tc>
          <w:tcPr>
            <w:tcW w:w="760" w:type="dxa"/>
            <w:vAlign w:val="bottom"/>
          </w:tcPr>
          <w:p>
            <w:pPr>
              <w:spacing w:after="0"/>
              <w:rPr>
                <w:sz w:val="17"/>
                <w:szCs w:val="17"/>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Principal payments on financed assets</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(1,007)</w:t>
            </w:r>
          </w:p>
        </w:tc>
      </w:tr>
      <w:tr>
        <w:trPr>
          <w:trHeight w:val="195"/>
        </w:trPr>
        <w:tc>
          <w:tcPr>
            <w:tcW w:w="86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Borrowings (repayments) on revolving credit facility</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(3,385)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Proceeds from stock option exercises and employee stock purchase plan, net of taxes paid on vested restricted stock units</w:t>
            </w:r>
          </w:p>
        </w:tc>
        <w:tc>
          <w:tcPr>
            <w:tcW w:w="7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189"/>
        </w:trPr>
        <w:tc>
          <w:tcPr>
            <w:tcW w:w="8680" w:type="dxa"/>
            <w:vAlign w:val="bottom"/>
          </w:tcPr>
          <w:p>
            <w:pPr>
              <w:ind w:left="8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(3,340)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(1,060)</w:t>
            </w:r>
          </w:p>
        </w:tc>
      </w:tr>
      <w:tr>
        <w:trPr>
          <w:trHeight w:val="20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rates on cash</w:t>
            </w:r>
          </w:p>
        </w:tc>
        <w:tc>
          <w:tcPr>
            <w:tcW w:w="7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w:t>
            </w:r>
          </w:p>
        </w:tc>
      </w:tr>
      <w:tr>
        <w:trPr>
          <w:trHeight w:val="189"/>
        </w:trPr>
        <w:tc>
          <w:tcPr>
            <w:tcW w:w="8680" w:type="dxa"/>
            <w:vAlign w:val="bottom"/>
          </w:tcPr>
          <w:p>
            <w:pPr>
              <w:ind w:left="110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76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(4,631)</w:t>
            </w:r>
          </w:p>
        </w:tc>
      </w:tr>
      <w:tr>
        <w:trPr>
          <w:trHeight w:val="19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7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7,143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49,812</w:t>
            </w:r>
          </w:p>
        </w:tc>
      </w:tr>
      <w:tr>
        <w:trPr>
          <w:trHeight w:val="193"/>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76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8,686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45,181</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4"/>
        </w:trPr>
        <w:tc>
          <w:tcPr>
            <w:tcW w:w="86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5"/>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paid during the year for:</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8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Interest</w:t>
            </w:r>
          </w:p>
        </w:tc>
        <w:tc>
          <w:tcPr>
            <w:tcW w:w="76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5"/>
        </w:trPr>
        <w:tc>
          <w:tcPr>
            <w:tcW w:w="86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Income taxes</w:t>
            </w:r>
          </w:p>
        </w:tc>
        <w:tc>
          <w:tcPr>
            <w:tcW w:w="760" w:type="dxa"/>
            <w:vAlign w:val="bottom"/>
          </w:tcPr>
          <w:p>
            <w:pPr>
              <w:jc w:val="right"/>
              <w:ind w:right="586"/>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0"/>
        </w:trPr>
        <w:tc>
          <w:tcPr>
            <w:tcW w:w="8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Supplemental disclosures of non-cash activities:</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8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Transfer of inventories to rental assets</w:t>
            </w:r>
          </w:p>
        </w:tc>
        <w:tc>
          <w:tcPr>
            <w:tcW w:w="76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w:t>
            </w:r>
          </w:p>
        </w:tc>
      </w:tr>
      <w:tr>
        <w:trPr>
          <w:trHeight w:val="195"/>
        </w:trPr>
        <w:tc>
          <w:tcPr>
            <w:tcW w:w="86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Capital expenditures financed through accounts payable or accrued liabilities</w:t>
            </w:r>
          </w:p>
        </w:tc>
        <w:tc>
          <w:tcPr>
            <w:tcW w:w="760" w:type="dxa"/>
            <w:vAlign w:val="bottom"/>
          </w:tcPr>
          <w:p>
            <w:pPr>
              <w:jc w:val="right"/>
              <w:ind w:right="586"/>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2,164</w:t>
            </w:r>
          </w:p>
        </w:tc>
        <w:tc>
          <w:tcPr>
            <w:tcW w:w="10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2,105</w:t>
            </w:r>
          </w:p>
        </w:tc>
      </w:tr>
      <w:tr>
        <w:trPr>
          <w:trHeight w:val="200"/>
        </w:trPr>
        <w:tc>
          <w:tcPr>
            <w:tcW w:w="8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Right-of-use assets obtained in exchange for operating leases liabilities</w:t>
            </w:r>
          </w:p>
        </w:tc>
        <w:tc>
          <w:tcPr>
            <w:tcW w:w="76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herein have been prepared by Inseego Corp. (the “Company”) pursuant to the rules and regulations of the Securities and Exchange Commission (the “SEC”). Certain information and note disclosures normally included in annual financial statements prepared in accordance with generally accepted accounting principles have been condensed or omitted pursuant to SEC rules and regulations, although the Company believes that the disclosures made are adequate to make the information not misleading. Accordingly, the condensed consolidated financial statements reflect all normal recurring adjustments, which are, in the opinion of management, necessary for a fair presentation of the results of interim periods and may not include all disclosures required by accounting principles generally accepted in the United States (“GAAP”). The information as of March 31, 2023, and for the three months ended March 31, 2023, and March 31, 2022, is unaudited, whereas the condensed consolidated balance sheet as of December 31, 2022, is derived from the Company’s audited consolidated financial statements as of that date. These condensed consolidated financial statements and notes hereto should be read in conjunction with the consolidated financial statements and notes thereto included in the Company’s latest shareholders’ annual report (“Form 10-K”).</w:t>
      </w:r>
    </w:p>
    <w:p>
      <w:pPr>
        <w:spacing w:after="0" w:line="132" w:lineRule="exact"/>
        <w:rPr>
          <w:sz w:val="20"/>
          <w:szCs w:val="20"/>
          <w:color w:val="auto"/>
        </w:rPr>
      </w:pPr>
    </w:p>
    <w:p>
      <w:pPr>
        <w:ind w:right="280" w:firstLine="396"/>
        <w:spacing w:after="0" w:line="249" w:lineRule="auto"/>
        <w:rPr>
          <w:sz w:val="20"/>
          <w:szCs w:val="20"/>
          <w:color w:val="auto"/>
        </w:rPr>
      </w:pPr>
      <w:r>
        <w:rPr>
          <w:rFonts w:ascii="Times New Roman" w:cs="Times New Roman" w:eastAsia="Times New Roman" w:hAnsi="Times New Roman"/>
          <w:sz w:val="18"/>
          <w:szCs w:val="18"/>
          <w:color w:val="auto"/>
        </w:rPr>
        <w:t>The accounting policies used in preparing these condensed consolidated financial statements are the same as those described in the Form 10-K. The results of operations for the interim periods presented are not necessarily indicative of results to be expected for any other interim period or for the year as a whole.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6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64"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The Company has one reportable segment. The Chief Executive Officer, who is also the Chief Operating Decision Maker, does not manage any part of the Company separately, and the allocation of resources and assessment of performance are based solely on the Company’s consolidated operations and financial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5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valuation of tangible and intangible long-lived assets, valuation of goodwill, valuation of derivatives, accruals relating to litigation, income taxes and share-based compensation expense.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151"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8"/>
          <w:szCs w:val="18"/>
          <w:color w:val="auto"/>
        </w:rPr>
        <w:t>We may be affected by various macroeconomic factors and the current and future conditions in the global financial markets. The global credit and financial markets have recently experienced extreme volatility and disruptions, including severely diminished liquidity and credit availability, declines in consumer confidence, declines in economic growth, rising interest rates, inflation, increases in unemployment rates and uncertainty about economic stability. The inflationary pressures impacting the global supply chain could potentially increase the cost of net revenues in the current and future years. The ongoing inflation challenges could adversely impact future revenues, gross margins and financial results.</w:t>
      </w:r>
    </w:p>
    <w:p>
      <w:pPr>
        <w:spacing w:after="0" w:line="14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 addition, the COVID-19 pandemic continues to impact worldwide economic activity. A pandemic, including COVID-19 or other public health epidemic, poses the risk that the Company or its employees, manufacturers, suppliers and other partners may be prevented from conducting business activities for an indefinite period of time, including due to spread of the disease within these groups or due to shutdowns that may be requested or mandated by governmental authorities. The COVID-19 pandemic and mitigation measures have also had an adverse impact on global economic conditions which could have an adverse effect on the Company’s business and financial condition. The extent to which the COVID-19 pandemic, or any other outbreak of an epidemic disease, impacts the Company’s results will depend on future developments that are highly uncertain and cannot be predicted, including new information that may emerge concerning the severity of the virus and the actions to contain its impact.</w:t>
      </w:r>
    </w:p>
    <w:p>
      <w:pPr>
        <w:spacing w:after="0" w:line="145" w:lineRule="exact"/>
        <w:rPr>
          <w:sz w:val="20"/>
          <w:szCs w:val="20"/>
          <w:color w:val="auto"/>
        </w:rPr>
      </w:pPr>
    </w:p>
    <w:p>
      <w:pPr>
        <w:ind w:right="500"/>
        <w:spacing w:after="0" w:line="254" w:lineRule="auto"/>
        <w:rPr>
          <w:sz w:val="20"/>
          <w:szCs w:val="20"/>
          <w:color w:val="auto"/>
        </w:rPr>
      </w:pPr>
      <w:r>
        <w:rPr>
          <w:rFonts w:ascii="Times New Roman" w:cs="Times New Roman" w:eastAsia="Times New Roman" w:hAnsi="Times New Roman"/>
          <w:sz w:val="18"/>
          <w:szCs w:val="18"/>
          <w:color w:val="auto"/>
        </w:rPr>
        <w:t>Furthermore, a global semiconductor supply shortage continues to have wide-ranging impacts across the technology industry. While the shortage has not materially impacted the Company’s operations and financial results, it may negatively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8"/>
          <w:szCs w:val="18"/>
          <w:color w:val="auto"/>
        </w:rPr>
        <w:t>impact the Company’s customers and the supply of materials needed for testing and production timeline. The Company’s suppliers, contract manufacturers, and customers are all taking actions to reduce the impact of the semiconductor shortage; however, if the shortage persists, the impact on operations and financial results could be material.</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inflationary pressures impacting the global supply chain could potentially increase our future cost of net revenues. The ongoing inflation challenges could adversely impact our future revenues, gross margins and financial results.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51"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 xml:space="preserve">As of March 31, 2023, the Company had available cash and cash equivalents totaling $8.7 million and $11.8 million of excess availability under its secured asset-backed revolving credit facility. See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more information on this credit facility.</w:t>
      </w:r>
    </w:p>
    <w:p>
      <w:pPr>
        <w:spacing w:after="0" w:line="116"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Company has a history of operating and net losses and overall usage of cash from operating and investing activities. The Company’s management believes that its cash and cash equivalents on-hand, together with anticipated cash flows from operations, availability under its secured asset-backed revolving credit facility, and anticipated savings from ongoing cost reduction efforts, will be sufficient to meet its cash flow needs for the next twelve months from the filing date of this report. To the extent that additional liquidity may be needed, the Company may issue up to $9 million in equivalent shares of the Company’s common stock available, pursuant to a shelf-registration statement filed with the SEC on May 7, 2020 and amended from time to time.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12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 xml:space="preserve">The Company’s liquidity could also be impaired by significant interruptions in its business operations, such as those described above under the heading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Uncertainties</w:t>
      </w:r>
      <w:r>
        <w:rPr>
          <w:rFonts w:ascii="Times New Roman" w:cs="Times New Roman" w:eastAsia="Times New Roman" w:hAnsi="Times New Roman"/>
          <w:sz w:val="18"/>
          <w:szCs w:val="18"/>
          <w:color w:val="auto"/>
        </w:rPr>
        <w:t>, or, a material failure to satisfy its contractual commitments or a failure to generate revenues from new or existing products.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can be no assurance that any required or desired restructuring or financing will be available on terms favorable to the Company, or at all.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4" w:lineRule="exact"/>
        <w:rPr>
          <w:sz w:val="20"/>
          <w:szCs w:val="20"/>
          <w:color w:val="auto"/>
        </w:rPr>
      </w:pPr>
    </w:p>
    <w:p>
      <w:pPr>
        <w:ind w:right="20" w:firstLine="396"/>
        <w:spacing w:after="0" w:line="237"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original maturities of three months or less. The Company’s cash and cash equivalents are generally held with large financial institutions worldwide to reduce the amount of exposure to credit risk. Cash and cash equivalents are recorded at market value, which approximates cost. Gains and losses associated with the Company’s foreign currency denominated demand deposits are recorded as a component of other income, net, in the consolidated statements of operations. There are no cash equivalents as of December 31, 2022 and as of March 31, 2023. Restricted cash held in escrow as of December 31, 2021 was released during the third quarter of 2022 and we no longer have any restricted cash on our balance sheet as of March 31, 2023. Restricted cash as of March 31, 2022 was $3.7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Debt with Conversion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Options (Subtopic 470-20) and Derivatives and Hedging-Contracts in Entity's Own Equity (Subtopic 815-40)-Accounting For Convertible Instruments</w:t>
      </w:r>
    </w:p>
    <w:p>
      <w:pPr>
        <w:spacing w:after="0" w:line="25"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i w:val="1"/>
          <w:iCs w:val="1"/>
          <w:color w:val="auto"/>
        </w:rPr>
        <w:t>and Contracts in an Entity's Own Equity</w:t>
      </w:r>
      <w:r>
        <w:rPr>
          <w:rFonts w:ascii="Times New Roman" w:cs="Times New Roman" w:eastAsia="Times New Roman" w:hAnsi="Times New Roman"/>
          <w:sz w:val="18"/>
          <w:szCs w:val="18"/>
          <w:color w:val="auto"/>
        </w:rPr>
        <w:t>. The ASU simplifies accounting for convertible instruments by removing major separation models required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guidance is effective for annual and interim periods beginning after December 15, 2021. The Company adopted the ASU in the first quarter of fiscal 2022 and there was no impact to the condensed consolidated financial statements.</w:t>
      </w:r>
    </w:p>
    <w:p>
      <w:pPr>
        <w:spacing w:after="0" w:line="141"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 xml:space="preserve">In May 2021, the FASB issued ASU 2021-04, </w:t>
      </w:r>
      <w:r>
        <w:rPr>
          <w:rFonts w:ascii="Times New Roman" w:cs="Times New Roman" w:eastAsia="Times New Roman" w:hAnsi="Times New Roman"/>
          <w:sz w:val="16"/>
          <w:szCs w:val="16"/>
          <w:i w:val="1"/>
          <w:iCs w:val="1"/>
          <w:color w:val="auto"/>
        </w:rPr>
        <w:t>Earnings Per Share (Topic 260), Debt-Modifications and Extinguishments (Subtopic 470-50), Compensation-Stock Compensation (Topic 718), and Derivatives and Hedging-Contracts in Entity’s Own Equity (Subtopic 815-40)</w:t>
      </w:r>
      <w:r>
        <w:rPr>
          <w:rFonts w:ascii="Times New Roman" w:cs="Times New Roman" w:eastAsia="Times New Roman" w:hAnsi="Times New Roman"/>
          <w:sz w:val="16"/>
          <w:szCs w:val="16"/>
          <w:color w:val="auto"/>
        </w:rPr>
        <w:t>. The ASU addresses issuer’s accounting</w:t>
      </w:r>
    </w:p>
    <w:p>
      <w:pPr>
        <w:spacing w:after="0" w:line="1"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color w:val="auto"/>
        </w:rPr>
        <w:t>for certain modifications or exchanges of freestanding equity-classified written call options. The ASU is effective for annual and interim periods beginning after December 15, 2021.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adopted the ASU in the first quarter of fiscal 2022 and there was no impact to the condensed consolidated financial statements.</w:t>
      </w:r>
    </w:p>
    <w:p>
      <w:pPr>
        <w:spacing w:after="0" w:line="14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 xml:space="preserve">In September 2022, the FASB issued ASU No. 2022-04, </w:t>
      </w:r>
      <w:r>
        <w:rPr>
          <w:rFonts w:ascii="Times New Roman" w:cs="Times New Roman" w:eastAsia="Times New Roman" w:hAnsi="Times New Roman"/>
          <w:sz w:val="18"/>
          <w:szCs w:val="18"/>
          <w:i w:val="1"/>
          <w:iCs w:val="1"/>
          <w:color w:val="auto"/>
        </w:rPr>
        <w:t>Liabilities—Supplier Finance Programs (Subtopic 405-50)</w:t>
      </w:r>
      <w:r>
        <w:rPr>
          <w:rFonts w:ascii="Times New Roman" w:cs="Times New Roman" w:eastAsia="Times New Roman" w:hAnsi="Times New Roman"/>
          <w:sz w:val="18"/>
          <w:szCs w:val="18"/>
          <w:color w:val="auto"/>
        </w:rPr>
        <w:t>. The ASU requires disclosure of the key terms of outstanding supplier finance programs and a rollforward of the related obligations. The ASU does not affect the recognition, measurement or financial statement presentation of supplier finance program obligations. The ASU is effective for annual and interim periods beginning after December 15, 2022, except for the rollforward requirement, which is effective for annual periods beginning after December 15, 2023. The Company adopted the ASU in the first quarter of 2023, and there was no impact to the consolidated financial statements.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31,153</w:t>
            </w:r>
          </w:p>
        </w:tc>
      </w:tr>
      <w:tr>
        <w:trPr>
          <w:trHeight w:val="21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6,823</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37,976</w:t>
            </w:r>
          </w:p>
        </w:tc>
      </w:tr>
      <w:tr>
        <w:trPr>
          <w:trHeight w:val="22"/>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March 31, 2023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3"/>
                <w:szCs w:val="13"/>
                <w:color w:val="auto"/>
              </w:rPr>
            </w:pP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Rebate receivables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0" w:type="dxa"/>
            <w:vAlign w:val="bottom"/>
          </w:tcPr>
          <w:p>
            <w:pPr>
              <w:spacing w:after="0"/>
              <w:rPr>
                <w:sz w:val="1"/>
                <w:szCs w:val="1"/>
                <w:color w:val="auto"/>
              </w:rPr>
            </w:pPr>
          </w:p>
        </w:tc>
      </w:tr>
      <w:tr>
        <w:trPr>
          <w:trHeight w:val="21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contract manufacturers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0" w:type="dxa"/>
            <w:vAlign w:val="bottom"/>
          </w:tcPr>
          <w:p>
            <w:pPr>
              <w:spacing w:after="0"/>
              <w:rPr>
                <w:sz w:val="1"/>
                <w:szCs w:val="1"/>
                <w:color w:val="auto"/>
              </w:rPr>
            </w:pPr>
          </w:p>
        </w:tc>
      </w:tr>
      <w:tr>
        <w:trPr>
          <w:trHeight w:val="209"/>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0" w:type="dxa"/>
            <w:vAlign w:val="bottom"/>
          </w:tcPr>
          <w:p>
            <w:pPr>
              <w:spacing w:after="0"/>
              <w:rPr>
                <w:sz w:val="1"/>
                <w:szCs w:val="1"/>
                <w:color w:val="auto"/>
              </w:rPr>
            </w:pPr>
          </w:p>
        </w:tc>
      </w:tr>
      <w:tr>
        <w:trPr>
          <w:trHeight w:val="21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9"/>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1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Financed assets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231"/>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prepaid expenses and other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7,978</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Rounding may impact summation of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r>
      <w:tr>
        <w:trPr>
          <w:trHeight w:val="21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8,873</w:t>
            </w:r>
          </w:p>
        </w:tc>
      </w:tr>
      <w:tr>
        <w:trPr>
          <w:trHeight w:val="209"/>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Warranty obligations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09"/>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1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w:t>
            </w:r>
          </w:p>
        </w:tc>
      </w:tr>
      <w:tr>
        <w:trPr>
          <w:trHeight w:val="209"/>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advances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w:t>
            </w:r>
          </w:p>
        </w:tc>
      </w:tr>
      <w:tr>
        <w:trPr>
          <w:trHeight w:val="21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r>
      <w:tr>
        <w:trPr>
          <w:trHeight w:val="211"/>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contract manufacturing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w:t>
            </w:r>
          </w:p>
        </w:tc>
      </w:tr>
      <w:tr>
        <w:trPr>
          <w:trHeight w:val="21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related to financed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Value added tax payables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w:t>
            </w:r>
          </w:p>
        </w:tc>
      </w:tr>
      <w:tr>
        <w:trPr>
          <w:trHeight w:val="202"/>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27,945</w:t>
            </w:r>
          </w:p>
        </w:tc>
      </w:tr>
      <w:tr>
        <w:trPr>
          <w:trHeight w:val="22"/>
        </w:trPr>
        <w:tc>
          <w:tcPr>
            <w:tcW w:w="8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 of Assets and Liabilities</w:t>
      </w:r>
    </w:p>
    <w:p>
      <w:pPr>
        <w:spacing w:after="0" w:line="164" w:lineRule="exact"/>
        <w:rPr>
          <w:sz w:val="20"/>
          <w:szCs w:val="20"/>
          <w:color w:val="auto"/>
        </w:rPr>
      </w:pPr>
    </w:p>
    <w:p>
      <w:pPr>
        <w:ind w:right="40" w:firstLine="396"/>
        <w:spacing w:after="0" w:line="249"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Fair value is a market-based measurement that is determined based on assumptions that market participants would use in pricing an asset or liability. Each fair value measurement is classified into one of the following levels based on the information used in the valuation:</w:t>
      </w:r>
    </w:p>
    <w:p>
      <w:pPr>
        <w:spacing w:after="0" w:line="119"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6"/>
          <w:szCs w:val="16"/>
          <w:color w:val="auto"/>
        </w:rPr>
        <w:t>Observable inputs such as quoted prices in active markets.</w:t>
      </w:r>
    </w:p>
    <w:p>
      <w:pPr>
        <w:spacing w:after="0" w:line="149"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6"/>
          <w:szCs w:val="16"/>
          <w:color w:val="auto"/>
        </w:rPr>
        <w:t>Inputs, other than quoted prices in active markets, that are observable either directly or indirectly.</w:t>
      </w:r>
    </w:p>
    <w:p>
      <w:pPr>
        <w:spacing w:after="0" w:line="162" w:lineRule="exact"/>
        <w:rPr>
          <w:sz w:val="20"/>
          <w:szCs w:val="20"/>
          <w:color w:val="auto"/>
        </w:rPr>
      </w:pPr>
    </w:p>
    <w:p>
      <w:pPr>
        <w:ind w:left="1040" w:right="240" w:hanging="632"/>
        <w:spacing w:after="0" w:line="254" w:lineRule="auto"/>
        <w:tabs>
          <w:tab w:leader="none" w:pos="102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The fair market value for level 3 securities may be highly sensitive to the use of unobservable inputs and subjective assumptions. Generally, changes in significant unobservable inputs may result in significantly lower or higher fair value measurements.</w:t>
      </w:r>
    </w:p>
    <w:p>
      <w:pPr>
        <w:spacing w:after="0" w:line="105" w:lineRule="exact"/>
        <w:rPr>
          <w:sz w:val="20"/>
          <w:szCs w:val="20"/>
          <w:color w:val="auto"/>
        </w:rPr>
      </w:pPr>
    </w:p>
    <w:p>
      <w:pPr>
        <w:ind w:right="880" w:firstLine="396"/>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measured at fair value were $0 and less than $0.1 million as of March 31, 2023 and December 31, 2022 respectively.</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fair value of the interest make-whole payment derivative liability was determined using a Monte Carlo model using the following key assumptions: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7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640" w:type="dxa"/>
            <w:vAlign w:val="bottom"/>
            <w:vMerge w:val="continue"/>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2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price</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$0.58 per share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per share</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spread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56.52 %</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 years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years</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change in the fair value of the interest make-whole liability for the three months ended March 31, 2023. For the three months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2023 and 2022, the Company recorded $— and a $0.6 million gain, respectively as a result of the change in the fair value of the interest make-whole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80" w:firstLine="396"/>
        <w:spacing w:after="0" w:line="257"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 of its financial instruments measured at fair value each reporting period. Changes in the observability of valuation inputs may result in a reclassification of levels for certain securities within the fair value hierarchy. There have been no transfers of assets or liabilities between fair value measurement classifications during the three months ended March 31, 2023 or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53" w:lineRule="exact"/>
        <w:rPr>
          <w:sz w:val="20"/>
          <w:szCs w:val="20"/>
          <w:color w:val="auto"/>
        </w:rPr>
      </w:pPr>
    </w:p>
    <w:p>
      <w:pPr>
        <w:ind w:right="380" w:firstLine="396"/>
        <w:spacing w:after="0" w:line="249" w:lineRule="auto"/>
        <w:rPr>
          <w:sz w:val="20"/>
          <w:szCs w:val="20"/>
          <w:color w:val="auto"/>
        </w:rPr>
      </w:pPr>
      <w:r>
        <w:rPr>
          <w:rFonts w:ascii="Times New Roman" w:cs="Times New Roman" w:eastAsia="Times New Roman" w:hAnsi="Times New Roman"/>
          <w:sz w:val="18"/>
          <w:szCs w:val="18"/>
          <w:color w:val="auto"/>
        </w:rPr>
        <w:t>The carrying values of the Company’s other financial assets and liabilities approximate their fair values because of their short-term nature, with the exception of the 3.5% convertible senior notes due 2025 (the “2025 Notes”). The 2025 Notes are carried at amortized cost, adjusted for changes in the fair value of the embedded derivative.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Notes</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May 12, 2020, the Company completed its registered public offering of $100.0 million aggregate principal amount of 2025 Notes and issued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$80.4 million principal amount of 2025 Notes in the privately negotiated exchange agreements that closed concurrently with the registered offering in May</w:t>
      </w:r>
    </w:p>
    <w:p>
      <w:pPr>
        <w:spacing w:after="0" w:line="229" w:lineRule="auto"/>
        <w:rPr>
          <w:sz w:val="20"/>
          <w:szCs w:val="20"/>
          <w:color w:val="auto"/>
        </w:rPr>
      </w:pPr>
      <w:r>
        <w:rPr>
          <w:rFonts w:ascii="Times New Roman" w:cs="Times New Roman" w:eastAsia="Times New Roman" w:hAnsi="Times New Roman"/>
          <w:sz w:val="18"/>
          <w:szCs w:val="18"/>
          <w:color w:val="auto"/>
        </w:rPr>
        <w:t>2020. During the year ended 2021, certain holders of the 2025 Notes converted an aggregate of approximately $5.0 million in principal amount of the 2025</w:t>
      </w:r>
    </w:p>
    <w:p>
      <w:pPr>
        <w:spacing w:after="0"/>
        <w:rPr>
          <w:sz w:val="20"/>
          <w:szCs w:val="20"/>
          <w:color w:val="auto"/>
        </w:rPr>
      </w:pPr>
      <w:r>
        <w:rPr>
          <w:rFonts w:ascii="Times New Roman" w:cs="Times New Roman" w:eastAsia="Times New Roman" w:hAnsi="Times New Roman"/>
          <w:sz w:val="18"/>
          <w:szCs w:val="18"/>
          <w:color w:val="auto"/>
        </w:rPr>
        <w:t>Notes into 428,669 shares of the Company’s common stock, including 32,221 shares of common stock issued in satisfaction of the interest make-whole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 The 2025 Notes are senior unsecured obligations of the Company and bear interest at an annual rate of 3.25%, payable semi-annually in arrears 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and November 1 of each year.</w:t>
      </w:r>
    </w:p>
    <w:p>
      <w:pPr>
        <w:spacing w:after="0" w:line="129"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As of March 31, 2023 and December 31, 2022, $161.9 million in principal amount of the 2025 Notes were outstanding, $80.4 million of which were held by related parties. As of March 31, 2023 and December 31, 2022, accrued interest due of $1.3 million and $0.9 million, respectively, was included within accrued expenses and other current liabilities on the condensed consolidated balance sheets. Assuming no repurchases or conversions of the 2025 Notes prior to May 1, 2025, the entire principal balance of $161.9 million is due on May 1,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Notes consist of the following (in thousands):</w:t>
      </w:r>
    </w:p>
    <w:tbl>
      <w:tblPr>
        <w:tblLayout w:type="fixed"/>
        <w:tblInd w:w="0" w:type="dxa"/>
        <w:tblCellMar>
          <w:top w:w="0" w:type="dxa"/>
          <w:left w:w="0" w:type="dxa"/>
          <w:bottom w:w="0" w:type="dxa"/>
          <w:right w:w="0" w:type="dxa"/>
        </w:tblCellMar>
      </w:tblPr>
      <w:tr>
        <w:trPr>
          <w:trHeight w:val="154"/>
        </w:trPr>
        <w:tc>
          <w:tcPr>
            <w:tcW w:w="8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40" w:type="dxa"/>
            <w:vAlign w:val="bottom"/>
          </w:tcPr>
          <w:p>
            <w:pPr>
              <w:jc w:val="right"/>
              <w:ind w:right="103"/>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161,898</w:t>
            </w:r>
          </w:p>
        </w:tc>
      </w:tr>
      <w:tr>
        <w:trPr>
          <w:trHeight w:val="21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fair value of embedded derivative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r>
      <w:tr>
        <w:trPr>
          <w:trHeight w:val="21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r>
      <w:tr>
        <w:trPr>
          <w:trHeight w:val="206"/>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158,799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158,427</w:t>
            </w:r>
          </w:p>
        </w:tc>
      </w:tr>
      <w:tr>
        <w:trPr>
          <w:trHeight w:val="20"/>
        </w:trPr>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interest rate on the liability component of the 2025 Notes was 4.23% for both the three months ended March 31, 2023 and 2022,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2025 Notes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560" w:type="dxa"/>
            <w:vAlign w:val="bottom"/>
          </w:tcPr>
          <w:p>
            <w:pPr>
              <w:spacing w:after="0"/>
              <w:rPr>
                <w:sz w:val="16"/>
                <w:szCs w:val="16"/>
                <w:color w:val="auto"/>
              </w:rPr>
            </w:pPr>
          </w:p>
        </w:tc>
        <w:tc>
          <w:tcPr>
            <w:tcW w:w="2620" w:type="dxa"/>
            <w:vAlign w:val="bottom"/>
            <w:gridSpan w:val="5"/>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5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800" w:type="dxa"/>
            <w:vAlign w:val="bottom"/>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1,315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80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09"/>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8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31"/>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80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1,687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Revolving Credit Facility</w:t>
      </w:r>
    </w:p>
    <w:p>
      <w:pPr>
        <w:spacing w:after="0" w:line="151" w:lineRule="exact"/>
        <w:rPr>
          <w:sz w:val="20"/>
          <w:szCs w:val="20"/>
          <w:color w:val="auto"/>
        </w:rPr>
      </w:pPr>
    </w:p>
    <w:p>
      <w:pPr>
        <w:ind w:right="200" w:firstLine="396"/>
        <w:spacing w:after="0" w:line="238" w:lineRule="auto"/>
        <w:rPr>
          <w:sz w:val="20"/>
          <w:szCs w:val="20"/>
          <w:color w:val="auto"/>
        </w:rPr>
      </w:pPr>
      <w:r>
        <w:rPr>
          <w:rFonts w:ascii="Times New Roman" w:cs="Times New Roman" w:eastAsia="Times New Roman" w:hAnsi="Times New Roman"/>
          <w:sz w:val="18"/>
          <w:szCs w:val="18"/>
          <w:color w:val="auto"/>
        </w:rPr>
        <w:t>On August 5, 2022, the Company entered into a Loan and Security Agreement (the “Credit Agreement”), by and among Siena Lending Group LLC, as lender (“Lender”), Inseego Wireless, Inc., a Delaware corporation (“Inseego Wireless”), and Inseego North America LLC, an Oregon limited liability company, as borrowers (together with Inseego Wireless, the “Borrowers”), and the Company, as guarantor (together with the Borrowers, the “Loan Parties”). The Credit Agreement establishes a secured asset-backed revolving credit facility which is comprised of a maximum $50 million revolving credit facility (“Credit Facility”), with a minimum draw of $4.5 million upon execution of the Credit Agreement. The Credit Facility matures on December 31, 2024. Availability under the Credit Facility is determined monthly by a borrowing base comprised of a percentage of eligible accounts receivable and eligible inventory of the Borrowers. Outstanding amounts exceeding the borrowing base must be repaid immediately. The Borrowers’ obligations under the Credit Agreement are guaranteed by the Company. The Loan Parties’ obligations under the Credit Agreement are secured by a continuing security interest in all property of each Loan Party, subject to certain Excluded Collateral (as defined in the Credit Agreement).</w:t>
      </w:r>
    </w:p>
    <w:p>
      <w:pPr>
        <w:spacing w:after="0" w:line="131" w:lineRule="exact"/>
        <w:rPr>
          <w:sz w:val="20"/>
          <w:szCs w:val="20"/>
          <w:color w:val="auto"/>
        </w:rPr>
      </w:pPr>
    </w:p>
    <w:p>
      <w:pPr>
        <w:ind w:firstLine="396"/>
        <w:spacing w:after="0"/>
        <w:rPr>
          <w:sz w:val="20"/>
          <w:szCs w:val="20"/>
          <w:color w:val="auto"/>
        </w:rPr>
      </w:pPr>
      <w:r>
        <w:rPr>
          <w:rFonts w:ascii="Times New Roman" w:cs="Times New Roman" w:eastAsia="Times New Roman" w:hAnsi="Times New Roman"/>
          <w:sz w:val="18"/>
          <w:szCs w:val="18"/>
          <w:color w:val="auto"/>
        </w:rPr>
        <w:t>Borrowings under the Credit Facility may take the form of base rate (“Base Rate”) loans or Secured Overnight Financing Rate (“SOFR”) loans. SOFR loans will bear interest at a rate per annum equal to Term SOFR (as defined in the Credit Agreement as the Term SOFR Reference Rate for a term of one month on the day) plus the Applicable Margin (as defined in the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Credit Agreement) plus 0.5% and (c) 3.50% per annum.</w:t>
      </w:r>
    </w:p>
    <w:p>
      <w:pPr>
        <w:spacing w:after="0" w:line="130" w:lineRule="exact"/>
        <w:rPr>
          <w:sz w:val="20"/>
          <w:szCs w:val="20"/>
          <w:color w:val="auto"/>
        </w:rPr>
      </w:pPr>
    </w:p>
    <w:p>
      <w:pPr>
        <w:jc w:val="both"/>
        <w:ind w:right="120" w:firstLine="396"/>
        <w:spacing w:after="0" w:line="283" w:lineRule="auto"/>
        <w:rPr>
          <w:sz w:val="20"/>
          <w:szCs w:val="20"/>
          <w:color w:val="auto"/>
        </w:rPr>
      </w:pPr>
      <w:r>
        <w:rPr>
          <w:rFonts w:ascii="Times New Roman" w:cs="Times New Roman" w:eastAsia="Times New Roman" w:hAnsi="Times New Roman"/>
          <w:sz w:val="16"/>
          <w:szCs w:val="16"/>
          <w:color w:val="auto"/>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w:t>
      </w:r>
    </w:p>
    <w:p>
      <w:pPr>
        <w:spacing w:after="0" w:line="95" w:lineRule="exact"/>
        <w:rPr>
          <w:sz w:val="20"/>
          <w:szCs w:val="20"/>
          <w:color w:val="auto"/>
        </w:rPr>
      </w:pPr>
    </w:p>
    <w:p>
      <w:pPr>
        <w:ind w:right="40" w:firstLine="396"/>
        <w:spacing w:after="0" w:line="264" w:lineRule="auto"/>
        <w:rPr>
          <w:sz w:val="20"/>
          <w:szCs w:val="20"/>
          <w:color w:val="auto"/>
        </w:rPr>
      </w:pPr>
      <w:r>
        <w:rPr>
          <w:rFonts w:ascii="Times New Roman" w:cs="Times New Roman" w:eastAsia="Times New Roman" w:hAnsi="Times New Roman"/>
          <w:sz w:val="16"/>
          <w:szCs w:val="16"/>
          <w:color w:val="auto"/>
        </w:rPr>
        <w:t>The Credit Agreement contains a financial covenant whereby the Loan Parties shall not permit the consolidated Liquidity (as defined in the Credit Agreement) to be less than $10 million at any time. The Credit Agreement also contains certain customary covenants, which include, but are not limited to, restrictions on indebtedness, liens, fundamental changes, restricted payments, asset sales, and investments, and places limits on various other payments. The Company determined that the term “Eligible Accounts”, as defined in the Credit Agreement would have excluded certain balances used in the determination of eligible collateral upon which the Company’s borrowing base is calculated and that exclusion would have resulted in a violation of the Liquidity Covenant as</w:t>
      </w:r>
    </w:p>
    <w:p>
      <w:pPr>
        <w:spacing w:after="0" w:line="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of December 31, 2022. Accordingly, to clarify this matter and others, the Loan Parties agreed to amend the Credit Agreement, (the “Amended Credit Agreement”) to modify and clarify the definitions of “Eligible Accounts”, “Permitted Indebtedness” and also “Eligible Inventory”. The Amendment was entered into on February 25, 2023 with an effective date of December 15, 2022. The Company was in compliance with the financial covenants of the Amended Credit Agreement as of March 31, 2023.</w:t>
      </w:r>
    </w:p>
    <w:p>
      <w:pPr>
        <w:spacing w:after="0" w:line="221" w:lineRule="exact"/>
        <w:rPr>
          <w:sz w:val="20"/>
          <w:szCs w:val="20"/>
          <w:color w:val="auto"/>
        </w:rPr>
      </w:pPr>
    </w:p>
    <w:p>
      <w:pPr>
        <w:ind w:right="160" w:firstLine="396"/>
        <w:spacing w:after="0" w:line="283" w:lineRule="auto"/>
        <w:rPr>
          <w:sz w:val="20"/>
          <w:szCs w:val="20"/>
          <w:color w:val="auto"/>
        </w:rPr>
      </w:pPr>
      <w:r>
        <w:rPr>
          <w:rFonts w:ascii="Times New Roman" w:cs="Times New Roman" w:eastAsia="Times New Roman" w:hAnsi="Times New Roman"/>
          <w:sz w:val="16"/>
          <w:szCs w:val="16"/>
          <w:color w:val="auto"/>
        </w:rPr>
        <w:t>Upon execution of the Credit Agreement, the Company paid $1.1 million of debt issuance costs, which will be amortized to interest expense throughout the term of the agreement. As of March 31, 2023, the Company had outstanding borrowings of $4.5 million, a gross borrowing base of $16.3 million and excess availability of $11.8 million. The Company’s policy is to classify outstanding borrowings as long-term so long as such borrowings are not expected to exceed the borrowing base over the 12 months subsequent to the balance sheet date, in which case, any excess borrowings would be classified as short-term.</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set forth the principal amount outstanding and interest expense for the periods (in thousands):</w:t>
      </w:r>
    </w:p>
    <w:p>
      <w:pPr>
        <w:spacing w:after="0" w:line="24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8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w:t>
            </w:r>
          </w:p>
        </w:tc>
      </w:tr>
      <w:tr>
        <w:trPr>
          <w:trHeight w:val="211"/>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06"/>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6,919</w:t>
            </w:r>
          </w:p>
        </w:tc>
      </w:tr>
      <w:tr>
        <w:trPr>
          <w:trHeight w:val="20"/>
        </w:trPr>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200" w:firstLine="396"/>
        <w:spacing w:after="0" w:line="254" w:lineRule="auto"/>
        <w:rPr>
          <w:sz w:val="20"/>
          <w:szCs w:val="20"/>
          <w:color w:val="auto"/>
        </w:rPr>
      </w:pPr>
      <w:r>
        <w:rPr>
          <w:rFonts w:ascii="Times New Roman" w:cs="Times New Roman" w:eastAsia="Times New Roman" w:hAnsi="Times New Roman"/>
          <w:sz w:val="18"/>
          <w:szCs w:val="18"/>
          <w:color w:val="auto"/>
        </w:rPr>
        <w:t>The effective interest rate of the Credit Facility was 21.1%, which includes 10.5% related to amortization of original issuance costs, for the three months ended March 31, 2023. The following table sets forth total interest expense recognized related to the Credit Facility (in thousands):</w:t>
      </w:r>
    </w:p>
    <w:p>
      <w:pPr>
        <w:spacing w:after="0" w:line="3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w:t>
      </w:r>
    </w:p>
    <w:tbl>
      <w:tblPr>
        <w:tblLayout w:type="fixed"/>
        <w:tblInd w:w="40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11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8"/>
        </w:trPr>
        <w:tc>
          <w:tcPr>
            <w:tcW w:w="97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16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r>
      <w:tr>
        <w:trPr>
          <w:trHeight w:val="20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160" w:type="dxa"/>
            <w:vAlign w:val="bottom"/>
            <w:tcBorders>
              <w:bottom w:val="single" w:sz="8" w:color="auto"/>
            </w:tcBorders>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r>
      <w:tr>
        <w:trPr>
          <w:trHeight w:val="231"/>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160" w:type="dxa"/>
            <w:vAlign w:val="bottom"/>
            <w:tcBorders>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8"/>
          <w:szCs w:val="18"/>
          <w:color w:val="auto"/>
        </w:rPr>
        <w:t>On May 2, 2023, (1) two related parties (the “Participants”) collectively purchased a $4.0 million last-out subordinated participation interest in the Credit Agreement (the “Participation Interest”) from the Lender, and (2) the Borrowers entered into an amendment to the Credit Agreement which increased the borrowing base under the Credit Facility by $4.0 million, increased the minimum draw to $8.5 million, and modified certain covenants. In connection with the purchase of the Participation Interest, we agreed to pay the Participants an aggregate exit fee ranging from 7.5% to 12.5% of the amount of the Participation Interest, payable upon the earlier to occur of (a) the maturity date of the Credit Facility, (b) termination of the Lender’s commitment to make revolving loans prior to the scheduled maturity date of the Credit Facility, and (c) the early redemption of the Participation Interest, as applicable. Further, the purchase of the Participation Interest granted an option for the Participants to purchase the subject revolving loan or to redeem its Participation Interest under certain circumstances. The Participants are each affiliates of beneficial holders of greater than five percent of our outstanding common stock.</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Share-based Compensation</w:t>
      </w:r>
    </w:p>
    <w:p>
      <w:pPr>
        <w:spacing w:after="0" w:line="16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During the three months ended March 31, 2023 and 2022 ,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a maximum of 9,574,995 shares of common stock may be issued upon the exercise of stock options, in the form of restricted stock, or in settlement of restricted stock units (“RSUs”) or other awards, including awards with alternative vesting schedules such as performance-based criteria.</w:t>
      </w:r>
    </w:p>
    <w:p>
      <w:pPr>
        <w:spacing w:after="0" w:line="13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8"/>
          <w:szCs w:val="18"/>
          <w:color w:val="auto"/>
        </w:rPr>
        <w:t>The following table presents total share-based compensation expense within each functional line item on the condensed consolidated statements of operations for the three months ended March 31, 2023 and 2022, (in thousands):</w:t>
      </w:r>
    </w:p>
    <w:p>
      <w:pPr>
        <w:spacing w:after="0" w:line="13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856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8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8560" w:type="dxa"/>
            <w:vAlign w:val="bottom"/>
            <w:vMerge w:val="continue"/>
          </w:tcPr>
          <w:p>
            <w:pPr>
              <w:spacing w:after="0"/>
              <w:rPr>
                <w:sz w:val="17"/>
                <w:szCs w:val="17"/>
                <w:color w:val="auto"/>
              </w:rPr>
            </w:pPr>
          </w:p>
        </w:tc>
        <w:tc>
          <w:tcPr>
            <w:tcW w:w="800" w:type="dxa"/>
            <w:vAlign w:val="bottom"/>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0" w:type="dxa"/>
            <w:vAlign w:val="bottom"/>
          </w:tcPr>
          <w:p>
            <w:pPr>
              <w:spacing w:after="0"/>
              <w:rPr>
                <w:sz w:val="1"/>
                <w:szCs w:val="1"/>
                <w:color w:val="auto"/>
              </w:rPr>
            </w:pP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80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0" w:type="dxa"/>
            <w:vAlign w:val="bottom"/>
          </w:tcPr>
          <w:p>
            <w:pPr>
              <w:spacing w:after="0"/>
              <w:rPr>
                <w:sz w:val="1"/>
                <w:szCs w:val="1"/>
                <w:color w:val="auto"/>
              </w:rPr>
            </w:pP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1,038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0" w:type="dxa"/>
            <w:vAlign w:val="bottom"/>
          </w:tcPr>
          <w:p>
            <w:pPr>
              <w:spacing w:after="0"/>
              <w:rPr>
                <w:sz w:val="1"/>
                <w:szCs w:val="1"/>
                <w:color w:val="auto"/>
              </w:rPr>
            </w:pPr>
          </w:p>
        </w:tc>
      </w:tr>
      <w:tr>
        <w:trPr>
          <w:trHeight w:val="202"/>
        </w:trPr>
        <w:tc>
          <w:tcPr>
            <w:tcW w:w="8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1,800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11,199</w:t>
            </w:r>
          </w:p>
        </w:tc>
        <w:tc>
          <w:tcPr>
            <w:tcW w:w="0" w:type="dxa"/>
            <w:vAlign w:val="bottom"/>
          </w:tcPr>
          <w:p>
            <w:pPr>
              <w:spacing w:after="0"/>
              <w:rPr>
                <w:sz w:val="1"/>
                <w:szCs w:val="1"/>
                <w:color w:val="auto"/>
              </w:rPr>
            </w:pPr>
          </w:p>
        </w:tc>
      </w:tr>
      <w:tr>
        <w:trPr>
          <w:trHeight w:val="22"/>
        </w:trPr>
        <w:tc>
          <w:tcPr>
            <w:tcW w:w="8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Compensation Committee of the Board of Directors determines eligibility, vesting schedules and exercise prices for stock options granted. The Company generally uses the Black-Scholes option pricing model to estimate the fair value of its stock options. For performance stock awards subject to market-based vesting conditions, fair values are determined using the Monte-Carlo simulation model. Stock options generally have a term of ten years and vest over a three-to four-year period.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three months ended March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8,132,959</w:t>
            </w:r>
          </w:p>
        </w:tc>
      </w:tr>
      <w:tr>
        <w:trPr>
          <w:trHeight w:val="213"/>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38,750</w:t>
            </w:r>
          </w:p>
        </w:tc>
      </w:tr>
      <w:tr>
        <w:trPr>
          <w:trHeight w:val="209"/>
        </w:trPr>
        <w:tc>
          <w:tcPr>
            <w:tcW w:w="10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(728,002)</w:t>
            </w:r>
          </w:p>
        </w:tc>
      </w:tr>
      <w:tr>
        <w:trPr>
          <w:trHeight w:val="205"/>
        </w:trPr>
        <w:tc>
          <w:tcPr>
            <w:tcW w:w="10100" w:type="dxa"/>
            <w:vAlign w:val="bottom"/>
            <w:tcBorders>
              <w:bottom w:val="single" w:sz="8" w:color="CCEEFF"/>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Outstanding — March 31, 2023</w:t>
            </w:r>
          </w:p>
        </w:tc>
        <w:tc>
          <w:tcPr>
            <w:tcW w:w="11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7,443,707</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 March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5,423,759</w:t>
            </w:r>
          </w:p>
        </w:tc>
      </w:tr>
      <w:tr>
        <w:trPr>
          <w:trHeight w:val="20"/>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At March 31, 2023, total unrecognized compensation expense related to stock options was $6.2 million, which is expected to be recognized over a weighted-average period of 2.52 years.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5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three months ended March 31,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1,178,370</w:t>
            </w:r>
          </w:p>
        </w:tc>
      </w:tr>
      <w:tr>
        <w:trPr>
          <w:trHeight w:val="213"/>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09"/>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(73,350)</w:t>
            </w:r>
          </w:p>
        </w:tc>
      </w:tr>
      <w:tr>
        <w:trPr>
          <w:trHeight w:val="211"/>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(67,809)</w:t>
            </w:r>
          </w:p>
        </w:tc>
      </w:tr>
      <w:tr>
        <w:trPr>
          <w:trHeight w:val="206"/>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March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1,044,711</w:t>
            </w:r>
          </w:p>
        </w:tc>
      </w:tr>
      <w:tr>
        <w:trPr>
          <w:trHeight w:val="20"/>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At March 31, 2023, total unrecognized compensation expense related to RSUs was $3.3 million, which is expected to be recognized over a weighted-average period of 2.11 years.</w:t>
      </w:r>
    </w:p>
    <w:p>
      <w:pPr>
        <w:spacing w:after="0" w:line="116"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18"/>
          <w:szCs w:val="18"/>
          <w:color w:val="auto"/>
        </w:rPr>
        <w:t>On April 28, 2023, the Company granted a total of approximately 2.2 million RSUs to certain employees to encourage retention and incentivize future performance (“Retention Awards”). All of the Retention Awards fully vest on November 1, 2023.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6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Basic earnings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2025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was as follows (in thousands, except share and per share data):</w:t>
      </w:r>
    </w:p>
    <w:p>
      <w:pPr>
        <w:spacing w:after="0" w:line="18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(25,884)</w:t>
            </w:r>
          </w:p>
        </w:tc>
      </w:tr>
      <w:tr>
        <w:trPr>
          <w:trHeight w:val="21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108,601,894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105,649,419</w:t>
            </w:r>
          </w:p>
        </w:tc>
      </w:tr>
      <w:tr>
        <w:trPr>
          <w:trHeight w:val="211"/>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following is a summary of outstanding anti-dilutive potential shares of common stock that have been excluded from diluted net loss per share attributable to common stockholders because their inclusion would have been anti-dilutive:</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Notes</w:t>
            </w:r>
          </w:p>
        </w:tc>
        <w:tc>
          <w:tcPr>
            <w:tcW w:w="12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14,090</w:t>
            </w:r>
          </w:p>
        </w:tc>
        <w:tc>
          <w:tcPr>
            <w:tcW w:w="80" w:type="dxa"/>
            <w:vAlign w:val="bottom"/>
          </w:tcPr>
          <w:p>
            <w:pPr>
              <w:spacing w:after="0"/>
              <w:rPr>
                <w:sz w:val="17"/>
                <w:szCs w:val="17"/>
                <w:color w:val="auto"/>
              </w:rPr>
            </w:pPr>
          </w:p>
        </w:tc>
        <w:tc>
          <w:tcPr>
            <w:tcW w:w="12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14,090</w:t>
            </w:r>
          </w:p>
        </w:tc>
      </w:tr>
      <w:tr>
        <w:trPr>
          <w:trHeight w:val="21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Non-qualified stock options</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7,956</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8,133</w:t>
            </w:r>
          </w:p>
        </w:tc>
      </w:tr>
      <w:tr>
        <w:trPr>
          <w:trHeight w:val="209"/>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1,139</w:t>
            </w:r>
          </w:p>
        </w:tc>
        <w:tc>
          <w:tcPr>
            <w:tcW w:w="8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1,178</w:t>
            </w:r>
          </w:p>
        </w:tc>
      </w:tr>
      <w:tr>
        <w:trPr>
          <w:trHeight w:val="21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2,200</w:t>
            </w:r>
          </w:p>
        </w:tc>
        <w:tc>
          <w:tcPr>
            <w:tcW w:w="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426</w:t>
            </w:r>
          </w:p>
        </w:tc>
      </w:tr>
      <w:tr>
        <w:trPr>
          <w:trHeight w:val="206"/>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25,385</w:t>
            </w:r>
          </w:p>
        </w:tc>
        <w:tc>
          <w:tcPr>
            <w:tcW w:w="80" w:type="dxa"/>
            <w:vAlign w:val="bottom"/>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23,827</w:t>
            </w:r>
          </w:p>
        </w:tc>
      </w:tr>
      <w:tr>
        <w:trPr>
          <w:trHeight w:val="20"/>
        </w:trPr>
        <w:tc>
          <w:tcPr>
            <w:tcW w:w="8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Public Offering</w:t>
      </w:r>
    </w:p>
    <w:p>
      <w:pPr>
        <w:spacing w:after="0" w:line="164" w:lineRule="exact"/>
        <w:rPr>
          <w:sz w:val="20"/>
          <w:szCs w:val="20"/>
          <w:color w:val="auto"/>
        </w:rPr>
      </w:pPr>
    </w:p>
    <w:p>
      <w:pPr>
        <w:ind w:right="100" w:firstLine="396"/>
        <w:spacing w:after="0" w:line="239" w:lineRule="auto"/>
        <w:rPr>
          <w:sz w:val="20"/>
          <w:szCs w:val="20"/>
          <w:color w:val="auto"/>
        </w:rPr>
      </w:pPr>
      <w:r>
        <w:rPr>
          <w:rFonts w:ascii="Times New Roman" w:cs="Times New Roman" w:eastAsia="Times New Roman" w:hAnsi="Times New Roman"/>
          <w:sz w:val="18"/>
          <w:szCs w:val="18"/>
          <w:color w:val="auto"/>
        </w:rPr>
        <w:t>In January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 an average price of $20.11 per share, for net proceeds of $29.4 million, after deducting underwriter fees and discounts, and other offering fees, pursuant to the ATM Offering. There were no ATM transactions in 2022. In March 2023, the Company’s Board of Directors (BOD) approved the issuance of up to the remaining $9.5 million worth of shares under this ATM Offering. During the quarter ended March 31, 2023 the Company sold 858,098 shares of common stock, at an average price of $0.62 per share, for net proceeds of $0.5 million, after deducting underwriter fees and discounts. As of March 31, 2023, there were approximately $9 million of shares remaining available for sale under this ATM Offering.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Geographic Information and Concentrations of Risk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details the Company’s net revenues by geographic region based on shipping destination (in thousands):</w:t>
      </w:r>
    </w:p>
    <w:p>
      <w:pPr>
        <w:spacing w:after="0" w:line="117"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52,642</w:t>
            </w:r>
          </w:p>
        </w:tc>
      </w:tr>
      <w:tr>
        <w:trPr>
          <w:trHeight w:val="213"/>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w:t>
            </w:r>
          </w:p>
        </w:tc>
      </w:tr>
      <w:tr>
        <w:trPr>
          <w:trHeight w:val="224"/>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Australia </w:t>
            </w:r>
            <w:r>
              <w:rPr>
                <w:rFonts w:ascii="Times New Roman" w:cs="Times New Roman" w:eastAsia="Times New Roman" w:hAnsi="Times New Roman"/>
                <w:sz w:val="10"/>
                <w:szCs w:val="10"/>
                <w:color w:val="auto"/>
              </w:rPr>
              <w:t>(a)</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r>
      <w:tr>
        <w:trPr>
          <w:trHeight w:val="20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r>
      <w:tr>
        <w:trPr>
          <w:trHeight w:val="206"/>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61,384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40" w:hanging="134"/>
        <w:spacing w:after="0"/>
        <w:tabs>
          <w:tab w:leader="none" w:pos="14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Prior period was reclassified to conform to current period presentation.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51" w:lineRule="exact"/>
        <w:rPr>
          <w:sz w:val="20"/>
          <w:szCs w:val="20"/>
          <w:color w:val="auto"/>
        </w:rPr>
      </w:pPr>
    </w:p>
    <w:p>
      <w:pPr>
        <w:ind w:right="280" w:firstLine="396"/>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2023, two customers accounted for 31.1% and 26.6% of net revenues, respectively. For the three months ended March 31, 2022, two customers accounted for 37.3% and 39.9%, respectively, of net revenues.</w:t>
      </w:r>
    </w:p>
    <w:p>
      <w:pPr>
        <w:spacing w:after="0" w:line="129" w:lineRule="exact"/>
        <w:rPr>
          <w:sz w:val="20"/>
          <w:szCs w:val="20"/>
          <w:color w:val="auto"/>
        </w:rPr>
      </w:pPr>
    </w:p>
    <w:p>
      <w:pPr>
        <w:ind w:right="140" w:firstLine="396"/>
        <w:spacing w:after="0" w:line="254" w:lineRule="auto"/>
        <w:rPr>
          <w:sz w:val="20"/>
          <w:szCs w:val="20"/>
          <w:color w:val="auto"/>
        </w:rPr>
      </w:pPr>
      <w:r>
        <w:rPr>
          <w:rFonts w:ascii="Times New Roman" w:cs="Times New Roman" w:eastAsia="Times New Roman" w:hAnsi="Times New Roman"/>
          <w:sz w:val="18"/>
          <w:szCs w:val="18"/>
          <w:color w:val="auto"/>
        </w:rPr>
        <w:t>As of March 31, 2023, three customers accounted for 42.4%, 16.0% and 14.6% of accounts receivable, net, respectively. As of December 31, 2022, two customers accounted for 37.4% and 21.9% of accounts receivable, net,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Purchase Obligations</w:t>
      </w:r>
    </w:p>
    <w:p>
      <w:pPr>
        <w:spacing w:after="0" w:line="15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Company typically enters into commitments with its contract manufacturers that require future purchases of goods or services in the three to four quarters following the balance sheet date. Such commitments are noncancellable (“noncancellable purchase obligations”). As of March 31, 2023, future payments under these noncancellable purchase obligations were approximately $53.4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64" w:lineRule="exact"/>
        <w:rPr>
          <w:sz w:val="20"/>
          <w:szCs w:val="20"/>
          <w:color w:val="auto"/>
        </w:rPr>
      </w:pPr>
    </w:p>
    <w:p>
      <w:pPr>
        <w:ind w:right="60" w:firstLine="396"/>
        <w:spacing w:after="0" w:line="242"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51"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right-of-use assets and lease liabilities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Balance Sheet Classification</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right-of-use assets, net</w:t>
            </w: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Right-of-use assets</w:t>
            </w: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6,122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6,662</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shd w:val="clear" w:color="auto" w:fill="CCEEFF"/>
          </w:tcPr>
          <w:p>
            <w:pPr>
              <w:spacing w:after="0"/>
              <w:rPr>
                <w:sz w:val="20"/>
                <w:szCs w:val="20"/>
                <w:color w:val="auto"/>
              </w:rPr>
            </w:pPr>
          </w:p>
        </w:tc>
        <w:tc>
          <w:tcPr>
            <w:tcW w:w="4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Accrued expenses and other current liabilities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1,759</w:t>
            </w: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4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5,149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5,903</w:t>
            </w:r>
          </w:p>
        </w:tc>
        <w:tc>
          <w:tcPr>
            <w:tcW w:w="0" w:type="dxa"/>
            <w:vAlign w:val="bottom"/>
          </w:tcPr>
          <w:p>
            <w:pPr>
              <w:spacing w:after="0"/>
              <w:rPr>
                <w:sz w:val="1"/>
                <w:szCs w:val="1"/>
                <w:color w:val="auto"/>
              </w:rPr>
            </w:pPr>
          </w:p>
        </w:tc>
      </w:tr>
      <w:tr>
        <w:trPr>
          <w:trHeight w:val="20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6,963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7,662</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shd w:val="clear" w:color="auto" w:fill="CCEEFF"/>
          </w:tcPr>
          <w:p>
            <w:pPr>
              <w:spacing w:after="0"/>
              <w:rPr>
                <w:sz w:val="20"/>
                <w:szCs w:val="20"/>
                <w:color w:val="auto"/>
              </w:rPr>
            </w:pPr>
          </w:p>
        </w:tc>
        <w:tc>
          <w:tcPr>
            <w:tcW w:w="4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402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4.0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402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rPr>
              <w:t>9.0 %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bl>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cost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0"/>
        </w:trPr>
        <w:tc>
          <w:tcPr>
            <w:tcW w:w="8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 included in operating costs and expenses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related to operating leases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right-of-use assets obtained in exchange for lease liabilities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payments under operating leases were as follows as of March 31, 2023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(remainder)</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09"/>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r>
      <w:tr>
        <w:trPr>
          <w:trHeight w:val="21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09"/>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r>
      <w:tr>
        <w:trPr>
          <w:trHeight w:val="21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24"/>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minimum operating lease payments</w:t>
            </w: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8,343</w:t>
            </w:r>
          </w:p>
        </w:tc>
      </w:tr>
      <w:tr>
        <w:trPr>
          <w:trHeight w:val="20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r>
      <w:tr>
        <w:trPr>
          <w:trHeight w:val="206"/>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Present value of net minimum operating lease payments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6,963</w:t>
            </w:r>
          </w:p>
        </w:tc>
      </w:tr>
      <w:tr>
        <w:trPr>
          <w:trHeight w:val="20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w:t>
            </w:r>
          </w:p>
        </w:tc>
      </w:tr>
      <w:tr>
        <w:trPr>
          <w:trHeight w:val="229"/>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 obligations</w:t>
            </w: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98" w:lineRule="exact"/>
        <w:rPr>
          <w:sz w:val="20"/>
          <w:szCs w:val="20"/>
          <w:color w:val="auto"/>
        </w:rPr>
      </w:pPr>
    </w:p>
    <w:p>
      <w:pPr>
        <w:ind w:right="120" w:firstLine="396"/>
        <w:spacing w:after="0" w:line="259" w:lineRule="auto"/>
        <w:rPr>
          <w:sz w:val="20"/>
          <w:szCs w:val="20"/>
          <w:color w:val="auto"/>
        </w:rPr>
      </w:pPr>
      <w:r>
        <w:rPr>
          <w:rFonts w:ascii="Times New Roman" w:cs="Times New Roman" w:eastAsia="Times New Roman" w:hAnsi="Times New Roman"/>
          <w:sz w:val="16"/>
          <w:szCs w:val="16"/>
          <w:color w:val="auto"/>
        </w:rPr>
        <w:t>The Company’s income tax provision (benefit) was $0.3 million and $(0.3) million for the three months ended March 31, 2023 and 2022, respectively. Income taxes for both periods consisted primarily of foreign income taxes at certain of the Company’s international entities and minimum state taxes for its U.S.-based entities. The Company’s income tax expense differs from the expected expense based on statutory rates primarily due to full valuation allowances at all of its U.S.-based entities and several of its foreign subsidiaries. The income tax provision (benefit) provision for the three months ended March 31, 2023 and 2022, were largely driven by unrealized foreign currency gains and losses, respectively, at the Company’s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51" w:lineRule="exact"/>
        <w:rPr>
          <w:sz w:val="20"/>
          <w:szCs w:val="20"/>
          <w:color w:val="auto"/>
        </w:rPr>
      </w:pPr>
    </w:p>
    <w:p>
      <w:pPr>
        <w:ind w:firstLine="396"/>
        <w:spacing w:after="0" w:line="272"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310" w:lineRule="exact"/>
        <w:rPr>
          <w:sz w:val="20"/>
          <w:szCs w:val="20"/>
          <w:color w:val="auto"/>
        </w:rPr>
      </w:pPr>
    </w:p>
    <w:p>
      <w:pPr>
        <w:ind w:left="640" w:right="440" w:hanging="318"/>
        <w:spacing w:after="0" w:line="25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7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introduce new products and services successfully;</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price and performance standards of the evolving 5G New Radio (“5G NR”) products and technologies;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customer reach/reduce customer concentration;</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the Internet of Things (“IoT”) and mobile portfolio outside of North America;</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Ctrack/asset tracking solutions within North America;</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customers for a substantial portion of our revenues;</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scheduled payments on, or to refinance our indebtedness, including our convertible notes obligations;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 that comply with current and evolving industry standards and government regulations;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strategic relationships to expand into new markets;</w:t>
      </w:r>
    </w:p>
    <w:p>
      <w:pPr>
        <w:spacing w:after="0" w:line="109" w:lineRule="exact"/>
        <w:rPr>
          <w:rFonts w:ascii="Times New Roman" w:cs="Times New Roman" w:eastAsia="Times New Roman" w:hAnsi="Times New Roman"/>
          <w:sz w:val="18"/>
          <w:szCs w:val="18"/>
          <w:color w:val="auto"/>
        </w:rPr>
      </w:pPr>
    </w:p>
    <w:p>
      <w:pPr>
        <w:ind w:left="640" w:right="520" w:hanging="318"/>
        <w:spacing w:after="0" w:line="25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the growth of our business to avoid significant strains on our management and operations and disruptions to our business;</w:t>
      </w:r>
    </w:p>
    <w:p>
      <w:pPr>
        <w:spacing w:after="0" w:line="6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products;</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build our devices;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the shortage of semiconductors or other key components of our products;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impact of tariffs or other government-imposed sanctions;</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order the manufacture and timely delivery of sufficient product quantities;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source suppliers for some products and devices used in our solutions;</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Arial" w:cs="Arial" w:eastAsia="Arial" w:hAnsi="Arial"/>
          <w:sz w:val="21"/>
          <w:szCs w:val="21"/>
          <w:color w:val="auto"/>
        </w:rPr>
      </w:pPr>
      <w:r>
        <w:rPr>
          <w:rFonts w:ascii="Times New Roman" w:cs="Times New Roman" w:eastAsia="Times New Roman" w:hAnsi="Times New Roman"/>
          <w:sz w:val="18"/>
          <w:szCs w:val="18"/>
          <w:color w:val="auto"/>
        </w:rPr>
        <w:t>the continuing impact of uncertain global economic conditions on the demand for our products;</w:t>
      </w:r>
    </w:p>
    <w:p>
      <w:pPr>
        <w:spacing w:after="0" w:line="101" w:lineRule="exact"/>
        <w:rPr>
          <w:rFonts w:ascii="Arial" w:cs="Arial" w:eastAsia="Arial" w:hAnsi="Arial"/>
          <w:sz w:val="21"/>
          <w:szCs w:val="21"/>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instability on our business, including the current conflict between Russia and Ukraine;</w:t>
      </w:r>
    </w:p>
    <w:p>
      <w:pPr>
        <w:spacing w:after="0" w:line="96" w:lineRule="exact"/>
        <w:rPr>
          <w:rFonts w:ascii="Times New Roman" w:cs="Times New Roman" w:eastAsia="Times New Roman" w:hAnsi="Times New Roman"/>
          <w:sz w:val="18"/>
          <w:szCs w:val="18"/>
          <w:color w:val="auto"/>
        </w:rPr>
      </w:pPr>
    </w:p>
    <w:p>
      <w:pPr>
        <w:ind w:left="640" w:right="80" w:hanging="318"/>
        <w:spacing w:after="0" w:line="25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global public health emergencies, such as the outbreak of the 2019 novel coronavirus (2019-nCoV), known as “COVID-19”, which could extend lead times in our supply chain and lengthen sales cycles with our customers;</w:t>
      </w:r>
    </w:p>
    <w:p>
      <w:pPr>
        <w:spacing w:after="0" w:line="7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indirect effects of COVID-19 on our employees, customers and supply chain and the economy and financial markets;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 inflation and rising interest rates;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cost competitive while meeting time-to-market requirements for our customers;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19" w:name="page20"/>
    <w:bookmarkEnd w:id="19"/>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product performance needs of our customers in wireless broadband data access in industrial IoT (“IIoT”) markets;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fleet, vehicle and asset management software-as-a-service (“SaaS”) telematics solutions;</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wireless telecommunication operators delivering acceptable wireless services;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future litigation, including intellectual property litigation;</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with respect to intellectual property contained in our solutions;</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license necessary third-party technology for the development and sale of our solutions;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that could contain errors or defects;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abroad, including foreign currency risks;</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5G wireless network rollouts globally and their adoption by customers;</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focused investments in research and development; and</w:t>
      </w:r>
    </w:p>
    <w:p>
      <w:pPr>
        <w:spacing w:after="0" w:line="9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manage additional qualified personnel to maintain and expand our business.</w:t>
      </w:r>
    </w:p>
    <w:p>
      <w:pPr>
        <w:spacing w:after="0" w:line="162" w:lineRule="exact"/>
        <w:rPr>
          <w:sz w:val="20"/>
          <w:szCs w:val="20"/>
          <w:color w:val="auto"/>
        </w:rPr>
      </w:pPr>
    </w:p>
    <w:p>
      <w:pPr>
        <w:ind w:firstLine="396"/>
        <w:spacing w:after="0" w:line="237"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2022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51" w:lineRule="exact"/>
        <w:rPr>
          <w:sz w:val="20"/>
          <w:szCs w:val="20"/>
          <w:color w:val="auto"/>
        </w:rPr>
      </w:pPr>
    </w:p>
    <w:p>
      <w:pPr>
        <w:ind w:right="20" w:firstLine="396"/>
        <w:spacing w:after="0" w:line="249" w:lineRule="auto"/>
        <w:rPr>
          <w:sz w:val="20"/>
          <w:szCs w:val="20"/>
          <w:color w:val="auto"/>
        </w:rPr>
      </w:pPr>
      <w:r>
        <w:rPr>
          <w:rFonts w:ascii="Times New Roman" w:cs="Times New Roman" w:eastAsia="Times New Roman" w:hAnsi="Times New Roman"/>
          <w:sz w:val="18"/>
          <w:szCs w:val="18"/>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978" w:right="419" w:bottom="1440" w:gutter="0" w:footer="0" w:header="0"/>
        </w:sectPr>
      </w:pPr>
    </w:p>
    <w:bookmarkStart w:id="20" w:name="page21"/>
    <w:bookmarkEnd w:id="20"/>
    <w:p>
      <w:pPr>
        <w:ind w:right="200" w:firstLine="396"/>
        <w:spacing w:after="0" w:line="249"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2022, contained in our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51" w:lineRule="exact"/>
        <w:rPr>
          <w:sz w:val="20"/>
          <w:szCs w:val="20"/>
          <w:color w:val="auto"/>
        </w:rPr>
      </w:pPr>
    </w:p>
    <w:p>
      <w:pPr>
        <w:ind w:right="40" w:firstLine="396"/>
        <w:spacing w:after="0" w:line="238" w:lineRule="auto"/>
        <w:rPr>
          <w:sz w:val="20"/>
          <w:szCs w:val="20"/>
          <w:color w:val="auto"/>
        </w:rPr>
      </w:pPr>
      <w:r>
        <w:rPr>
          <w:rFonts w:ascii="Times New Roman" w:cs="Times New Roman" w:eastAsia="Times New Roman" w:hAnsi="Times New Roman"/>
          <w:sz w:val="18"/>
          <w:szCs w:val="18"/>
          <w:color w:val="auto"/>
        </w:rPr>
        <w:t xml:space="preserve">Inseego Corp. is a leader in the design and development of cloud-managed 5G wireless wide area network (WWAN) and intelligent edge solutions. </w:t>
      </w:r>
      <w:r>
        <w:rPr>
          <w:rFonts w:ascii="Times New Roman" w:cs="Times New Roman" w:eastAsia="Times New Roman" w:hAnsi="Times New Roman"/>
          <w:sz w:val="18"/>
          <w:szCs w:val="18"/>
          <w:color w:val="353740"/>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53740"/>
        </w:rPr>
        <w:t>portfolio is comprised of secure, high-performance, cloud-managed fixed and mobile WWAN modems, routers, and gateways; enterprise networking software-defined edge (“SD EDGE”) solutions powered by our 5G WWAN portfolio that secures and prioritizes corporate network traffic; and intelligent edge and telematics solutions with built-in artificial intelligence (“AI”) technology, created to improve business outcomes. All of these products and solutions are designed and developed in the U.S. and are used in mission-critical applications requiring the highest levels of security and zero unscheduled downtime. These solutions support business applications such as enterprise networking, software-defined wide area network (“SD-WAN”) failover management, asset tracking, edge computing, artificial intelligence, fleet management, and other services.</w:t>
      </w:r>
    </w:p>
    <w:p>
      <w:pPr>
        <w:spacing w:after="0" w:line="146" w:lineRule="exact"/>
        <w:rPr>
          <w:sz w:val="20"/>
          <w:szCs w:val="20"/>
          <w:color w:val="auto"/>
        </w:rPr>
      </w:pPr>
    </w:p>
    <w:p>
      <w:pPr>
        <w:ind w:right="40" w:firstLine="396"/>
        <w:spacing w:after="0" w:line="239" w:lineRule="auto"/>
        <w:rPr>
          <w:sz w:val="20"/>
          <w:szCs w:val="20"/>
          <w:color w:val="auto"/>
        </w:rPr>
      </w:pPr>
      <w:r>
        <w:rPr>
          <w:rFonts w:ascii="Times New Roman" w:cs="Times New Roman" w:eastAsia="Times New Roman" w:hAnsi="Times New Roman"/>
          <w:sz w:val="18"/>
          <w:szCs w:val="18"/>
          <w:color w:val="auto"/>
        </w:rPr>
        <w:t>We have been at the forefront of the ways in which the world stays connected and accesses information,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164" w:lineRule="exact"/>
        <w:rPr>
          <w:sz w:val="20"/>
          <w:szCs w:val="20"/>
          <w:color w:val="auto"/>
        </w:rPr>
      </w:pPr>
    </w:p>
    <w:p>
      <w:pPr>
        <w:ind w:right="20" w:firstLine="396"/>
        <w:spacing w:after="0" w:line="270" w:lineRule="auto"/>
        <w:rPr>
          <w:sz w:val="20"/>
          <w:szCs w:val="20"/>
          <w:color w:val="auto"/>
        </w:rPr>
      </w:pPr>
      <w:r>
        <w:rPr>
          <w:rFonts w:ascii="Times New Roman" w:cs="Times New Roman" w:eastAsia="Times New Roman" w:hAnsi="Times New Roman"/>
          <w:sz w:val="16"/>
          <w:szCs w:val="16"/>
          <w:color w:val="auto"/>
        </w:rPr>
        <w:t>We provide intelligent, cloud-managed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mobile hotspots,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106" w:lineRule="exact"/>
        <w:rPr>
          <w:sz w:val="20"/>
          <w:szCs w:val="20"/>
          <w:color w:val="auto"/>
        </w:rPr>
      </w:pPr>
    </w:p>
    <w:p>
      <w:pPr>
        <w:ind w:right="180" w:firstLine="396"/>
        <w:spacing w:after="0" w:line="249" w:lineRule="auto"/>
        <w:rPr>
          <w:sz w:val="20"/>
          <w:szCs w:val="20"/>
          <w:color w:val="auto"/>
        </w:rPr>
      </w:pPr>
      <w:r>
        <w:rPr>
          <w:rFonts w:ascii="Times New Roman" w:cs="Times New Roman" w:eastAsia="Times New Roman" w:hAnsi="Times New Roman"/>
          <w:sz w:val="18"/>
          <w:szCs w:val="18"/>
          <w:color w:val="auto"/>
        </w:rPr>
        <w:t>Our MiFi customer base is comprised of wireless operators to whom we provide intelligent fixed and mobile wireless devices. These wireless operators include Verizon Wireless, T-Mobile and U.S. Cellular in the United States, Rogers and Telus in Canada, Telstra in Australia, as well as other international wireless operators, distributors and various companies in other vertical markets and geographies.</w:t>
      </w:r>
    </w:p>
    <w:p>
      <w:pPr>
        <w:spacing w:after="0" w:line="121" w:lineRule="exact"/>
        <w:rPr>
          <w:sz w:val="20"/>
          <w:szCs w:val="20"/>
          <w:color w:val="auto"/>
        </w:rPr>
      </w:pPr>
    </w:p>
    <w:p>
      <w:pPr>
        <w:ind w:firstLine="396"/>
        <w:spacing w:after="0" w:line="239" w:lineRule="auto"/>
        <w:rPr>
          <w:sz w:val="20"/>
          <w:szCs w:val="20"/>
          <w:color w:val="auto"/>
        </w:rPr>
      </w:pPr>
      <w:r>
        <w:rPr>
          <w:rFonts w:ascii="Times New Roman" w:cs="Times New Roman" w:eastAsia="Times New Roman" w:hAnsi="Times New Roman"/>
          <w:sz w:val="18"/>
          <w:szCs w:val="18"/>
          <w:color w:val="auto"/>
        </w:rPr>
        <w:t>We sell our 5G WWAN solutions, integrated telematics and mobile tracking hardware devices through our direct sales force, value-added resellers and through distributors. The customer base for our products is comprised of transportation companies, industrial enterprises, retailers,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provided as part of our integrated SaaS solutions.</w:t>
      </w:r>
    </w:p>
    <w:p>
      <w:pPr>
        <w:spacing w:after="0" w:line="130" w:lineRule="exact"/>
        <w:rPr>
          <w:sz w:val="20"/>
          <w:szCs w:val="20"/>
          <w:color w:val="auto"/>
        </w:rPr>
      </w:pPr>
    </w:p>
    <w:p>
      <w:pPr>
        <w:ind w:right="200" w:firstLine="396"/>
        <w:spacing w:after="0"/>
        <w:rPr>
          <w:sz w:val="20"/>
          <w:szCs w:val="20"/>
          <w:color w:val="auto"/>
        </w:rPr>
      </w:pPr>
      <w:r>
        <w:rPr>
          <w:rFonts w:ascii="Times New Roman" w:cs="Times New Roman" w:eastAsia="Times New Roman" w:hAnsi="Times New Roman"/>
          <w:sz w:val="18"/>
          <w:szCs w:val="18"/>
          <w:color w:val="auto"/>
        </w:rPr>
        <w:t>We sell SaaS, software and services solutions across multiple vertical markets, including fleet management, vehicle telematics, stolen vehicle recovery, asset tracking, monitoring, business connectivity and subscription management. Our SaaS delivery platforms include our telematics and asset tracking and management platforms, which provide fleet, vehicle, aviation, municipalities, healthcare, utilities asset and other telematics applications.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130" w:lineRule="exact"/>
        <w:rPr>
          <w:sz w:val="20"/>
          <w:szCs w:val="20"/>
          <w:color w:val="auto"/>
        </w:rPr>
      </w:pPr>
    </w:p>
    <w:p>
      <w:pPr>
        <w:ind w:right="60" w:firstLine="396"/>
        <w:spacing w:after="0" w:line="333" w:lineRule="auto"/>
        <w:rPr>
          <w:sz w:val="20"/>
          <w:szCs w:val="20"/>
          <w:color w:val="auto"/>
        </w:rPr>
      </w:pPr>
      <w:r>
        <w:rPr>
          <w:rFonts w:ascii="Times New Roman" w:cs="Times New Roman" w:eastAsia="Times New Roman" w:hAnsi="Times New Roman"/>
          <w:sz w:val="16"/>
          <w:szCs w:val="16"/>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 .</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Factors Which May Influence Future Results of Operations</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We believe that our future net revenues may be influenced by a number of factors including:</w:t>
      </w:r>
    </w:p>
    <w:p>
      <w:pPr>
        <w:spacing w:after="0" w:line="59" w:lineRule="exact"/>
        <w:rPr>
          <w:sz w:val="20"/>
          <w:szCs w:val="20"/>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environment and related market conditions such as inflation;</w:t>
      </w:r>
    </w:p>
    <w:p>
      <w:pPr>
        <w:spacing w:after="0" w:line="43" w:lineRule="exact"/>
        <w:rPr>
          <w:rFonts w:ascii="Times New Roman" w:cs="Times New Roman" w:eastAsia="Times New Roman" w:hAnsi="Times New Roman"/>
          <w:sz w:val="18"/>
          <w:szCs w:val="18"/>
          <w:color w:val="auto"/>
        </w:rPr>
      </w:pPr>
    </w:p>
    <w:p>
      <w:pPr>
        <w:ind w:left="960" w:right="60" w:hanging="321"/>
        <w:spacing w:after="0" w:line="254"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fleet and vehicle telematics solutions, as well as suppliers of emerging devices that contain wireless data access or device management features;</w:t>
      </w:r>
    </w:p>
    <w:p>
      <w:pPr>
        <w:spacing w:after="0" w:line="2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by new vertical markets;</w:t>
      </w:r>
    </w:p>
    <w:p>
      <w:pPr>
        <w:spacing w:after="0" w:line="4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aviation ground vertical;</w:t>
      </w:r>
    </w:p>
    <w:p>
      <w:pPr>
        <w:spacing w:after="0" w:line="4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change to new products;</w:t>
      </w:r>
    </w:p>
    <w:p>
      <w:pPr>
        <w:spacing w:after="0" w:line="5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5G infrastructure equipment;</w:t>
      </w:r>
    </w:p>
    <w:p>
      <w:pPr>
        <w:spacing w:after="0" w:line="4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5G end point products;</w:t>
      </w:r>
    </w:p>
    <w:p>
      <w:pPr>
        <w:spacing w:after="0" w:line="4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area of 5G technology;</w:t>
      </w:r>
    </w:p>
    <w:p>
      <w:pPr>
        <w:spacing w:after="0" w:line="5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of semiconductors and other key components to build our devices;</w:t>
      </w:r>
    </w:p>
    <w:p>
      <w:pPr>
        <w:spacing w:after="0" w:line="4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w:t>
      </w:r>
    </w:p>
    <w:p>
      <w:pPr>
        <w:spacing w:after="0" w:line="4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w:t>
      </w:r>
    </w:p>
    <w:p>
      <w:pPr>
        <w:spacing w:after="0" w:line="5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technologies.</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revenues are also significantly dependent upon the availability of materials and components used in our hardware products.</w:t>
      </w:r>
    </w:p>
    <w:p>
      <w:pPr>
        <w:spacing w:after="0" w:line="149" w:lineRule="exact"/>
        <w:rPr>
          <w:sz w:val="20"/>
          <w:szCs w:val="20"/>
          <w:color w:val="auto"/>
        </w:rPr>
      </w:pPr>
    </w:p>
    <w:p>
      <w:pPr>
        <w:ind w:right="160" w:firstLine="396"/>
        <w:spacing w:after="0" w:line="243" w:lineRule="auto"/>
        <w:rPr>
          <w:sz w:val="20"/>
          <w:szCs w:val="20"/>
          <w:color w:val="auto"/>
        </w:rPr>
      </w:pPr>
      <w:r>
        <w:rPr>
          <w:rFonts w:ascii="Times New Roman" w:cs="Times New Roman" w:eastAsia="Times New Roman" w:hAnsi="Times New Roman"/>
          <w:sz w:val="18"/>
          <w:szCs w:val="18"/>
          <w:color w:val="auto"/>
        </w:rPr>
        <w:t>We have made significant investments in additional products and services, including SaaS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126" w:lineRule="exact"/>
        <w:rPr>
          <w:sz w:val="20"/>
          <w:szCs w:val="20"/>
          <w:color w:val="auto"/>
        </w:rPr>
      </w:pPr>
    </w:p>
    <w:p>
      <w:pPr>
        <w:ind w:right="220" w:firstLine="396"/>
        <w:spacing w:after="0" w:line="242" w:lineRule="auto"/>
        <w:rPr>
          <w:sz w:val="20"/>
          <w:szCs w:val="20"/>
          <w:color w:val="auto"/>
        </w:rPr>
      </w:pPr>
      <w:r>
        <w:rPr>
          <w:rFonts w:ascii="Times New Roman" w:cs="Times New Roman" w:eastAsia="Times New Roman" w:hAnsi="Times New Roman"/>
          <w:sz w:val="18"/>
          <w:szCs w:val="18"/>
          <w:color w:val="auto"/>
        </w:rPr>
        <w:t>The demand environment for our 5G products during the three months ended March 31, 2023 was consistent with our expectations. However, we have recently experienced lower sales of LTE gigabit hotspots within IoT &amp; Mobile Solutions as COVID-19 pandemic demand has eased. The macroeconomic environment continues to remain uncertain and the demand for our products in prior years may not be sustainable for the long term. We will continue to monitor the implications of the COVID-19 pandemic on our business, as well as our customers’ and suppliers’ businesses.</w:t>
      </w:r>
    </w:p>
    <w:p>
      <w:pPr>
        <w:spacing w:after="0" w:line="126" w:lineRule="exact"/>
        <w:rPr>
          <w:sz w:val="20"/>
          <w:szCs w:val="20"/>
          <w:color w:val="auto"/>
        </w:rPr>
      </w:pPr>
    </w:p>
    <w:p>
      <w:pPr>
        <w:ind w:right="60" w:firstLine="396"/>
        <w:spacing w:after="0"/>
        <w:rPr>
          <w:sz w:val="20"/>
          <w:szCs w:val="20"/>
          <w:color w:val="auto"/>
        </w:rPr>
      </w:pPr>
      <w:r>
        <w:rPr>
          <w:rFonts w:ascii="Times New Roman" w:cs="Times New Roman" w:eastAsia="Times New Roman" w:hAnsi="Times New Roman"/>
          <w:sz w:val="18"/>
          <w:szCs w:val="18"/>
          <w:i w:val="1"/>
          <w:iCs w:val="1"/>
          <w:color w:val="auto"/>
        </w:rPr>
        <w:t xml:space="preserve">Cost of Net Revenues. </w:t>
      </w:r>
      <w:r>
        <w:rPr>
          <w:rFonts w:ascii="Times New Roman" w:cs="Times New Roman" w:eastAsia="Times New Roman" w:hAnsi="Times New Roman"/>
          <w:sz w:val="18"/>
          <w:szCs w:val="18"/>
          <w:color w:val="auto"/>
        </w:rPr>
        <w:t>Cost of net revenues includes all costs associated with our contract manufacturers, distribution, fulfillment and repair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 The inflationary pressures impacting the global supply chain could potentially increase the cost of net revenues in the current and future years.</w:t>
      </w:r>
    </w:p>
    <w:p>
      <w:pPr>
        <w:spacing w:after="0" w:line="130" w:lineRule="exact"/>
        <w:rPr>
          <w:sz w:val="20"/>
          <w:szCs w:val="20"/>
          <w:color w:val="auto"/>
        </w:rPr>
      </w:pPr>
    </w:p>
    <w:p>
      <w:pPr>
        <w:ind w:right="10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operating costs consist of three primary categories: research and development, sales and marketing, and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costs.</w:t>
      </w:r>
    </w:p>
    <w:p>
      <w:pPr>
        <w:spacing w:after="0" w:line="100" w:lineRule="exact"/>
        <w:rPr>
          <w:sz w:val="20"/>
          <w:szCs w:val="20"/>
          <w:color w:val="auto"/>
        </w:rPr>
      </w:pPr>
    </w:p>
    <w:p>
      <w:pPr>
        <w:ind w:right="180" w:firstLine="396"/>
        <w:spacing w:after="0" w:line="254" w:lineRule="auto"/>
        <w:rPr>
          <w:sz w:val="20"/>
          <w:szCs w:val="20"/>
          <w:color w:val="auto"/>
        </w:rPr>
      </w:pPr>
      <w:r>
        <w:rPr>
          <w:rFonts w:ascii="Times New Roman" w:cs="Times New Roman" w:eastAsia="Times New Roman" w:hAnsi="Times New Roman"/>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116" w:lineRule="exact"/>
        <w:rPr>
          <w:sz w:val="20"/>
          <w:szCs w:val="20"/>
          <w:color w:val="auto"/>
        </w:rPr>
      </w:pPr>
    </w:p>
    <w:p>
      <w:pPr>
        <w:ind w:right="20" w:firstLine="396"/>
        <w:spacing w:after="0" w:line="295" w:lineRule="auto"/>
        <w:rPr>
          <w:sz w:val="20"/>
          <w:szCs w:val="20"/>
          <w:color w:val="auto"/>
        </w:rPr>
      </w:pPr>
      <w:r>
        <w:rPr>
          <w:rFonts w:ascii="Times New Roman" w:cs="Times New Roman" w:eastAsia="Times New Roman" w:hAnsi="Times New Roman"/>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87" w:lineRule="exact"/>
        <w:rPr>
          <w:sz w:val="20"/>
          <w:szCs w:val="20"/>
          <w:color w:val="auto"/>
        </w:rPr>
      </w:pPr>
    </w:p>
    <w:p>
      <w:pPr>
        <w:ind w:firstLine="396"/>
        <w:spacing w:after="0" w:line="243" w:lineRule="auto"/>
        <w:rPr>
          <w:sz w:val="20"/>
          <w:szCs w:val="20"/>
          <w:color w:val="auto"/>
        </w:rPr>
      </w:pPr>
      <w:r>
        <w:rPr>
          <w:rFonts w:ascii="Times New Roman" w:cs="Times New Roman" w:eastAsia="Times New Roman" w:hAnsi="Times New Roman"/>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9" w:right="359" w:bottom="1440" w:gutter="0" w:footer="0" w:header="0"/>
        </w:sectPr>
      </w:pPr>
    </w:p>
    <w:bookmarkStart w:id="22" w:name="page23"/>
    <w:bookmarkEnd w:id="22"/>
    <w:p>
      <w:pPr>
        <w:ind w:right="100" w:firstLine="396"/>
        <w:spacing w:after="0" w:line="239" w:lineRule="auto"/>
        <w:rPr>
          <w:sz w:val="20"/>
          <w:szCs w:val="20"/>
          <w:color w:val="auto"/>
        </w:rPr>
      </w:pPr>
      <w:r>
        <w:rPr>
          <w:rFonts w:ascii="Times New Roman" w:cs="Times New Roman" w:eastAsia="Times New Roman" w:hAnsi="Times New Roman"/>
          <w:sz w:val="18"/>
          <w:szCs w:val="18"/>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or drawing on our revolving credit facility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1" w:lineRule="exact"/>
        <w:rPr>
          <w:sz w:val="20"/>
          <w:szCs w:val="20"/>
          <w:color w:val="auto"/>
        </w:rPr>
      </w:pPr>
    </w:p>
    <w:p>
      <w:pPr>
        <w:ind w:right="20" w:firstLine="396"/>
        <w:spacing w:after="0" w:line="239" w:lineRule="auto"/>
        <w:rPr>
          <w:sz w:val="20"/>
          <w:szCs w:val="20"/>
          <w:color w:val="auto"/>
        </w:rPr>
      </w:pPr>
      <w:r>
        <w:rPr>
          <w:rFonts w:ascii="Times New Roman" w:cs="Times New Roman" w:eastAsia="Times New Roman" w:hAnsi="Times New Roman"/>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 Compared to Three Months Ended March 31, 2022</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r>
        <w:rPr>
          <w:rFonts w:ascii="Times New Roman" w:cs="Times New Roman" w:eastAsia="Times New Roman" w:hAnsi="Times New Roman"/>
          <w:sz w:val="18"/>
          <w:szCs w:val="18"/>
          <w:color w:val="auto"/>
        </w:rPr>
        <w:t>. Net revenues for the three months ended March 31, 2023 were $50.8 million, compared to $61.4 million for the same period in 2022.</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net revenues by our two product categories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2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60" w:type="dxa"/>
            <w:vAlign w:val="bottom"/>
          </w:tcPr>
          <w:p>
            <w:pPr>
              <w:spacing w:after="0"/>
              <w:rPr>
                <w:sz w:val="16"/>
                <w:szCs w:val="16"/>
                <w:color w:val="auto"/>
              </w:rPr>
            </w:pPr>
          </w:p>
        </w:tc>
        <w:tc>
          <w:tcPr>
            <w:tcW w:w="8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28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IoT &amp; Mobile Solutions</w:t>
            </w:r>
          </w:p>
        </w:tc>
        <w:tc>
          <w:tcPr>
            <w:tcW w:w="372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43,627</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54,505</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99"/>
              </w:rPr>
              <w:t>(20.0)%</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2"/>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61,384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0" w:right="40" w:firstLine="39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IoT &amp; Mobile Solutions. </w:t>
      </w:r>
      <w:r>
        <w:rPr>
          <w:rFonts w:ascii="Times New Roman" w:cs="Times New Roman" w:eastAsia="Times New Roman" w:hAnsi="Times New Roman"/>
          <w:sz w:val="18"/>
          <w:szCs w:val="18"/>
          <w:color w:val="auto"/>
        </w:rPr>
        <w:t>The $10.9 million decrease in IoT &amp; Mobile Solutions net revenues over the same period in 2022 is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our carrier offerings and lower sales of LTE gigabit hotspots as the COVID-19 pandemic demand eased, partially offset by sales of our second-generation and fourth-generation 5G hotspot related to our MiFi business (launched in later part of 2022) and subscriber growth in our Enterprise and Inseego Subscribe businesses.</w:t>
      </w:r>
    </w:p>
    <w:p>
      <w:pPr>
        <w:spacing w:after="0" w:line="125" w:lineRule="exact"/>
        <w:rPr>
          <w:sz w:val="20"/>
          <w:szCs w:val="20"/>
          <w:color w:val="auto"/>
        </w:rPr>
      </w:pPr>
    </w:p>
    <w:p>
      <w:pPr>
        <w:ind w:left="200" w:right="180"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Enterprise SaaS Solutions. </w:t>
      </w:r>
      <w:r>
        <w:rPr>
          <w:rFonts w:ascii="Times New Roman" w:cs="Times New Roman" w:eastAsia="Times New Roman" w:hAnsi="Times New Roman"/>
          <w:sz w:val="18"/>
          <w:szCs w:val="18"/>
          <w:color w:val="auto"/>
        </w:rPr>
        <w:t>The $0.3 million increase in Enterprise SaaS Solutions net revenues over the same period in 2022 is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Enterprise SaaS Solutions net revenue throughout the rest of the world as a result of the lifting of COVID-19 related installation restrictions in place during fiscal 2022.</w:t>
      </w:r>
    </w:p>
    <w:p>
      <w:pPr>
        <w:spacing w:after="0" w:line="116" w:lineRule="exact"/>
        <w:rPr>
          <w:sz w:val="20"/>
          <w:szCs w:val="20"/>
          <w:color w:val="auto"/>
        </w:rPr>
      </w:pPr>
    </w:p>
    <w:p>
      <w:pPr>
        <w:ind w:right="120" w:firstLine="435"/>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net revenues. </w:t>
      </w:r>
      <w:r>
        <w:rPr>
          <w:rFonts w:ascii="Times New Roman" w:cs="Times New Roman" w:eastAsia="Times New Roman" w:hAnsi="Times New Roman"/>
          <w:sz w:val="18"/>
          <w:szCs w:val="18"/>
          <w:color w:val="auto"/>
        </w:rPr>
        <w:t>Cost of net revenues for the three months ended March 31, 2023 was $32.6 million, or 64.2% of net revenues, compared to $46.1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75.2% of net revenues, for the same period in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cost of net revenues by our two product categories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2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60" w:type="dxa"/>
            <w:vAlign w:val="bottom"/>
          </w:tcPr>
          <w:p>
            <w:pPr>
              <w:spacing w:after="0"/>
              <w:rPr>
                <w:sz w:val="16"/>
                <w:szCs w:val="16"/>
                <w:color w:val="auto"/>
              </w:rPr>
            </w:pPr>
          </w:p>
        </w:tc>
        <w:tc>
          <w:tcPr>
            <w:tcW w:w="8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28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IoT &amp; Mobile Solutions</w:t>
            </w:r>
          </w:p>
        </w:tc>
        <w:tc>
          <w:tcPr>
            <w:tcW w:w="372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29,662</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42,903</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(13,241)</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Enterprise SaaS Solutions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2"/>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32,607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46,136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0" w:right="340" w:firstLine="39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IoT &amp; Mobile Solutions. </w:t>
      </w:r>
      <w:r>
        <w:rPr>
          <w:rFonts w:ascii="Times New Roman" w:cs="Times New Roman" w:eastAsia="Times New Roman" w:hAnsi="Times New Roman"/>
          <w:sz w:val="18"/>
          <w:szCs w:val="18"/>
          <w:color w:val="auto"/>
        </w:rPr>
        <w:t>The $13.2 million decrease in IoT &amp; Mobile Solutions cost of net revenues over the same period in 2022 is primarily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lower sales of LTE gigabit hotspots.</w:t>
      </w:r>
    </w:p>
    <w:p>
      <w:pPr>
        <w:spacing w:after="0" w:line="112" w:lineRule="exact"/>
        <w:rPr>
          <w:sz w:val="20"/>
          <w:szCs w:val="20"/>
          <w:color w:val="auto"/>
        </w:rPr>
      </w:pPr>
    </w:p>
    <w:p>
      <w:pPr>
        <w:ind w:right="12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Enterprise SaaS Solutions. </w:t>
      </w:r>
      <w:r>
        <w:rPr>
          <w:rFonts w:ascii="Times New Roman" w:cs="Times New Roman" w:eastAsia="Times New Roman" w:hAnsi="Times New Roman"/>
          <w:sz w:val="18"/>
          <w:szCs w:val="18"/>
          <w:color w:val="auto"/>
        </w:rPr>
        <w:t>The $0.3 million decrease in Enterprise SaaS Solutions cost of net revenues over the same period in 2022 is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reduced costs associated with providing our recurring rental and subscription services.</w:t>
      </w:r>
    </w:p>
    <w:p>
      <w:pPr>
        <w:spacing w:after="0" w:line="96" w:lineRule="exact"/>
        <w:rPr>
          <w:sz w:val="20"/>
          <w:szCs w:val="20"/>
          <w:color w:val="auto"/>
        </w:rPr>
      </w:pPr>
    </w:p>
    <w:p>
      <w:pPr>
        <w:ind w:firstLine="396"/>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three months ended March 31, 2023 was $18.2 million, or a gross margin of 35.8%, compared to $15.2 million,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 of 24.8%, for the same period in 2022. The increase in gross profit is primarily due an increase in revenue from Enterprise SaaS Solutions as well as various initiatives to improve efficiencies in production.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costs and expenses. </w:t>
      </w:r>
      <w:r>
        <w:rPr>
          <w:rFonts w:ascii="Times New Roman" w:cs="Times New Roman" w:eastAsia="Times New Roman" w:hAnsi="Times New Roman"/>
          <w:sz w:val="18"/>
          <w:szCs w:val="18"/>
          <w:color w:val="auto"/>
        </w:rPr>
        <w:t>The following table summarizes operating costs and expenses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6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8,154</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18,560</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3"/>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6,646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0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6,045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3"/>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16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9"/>
        </w:trPr>
        <w:tc>
          <w:tcPr>
            <w:tcW w:w="6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21,778</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240" w:firstLine="396"/>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March 31, 2023 were $8.2 million, or 16.1%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revenues, compared to $18.6 million, or 30.2% of net revenues, for the same period in 2022. The decrease in research and development expenses was primarily due to net decrease in research and development costs as fewer new projects were undertaken during the current period.</w:t>
      </w:r>
    </w:p>
    <w:p>
      <w:pPr>
        <w:spacing w:after="0" w:line="116" w:lineRule="exact"/>
        <w:rPr>
          <w:sz w:val="20"/>
          <w:szCs w:val="20"/>
          <w:color w:val="auto"/>
        </w:rPr>
      </w:pPr>
    </w:p>
    <w:p>
      <w:pPr>
        <w:ind w:right="200" w:firstLine="396"/>
        <w:spacing w:after="0" w:line="298" w:lineRule="auto"/>
        <w:rPr>
          <w:sz w:val="20"/>
          <w:szCs w:val="20"/>
          <w:color w:val="auto"/>
        </w:rPr>
      </w:pPr>
      <w:r>
        <w:rPr>
          <w:rFonts w:ascii="Times New Roman" w:cs="Times New Roman" w:eastAsia="Times New Roman" w:hAnsi="Times New Roman"/>
          <w:sz w:val="16"/>
          <w:szCs w:val="16"/>
          <w:b w:val="1"/>
          <w:bCs w:val="1"/>
          <w:i w:val="1"/>
          <w:iCs w:val="1"/>
          <w:color w:val="auto"/>
        </w:rPr>
        <w:t xml:space="preserve">Sales and marketing expenses. </w:t>
      </w:r>
      <w:r>
        <w:rPr>
          <w:rFonts w:ascii="Times New Roman" w:cs="Times New Roman" w:eastAsia="Times New Roman" w:hAnsi="Times New Roman"/>
          <w:sz w:val="16"/>
          <w:szCs w:val="16"/>
          <w:color w:val="auto"/>
        </w:rPr>
        <w:t>Sales and marketing expenses for the three months ended March 31, 2023 were $6.6 million, or 13.1% of net revenues,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to $9.8 million, or 15.9% of net revenues, for the same period in 2022. The decrease in sales and marketing expenses was primarily due to lower consulting costs and other sales personnel-related costs as a result of the decrease in overall sales headcount compared to the same period in 2022.</w:t>
      </w:r>
    </w:p>
    <w:p>
      <w:pPr>
        <w:spacing w:after="0" w:line="80" w:lineRule="exact"/>
        <w:rPr>
          <w:sz w:val="20"/>
          <w:szCs w:val="20"/>
          <w:color w:val="auto"/>
        </w:rPr>
      </w:pPr>
    </w:p>
    <w:p>
      <w:pPr>
        <w:ind w:right="200" w:firstLine="396"/>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three months ended March 31, 2023 were $6.0 million, or 11.9%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revenues, compared to $8.2 million, or 13.4% of net revenues, for the same period in 2022. The decrease in general and administrative expense was primarily due to decrease in share-based expense due to lower RSU bonus released during the three months ended March 31, 2023 compared to the same period in 2022.</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w:t>
      </w:r>
      <w:r>
        <w:rPr>
          <w:rFonts w:ascii="Times New Roman" w:cs="Times New Roman" w:eastAsia="Times New Roman" w:hAnsi="Times New Roman"/>
          <w:sz w:val="18"/>
          <w:szCs w:val="18"/>
          <w:color w:val="auto"/>
        </w:rPr>
        <w:t>The following table summarizes other (expense) income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6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 on debt conversion and extinguishment, net</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83"/>
              <w:spacing w:after="0"/>
              <w:rPr>
                <w:sz w:val="20"/>
                <w:szCs w:val="20"/>
                <w:color w:val="auto"/>
              </w:rPr>
            </w:pPr>
            <w:r>
              <w:rPr>
                <w:rFonts w:ascii="Times New Roman" w:cs="Times New Roman" w:eastAsia="Times New Roman" w:hAnsi="Times New Roman"/>
                <w:sz w:val="16"/>
                <w:szCs w:val="16"/>
                <w:color w:val="auto"/>
              </w:rPr>
              <w:t>(296.3)</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2,576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(68.2)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396"/>
        <w:spacing w:after="0" w:line="304" w:lineRule="auto"/>
        <w:rPr>
          <w:sz w:val="20"/>
          <w:szCs w:val="20"/>
          <w:color w:val="auto"/>
        </w:rPr>
      </w:pPr>
      <w:r>
        <w:rPr>
          <w:rFonts w:ascii="Times New Roman" w:cs="Times New Roman" w:eastAsia="Times New Roman" w:hAnsi="Times New Roman"/>
          <w:sz w:val="16"/>
          <w:szCs w:val="16"/>
          <w:color w:val="auto"/>
        </w:rPr>
        <w:t>Loss on debt conversion and extinguishment, net</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The loss on debt conversion and extinguishment, net for the three months ended March 31, 2023 and 2022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was $0 and $0.5 million, respectively.</w:t>
      </w:r>
    </w:p>
    <w:p>
      <w:pPr>
        <w:spacing w:after="0" w:line="72" w:lineRule="exact"/>
        <w:rPr>
          <w:sz w:val="20"/>
          <w:szCs w:val="20"/>
          <w:color w:val="auto"/>
        </w:rPr>
      </w:pPr>
    </w:p>
    <w:p>
      <w:pPr>
        <w:ind w:right="520" w:firstLine="396"/>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$0.9 million decrease in interest expense over the same period in 2022 was primarily a result of certain 2022 Notes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extinguishments related adjustments recorded in the prior period.</w:t>
      </w:r>
    </w:p>
    <w:p>
      <w:pPr>
        <w:spacing w:after="0" w:line="95" w:lineRule="exact"/>
        <w:rPr>
          <w:sz w:val="20"/>
          <w:szCs w:val="20"/>
          <w:color w:val="auto"/>
        </w:rPr>
      </w:pPr>
    </w:p>
    <w:p>
      <w:pPr>
        <w:ind w:firstLine="39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net. </w:t>
      </w:r>
      <w:r>
        <w:rPr>
          <w:rFonts w:ascii="Times New Roman" w:cs="Times New Roman" w:eastAsia="Times New Roman" w:hAnsi="Times New Roman"/>
          <w:sz w:val="18"/>
          <w:szCs w:val="18"/>
          <w:color w:val="auto"/>
        </w:rPr>
        <w:t>The $1.2 million increase in other income over the same period in 2022 is primarily due to foreign currency exchange gains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current period.</w:t>
      </w:r>
    </w:p>
    <w:p>
      <w:pPr>
        <w:spacing w:after="0" w:line="120" w:lineRule="exact"/>
        <w:rPr>
          <w:sz w:val="20"/>
          <w:szCs w:val="20"/>
          <w:color w:val="auto"/>
        </w:rPr>
      </w:pPr>
    </w:p>
    <w:p>
      <w:pPr>
        <w:ind w:right="80" w:firstLine="396"/>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w:t>
      </w:r>
      <w:r>
        <w:rPr>
          <w:rFonts w:ascii="Times New Roman" w:cs="Times New Roman" w:eastAsia="Times New Roman" w:hAnsi="Times New Roman"/>
          <w:sz w:val="18"/>
          <w:szCs w:val="18"/>
          <w:color w:val="auto"/>
        </w:rPr>
        <w:t>Income tax provision for the three months ended March 31, 2023 and 2022 was a provision of $0.3 million and a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$0.3 million, respectively. This $0.6 million increase in income tax expense was driven by a marked increase in pre-tax profits at Inseego SA (Pty) Ltd (previously, C-track Holdings) for the current year period compared to a loss in the prior year period.</w:t>
      </w:r>
    </w:p>
    <w:p>
      <w:pPr>
        <w:spacing w:after="0" w:line="200" w:lineRule="exact"/>
        <w:rPr>
          <w:sz w:val="20"/>
          <w:szCs w:val="20"/>
          <w:color w:val="auto"/>
        </w:rPr>
      </w:pPr>
    </w:p>
    <w:p>
      <w:pPr>
        <w:ind w:right="240" w:firstLine="396"/>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Series E preferred stock dividends. </w:t>
      </w:r>
      <w:r>
        <w:rPr>
          <w:rFonts w:ascii="Times New Roman" w:cs="Times New Roman" w:eastAsia="Times New Roman" w:hAnsi="Times New Roman"/>
          <w:sz w:val="18"/>
          <w:szCs w:val="18"/>
          <w:color w:val="auto"/>
        </w:rPr>
        <w:t>During the three months ended March 31, 2023 and 2022, we recorded dividends of $0.7 million and $0.7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on our Fixed-Rate Cumulative Perpetual Preferred Stock, Series E, par value $0.001 per share (the “Series E Preferred Stock”). There was minimal increase in preferred stock dividends for the period ended March 31, 2023.</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1" w:lineRule="exact"/>
        <w:rPr>
          <w:sz w:val="20"/>
          <w:szCs w:val="20"/>
          <w:color w:val="auto"/>
        </w:rPr>
      </w:pPr>
    </w:p>
    <w:p>
      <w:pPr>
        <w:ind w:firstLine="396"/>
        <w:spacing w:after="0" w:line="242" w:lineRule="auto"/>
        <w:rPr>
          <w:sz w:val="20"/>
          <w:szCs w:val="20"/>
          <w:color w:val="auto"/>
        </w:rPr>
      </w:pPr>
      <w:r>
        <w:rPr>
          <w:rFonts w:ascii="Times New Roman" w:cs="Times New Roman" w:eastAsia="Times New Roman" w:hAnsi="Times New Roman"/>
          <w:sz w:val="18"/>
          <w:szCs w:val="18"/>
          <w:color w:val="auto"/>
        </w:rPr>
        <w:t>Our principal sources of liquidity are our existing cash and cash equivalents and availability under our new revolving credit facility. As of March 31, 2023, we had available cash and cash equivalents totaling $8.7 million and $11.8 million of excess availability under our revolving credit facility. We also have an equity distribution agreement through which we may sell shares of our common stock, and as of March 31, 2023, there was approximately $9 million of cash remaining before underwriter fees and discounts that we may generate from such issuance.</w:t>
      </w:r>
    </w:p>
    <w:p>
      <w:pPr>
        <w:spacing w:after="0" w:line="141" w:lineRule="exact"/>
        <w:rPr>
          <w:sz w:val="20"/>
          <w:szCs w:val="20"/>
          <w:color w:val="auto"/>
        </w:rPr>
      </w:pPr>
    </w:p>
    <w:p>
      <w:pPr>
        <w:ind w:firstLine="396"/>
        <w:spacing w:after="0" w:line="237" w:lineRule="auto"/>
        <w:rPr>
          <w:sz w:val="20"/>
          <w:szCs w:val="20"/>
          <w:color w:val="auto"/>
        </w:rPr>
      </w:pPr>
      <w:r>
        <w:rPr>
          <w:rFonts w:ascii="Times New Roman" w:cs="Times New Roman" w:eastAsia="Times New Roman" w:hAnsi="Times New Roman"/>
          <w:sz w:val="18"/>
          <w:szCs w:val="18"/>
          <w:color w:val="auto"/>
        </w:rPr>
        <w:t>We have a history of operating and net losses and overall usage of cash from operating and investing activities. Our management believes that our cash and cash equivalents, together with anticipated cash flows from operations, availability under our secured asset-backed revolving credit facility, and anticipated savings from ongoing cost reduction efforts, will be sufficient to meet our cash flow needs for the next twelve months from the filing date of this report. If events or circumstances occur such that we do not meet our operating plan as expected, or if we become obligated to pay unforeseen expenditures as a result of ongoing litigation, we may be required to raise capital, reduce planned research and development activities, incur restructuring charges or reduce other operating expenses which could have an adverse impact on our ability to achieve our intended business objectives.</w:t>
      </w:r>
    </w:p>
    <w:p>
      <w:pPr>
        <w:spacing w:after="0" w:line="145" w:lineRule="exact"/>
        <w:rPr>
          <w:sz w:val="20"/>
          <w:szCs w:val="20"/>
          <w:color w:val="auto"/>
        </w:rPr>
      </w:pPr>
    </w:p>
    <w:p>
      <w:pPr>
        <w:ind w:right="100" w:firstLine="396"/>
        <w:spacing w:after="0" w:line="237" w:lineRule="auto"/>
        <w:rPr>
          <w:sz w:val="20"/>
          <w:szCs w:val="20"/>
          <w:color w:val="auto"/>
        </w:rPr>
      </w:pPr>
      <w:r>
        <w:rPr>
          <w:rFonts w:ascii="Times New Roman" w:cs="Times New Roman" w:eastAsia="Times New Roman" w:hAnsi="Times New Roman"/>
          <w:sz w:val="18"/>
          <w:szCs w:val="18"/>
          <w:color w:val="auto"/>
        </w:rPr>
        <w:t>Our liquidity could be compromised if there is any interruption in our business operations, a material failure to satisfy our contractual commitments or a failure to generate revenue from new or existing products. Ultimately, our ability to attain profitability and to generate positive cash flow is dependent upon achieving a level of revenues adequate to support our evolving cost structure and increasing working capital needs. If events or circumstances occur such that we do not meet our operating plan as expected, we may be required to raise additional capital, reduce planned research and development activities, incur additional restructuring charges or reduce other operating expenses and capital expenditures which could have an adverse impact on our ability to achieve our intended business objectives. There can be no assurance that any required or desired restructuring or financing will be available on terms favorable to us, or at all.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we may be subject to additional limitations on our operations. Additionally, we are uncertain of the full extent to which the COVID-19 pandemic will impact our business, operations and financial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51" w:lineRule="exact"/>
        <w:rPr>
          <w:sz w:val="20"/>
          <w:szCs w:val="20"/>
          <w:color w:val="auto"/>
        </w:rPr>
      </w:pPr>
    </w:p>
    <w:p>
      <w:pPr>
        <w:ind w:firstLine="396"/>
        <w:spacing w:after="0" w:line="279" w:lineRule="auto"/>
        <w:rPr>
          <w:sz w:val="20"/>
          <w:szCs w:val="20"/>
          <w:color w:val="auto"/>
        </w:rPr>
      </w:pPr>
      <w:r>
        <w:rPr>
          <w:rFonts w:ascii="Times New Roman" w:cs="Times New Roman" w:eastAsia="Times New Roman" w:hAnsi="Times New Roman"/>
          <w:sz w:val="16"/>
          <w:szCs w:val="16"/>
          <w:color w:val="auto"/>
        </w:rPr>
        <w:t>On August 5, 2022, we entered into a Loan and Security Agreement (the “Credit Agreement”) with Siena Lending Group LLC, as lender (“Lender”). The Credit Agreement established a $50.0 million secured asset-backed revolving credit facility (“Credit Facility”) with a final maturity date of December 31,</w:t>
      </w:r>
    </w:p>
    <w:p>
      <w:pPr>
        <w:spacing w:after="0" w:line="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2024. On February 25, 2023, we entered into an amendment of the Credit Agreement (“Amended Credit Agreement”) with an effective date of December 15, 2022, which clarified certain terms within the Credit Agreement. Availability under the Credit Facility is determined monthly by a Borrowing Base (as defined in the Credit Agreement) comprised of a percentage of eligible accounts receivable and eligible inventory of the Borrowers. Outstanding amounts exceeding the borrowing base must be repaid immediately.</w:t>
      </w:r>
    </w:p>
    <w:p>
      <w:pPr>
        <w:spacing w:after="0" w:line="129" w:lineRule="exact"/>
        <w:rPr>
          <w:sz w:val="20"/>
          <w:szCs w:val="20"/>
          <w:color w:val="auto"/>
        </w:rPr>
      </w:pPr>
    </w:p>
    <w:p>
      <w:pPr>
        <w:ind w:right="40" w:firstLine="396"/>
        <w:spacing w:after="0"/>
        <w:rPr>
          <w:sz w:val="20"/>
          <w:szCs w:val="20"/>
          <w:color w:val="auto"/>
        </w:rPr>
      </w:pPr>
      <w:r>
        <w:rPr>
          <w:rFonts w:ascii="Times New Roman" w:cs="Times New Roman" w:eastAsia="Times New Roman" w:hAnsi="Times New Roman"/>
          <w:sz w:val="18"/>
          <w:szCs w:val="18"/>
          <w:color w:val="auto"/>
        </w:rPr>
        <w:t>Borrowings under the Credit Facility may take the form of base rate (“Base Rate”) loans or Secured Overnight Financing Rate (“SOFR”) loans. SOFR loans will bear interest at a rate per annum equal to Term SOFR (as defined in the Amended Credit Agreement as the Term SOFR Reference Rate for a term of one month on the day) plus the Applicable Margin (as defined in the Amended Credit Agreement), with a Term SOFR floor of 1%. Base Rate loans will bear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Amended Credit Agreement) plus 0.5% and (c) 3.50% per annum.</w:t>
      </w:r>
    </w:p>
    <w:p>
      <w:pPr>
        <w:spacing w:after="0" w:line="130" w:lineRule="exact"/>
        <w:rPr>
          <w:sz w:val="20"/>
          <w:szCs w:val="20"/>
          <w:color w:val="auto"/>
        </w:rPr>
      </w:pPr>
    </w:p>
    <w:p>
      <w:pPr>
        <w:jc w:val="both"/>
        <w:ind w:right="100" w:firstLine="396"/>
        <w:spacing w:after="0" w:line="283" w:lineRule="auto"/>
        <w:rPr>
          <w:sz w:val="20"/>
          <w:szCs w:val="20"/>
          <w:color w:val="auto"/>
        </w:rPr>
      </w:pPr>
      <w:r>
        <w:rPr>
          <w:rFonts w:ascii="Times New Roman" w:cs="Times New Roman" w:eastAsia="Times New Roman" w:hAnsi="Times New Roman"/>
          <w:sz w:val="16"/>
          <w:szCs w:val="16"/>
          <w:color w:val="auto"/>
        </w:rPr>
        <w:t>The Applicable Margin varies depending on the average outstanding amount for a preceding month. If the average outstanding amount for a preceding month is less than $15 million, the Applicable Margin will be 2.50% for Base Rate loans and 3.50% for SOFR loans. If the average outstanding amount for a preceding month is between $15 million and $25 million, the Applicable Margin will be 3.00% for Base Rate loans and 4.00% for SOFR loans. If the average outstanding amount for a preceding month is greater than $25 million, the Applicable Margin will be 4.5% for Base Rate loans and 5.50% for SOFR loans.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25" w:right="359" w:bottom="1440" w:gutter="0" w:footer="0" w:header="0"/>
        </w:sectPr>
      </w:pPr>
    </w:p>
    <w:bookmarkStart w:id="25" w:name="page26"/>
    <w:bookmarkEnd w:id="25"/>
    <w:p>
      <w:pPr>
        <w:ind w:right="60" w:firstLine="396"/>
        <w:spacing w:after="0" w:line="242" w:lineRule="auto"/>
        <w:rPr>
          <w:sz w:val="20"/>
          <w:szCs w:val="20"/>
          <w:color w:val="auto"/>
        </w:rPr>
      </w:pPr>
      <w:r>
        <w:rPr>
          <w:rFonts w:ascii="Times New Roman" w:cs="Times New Roman" w:eastAsia="Times New Roman" w:hAnsi="Times New Roman"/>
          <w:sz w:val="18"/>
          <w:szCs w:val="18"/>
          <w:color w:val="auto"/>
        </w:rPr>
        <w:t>The Amended Credit Agreement contains a financial covenant whereby the Loan Parties shall not permit the consolidated Liquidity (as defined in the Credit Agreement) to be less than $10 million at any time. The Credit Agreement also contains certain customary covenants, which include, but are not limited to, restrictions on indebtedness, liens, fundamental changes, restricted payments, asset sales, and investments, and places limits on various other payments. We were in compliance with the financial covenants contained in the Amended Credit Agreement as of March 31, 2023.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March 31, 2023, we had outstanding borrowings of $4.5 million, a gross borrowing base of $16.3 million and excess availability of $11.8 million.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Notes</w:t>
      </w:r>
    </w:p>
    <w:p>
      <w:pPr>
        <w:spacing w:after="0" w:line="164" w:lineRule="exact"/>
        <w:rPr>
          <w:sz w:val="20"/>
          <w:szCs w:val="20"/>
          <w:color w:val="auto"/>
        </w:rPr>
      </w:pPr>
    </w:p>
    <w:p>
      <w:pPr>
        <w:jc w:val="both"/>
        <w:ind w:right="40" w:firstLine="396"/>
        <w:spacing w:after="0" w:line="241" w:lineRule="auto"/>
        <w:rPr>
          <w:sz w:val="20"/>
          <w:szCs w:val="20"/>
          <w:color w:val="auto"/>
        </w:rPr>
      </w:pPr>
      <w:r>
        <w:rPr>
          <w:rFonts w:ascii="Times New Roman" w:cs="Times New Roman" w:eastAsia="Times New Roman" w:hAnsi="Times New Roman"/>
          <w:sz w:val="18"/>
          <w:szCs w:val="18"/>
          <w:color w:val="auto"/>
        </w:rPr>
        <w:t>On May 12, 2020, we completed a registered public offering of $100.0 million aggregate principal amount of our 3.5% convertible senior notes due 2025 (“the 2025 Notes”) and issued $80.4 million principal amount of 2025 Notes in the privately negotiated exchange agreements that closed concurrently with the registered offering in May 2020.</w:t>
      </w:r>
    </w:p>
    <w:p>
      <w:pPr>
        <w:spacing w:after="0" w:line="141" w:lineRule="exact"/>
        <w:rPr>
          <w:sz w:val="20"/>
          <w:szCs w:val="20"/>
          <w:color w:val="auto"/>
        </w:rPr>
      </w:pPr>
    </w:p>
    <w:p>
      <w:pPr>
        <w:jc w:val="both"/>
        <w:ind w:firstLine="396"/>
        <w:spacing w:after="0" w:line="287" w:lineRule="auto"/>
        <w:rPr>
          <w:sz w:val="20"/>
          <w:szCs w:val="20"/>
          <w:color w:val="auto"/>
        </w:rPr>
      </w:pPr>
      <w:r>
        <w:rPr>
          <w:rFonts w:ascii="Times New Roman" w:cs="Times New Roman" w:eastAsia="Times New Roman" w:hAnsi="Times New Roman"/>
          <w:sz w:val="16"/>
          <w:szCs w:val="16"/>
          <w:color w:val="auto"/>
        </w:rPr>
        <w:t>As of March 31, 2023 and December 31, 2022, $161.9 million in principal amount of the 2025 Notes were outstanding. Assuming no repurchases or conversions of the 2025 Notes prior to May 1, 2025, the entire principal balance of $161.9 million is due on May 1, 2025. The 2025 Notes are senior unsecured obligations of the Company and bear interest at an annual rate of 3.25%, payable semi-annually in arrears on May 1 and November 1 of each year.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Distribution Agreement</w:t>
      </w:r>
    </w:p>
    <w:p>
      <w:pPr>
        <w:spacing w:after="0" w:line="151" w:lineRule="exact"/>
        <w:rPr>
          <w:sz w:val="20"/>
          <w:szCs w:val="20"/>
          <w:color w:val="auto"/>
        </w:rPr>
      </w:pPr>
    </w:p>
    <w:p>
      <w:pPr>
        <w:jc w:val="both"/>
        <w:ind w:firstLine="396"/>
        <w:spacing w:after="0"/>
        <w:rPr>
          <w:sz w:val="20"/>
          <w:szCs w:val="20"/>
          <w:color w:val="auto"/>
        </w:rPr>
      </w:pPr>
      <w:r>
        <w:rPr>
          <w:rFonts w:ascii="Times New Roman" w:cs="Times New Roman" w:eastAsia="Times New Roman" w:hAnsi="Times New Roman"/>
          <w:sz w:val="18"/>
          <w:szCs w:val="18"/>
          <w:color w:val="auto"/>
        </w:rPr>
        <w:t>On January 25, 2021, we entered into an Equity Distribution Agreement with Canaccord Genuity LLC (the “Agent”), pursuant to which we may offer and sell, from time to time, through or to the Agent, up to $40.0 million of shares of our common stock (the “ATM Offering”) pursuant to the Company’s Registration Statement on Form S-3ASR (File No. 333-238057), as filed with the SEC on May 7, 2020 and amended from time to time. During the quarter ended March 31, 2023 the Company sold 858,098 shares of common stock, at an average price of $0.62 per share, for net proceeds of $0.5 million, after deducting underwriter fees and discounts. As of March 31, 2023, there were approximately $9 million of shares remaining available for sale under the ATM Offering.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material contractual obligations are as follows:</w:t>
      </w:r>
    </w:p>
    <w:p>
      <w:pPr>
        <w:spacing w:after="0" w:line="189" w:lineRule="exact"/>
        <w:rPr>
          <w:sz w:val="20"/>
          <w:szCs w:val="20"/>
          <w:color w:val="auto"/>
        </w:rPr>
      </w:pPr>
    </w:p>
    <w:p>
      <w:pPr>
        <w:ind w:left="640" w:hanging="318"/>
        <w:spacing w:after="0" w:line="233"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March 31, 2023, our future payments under these noncancellable purchase obligations were approximately $53.4 million.</w:t>
      </w:r>
    </w:p>
    <w:p>
      <w:pPr>
        <w:ind w:left="640" w:hanging="318"/>
        <w:spacing w:after="0" w:line="229"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$161,898 in outstanding principal amount of 2025 Notes with required interest payments;</w:t>
      </w:r>
    </w:p>
    <w:p>
      <w:pPr>
        <w:ind w:left="640" w:hanging="31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in outstanding borrowings under the revolving Credit Facility; and</w:t>
      </w:r>
    </w:p>
    <w:p>
      <w:pPr>
        <w:spacing w:after="0" w:line="1" w:lineRule="exact"/>
        <w:rPr>
          <w:rFonts w:ascii="Times New Roman" w:cs="Times New Roman" w:eastAsia="Times New Roman" w:hAnsi="Times New Roman"/>
          <w:sz w:val="18"/>
          <w:szCs w:val="18"/>
          <w:color w:val="auto"/>
        </w:rPr>
      </w:pPr>
    </w:p>
    <w:p>
      <w:pPr>
        <w:ind w:left="640" w:hanging="318"/>
        <w:spacing w:after="0" w:line="235" w:lineRule="auto"/>
        <w:tabs>
          <w:tab w:leader="none" w:pos="64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 xml:space="preserve">Operating lease liabilities that are included on our consolidated balance sheet; see Note 10. </w:t>
      </w:r>
      <w:r>
        <w:rPr>
          <w:rFonts w:ascii="Times New Roman" w:cs="Times New Roman" w:eastAsia="Times New Roman" w:hAnsi="Times New Roman"/>
          <w:sz w:val="18"/>
          <w:szCs w:val="18"/>
          <w:i w:val="1"/>
          <w:iCs w:val="1"/>
          <w:color w:val="auto"/>
        </w:rPr>
        <w:t>Leases.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material changes in our other contractual obligations during the three months ended March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Cash Flows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condensed consolidated statements of cash flows for the periods indicated (in thousands):</w:t>
      </w:r>
    </w:p>
    <w:p>
      <w:pPr>
        <w:spacing w:after="0" w:line="18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760" w:type="dxa"/>
            <w:vAlign w:val="bottom"/>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(2,504)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w:t>
            </w:r>
          </w:p>
        </w:tc>
      </w:tr>
      <w:tr>
        <w:trPr>
          <w:trHeight w:val="209"/>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(3,340)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r>
      <w:tr>
        <w:trPr>
          <w:trHeight w:val="21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7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r>
      <w:tr>
        <w:trPr>
          <w:trHeight w:val="202"/>
        </w:trPr>
        <w:tc>
          <w:tcPr>
            <w:tcW w:w="8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w:t>
            </w:r>
          </w:p>
        </w:tc>
      </w:tr>
      <w:tr>
        <w:trPr>
          <w:trHeight w:val="21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7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49,812</w:t>
            </w:r>
          </w:p>
        </w:tc>
      </w:tr>
      <w:tr>
        <w:trPr>
          <w:trHeight w:val="202"/>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7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45,181</w:t>
            </w:r>
          </w:p>
        </w:tc>
      </w:tr>
      <w:tr>
        <w:trPr>
          <w:trHeight w:val="22"/>
        </w:trPr>
        <w:tc>
          <w:tcPr>
            <w:tcW w:w="8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6" w:lineRule="exact"/>
        <w:rPr>
          <w:sz w:val="20"/>
          <w:szCs w:val="20"/>
          <w:color w:val="auto"/>
        </w:rPr>
      </w:pPr>
    </w:p>
    <w:p>
      <w:pPr>
        <w:ind w:firstLine="396"/>
        <w:spacing w:after="0" w:line="241"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2023 is primarily comprised of a $5.1 million net loss incurred during the period, net cash used for working capital of $3.6 million, partially offset by non-cash charges, including depreciation and amortization of $5.4 million, share-based compensation expense of $1.8 million, and amortization of debt discount and debt issuance costs of $0.5 million.</w:t>
      </w:r>
    </w:p>
    <w:p>
      <w:pPr>
        <w:spacing w:after="0" w:line="141" w:lineRule="exact"/>
        <w:rPr>
          <w:sz w:val="20"/>
          <w:szCs w:val="20"/>
          <w:color w:val="auto"/>
        </w:rPr>
      </w:pPr>
    </w:p>
    <w:p>
      <w:pPr>
        <w:ind w:right="180" w:firstLine="396"/>
        <w:spacing w:after="0" w:line="242" w:lineRule="auto"/>
        <w:rPr>
          <w:sz w:val="20"/>
          <w:szCs w:val="20"/>
          <w:color w:val="auto"/>
        </w:rPr>
      </w:pPr>
      <w:r>
        <w:rPr>
          <w:rFonts w:ascii="Times New Roman" w:cs="Times New Roman" w:eastAsia="Times New Roman" w:hAnsi="Times New Roman"/>
          <w:sz w:val="18"/>
          <w:szCs w:val="18"/>
          <w:color w:val="auto"/>
        </w:rPr>
        <w:t>Net cash used in operating activities for the same period in 2022 is primarily comprised of a $25.2 million net loss and a $0.6 million non-cash gain attributable to the fair value adjustment on derivative instruments. which was offset by net cash provided from working capital of $3.9 million, and non-cash charges, including depreciation and amortization of $7.2 million share-based compensation expense of $11.2 million, $1.7 million of amortization of debt issuance and discount costs and other non-cash adjustments.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53" w:lineRule="exact"/>
        <w:rPr>
          <w:sz w:val="20"/>
          <w:szCs w:val="20"/>
          <w:color w:val="auto"/>
        </w:rPr>
      </w:pPr>
    </w:p>
    <w:p>
      <w:pPr>
        <w:ind w:right="40" w:firstLine="396"/>
        <w:spacing w:after="0" w:line="269"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2023 is primarily comprised of $2.4 million of cash outflows related to the development of software in support of our 5G products and services and $0.1 million of property, plant and equipment purchases.</w:t>
      </w:r>
    </w:p>
    <w:p>
      <w:pPr>
        <w:spacing w:after="0" w:line="103" w:lineRule="exact"/>
        <w:rPr>
          <w:sz w:val="20"/>
          <w:szCs w:val="20"/>
          <w:color w:val="auto"/>
        </w:rPr>
      </w:pPr>
    </w:p>
    <w:p>
      <w:pPr>
        <w:ind w:firstLine="396"/>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during the same period in 2022 is primarily comprised of $3.1 million of cash outflows related to the development of software in support of our 5G products and services and $0.8 million of property, plant and equipment purchases.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53" w:lineRule="exact"/>
        <w:rPr>
          <w:sz w:val="20"/>
          <w:szCs w:val="20"/>
          <w:color w:val="auto"/>
        </w:rPr>
      </w:pPr>
    </w:p>
    <w:p>
      <w:pPr>
        <w:ind w:right="340" w:firstLine="396"/>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2023 is primarily comprised of $3.4 million of cash outflow related to repayments of our revolving credit facility, partially offset by $0.5 million in proceeds from public offering.</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 for the same period in 2022 is primarily comprised of $1.0 million in principal repayments of financed assets.</w:t>
      </w:r>
    </w:p>
    <w:p>
      <w:pPr>
        <w:spacing w:after="0" w:line="200" w:lineRule="exact"/>
        <w:rPr>
          <w:sz w:val="20"/>
          <w:szCs w:val="20"/>
          <w:color w:val="auto"/>
        </w:rPr>
      </w:pPr>
    </w:p>
    <w:p>
      <w:pPr>
        <w:spacing w:after="0" w:line="34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166" w:lineRule="exact"/>
        <w:rPr>
          <w:sz w:val="20"/>
          <w:szCs w:val="20"/>
          <w:color w:val="auto"/>
        </w:rPr>
      </w:pPr>
    </w:p>
    <w:p>
      <w:pPr>
        <w:ind w:right="360" w:firstLine="396"/>
        <w:spacing w:after="0" w:line="249"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Our revenue, earnings, cash flows, receivables, and payables are subject to fluctuations due to changes in foreign currency exchange rates. The ongoing COVID-19 pandemic has increased the volatility of global financial markets, which may increase our foreign currency exchange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Notes and Embedded Derivative</w:t>
      </w:r>
    </w:p>
    <w:p>
      <w:pPr>
        <w:spacing w:after="0" w:line="16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Our total fixed-rate borrowings under the 2025 Notes as of both March 31, 2023 and December 31, 2022 were $161.9 million. We record all of our fixed-rate borrowings at amortized cost and therefore, any changes in interest rates do not impact the carrying values that we report for these senior notes on our consolidated financial statements.</w:t>
      </w:r>
    </w:p>
    <w:p>
      <w:pPr>
        <w:spacing w:after="0" w:line="141" w:lineRule="exact"/>
        <w:rPr>
          <w:sz w:val="20"/>
          <w:szCs w:val="20"/>
          <w:color w:val="auto"/>
        </w:rPr>
      </w:pPr>
    </w:p>
    <w:p>
      <w:pPr>
        <w:ind w:firstLine="396"/>
        <w:spacing w:after="0" w:line="239" w:lineRule="auto"/>
        <w:rPr>
          <w:sz w:val="20"/>
          <w:szCs w:val="20"/>
          <w:color w:val="auto"/>
        </w:rPr>
      </w:pPr>
      <w:r>
        <w:rPr>
          <w:rFonts w:ascii="Times New Roman" w:cs="Times New Roman" w:eastAsia="Times New Roman" w:hAnsi="Times New Roman"/>
          <w:sz w:val="18"/>
          <w:szCs w:val="18"/>
          <w:color w:val="auto"/>
        </w:rPr>
        <w:t xml:space="preserve">The 2025 Notes include an embedded derivative which was marked to fair value at both March 31, 2023 and December 31, 2022 of $0.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Notes and the embedded derivative are included in Part 1 Item 1 Note 3. </w:t>
      </w:r>
      <w:r>
        <w:rPr>
          <w:rFonts w:ascii="Times New Roman" w:cs="Times New Roman" w:eastAsia="Times New Roman" w:hAnsi="Times New Roman"/>
          <w:sz w:val="18"/>
          <w:szCs w:val="18"/>
          <w:i w:val="1"/>
          <w:iCs w:val="1"/>
          <w:color w:val="auto"/>
        </w:rPr>
        <w:t>Fair Value Measurement of Assets and Liabilities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this Quarterly Report on Form 10-Q.</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66" w:lineRule="exact"/>
        <w:rPr>
          <w:sz w:val="20"/>
          <w:szCs w:val="20"/>
          <w:color w:val="auto"/>
        </w:rPr>
      </w:pPr>
    </w:p>
    <w:p>
      <w:pPr>
        <w:ind w:right="360" w:firstLine="396"/>
        <w:spacing w:after="0" w:line="241"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our revolving credit facility. As of March 31, 2023, assuming our revolving credit facility was fully drawn up to the $16.3 million borrowing base, a 1% increase in interest rates would result in a $0.1 million change in annualized interest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8" w:right="379" w:bottom="1440" w:gutter="0" w:footer="0" w:header="0"/>
        </w:sectPr>
      </w:pPr>
    </w:p>
    <w:bookmarkStart w:id="27" w:name="page28"/>
    <w:bookmarkEnd w:id="27"/>
    <w:p>
      <w:pPr>
        <w:ind w:right="60" w:firstLine="396"/>
        <w:spacing w:after="0" w:line="242" w:lineRule="auto"/>
        <w:rPr>
          <w:sz w:val="20"/>
          <w:szCs w:val="20"/>
          <w:color w:val="auto"/>
        </w:rPr>
      </w:pPr>
      <w:r>
        <w:rPr>
          <w:rFonts w:ascii="Times New Roman" w:cs="Times New Roman" w:eastAsia="Times New Roman" w:hAnsi="Times New Roman"/>
          <w:sz w:val="18"/>
          <w:szCs w:val="18"/>
          <w:color w:val="auto"/>
        </w:rPr>
        <w:t>Inflation has increased during the period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some effect if inflation rates continue to rise. Significant adverse changes in inflation and prices in the future could result in material losses.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 Risk</w:t>
      </w:r>
    </w:p>
    <w:p>
      <w:pPr>
        <w:spacing w:after="0" w:line="166" w:lineRule="exact"/>
        <w:rPr>
          <w:sz w:val="20"/>
          <w:szCs w:val="20"/>
          <w:color w:val="auto"/>
        </w:rPr>
      </w:pPr>
    </w:p>
    <w:p>
      <w:pPr>
        <w:ind w:right="80" w:firstLine="396"/>
        <w:spacing w:after="0" w:line="239"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A majority of our revenue is denominated in U.S. Dollars, and therefore, our revenue is not directly subject to foreign currency risk.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30" w:lineRule="exact"/>
        <w:rPr>
          <w:sz w:val="20"/>
          <w:szCs w:val="20"/>
          <w:color w:val="auto"/>
        </w:rPr>
      </w:pPr>
    </w:p>
    <w:p>
      <w:pPr>
        <w:ind w:firstLine="396"/>
        <w:spacing w:after="0" w:line="239" w:lineRule="auto"/>
        <w:rPr>
          <w:sz w:val="20"/>
          <w:szCs w:val="20"/>
          <w:color w:val="auto"/>
        </w:rPr>
      </w:pPr>
      <w:r>
        <w:rPr>
          <w:rFonts w:ascii="Times New Roman" w:cs="Times New Roman" w:eastAsia="Times New Roman" w:hAnsi="Times New Roman"/>
          <w:sz w:val="18"/>
          <w:szCs w:val="18"/>
          <w:color w:val="auto"/>
        </w:rPr>
        <w:t>For the three months ended March 31, 2023 and 2022, sales denominated in foreign currencies were approximately 14.9% and 14.2% of total revenue. Our expenses are generally denominated in the currencies in which our operations are located, which are primarily in the U.S. and to a lesser extent in Europe. Our results of operations and cash flows are, therefore, subject to fluctuations due to changes in foreign currency exchange rates and may be adversely affected in the future due to changes in foreign exchange rates. These foreign functional currencies consist of the South African Rand, British Pound Sterling, Euro, and Australian Dollar (collectively, the “Foreign Functional Currencies”). For the three months ended March 31, 2023, a hypothetical 10% change in Foreign Functional Currency exchange rates would have increased or decreased our revenue by approximately $756,831. Actual gains and losses in the future may differ materially from the hypothetical gains and losses discussed above based on changes in the timing and amount of foreign currency exchange rate movements.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Risk</w:t>
      </w:r>
    </w:p>
    <w:p>
      <w:pPr>
        <w:spacing w:after="0" w:line="15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Fluctuations in foreign currencies impact the amount of total assets, liabilities, earnings and cash flows that we report for our foreign subsidiaries upon the translation of these amounts into U.S. Dollars for, and as of the end of, each reporting period. In particular, the strengthening of the U.S. Dollar generally will reduce the reported amount of our foreign-denominated cash, cash equivalents, marketable securities, total revenues and total expense that we translate into U.S. Dollars and report in our consolidated financial statements for, and as of the end of, each reporting period.</w:t>
      </w:r>
    </w:p>
    <w:p>
      <w:pPr>
        <w:spacing w:after="0" w:line="1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51" w:lineRule="exact"/>
        <w:rPr>
          <w:sz w:val="20"/>
          <w:szCs w:val="20"/>
          <w:color w:val="auto"/>
        </w:rPr>
      </w:pPr>
    </w:p>
    <w:p>
      <w:pPr>
        <w:jc w:val="both"/>
        <w:ind w:right="140" w:firstLine="396"/>
        <w:spacing w:after="0" w:line="24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28" w:lineRule="exact"/>
        <w:rPr>
          <w:sz w:val="20"/>
          <w:szCs w:val="20"/>
          <w:color w:val="auto"/>
        </w:rPr>
      </w:pPr>
    </w:p>
    <w:p>
      <w:pPr>
        <w:ind w:firstLine="396"/>
        <w:spacing w:after="0" w:line="242"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March 31, 2023, the end of the period covered by this report. Based on the foregoing, our principal executive officer and principal financial officer concluded that our disclosure controls and procedures were effective as of March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51" w:lineRule="exact"/>
        <w:rPr>
          <w:sz w:val="20"/>
          <w:szCs w:val="20"/>
          <w:color w:val="auto"/>
        </w:rPr>
      </w:pPr>
    </w:p>
    <w:p>
      <w:pPr>
        <w:ind w:right="100" w:firstLine="396"/>
        <w:spacing w:after="0" w:line="24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promulgated under the Exchange Act, during the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6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100" w:lineRule="exact"/>
        <w:rPr>
          <w:sz w:val="20"/>
          <w:szCs w:val="20"/>
          <w:color w:val="auto"/>
        </w:rPr>
      </w:pPr>
    </w:p>
    <w:p>
      <w:pPr>
        <w:jc w:val="both"/>
        <w:ind w:right="240" w:firstLine="396"/>
        <w:spacing w:after="0" w:line="249" w:lineRule="auto"/>
        <w:rPr>
          <w:sz w:val="20"/>
          <w:szCs w:val="20"/>
          <w:color w:val="auto"/>
        </w:rPr>
      </w:pPr>
      <w:r>
        <w:rPr>
          <w:rFonts w:ascii="Times New Roman" w:cs="Times New Roman" w:eastAsia="Times New Roman" w:hAnsi="Times New Roman"/>
          <w:sz w:val="18"/>
          <w:szCs w:val="18"/>
          <w:color w:val="auto"/>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pacing w:after="0" w:line="16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166" w:lineRule="exact"/>
        <w:rPr>
          <w:sz w:val="20"/>
          <w:szCs w:val="20"/>
          <w:color w:val="auto"/>
        </w:rPr>
      </w:pPr>
    </w:p>
    <w:p>
      <w:pPr>
        <w:ind w:firstLine="396"/>
        <w:spacing w:after="0" w:line="243" w:lineRule="auto"/>
        <w:rPr>
          <w:sz w:val="20"/>
          <w:szCs w:val="20"/>
          <w:color w:val="auto"/>
        </w:rPr>
      </w:pPr>
      <w:r>
        <w:rPr>
          <w:rFonts w:ascii="Times New Roman" w:cs="Times New Roman" w:eastAsia="Times New Roman" w:hAnsi="Times New Roman"/>
          <w:sz w:val="18"/>
          <w:szCs w:val="18"/>
          <w:color w:val="auto"/>
        </w:rPr>
        <w:t>As of the date of this filing, except as discussed below, there have been no material changes to the risk factors included in our Annual Report on Form 10-K for the year ended December 31, 2022, as filed with the SEC on March 3, 2023. There have been no material changes in our risk factors from those disclosed in “Item 1A. Risk Factors” of the Form 10-K, Form 10-Q,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w:t>
      </w:r>
    </w:p>
    <w:p>
      <w:pPr>
        <w:spacing w:after="0" w:line="201" w:lineRule="exact"/>
        <w:rPr>
          <w:sz w:val="20"/>
          <w:szCs w:val="20"/>
          <w:color w:val="auto"/>
        </w:rPr>
      </w:pPr>
    </w:p>
    <w:p>
      <w:pPr>
        <w:jc w:val="both"/>
        <w:ind w:right="140" w:firstLine="396"/>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We have not been in compliance with the requirements of the NASDAQ Stock Market for continued listing and if NASDAQ does not concur that we have adequately remedied our non-compliance, our common stock may be delisted from trading on NASDAQ, which could have a material adverse effect on us and our shareholders.</w:t>
      </w:r>
    </w:p>
    <w:p>
      <w:pPr>
        <w:spacing w:after="0" w:line="185" w:lineRule="exact"/>
        <w:rPr>
          <w:sz w:val="20"/>
          <w:szCs w:val="20"/>
          <w:color w:val="auto"/>
        </w:rPr>
      </w:pPr>
    </w:p>
    <w:p>
      <w:pPr>
        <w:ind w:right="260" w:firstLine="435"/>
        <w:spacing w:after="0" w:line="241" w:lineRule="auto"/>
        <w:rPr>
          <w:sz w:val="20"/>
          <w:szCs w:val="20"/>
          <w:color w:val="auto"/>
        </w:rPr>
      </w:pPr>
      <w:r>
        <w:rPr>
          <w:rFonts w:ascii="Times New Roman" w:cs="Times New Roman" w:eastAsia="Times New Roman" w:hAnsi="Times New Roman"/>
          <w:sz w:val="18"/>
          <w:szCs w:val="18"/>
          <w:color w:val="auto"/>
        </w:rPr>
        <w:t>On March 24, 2023, the Company received a written notice from The NASDAQ Stock Market (“Nasdaq”) that, because the closing bid price for the Company's common stock had fallen below $1.00 per share for 30 consecutive business days, the Company no longer complies with the minimum bid price requirement for continued listing on the Nasdaq Global Select Market.</w:t>
      </w:r>
    </w:p>
    <w:p>
      <w:pPr>
        <w:spacing w:after="0" w:line="207" w:lineRule="exact"/>
        <w:rPr>
          <w:sz w:val="20"/>
          <w:szCs w:val="20"/>
          <w:color w:val="auto"/>
        </w:rPr>
      </w:pPr>
    </w:p>
    <w:p>
      <w:pPr>
        <w:ind w:right="120" w:firstLine="435"/>
        <w:spacing w:after="0" w:line="234" w:lineRule="auto"/>
        <w:rPr>
          <w:sz w:val="20"/>
          <w:szCs w:val="20"/>
          <w:color w:val="auto"/>
        </w:rPr>
      </w:pPr>
      <w:r>
        <w:rPr>
          <w:rFonts w:ascii="Times New Roman" w:cs="Times New Roman" w:eastAsia="Times New Roman" w:hAnsi="Times New Roman"/>
          <w:sz w:val="18"/>
          <w:szCs w:val="18"/>
          <w:color w:val="auto"/>
        </w:rPr>
        <w:t>Nasdaq's notice has no immediate effect on the listing of the Company's common stock on the Nasdaq Global Select Market. Pursuant to Nasdaq Marketplace Rule 5810(c)(3)(A), the Company has been provided an initial compliance period of 180 calendar days, or until September 20, 2023, to regain compliance with the minimum bid price requirement. To regain compliance, the closing bid price of the Company's common stock must meet or exceed $1.00 per share for a minimum of 10 consecutive business days prior to September 20, 2023.</w:t>
      </w:r>
    </w:p>
    <w:p>
      <w:pPr>
        <w:spacing w:after="0" w:line="208" w:lineRule="exact"/>
        <w:rPr>
          <w:sz w:val="20"/>
          <w:szCs w:val="20"/>
          <w:color w:val="auto"/>
        </w:rPr>
      </w:pPr>
    </w:p>
    <w:p>
      <w:pPr>
        <w:ind w:firstLine="435"/>
        <w:spacing w:after="0" w:line="233" w:lineRule="auto"/>
        <w:rPr>
          <w:sz w:val="20"/>
          <w:szCs w:val="20"/>
          <w:color w:val="auto"/>
        </w:rPr>
      </w:pPr>
      <w:r>
        <w:rPr>
          <w:rFonts w:ascii="Times New Roman" w:cs="Times New Roman" w:eastAsia="Times New Roman" w:hAnsi="Times New Roman"/>
          <w:sz w:val="18"/>
          <w:szCs w:val="18"/>
          <w:color w:val="auto"/>
        </w:rPr>
        <w:t>If the Company does not regain compliance by September 20, 2023, the Company may be eligible for an additional grace period if it applies to transfer the listing of its common stock to the Nasdaq Capital Market. To qualify, the Company would be required to meet the continued listing requirement for market value of publicly held shares and all other initial listing standards for the Nasdaq Capital Market, with the exception of the minimum bid price requirement, and provide written notice of its intention to cure the minimum bid price deficiency during the second compliance period by effecting a reverse stock split if necessary. If the Nasdaq staff determines that the Company will not be able to cure the deficiency, or if the Company is otherwise not eligible for such additional compliance period, Nasdaq will provide notice that the Company's common stock will be subject to delisting. The Company would have the right to appeal a determination to delist its common stock, and the common stock would remain listed on the Nasdaq Global Select Market until the completion of the appeal process.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Unregistered Sales of Equity Securities and Use of Proceeds.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Defaults Upon Senior Securities.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9" w:name="page30"/>
    <w:bookmarkEnd w:id="29"/>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10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On May 2, 2023, (1) South Ocean Funding, LLC and North Sound Ventures, LP (the “Participants”) collectively purchased a $4.0 million last-out subordinated participation interest in the Credit Agreement (the “Participation Interest”) from the Lender pursuant to a Participation Agreement between the Participants and the Lender (the “Participation Agreement”), and (2) the Borrowers entered into an amendment to the Credit Agreement which increased the borrowing base under the Credit Facility by $4.0 million, increased the minimum draw to $8.5 million, and modified certain covenants. In connection with the purchase of the Participation Interest, we agreed to pay the Participants an exit fee upon the earlier of (a) the scheduled maturity date of the Credit Agreement, (b) the termination of the Lender’s commitment to make revolving loans prior to the scheduled maturity date of the Credit Agreement, and (c) the early redemption of the Participants’ Participation Interest under the Participation Agreement (the earliest to occur of the foregoing, the “Exit Event”). The aggregate exit fee payable to the Participants is equal to (i) 7.5% of the Participation Interest, if the Exit Event occurs on or before December 31, 2023, (ii) 10.0% of the Participation interest, if the Exit Event occurs between January 1, 2024 and June 30, 2024 and (iii) 12.5% of the Participation Interest, if the Exit Events occurs after June 30, 2024. Further, the purchase of the Participation Interest granted an option for the Participants to purchase the subject revolving loan or to redeem its Participation Interest under certain circumstances. South Ocean Funding, LLC is an affiliate of Golden Harbor, Ltd. and North Sound Ventures, LP is an affiliate of North Sound Management, Inc. As of the date hereof, each of Golden Harbor, Ltd. and North Sound Management, Inc. hold in excess of 5% of the Company’s outstanding common stock. James Avery, a member of our Board of Directors, currently serves as Senior Managing Director of Tavistock Group, an affiliate of South Ocean Funding, LLC.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summary is qualified in its entirety by the complete text of the Amendment to Loan and Security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Exit Fee Letter Agreement, filed as Exhibits 10.2 and 10.3, respectively, to this Form 10-Q.</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23" w:right="359" w:bottom="1440" w:gutter="0" w:footer="0" w:header="0"/>
        </w:sectPr>
      </w:pPr>
    </w:p>
    <w:bookmarkStart w:id="30" w:name="page31"/>
    <w:bookmarkEnd w:id="30"/>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Exhibits.</w:t>
      </w:r>
    </w:p>
    <w:p>
      <w:pPr>
        <w:spacing w:after="0" w:line="134"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62223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22365" cy="8255"/>
                    </a:xfrm>
                    <a:prstGeom prst="rect">
                      <a:avLst/>
                    </a:prstGeom>
                    <a:noFill/>
                  </pic:spPr>
                </pic:pic>
              </a:graphicData>
            </a:graphic>
          </wp:anchor>
        </w:drawing>
      </w:r>
    </w:p>
    <w:p>
      <w:pPr>
        <w:sectPr>
          <w:pgSz w:w="11900" w:h="16838" w:orient="portrait"/>
          <w:cols w:equalWidth="0" w:num="1">
            <w:col w:w="10139"/>
          </w:cols>
          <w:pgMar w:left="320" w:top="869" w:right="1440" w:bottom="1440" w:gutter="0" w:footer="0" w:header="0"/>
        </w:sectPr>
      </w:pP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3.1</w:t>
      </w: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3.2</w:t>
      </w: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759"/>
        <w:spacing w:after="0" w:line="239" w:lineRule="auto"/>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Amended and Restated Certificate of Incorporation (incorporated by reference to Exhibit 3.1 to the Company’s Current</w:t>
        </w:r>
      </w:hyperlink>
      <w:r>
        <w:rPr>
          <w:rFonts w:ascii="Times New Roman" w:cs="Times New Roman" w:eastAsia="Times New Roman" w:hAnsi="Times New Roman"/>
          <w:sz w:val="18"/>
          <w:szCs w:val="18"/>
          <w:u w:val="single" w:color="auto"/>
          <w:color w:val="0000FF"/>
        </w:rPr>
        <w:t xml:space="preserve"> </w:t>
      </w:r>
      <w:hyperlink r:id="rId43">
        <w:r>
          <w:rPr>
            <w:rFonts w:ascii="Times New Roman" w:cs="Times New Roman" w:eastAsia="Times New Roman" w:hAnsi="Times New Roman"/>
            <w:sz w:val="18"/>
            <w:szCs w:val="18"/>
            <w:u w:val="single" w:color="auto"/>
            <w:color w:val="0000FF"/>
          </w:rPr>
          <w:t>Report on Form 8-K, filed November 9, 2016).</w:t>
        </w:r>
      </w:hyperlink>
    </w:p>
    <w:p>
      <w:pPr>
        <w:spacing w:after="0" w:line="129" w:lineRule="exact"/>
        <w:rPr>
          <w:sz w:val="20"/>
          <w:szCs w:val="20"/>
          <w:color w:val="auto"/>
        </w:rPr>
      </w:pPr>
    </w:p>
    <w:p>
      <w:pPr>
        <w:ind w:right="639"/>
        <w:spacing w:after="0" w:line="239" w:lineRule="auto"/>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Amended and Restated Bylaws (incorporated by reference to Exhibit 3.2 to the Company’s Current Report on Form 8-K,</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filed November 9, 2016).</w:t>
        </w:r>
      </w:hyperlink>
    </w:p>
    <w:p>
      <w:pPr>
        <w:spacing w:after="0" w:line="76" w:lineRule="exact"/>
        <w:rPr>
          <w:sz w:val="20"/>
          <w:szCs w:val="20"/>
          <w:color w:val="auto"/>
        </w:rPr>
      </w:pPr>
    </w:p>
    <w:p>
      <w:pPr>
        <w:ind w:right="499"/>
        <w:spacing w:after="0" w:line="220" w:lineRule="auto"/>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Certificate of Designation of Series E Fixed-Rate Cumulative Perpetual Preferred Stock filed with the Secretary of State of</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the State of Delaware on August 8, 2019 (incorporated by reference to Exhibit 3.1 to the Company’s Current Report on</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Form 8-K, filed August 13, 2019).</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260" w:space="720"/>
            <w:col w:w="9159"/>
          </w:cols>
          <w:pgMar w:left="320" w:top="869" w:right="1440" w:bottom="1440" w:gutter="0" w:footer="0" w:header="0"/>
          <w:type w:val="continuous"/>
        </w:sectPr>
      </w:pPr>
    </w:p>
    <w:tbl>
      <w:tblPr>
        <w:tblLayout w:type="fixed"/>
        <w:tblInd w:w="20" w:type="dxa"/>
        <w:tblCellMar>
          <w:top w:w="0" w:type="dxa"/>
          <w:left w:w="0" w:type="dxa"/>
          <w:bottom w:w="0" w:type="dxa"/>
          <w:right w:w="0" w:type="dxa"/>
        </w:tblCellMar>
      </w:tblPr>
      <w:tr>
        <w:trPr>
          <w:trHeight w:val="201"/>
        </w:trPr>
        <w:tc>
          <w:tcPr>
            <w:tcW w:w="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3.4</w:t>
            </w:r>
          </w:p>
        </w:tc>
        <w:tc>
          <w:tcPr>
            <w:tcW w:w="8780" w:type="dxa"/>
            <w:vAlign w:val="bottom"/>
            <w:gridSpan w:val="18"/>
          </w:tcPr>
          <w:p>
            <w:pPr>
              <w:spacing w:after="0" w:line="201"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Certificate of Amendment to Certificate of Designation of Series E Fixed-Rate Cumulative Perpetual Preferred Stock</w:t>
              </w:r>
            </w:hyperlink>
          </w:p>
        </w:tc>
      </w:tr>
      <w:tr>
        <w:trPr>
          <w:trHeight w:val="151"/>
        </w:trPr>
        <w:tc>
          <w:tcPr>
            <w:tcW w:w="96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(incorporated by reference to Exhibit 3.1 to the Company’s Current Report on Form 8-K, filed March 10, 2020).</w:t>
              </w:r>
            </w:hyperlink>
          </w:p>
        </w:tc>
        <w:tc>
          <w:tcPr>
            <w:tcW w:w="36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780" w:type="dxa"/>
            <w:vAlign w:val="bottom"/>
            <w:gridSpan w:val="18"/>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Amendment, dated as of December 15, 2022, to Loan and Security Agreement, dated as of August 5, 2022, among Siena</w:t>
              </w:r>
            </w:hyperlink>
          </w:p>
        </w:tc>
      </w:tr>
      <w:tr>
        <w:trPr>
          <w:trHeight w:val="151"/>
        </w:trPr>
        <w:tc>
          <w:tcPr>
            <w:tcW w:w="960" w:type="dxa"/>
            <w:vAlign w:val="bottom"/>
          </w:tcPr>
          <w:p>
            <w:pPr>
              <w:spacing w:after="0"/>
              <w:rPr>
                <w:sz w:val="13"/>
                <w:szCs w:val="13"/>
                <w:color w:val="auto"/>
              </w:rPr>
            </w:pPr>
          </w:p>
        </w:tc>
        <w:tc>
          <w:tcPr>
            <w:tcW w:w="850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Lending Group LLC (as Lender), Inseego Wireless, Inc., and Inseego North America LLC (as Borrowers), and Inseego</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960" w:type="dxa"/>
            <w:vAlign w:val="bottom"/>
          </w:tcPr>
          <w:p>
            <w:pPr>
              <w:spacing w:after="0"/>
              <w:rPr>
                <w:sz w:val="13"/>
                <w:szCs w:val="13"/>
                <w:color w:val="auto"/>
              </w:rPr>
            </w:pPr>
          </w:p>
        </w:tc>
        <w:tc>
          <w:tcPr>
            <w:tcW w:w="838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Corp. (as Guarantor) (incorporated by reference to Exhibit 10.20 to the Registrant’s Current Report on Form 10-K,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5"/>
          </w:tcPr>
          <w:p>
            <w:pPr>
              <w:ind w:left="60"/>
              <w:spacing w:after="0" w:line="152"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on</w:t>
              </w:r>
            </w:hyperlink>
          </w:p>
        </w:tc>
      </w:tr>
      <w:tr>
        <w:trPr>
          <w:trHeight w:val="165"/>
        </w:trPr>
        <w:tc>
          <w:tcPr>
            <w:tcW w:w="960" w:type="dxa"/>
            <w:vAlign w:val="bottom"/>
          </w:tcPr>
          <w:p>
            <w:pPr>
              <w:spacing w:after="0"/>
              <w:rPr>
                <w:sz w:val="14"/>
                <w:szCs w:val="14"/>
                <w:color w:val="auto"/>
              </w:rPr>
            </w:pPr>
          </w:p>
        </w:tc>
        <w:tc>
          <w:tcPr>
            <w:tcW w:w="96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6"/>
              </w:rPr>
            </w:pPr>
            <w:hyperlink r:id="rId47">
              <w:r>
                <w:rPr>
                  <w:rFonts w:ascii="Times New Roman" w:cs="Times New Roman" w:eastAsia="Times New Roman" w:hAnsi="Times New Roman"/>
                  <w:sz w:val="18"/>
                  <w:szCs w:val="18"/>
                  <w:color w:val="0000FF"/>
                  <w:w w:val="96"/>
                </w:rPr>
                <w:t>May 3, 2023)</w:t>
              </w:r>
            </w:hyperlink>
          </w:p>
        </w:tc>
        <w:tc>
          <w:tcPr>
            <w:tcW w:w="7700" w:type="dxa"/>
            <w:vAlign w:val="bottom"/>
            <w:tcBorders>
              <w:top w:val="single" w:sz="8" w:color="0000FF"/>
            </w:tcBorders>
            <w:gridSpan w:val="16"/>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9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10.2</w:t>
            </w:r>
          </w:p>
        </w:tc>
        <w:tc>
          <w:tcPr>
            <w:tcW w:w="8780" w:type="dxa"/>
            <w:vAlign w:val="bottom"/>
            <w:gridSpan w:val="18"/>
          </w:tcPr>
          <w:p>
            <w:pPr>
              <w:spacing w:after="0" w:line="204" w:lineRule="exact"/>
              <w:rPr>
                <w:sz w:val="20"/>
                <w:szCs w:val="20"/>
                <w:color w:val="auto"/>
              </w:rPr>
            </w:pPr>
            <w:r>
              <w:rPr>
                <w:rFonts w:ascii="Times New Roman" w:cs="Times New Roman" w:eastAsia="Times New Roman" w:hAnsi="Times New Roman"/>
                <w:sz w:val="18"/>
                <w:szCs w:val="18"/>
                <w:color w:val="0000FF"/>
              </w:rPr>
              <w:t>Amendment, dated as of May 2, 2023, to Loan and Security Agreement, dated as of August 5, 2022 as amended by that</w:t>
            </w:r>
          </w:p>
        </w:tc>
      </w:tr>
      <w:tr>
        <w:trPr>
          <w:trHeight w:val="151"/>
        </w:trPr>
        <w:tc>
          <w:tcPr>
            <w:tcW w:w="960" w:type="dxa"/>
            <w:vAlign w:val="bottom"/>
          </w:tcPr>
          <w:p>
            <w:pPr>
              <w:spacing w:after="0"/>
              <w:rPr>
                <w:sz w:val="13"/>
                <w:szCs w:val="13"/>
                <w:color w:val="auto"/>
              </w:rPr>
            </w:pPr>
          </w:p>
        </w:tc>
        <w:tc>
          <w:tcPr>
            <w:tcW w:w="842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6"/>
                <w:szCs w:val="16"/>
                <w:color w:val="0000FF"/>
              </w:rPr>
              <w:t>certain First Amendment to Loan and Security Agreement dated as of December 15, 2022, as amended by that certain</w:t>
            </w: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151"/>
        </w:trPr>
        <w:tc>
          <w:tcPr>
            <w:tcW w:w="96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6"/>
                <w:szCs w:val="16"/>
                <w:color w:val="0000FF"/>
              </w:rPr>
              <w:t>Second Amendment to Loan and Security Agreement dated as of April 28, 2023 (as may be further amended, restated,</w:t>
            </w: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165"/>
        </w:trPr>
        <w:tc>
          <w:tcPr>
            <w:tcW w:w="960" w:type="dxa"/>
            <w:vAlign w:val="bottom"/>
          </w:tcPr>
          <w:p>
            <w:pPr>
              <w:spacing w:after="0"/>
              <w:rPr>
                <w:sz w:val="14"/>
                <w:szCs w:val="14"/>
                <w:color w:val="auto"/>
              </w:rPr>
            </w:pPr>
          </w:p>
        </w:tc>
        <w:tc>
          <w:tcPr>
            <w:tcW w:w="8340" w:type="dxa"/>
            <w:vAlign w:val="bottom"/>
            <w:tcBorders>
              <w:bottom w:val="single" w:sz="8" w:color="0000FF"/>
            </w:tcBorders>
            <w:gridSpan w:val="9"/>
          </w:tcPr>
          <w:p>
            <w:pPr>
              <w:spacing w:after="0" w:line="164" w:lineRule="exact"/>
              <w:rPr>
                <w:sz w:val="20"/>
                <w:szCs w:val="20"/>
                <w:color w:val="auto"/>
              </w:rPr>
            </w:pPr>
            <w:r>
              <w:rPr>
                <w:rFonts w:ascii="Times New Roman" w:cs="Times New Roman" w:eastAsia="Times New Roman" w:hAnsi="Times New Roman"/>
                <w:sz w:val="18"/>
                <w:szCs w:val="18"/>
                <w:color w:val="0000FF"/>
                <w:w w:val="97"/>
              </w:rPr>
              <w:t>supplemented or otherwise modified from time to time, the “Loan Agreement”), among Siena Lending Group LLC (as</w:t>
            </w: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r>
      <w:tr>
        <w:trPr>
          <w:trHeight w:val="151"/>
        </w:trPr>
        <w:tc>
          <w:tcPr>
            <w:tcW w:w="960" w:type="dxa"/>
            <w:vAlign w:val="bottom"/>
          </w:tcPr>
          <w:p>
            <w:pPr>
              <w:spacing w:after="0"/>
              <w:rPr>
                <w:sz w:val="13"/>
                <w:szCs w:val="13"/>
                <w:color w:val="auto"/>
              </w:rPr>
            </w:pPr>
          </w:p>
        </w:tc>
        <w:tc>
          <w:tcPr>
            <w:tcW w:w="8360" w:type="dxa"/>
            <w:vAlign w:val="bottom"/>
            <w:gridSpan w:val="10"/>
          </w:tcPr>
          <w:p>
            <w:pPr>
              <w:spacing w:after="0" w:line="152" w:lineRule="exact"/>
              <w:rPr>
                <w:sz w:val="20"/>
                <w:szCs w:val="20"/>
                <w:color w:val="auto"/>
              </w:rPr>
            </w:pPr>
            <w:r>
              <w:rPr>
                <w:rFonts w:ascii="Times New Roman" w:cs="Times New Roman" w:eastAsia="Times New Roman" w:hAnsi="Times New Roman"/>
                <w:sz w:val="16"/>
                <w:szCs w:val="16"/>
                <w:color w:val="0000FF"/>
              </w:rPr>
              <w:t>Lender), Inseego Wireless, Inc., and Inseego North America LLC (as Borrowers), and Inseego Corp. (as Guarantor)</w:t>
            </w:r>
            <w:r>
              <w:rPr>
                <w:rFonts w:ascii="Times New Roman" w:cs="Times New Roman" w:eastAsia="Times New Roman" w:hAnsi="Times New Roman"/>
                <w:sz w:val="16"/>
                <w:szCs w:val="16"/>
                <w:color w:val="000000"/>
              </w:rPr>
              <w:t>.</w:t>
            </w: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Exit Fee Letter Agreement, dated May 2, 2023, between Inseego Wireless, Inc., South Ocean Funding, LLC, and North</w:t>
            </w:r>
          </w:p>
        </w:tc>
      </w:tr>
      <w:tr>
        <w:trPr>
          <w:trHeight w:val="151"/>
        </w:trPr>
        <w:tc>
          <w:tcPr>
            <w:tcW w:w="96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6"/>
                <w:szCs w:val="16"/>
                <w:color w:val="0000FF"/>
              </w:rPr>
              <w:t>Sound Ventures, LP.</w:t>
            </w:r>
          </w:p>
        </w:tc>
        <w:tc>
          <w:tcPr>
            <w:tcW w:w="6960" w:type="dxa"/>
            <w:vAlign w:val="bottom"/>
            <w:tcBorders>
              <w:top w:val="single" w:sz="8" w:color="0000FF"/>
            </w:tcBorders>
            <w:gridSpan w:val="10"/>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our Principal Executive Officer adopted pursuant to Section 302 of the Sarbanes-Oxley Act of 2002.</w:t>
            </w:r>
          </w:p>
        </w:tc>
      </w:tr>
      <w:tr>
        <w:trPr>
          <w:trHeight w:val="33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1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Certification of our Principal Financial Officer adopted pursuant to Section 302 of the Sarbanes-Oxley Act of 2002.</w:t>
            </w:r>
          </w:p>
        </w:tc>
        <w:tc>
          <w:tcPr>
            <w:tcW w:w="600" w:type="dxa"/>
            <w:vAlign w:val="bottom"/>
            <w:gridSpan w:val="12"/>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080" w:type="dxa"/>
            <w:vAlign w:val="bottom"/>
            <w:gridSpan w:val="2"/>
            <w:shd w:val="clear" w:color="auto" w:fill="0000FF"/>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3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w:t>
            </w:r>
          </w:p>
        </w:tc>
      </w:tr>
      <w:tr>
        <w:trPr>
          <w:trHeight w:val="178"/>
        </w:trPr>
        <w:tc>
          <w:tcPr>
            <w:tcW w:w="96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3"/>
          </w:tcPr>
          <w:p>
            <w:pPr>
              <w:spacing w:after="0" w:line="178" w:lineRule="exact"/>
              <w:rPr>
                <w:sz w:val="20"/>
                <w:szCs w:val="20"/>
                <w:color w:val="auto"/>
              </w:rPr>
            </w:pPr>
            <w:r>
              <w:rPr>
                <w:rFonts w:ascii="Times New Roman" w:cs="Times New Roman" w:eastAsia="Times New Roman" w:hAnsi="Times New Roman"/>
                <w:sz w:val="18"/>
                <w:szCs w:val="18"/>
                <w:color w:val="0000FF"/>
                <w:w w:val="97"/>
              </w:rPr>
              <w:t>Sarbanes-Oxley Act of 2002.</w:t>
            </w:r>
          </w:p>
        </w:tc>
        <w:tc>
          <w:tcPr>
            <w:tcW w:w="6520" w:type="dxa"/>
            <w:vAlign w:val="bottom"/>
            <w:tcBorders>
              <w:top w:val="single" w:sz="8" w:color="0000FF"/>
            </w:tcBorders>
            <w:gridSpan w:val="13"/>
          </w:tcPr>
          <w:p>
            <w:pPr>
              <w:spacing w:after="0"/>
              <w:rPr>
                <w:sz w:val="15"/>
                <w:szCs w:val="15"/>
                <w:color w:val="auto"/>
              </w:rPr>
            </w:pPr>
          </w:p>
        </w:tc>
        <w:tc>
          <w:tcPr>
            <w:tcW w:w="200" w:type="dxa"/>
            <w:vAlign w:val="bottom"/>
            <w:gridSpan w:val="2"/>
          </w:tcPr>
          <w:p>
            <w:pPr>
              <w:spacing w:after="0"/>
              <w:rPr>
                <w:sz w:val="15"/>
                <w:szCs w:val="15"/>
                <w:color w:val="auto"/>
              </w:rPr>
            </w:pPr>
          </w:p>
        </w:tc>
      </w:tr>
      <w:tr>
        <w:trPr>
          <w:trHeight w:val="33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78"/>
        </w:trPr>
        <w:tc>
          <w:tcPr>
            <w:tcW w:w="96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3"/>
          </w:tcPr>
          <w:p>
            <w:pPr>
              <w:spacing w:after="0" w:line="178" w:lineRule="exact"/>
              <w:rPr>
                <w:sz w:val="20"/>
                <w:szCs w:val="20"/>
                <w:color w:val="auto"/>
              </w:rPr>
            </w:pPr>
            <w:r>
              <w:rPr>
                <w:rFonts w:ascii="Times New Roman" w:cs="Times New Roman" w:eastAsia="Times New Roman" w:hAnsi="Times New Roman"/>
                <w:sz w:val="18"/>
                <w:szCs w:val="18"/>
                <w:color w:val="0000FF"/>
                <w:w w:val="97"/>
              </w:rPr>
              <w:t>Sarbanes-Oxley Act of 2002.</w:t>
            </w:r>
          </w:p>
        </w:tc>
        <w:tc>
          <w:tcPr>
            <w:tcW w:w="6480" w:type="dxa"/>
            <w:vAlign w:val="bottom"/>
            <w:tcBorders>
              <w:top w:val="single" w:sz="8" w:color="0000FF"/>
            </w:tcBorders>
            <w:gridSpan w:val="12"/>
          </w:tcPr>
          <w:p>
            <w:pPr>
              <w:spacing w:after="0"/>
              <w:rPr>
                <w:sz w:val="15"/>
                <w:szCs w:val="15"/>
                <w:color w:val="auto"/>
              </w:rPr>
            </w:pPr>
          </w:p>
        </w:tc>
        <w:tc>
          <w:tcPr>
            <w:tcW w:w="240" w:type="dxa"/>
            <w:vAlign w:val="bottom"/>
            <w:gridSpan w:val="3"/>
          </w:tcPr>
          <w:p>
            <w:pPr>
              <w:spacing w:after="0"/>
              <w:rPr>
                <w:sz w:val="15"/>
                <w:szCs w:val="15"/>
                <w:color w:val="auto"/>
              </w:rPr>
            </w:pPr>
          </w:p>
        </w:tc>
      </w:tr>
      <w:tr>
        <w:trPr>
          <w:trHeight w:val="33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w w:val="97"/>
              </w:rPr>
              <w:t>Inline XBRL Instance Document - the instance document does not appear in the Interactive Data File because its XBRL tags</w:t>
            </w:r>
          </w:p>
        </w:tc>
      </w:tr>
      <w:tr>
        <w:trPr>
          <w:trHeight w:val="229"/>
        </w:trPr>
        <w:tc>
          <w:tcPr>
            <w:tcW w:w="960" w:type="dxa"/>
            <w:vAlign w:val="bottom"/>
          </w:tcPr>
          <w:p>
            <w:pPr>
              <w:spacing w:after="0"/>
              <w:rPr>
                <w:sz w:val="19"/>
                <w:szCs w:val="19"/>
                <w:color w:val="auto"/>
              </w:rPr>
            </w:pP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35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5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0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8" w:lineRule="exact"/>
        <w:rPr>
          <w:sz w:val="20"/>
          <w:szCs w:val="20"/>
          <w:color w:val="auto"/>
        </w:rPr>
      </w:pPr>
    </w:p>
    <w:p>
      <w:pPr>
        <w:ind w:left="980" w:hanging="95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6" w:lineRule="exact"/>
        <w:rPr>
          <w:sz w:val="20"/>
          <w:szCs w:val="20"/>
          <w:color w:val="auto"/>
        </w:rPr>
      </w:pPr>
    </w:p>
    <w:p>
      <w:pPr>
        <w:ind w:left="980" w:hanging="95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869" w:right="1440" w:bottom="1440" w:gutter="0" w:footer="0" w:header="0"/>
          <w:type w:val="continuous"/>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4" w:lineRule="exact"/>
        <w:rPr>
          <w:sz w:val="20"/>
          <w:szCs w:val="20"/>
          <w:color w:val="auto"/>
        </w:rPr>
      </w:pPr>
    </w:p>
    <w:p>
      <w:pPr>
        <w:ind w:right="720" w:firstLine="435"/>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2023</w:t>
            </w:r>
          </w:p>
        </w:tc>
        <w:tc>
          <w:tcPr>
            <w:tcW w:w="394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Inseego Corp.</w:t>
            </w:r>
          </w:p>
        </w:tc>
        <w:tc>
          <w:tcPr>
            <w:tcW w:w="66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77"/>
        </w:trPr>
        <w:tc>
          <w:tcPr>
            <w:tcW w:w="3940" w:type="dxa"/>
            <w:vAlign w:val="bottom"/>
          </w:tcPr>
          <w:p>
            <w:pPr>
              <w:spacing w:after="0"/>
              <w:rPr>
                <w:sz w:val="24"/>
                <w:szCs w:val="24"/>
                <w:color w:val="auto"/>
              </w:rPr>
            </w:pPr>
          </w:p>
        </w:tc>
        <w:tc>
          <w:tcPr>
            <w:tcW w:w="394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2"/>
              </w:rPr>
              <w:t>/s/</w:t>
            </w:r>
          </w:p>
        </w:tc>
        <w:tc>
          <w:tcPr>
            <w:tcW w:w="2640" w:type="dxa"/>
            <w:vAlign w:val="bottom"/>
          </w:tcPr>
          <w:p>
            <w:pPr>
              <w:jc w:val="center"/>
              <w:ind w:right="985"/>
              <w:spacing w:after="0"/>
              <w:rPr>
                <w:sz w:val="20"/>
                <w:szCs w:val="20"/>
                <w:color w:val="auto"/>
              </w:rPr>
            </w:pPr>
            <w:r>
              <w:rPr>
                <w:rFonts w:ascii="Times New Roman" w:cs="Times New Roman" w:eastAsia="Times New Roman" w:hAnsi="Times New Roman"/>
                <w:sz w:val="16"/>
                <w:szCs w:val="16"/>
                <w:color w:val="auto"/>
                <w:w w:val="99"/>
              </w:rPr>
              <w:t>ASHISH SHARMA</w:t>
            </w:r>
          </w:p>
        </w:tc>
      </w:tr>
      <w:tr>
        <w:trPr>
          <w:trHeight w:val="179"/>
        </w:trPr>
        <w:tc>
          <w:tcPr>
            <w:tcW w:w="39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tcPr>
          <w:p>
            <w:pPr>
              <w:jc w:val="center"/>
              <w:ind w:right="1285"/>
              <w:spacing w:after="0"/>
              <w:rPr>
                <w:sz w:val="20"/>
                <w:szCs w:val="20"/>
                <w:color w:val="auto"/>
              </w:rPr>
            </w:pPr>
            <w:r>
              <w:rPr>
                <w:rFonts w:ascii="Times New Roman" w:cs="Times New Roman" w:eastAsia="Times New Roman" w:hAnsi="Times New Roman"/>
                <w:sz w:val="14"/>
                <w:szCs w:val="14"/>
                <w:b w:val="1"/>
                <w:bCs w:val="1"/>
                <w:color w:val="auto"/>
              </w:rPr>
              <w:t>Ashish Sharma</w:t>
            </w:r>
          </w:p>
        </w:tc>
      </w:tr>
      <w:tr>
        <w:trPr>
          <w:trHeight w:val="186"/>
        </w:trPr>
        <w:tc>
          <w:tcPr>
            <w:tcW w:w="39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300" w:type="dxa"/>
            <w:vAlign w:val="bottom"/>
            <w:gridSpan w:val="2"/>
          </w:tcPr>
          <w:p>
            <w:pPr>
              <w:jc w:val="center"/>
              <w:ind w:right="625"/>
              <w:spacing w:after="0"/>
              <w:rPr>
                <w:sz w:val="20"/>
                <w:szCs w:val="20"/>
                <w:color w:val="auto"/>
              </w:rPr>
            </w:pPr>
            <w:r>
              <w:rPr>
                <w:rFonts w:ascii="Times New Roman" w:cs="Times New Roman" w:eastAsia="Times New Roman" w:hAnsi="Times New Roman"/>
                <w:sz w:val="14"/>
                <w:szCs w:val="14"/>
                <w:b w:val="1"/>
                <w:bCs w:val="1"/>
                <w:color w:val="auto"/>
                <w:w w:val="99"/>
              </w:rPr>
              <w:t>Chief Executive Officer</w:t>
            </w:r>
          </w:p>
        </w:tc>
      </w:tr>
      <w:tr>
        <w:trPr>
          <w:trHeight w:val="643"/>
        </w:trPr>
        <w:tc>
          <w:tcPr>
            <w:tcW w:w="3940" w:type="dxa"/>
            <w:vAlign w:val="bottom"/>
          </w:tcPr>
          <w:p>
            <w:pPr>
              <w:spacing w:after="0"/>
              <w:rPr>
                <w:sz w:val="24"/>
                <w:szCs w:val="24"/>
                <w:color w:val="auto"/>
              </w:rPr>
            </w:pPr>
          </w:p>
        </w:tc>
        <w:tc>
          <w:tcPr>
            <w:tcW w:w="394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w:t>
            </w:r>
          </w:p>
        </w:tc>
        <w:tc>
          <w:tcPr>
            <w:tcW w:w="2640" w:type="dxa"/>
            <w:vAlign w:val="bottom"/>
          </w:tcPr>
          <w:p>
            <w:pPr>
              <w:jc w:val="center"/>
              <w:ind w:right="985"/>
              <w:spacing w:after="0"/>
              <w:rPr>
                <w:sz w:val="20"/>
                <w:szCs w:val="20"/>
                <w:color w:val="auto"/>
              </w:rPr>
            </w:pPr>
            <w:r>
              <w:rPr>
                <w:rFonts w:ascii="Times New Roman" w:cs="Times New Roman" w:eastAsia="Times New Roman" w:hAnsi="Times New Roman"/>
                <w:sz w:val="16"/>
                <w:szCs w:val="16"/>
                <w:color w:val="auto"/>
                <w:w w:val="97"/>
              </w:rPr>
              <w:t>ROBERT G. BARBIERI</w:t>
            </w:r>
          </w:p>
        </w:tc>
      </w:tr>
      <w:tr>
        <w:trPr>
          <w:trHeight w:val="179"/>
        </w:trPr>
        <w:tc>
          <w:tcPr>
            <w:tcW w:w="39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tcPr>
          <w:p>
            <w:pPr>
              <w:jc w:val="center"/>
              <w:ind w:right="1285"/>
              <w:spacing w:after="0"/>
              <w:rPr>
                <w:sz w:val="20"/>
                <w:szCs w:val="20"/>
                <w:color w:val="auto"/>
              </w:rPr>
            </w:pPr>
            <w:r>
              <w:rPr>
                <w:rFonts w:ascii="Times New Roman" w:cs="Times New Roman" w:eastAsia="Times New Roman" w:hAnsi="Times New Roman"/>
                <w:sz w:val="14"/>
                <w:szCs w:val="14"/>
                <w:b w:val="1"/>
                <w:bCs w:val="1"/>
                <w:color w:val="auto"/>
              </w:rPr>
              <w:t>Robert G. Barbieri</w:t>
            </w:r>
          </w:p>
        </w:tc>
      </w:tr>
      <w:tr>
        <w:trPr>
          <w:trHeight w:val="186"/>
        </w:trPr>
        <w:tc>
          <w:tcPr>
            <w:tcW w:w="39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300" w:type="dxa"/>
            <w:vAlign w:val="bottom"/>
            <w:gridSpan w:val="2"/>
          </w:tcPr>
          <w:p>
            <w:pPr>
              <w:jc w:val="center"/>
              <w:ind w:right="625"/>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871"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9"/>
          <w:szCs w:val="19"/>
          <w:color w:val="auto"/>
        </w:rPr>
        <w:t>Exhibit 10.2</w:t>
      </w:r>
    </w:p>
    <w:p>
      <w:pPr>
        <w:spacing w:after="0" w:line="34"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9"/>
          <w:szCs w:val="19"/>
          <w:b w:val="1"/>
          <w:bCs w:val="1"/>
          <w:i w:val="1"/>
          <w:iCs w:val="1"/>
          <w:color w:val="auto"/>
        </w:rPr>
        <w:t>Execution Version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THIRD AMENDMENT TO LOAN AND SECURITY AGREEMENT</w:t>
      </w:r>
    </w:p>
    <w:p>
      <w:pPr>
        <w:spacing w:after="0" w:line="32" w:lineRule="exact"/>
        <w:rPr>
          <w:sz w:val="20"/>
          <w:szCs w:val="20"/>
          <w:color w:val="auto"/>
        </w:rPr>
      </w:pPr>
    </w:p>
    <w:p>
      <w:pPr>
        <w:jc w:val="both"/>
        <w:ind w:right="40" w:firstLine="633"/>
        <w:spacing w:after="0" w:line="258" w:lineRule="auto"/>
        <w:rPr>
          <w:sz w:val="20"/>
          <w:szCs w:val="20"/>
          <w:color w:val="auto"/>
        </w:rPr>
      </w:pPr>
      <w:r>
        <w:rPr>
          <w:rFonts w:ascii="Times New Roman" w:cs="Times New Roman" w:eastAsia="Times New Roman" w:hAnsi="Times New Roman"/>
          <w:sz w:val="19"/>
          <w:szCs w:val="19"/>
          <w:color w:val="auto"/>
        </w:rPr>
        <w:t>This THIRD AMENDMENT TO LOAN AND SECURITY AGREEMENT (this “</w:t>
      </w:r>
      <w:r>
        <w:rPr>
          <w:rFonts w:ascii="Times New Roman" w:cs="Times New Roman" w:eastAsia="Times New Roman" w:hAnsi="Times New Roman"/>
          <w:sz w:val="19"/>
          <w:szCs w:val="19"/>
          <w:b w:val="1"/>
          <w:bCs w:val="1"/>
          <w:i w:val="1"/>
          <w:iCs w:val="1"/>
          <w:color w:val="auto"/>
        </w:rPr>
        <w:t>Amendment</w:t>
      </w:r>
      <w:r>
        <w:rPr>
          <w:rFonts w:ascii="Times New Roman" w:cs="Times New Roman" w:eastAsia="Times New Roman" w:hAnsi="Times New Roman"/>
          <w:sz w:val="19"/>
          <w:szCs w:val="19"/>
          <w:color w:val="auto"/>
        </w:rPr>
        <w:t>”), effective as of May 2, 2023, is entered into by and among (1) Siena Lending Group LLC, together with its successors and assigns (“</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(2) Inseego Wireless, Inc., a Delaware corporation (“</w:t>
      </w:r>
      <w:r>
        <w:rPr>
          <w:rFonts w:ascii="Times New Roman" w:cs="Times New Roman" w:eastAsia="Times New Roman" w:hAnsi="Times New Roman"/>
          <w:sz w:val="19"/>
          <w:szCs w:val="19"/>
          <w:b w:val="1"/>
          <w:bCs w:val="1"/>
          <w:i w:val="1"/>
          <w:iCs w:val="1"/>
          <w:color w:val="auto"/>
        </w:rPr>
        <w:t>Inseego Wireless</w:t>
      </w:r>
      <w:r>
        <w:rPr>
          <w:rFonts w:ascii="Times New Roman" w:cs="Times New Roman" w:eastAsia="Times New Roman" w:hAnsi="Times New Roman"/>
          <w:sz w:val="19"/>
          <w:szCs w:val="19"/>
          <w:color w:val="auto"/>
        </w:rPr>
        <w:t>”), and Inseego North America LLC, an Oregon limited liability company (“</w:t>
      </w:r>
      <w:r>
        <w:rPr>
          <w:rFonts w:ascii="Times New Roman" w:cs="Times New Roman" w:eastAsia="Times New Roman" w:hAnsi="Times New Roman"/>
          <w:sz w:val="19"/>
          <w:szCs w:val="19"/>
          <w:b w:val="1"/>
          <w:bCs w:val="1"/>
          <w:i w:val="1"/>
          <w:iCs w:val="1"/>
          <w:color w:val="auto"/>
        </w:rPr>
        <w:t>Inseego North America</w:t>
      </w:r>
      <w:r>
        <w:rPr>
          <w:rFonts w:ascii="Times New Roman" w:cs="Times New Roman" w:eastAsia="Times New Roman" w:hAnsi="Times New Roman"/>
          <w:sz w:val="19"/>
          <w:szCs w:val="19"/>
          <w:color w:val="auto"/>
        </w:rPr>
        <w:t>” and together with Inseego Wireless and any other Person who from time to time becomes a Borrower under the below defined Loan Agreement, collectively, the “</w:t>
      </w:r>
      <w:r>
        <w:rPr>
          <w:rFonts w:ascii="Times New Roman" w:cs="Times New Roman" w:eastAsia="Times New Roman" w:hAnsi="Times New Roman"/>
          <w:sz w:val="19"/>
          <w:szCs w:val="19"/>
          <w:b w:val="1"/>
          <w:bCs w:val="1"/>
          <w:i w:val="1"/>
          <w:iCs w:val="1"/>
          <w:color w:val="auto"/>
        </w:rPr>
        <w:t>Borrowers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and (3) each of the Affiliates of the Borrowers signatory to the below defined Loan Agreement from time to time as guarantors (each a “</w:t>
      </w:r>
      <w:r>
        <w:rPr>
          <w:rFonts w:ascii="Times New Roman" w:cs="Times New Roman" w:eastAsia="Times New Roman" w:hAnsi="Times New Roman"/>
          <w:sz w:val="19"/>
          <w:szCs w:val="19"/>
          <w:b w:val="1"/>
          <w:bCs w:val="1"/>
          <w:i w:val="1"/>
          <w:iCs w:val="1"/>
          <w:color w:val="auto"/>
        </w:rPr>
        <w:t>Guarantor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Guarantors</w:t>
      </w:r>
      <w:r>
        <w:rPr>
          <w:rFonts w:ascii="Times New Roman" w:cs="Times New Roman" w:eastAsia="Times New Roman" w:hAnsi="Times New Roman"/>
          <w:sz w:val="19"/>
          <w:szCs w:val="19"/>
          <w:color w:val="auto"/>
        </w:rPr>
        <w:t>”). Terms used herein without definition shall have the meanings ascribed to them in the Loan Agreement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94" w:lineRule="exact"/>
        <w:rPr>
          <w:sz w:val="20"/>
          <w:szCs w:val="20"/>
          <w:color w:val="auto"/>
        </w:rPr>
      </w:pPr>
    </w:p>
    <w:p>
      <w:pPr>
        <w:jc w:val="both"/>
        <w:ind w:right="40" w:firstLine="639"/>
        <w:spacing w:after="0" w:line="262" w:lineRule="auto"/>
        <w:tabs>
          <w:tab w:leader="none" w:pos="1256"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Lender, Borrowers and Guarantors have previously entered into that certain Loan and Security Agreement dated as of August 5, 2022, as amended by that certain First Amendment to Loan and Security Agreement dated as of December 15, 2022, as amended by that certain Second Amendment to Loan and Security Agreement dated as of April 28, 2023 (as may be further amended, restated, supplemented or otherwise modified from time to time, the “</w:t>
      </w:r>
      <w:r>
        <w:rPr>
          <w:rFonts w:ascii="Times New Roman" w:cs="Times New Roman" w:eastAsia="Times New Roman" w:hAnsi="Times New Roman"/>
          <w:sz w:val="19"/>
          <w:szCs w:val="19"/>
          <w:b w:val="1"/>
          <w:bCs w:val="1"/>
          <w:i w:val="1"/>
          <w:iCs w:val="1"/>
          <w:color w:val="auto"/>
        </w:rPr>
        <w:t>Loan Agreement</w:t>
      </w:r>
      <w:r>
        <w:rPr>
          <w:rFonts w:ascii="Times New Roman" w:cs="Times New Roman" w:eastAsia="Times New Roman" w:hAnsi="Times New Roman"/>
          <w:sz w:val="19"/>
          <w:szCs w:val="19"/>
          <w:color w:val="auto"/>
        </w:rPr>
        <w:t>”), pursuant to which Lender has made certain loans and financial accommodations available to Borrowers.</w:t>
      </w:r>
    </w:p>
    <w:p>
      <w:pPr>
        <w:spacing w:after="0" w:line="165" w:lineRule="exact"/>
        <w:rPr>
          <w:rFonts w:ascii="Times New Roman" w:cs="Times New Roman" w:eastAsia="Times New Roman" w:hAnsi="Times New Roman"/>
          <w:sz w:val="19"/>
          <w:szCs w:val="19"/>
          <w:color w:val="auto"/>
        </w:rPr>
      </w:pPr>
    </w:p>
    <w:p>
      <w:pPr>
        <w:jc w:val="both"/>
        <w:ind w:right="40" w:firstLine="639"/>
        <w:spacing w:after="0" w:line="263" w:lineRule="auto"/>
        <w:tabs>
          <w:tab w:leader="none" w:pos="125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Third Amendment Effective Date, Participant will purchase a subordinated, last out participation interest in the Revolving Loans made by Lender (or to be made by Lender from time to time) on the terms and conditions set forth in the Participation Agreement. Upon Lender’s receipt of the Participation Interests Amount, Revolving Loans then outstanding up to the Participation Interests Amount shall be deemed automatically recharacterized as Participated Interests under (and as defined in) the Participant Agreement. For the avoidance of doubt, the Participation Interests Amount shall not, by itself, increase Revolving Loans outstanding on the Third Amendment Effective Date.</w:t>
      </w:r>
    </w:p>
    <w:p>
      <w:pPr>
        <w:spacing w:after="0" w:line="398" w:lineRule="exact"/>
        <w:rPr>
          <w:rFonts w:ascii="Times New Roman" w:cs="Times New Roman" w:eastAsia="Times New Roman" w:hAnsi="Times New Roman"/>
          <w:sz w:val="19"/>
          <w:szCs w:val="19"/>
          <w:color w:val="auto"/>
        </w:rPr>
      </w:pPr>
    </w:p>
    <w:p>
      <w:pPr>
        <w:ind w:left="1260" w:hanging="621"/>
        <w:spacing w:after="0"/>
        <w:tabs>
          <w:tab w:leader="none" w:pos="12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Lender and Loan Parties now wish to further amend the Loan Agreement on the terms and conditions set forth herein.</w:t>
      </w:r>
    </w:p>
    <w:p>
      <w:pPr>
        <w:spacing w:after="0" w:line="216" w:lineRule="exact"/>
        <w:rPr>
          <w:rFonts w:ascii="Times New Roman" w:cs="Times New Roman" w:eastAsia="Times New Roman" w:hAnsi="Times New Roman"/>
          <w:sz w:val="19"/>
          <w:szCs w:val="19"/>
          <w:color w:val="auto"/>
        </w:rPr>
      </w:pPr>
    </w:p>
    <w:p>
      <w:pPr>
        <w:jc w:val="both"/>
        <w:ind w:right="40" w:firstLine="639"/>
        <w:spacing w:after="0" w:line="272" w:lineRule="auto"/>
        <w:tabs>
          <w:tab w:leader="none" w:pos="1256"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 Parties are entering into this Amendment with the understanding and agreement that, except as specifically provided herein, none of Lender’s rights or remedies as set forth in the Loan Agreement or any other Loan Document is being waived or modified by the terms of this Amendment.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194" w:lineRule="exact"/>
        <w:rPr>
          <w:sz w:val="20"/>
          <w:szCs w:val="20"/>
          <w:color w:val="auto"/>
        </w:rPr>
      </w:pPr>
    </w:p>
    <w:p>
      <w:pPr>
        <w:ind w:right="40" w:firstLine="633"/>
        <w:spacing w:after="0" w:line="297" w:lineRule="auto"/>
        <w:rPr>
          <w:sz w:val="20"/>
          <w:szCs w:val="20"/>
          <w:color w:val="auto"/>
        </w:rPr>
      </w:pPr>
      <w:r>
        <w:rPr>
          <w:rFonts w:ascii="Times New Roman" w:cs="Times New Roman" w:eastAsia="Times New Roman" w:hAnsi="Times New Roman"/>
          <w:sz w:val="19"/>
          <w:szCs w:val="19"/>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211" w:lineRule="exact"/>
        <w:rPr>
          <w:sz w:val="20"/>
          <w:szCs w:val="20"/>
          <w:color w:val="auto"/>
        </w:rPr>
      </w:pPr>
    </w:p>
    <w:p>
      <w:pPr>
        <w:ind w:left="640" w:hanging="456"/>
        <w:spacing w:after="0"/>
        <w:tabs>
          <w:tab w:leader="none" w:pos="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Amendments to Loan Agreement</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763" w:right="339" w:bottom="1440" w:gutter="0" w:footer="0" w:header="0"/>
        </w:sectPr>
      </w:pPr>
    </w:p>
    <w:bookmarkStart w:id="33" w:name="page34"/>
    <w:bookmarkEnd w:id="33"/>
    <w:p>
      <w:pPr>
        <w:ind w:left="1280" w:firstLine="1258"/>
        <w:spacing w:after="0" w:line="255" w:lineRule="auto"/>
        <w:tabs>
          <w:tab w:leader="none" w:pos="317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the Loan Agreement is hereby amended by adding a new clause (b) to such Section immediately after the existing clause (as) to read as follows:</w:t>
      </w:r>
    </w:p>
    <w:p>
      <w:pPr>
        <w:ind w:left="1280" w:hanging="9"/>
        <w:spacing w:after="0" w:line="281" w:lineRule="auto"/>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“(b) </w:t>
      </w:r>
      <w:r>
        <w:rPr>
          <w:rFonts w:ascii="Times New Roman" w:cs="Times New Roman" w:eastAsia="Times New Roman" w:hAnsi="Times New Roman"/>
          <w:sz w:val="19"/>
          <w:szCs w:val="19"/>
          <w:b w:val="1"/>
          <w:bCs w:val="1"/>
          <w:color w:val="auto"/>
        </w:rPr>
        <w:t>Participation Interests Amount</w:t>
      </w:r>
      <w:r>
        <w:rPr>
          <w:rFonts w:ascii="Times New Roman" w:cs="Times New Roman" w:eastAsia="Times New Roman" w:hAnsi="Times New Roman"/>
          <w:sz w:val="19"/>
          <w:szCs w:val="19"/>
          <w:color w:val="auto"/>
        </w:rPr>
        <w:t>. At all times prior to the Termination Date, the Participation Interests Amount shall be deemed as outstanding principal Revolving Loans.”</w:t>
      </w:r>
    </w:p>
    <w:p>
      <w:pPr>
        <w:spacing w:after="0" w:line="221" w:lineRule="exact"/>
        <w:rPr>
          <w:rFonts w:ascii="Times New Roman" w:cs="Times New Roman" w:eastAsia="Times New Roman" w:hAnsi="Times New Roman"/>
          <w:sz w:val="21"/>
          <w:szCs w:val="21"/>
          <w:color w:val="auto"/>
        </w:rPr>
      </w:pPr>
    </w:p>
    <w:p>
      <w:pPr>
        <w:ind w:left="3160" w:hanging="622"/>
        <w:spacing w:after="0"/>
        <w:tabs>
          <w:tab w:leader="none" w:pos="316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i w:val="1"/>
          <w:iCs w:val="1"/>
          <w:color w:val="auto"/>
        </w:rPr>
        <w:t xml:space="preserve">Schedule B </w:t>
      </w:r>
      <w:r>
        <w:rPr>
          <w:rFonts w:ascii="Times New Roman" w:cs="Times New Roman" w:eastAsia="Times New Roman" w:hAnsi="Times New Roman"/>
          <w:sz w:val="19"/>
          <w:szCs w:val="19"/>
          <w:color w:val="auto"/>
        </w:rPr>
        <w:t>to the Loan Agreement is hereby amended by amending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restating the definition of “Borrowing Base” as follows:</w:t>
      </w:r>
    </w:p>
    <w:p>
      <w:pPr>
        <w:spacing w:after="0" w:line="192" w:lineRule="exact"/>
        <w:rPr>
          <w:sz w:val="20"/>
          <w:szCs w:val="20"/>
          <w:color w:val="auto"/>
        </w:rPr>
      </w:pPr>
    </w:p>
    <w:p>
      <w:pPr>
        <w:jc w:val="both"/>
        <w:ind w:left="1280" w:firstLine="63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Borrowing Base</w:t>
      </w:r>
      <w:r>
        <w:rPr>
          <w:rFonts w:ascii="Times New Roman" w:cs="Times New Roman" w:eastAsia="Times New Roman" w:hAnsi="Times New Roman"/>
          <w:sz w:val="19"/>
          <w:szCs w:val="19"/>
          <w:color w:val="auto"/>
        </w:rPr>
        <w:t xml:space="preserve">” means, as of any date of determination, the Dollar Equivalent Amount as of such date of determination of (a) the aggregate amount of Eligible Accounts multiplied by the Accounts Advance Rate (but in no event to exceed the Accounts Sublimit); </w:t>
      </w:r>
      <w:r>
        <w:rPr>
          <w:rFonts w:ascii="Times New Roman" w:cs="Times New Roman" w:eastAsia="Times New Roman" w:hAnsi="Times New Roman"/>
          <w:sz w:val="19"/>
          <w:szCs w:val="19"/>
          <w:b w:val="1"/>
          <w:bCs w:val="1"/>
          <w:i w:val="1"/>
          <w:iCs w:val="1"/>
          <w:color w:val="auto"/>
        </w:rPr>
        <w:t>plus</w:t>
      </w:r>
      <w:r>
        <w:rPr>
          <w:rFonts w:ascii="Times New Roman" w:cs="Times New Roman" w:eastAsia="Times New Roman" w:hAnsi="Times New Roman"/>
          <w:sz w:val="19"/>
          <w:szCs w:val="19"/>
          <w:color w:val="auto"/>
        </w:rPr>
        <w:t xml:space="preserve"> (b) the lower of cost or market value of Eligible Inventory multiplied by the applicable Inventory Advance Rate(s), but not to exceed the Inventory Sublimit(s); </w:t>
      </w:r>
      <w:r>
        <w:rPr>
          <w:rFonts w:ascii="Times New Roman" w:cs="Times New Roman" w:eastAsia="Times New Roman" w:hAnsi="Times New Roman"/>
          <w:sz w:val="19"/>
          <w:szCs w:val="19"/>
          <w:b w:val="1"/>
          <w:bCs w:val="1"/>
          <w:i w:val="1"/>
          <w:iCs w:val="1"/>
          <w:color w:val="auto"/>
        </w:rPr>
        <w:t>plus</w:t>
      </w:r>
      <w:r>
        <w:rPr>
          <w:rFonts w:ascii="Times New Roman" w:cs="Times New Roman" w:eastAsia="Times New Roman" w:hAnsi="Times New Roman"/>
          <w:sz w:val="19"/>
          <w:szCs w:val="19"/>
          <w:color w:val="auto"/>
        </w:rPr>
        <w:t xml:space="preserve"> (c) the Participation Interests Amount on such date; </w:t>
      </w:r>
      <w:r>
        <w:rPr>
          <w:rFonts w:ascii="Times New Roman" w:cs="Times New Roman" w:eastAsia="Times New Roman" w:hAnsi="Times New Roman"/>
          <w:sz w:val="19"/>
          <w:szCs w:val="19"/>
          <w:b w:val="1"/>
          <w:bCs w:val="1"/>
          <w:i w:val="1"/>
          <w:iCs w:val="1"/>
          <w:color w:val="auto"/>
        </w:rPr>
        <w:t>minus</w:t>
      </w:r>
      <w:r>
        <w:rPr>
          <w:rFonts w:ascii="Times New Roman" w:cs="Times New Roman" w:eastAsia="Times New Roman" w:hAnsi="Times New Roman"/>
          <w:sz w:val="19"/>
          <w:szCs w:val="19"/>
          <w:color w:val="auto"/>
        </w:rPr>
        <w:t xml:space="preserve"> (d) all Reserves which Lender has established pursuant to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(including those to be established in connection with any requested Revolving Loan or Letter of Credit).</w:t>
      </w:r>
    </w:p>
    <w:p>
      <w:pPr>
        <w:spacing w:after="0" w:line="225" w:lineRule="exact"/>
        <w:rPr>
          <w:sz w:val="20"/>
          <w:szCs w:val="20"/>
          <w:color w:val="auto"/>
        </w:rPr>
      </w:pPr>
    </w:p>
    <w:p>
      <w:pPr>
        <w:ind w:right="2420" w:firstLine="2538"/>
        <w:spacing w:after="0" w:line="277" w:lineRule="auto"/>
        <w:tabs>
          <w:tab w:leader="none" w:pos="3171"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i w:val="1"/>
          <w:iCs w:val="1"/>
          <w:color w:val="auto"/>
        </w:rPr>
        <w:t xml:space="preserve">Schedule B </w:t>
      </w:r>
      <w:r>
        <w:rPr>
          <w:rFonts w:ascii="Times New Roman" w:cs="Times New Roman" w:eastAsia="Times New Roman" w:hAnsi="Times New Roman"/>
          <w:sz w:val="19"/>
          <w:szCs w:val="19"/>
          <w:color w:val="auto"/>
        </w:rPr>
        <w:t>to the Loan Agreement is hereby amended by amending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restating the following defined terms, each to read as follows:</w:t>
      </w:r>
    </w:p>
    <w:p>
      <w:pPr>
        <w:spacing w:after="0" w:line="142" w:lineRule="exact"/>
        <w:rPr>
          <w:sz w:val="20"/>
          <w:szCs w:val="20"/>
          <w:color w:val="auto"/>
        </w:rPr>
      </w:pPr>
    </w:p>
    <w:p>
      <w:pPr>
        <w:jc w:val="both"/>
        <w:ind w:left="128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Fee Letter</w:t>
      </w:r>
      <w:r>
        <w:rPr>
          <w:rFonts w:ascii="Times New Roman" w:cs="Times New Roman" w:eastAsia="Times New Roman" w:hAnsi="Times New Roman"/>
          <w:sz w:val="19"/>
          <w:szCs w:val="19"/>
          <w:color w:val="auto"/>
        </w:rPr>
        <w:t>” means that certain Amended and Restated Fee Letter, dated as of the Third Amendment Effective Date, between Borrowers and Lender, as such agreement maybe further amended, restated, supplemented or otherwise modified from time to time.</w:t>
      </w:r>
    </w:p>
    <w:p>
      <w:pPr>
        <w:spacing w:after="0" w:line="149" w:lineRule="exact"/>
        <w:rPr>
          <w:sz w:val="20"/>
          <w:szCs w:val="20"/>
          <w:color w:val="auto"/>
        </w:rPr>
      </w:pPr>
    </w:p>
    <w:p>
      <w:pPr>
        <w:jc w:val="both"/>
        <w:ind w:left="1280" w:firstLine="63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Cash</w:t>
      </w:r>
      <w:r>
        <w:rPr>
          <w:rFonts w:ascii="Times New Roman" w:cs="Times New Roman" w:eastAsia="Times New Roman" w:hAnsi="Times New Roman"/>
          <w:sz w:val="19"/>
          <w:szCs w:val="19"/>
          <w:color w:val="auto"/>
        </w:rPr>
        <w:t>” means unrestricted domestic cash and Cash Equivalents of the Loan Parties held in a deposit account that is subject to a deposit account control agreement in favor of Lender. For the avoidance of doubt, the Participation Interests Amount shall not constitute Qualified Cash.</w:t>
      </w:r>
    </w:p>
    <w:p>
      <w:pPr>
        <w:spacing w:after="0" w:line="215" w:lineRule="exact"/>
        <w:rPr>
          <w:sz w:val="20"/>
          <w:szCs w:val="20"/>
          <w:color w:val="auto"/>
        </w:rPr>
      </w:pPr>
    </w:p>
    <w:p>
      <w:pPr>
        <w:ind w:left="3160" w:hanging="622"/>
        <w:spacing w:after="0"/>
        <w:tabs>
          <w:tab w:leader="none" w:pos="31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i w:val="1"/>
          <w:iCs w:val="1"/>
          <w:color w:val="auto"/>
        </w:rPr>
        <w:t xml:space="preserve">Schedule B </w:t>
      </w:r>
      <w:r>
        <w:rPr>
          <w:rFonts w:ascii="Times New Roman" w:cs="Times New Roman" w:eastAsia="Times New Roman" w:hAnsi="Times New Roman"/>
          <w:sz w:val="19"/>
          <w:szCs w:val="19"/>
          <w:color w:val="auto"/>
        </w:rPr>
        <w:t>to the Loan Agreement is hereby amended by adding the following</w:t>
      </w:r>
    </w:p>
    <w:p>
      <w:pPr>
        <w:spacing w:after="0" w:line="2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defined terms to such Schedule in their proper alphabetical order to read as follows: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242424"/>
        </w:rPr>
        <w:t>“</w:t>
      </w:r>
      <w:r>
        <w:rPr>
          <w:rFonts w:ascii="Times New Roman" w:cs="Times New Roman" w:eastAsia="Times New Roman" w:hAnsi="Times New Roman"/>
          <w:sz w:val="19"/>
          <w:szCs w:val="19"/>
          <w:b w:val="1"/>
          <w:bCs w:val="1"/>
          <w:i w:val="1"/>
          <w:iCs w:val="1"/>
          <w:color w:val="242424"/>
        </w:rPr>
        <w:t>Participant</w:t>
      </w:r>
      <w:r>
        <w:rPr>
          <w:rFonts w:ascii="Times New Roman" w:cs="Times New Roman" w:eastAsia="Times New Roman" w:hAnsi="Times New Roman"/>
          <w:sz w:val="19"/>
          <w:szCs w:val="19"/>
          <w:color w:val="242424"/>
        </w:rPr>
        <w:t xml:space="preserve">” means </w:t>
      </w:r>
      <w:r>
        <w:rPr>
          <w:rFonts w:ascii="Times New Roman" w:cs="Times New Roman" w:eastAsia="Times New Roman" w:hAnsi="Times New Roman"/>
          <w:sz w:val="19"/>
          <w:szCs w:val="19"/>
          <w:color w:val="000000"/>
        </w:rPr>
        <w:t>South Ocean Funding, LLC and North Sound Management.</w:t>
      </w:r>
    </w:p>
    <w:p>
      <w:pPr>
        <w:spacing w:after="0" w:line="204" w:lineRule="exact"/>
        <w:rPr>
          <w:sz w:val="20"/>
          <w:szCs w:val="20"/>
          <w:color w:val="auto"/>
        </w:rPr>
      </w:pPr>
    </w:p>
    <w:p>
      <w:pPr>
        <w:jc w:val="both"/>
        <w:ind w:left="1280" w:firstLine="633"/>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Participation Agreement</w:t>
      </w:r>
      <w:r>
        <w:rPr>
          <w:rFonts w:ascii="Times New Roman" w:cs="Times New Roman" w:eastAsia="Times New Roman" w:hAnsi="Times New Roman"/>
          <w:sz w:val="19"/>
          <w:szCs w:val="19"/>
          <w:color w:val="auto"/>
        </w:rPr>
        <w:t>” means that certain Subordinated, Last-Out Participation Agreement dated as of the Third Amendment Effective Date by and among</w:t>
      </w:r>
    </w:p>
    <w:p>
      <w:pPr>
        <w:jc w:val="both"/>
        <w:ind w:left="1280" w:hanging="8"/>
        <w:spacing w:after="0" w:line="281" w:lineRule="auto"/>
        <w:rPr>
          <w:sz w:val="20"/>
          <w:szCs w:val="20"/>
          <w:color w:val="auto"/>
        </w:rPr>
      </w:pPr>
      <w:r>
        <w:rPr>
          <w:rFonts w:ascii="Times New Roman" w:cs="Times New Roman" w:eastAsia="Times New Roman" w:hAnsi="Times New Roman"/>
          <w:sz w:val="19"/>
          <w:szCs w:val="19"/>
          <w:color w:val="auto"/>
        </w:rPr>
        <w:t>Lender and Participant, as such agreement may be amended, restated, supplemented or otherwise modified in accordance with the terms thereof.</w:t>
      </w:r>
    </w:p>
    <w:p>
      <w:pPr>
        <w:spacing w:after="0" w:line="142" w:lineRule="exact"/>
        <w:rPr>
          <w:sz w:val="20"/>
          <w:szCs w:val="20"/>
          <w:color w:val="auto"/>
        </w:rPr>
      </w:pPr>
    </w:p>
    <w:p>
      <w:pPr>
        <w:jc w:val="both"/>
        <w:ind w:left="1280" w:firstLine="633"/>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Participation Interests Amount</w:t>
      </w:r>
      <w:r>
        <w:rPr>
          <w:rFonts w:ascii="Times New Roman" w:cs="Times New Roman" w:eastAsia="Times New Roman" w:hAnsi="Times New Roman"/>
          <w:sz w:val="19"/>
          <w:szCs w:val="19"/>
          <w:color w:val="auto"/>
        </w:rPr>
        <w:t xml:space="preserve">” means, </w:t>
      </w:r>
      <w:r>
        <w:rPr>
          <w:rFonts w:ascii="Times New Roman" w:cs="Times New Roman" w:eastAsia="Times New Roman" w:hAnsi="Times New Roman"/>
          <w:sz w:val="19"/>
          <w:szCs w:val="19"/>
          <w:color w:val="242424"/>
        </w:rPr>
        <w:t>the aggregate purchase price paid by the Participant to Lender on the Third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42424"/>
        </w:rPr>
        <w:t xml:space="preserve">Amendment Effective Date pursuant to the terms of the Participation Agreement; </w:t>
      </w:r>
      <w:r>
        <w:rPr>
          <w:rFonts w:ascii="Times New Roman" w:cs="Times New Roman" w:eastAsia="Times New Roman" w:hAnsi="Times New Roman"/>
          <w:sz w:val="19"/>
          <w:szCs w:val="19"/>
          <w:i w:val="1"/>
          <w:iCs w:val="1"/>
          <w:color w:val="242424"/>
        </w:rPr>
        <w:t>provided</w:t>
      </w:r>
      <w:r>
        <w:rPr>
          <w:rFonts w:ascii="Times New Roman" w:cs="Times New Roman" w:eastAsia="Times New Roman" w:hAnsi="Times New Roman"/>
          <w:sz w:val="19"/>
          <w:szCs w:val="19"/>
          <w:color w:val="242424"/>
        </w:rPr>
        <w:t xml:space="preserve"> that if such amount is returned to the Participant (whether through a put-right, sale, redemption transfer or any other transaction), the Participation Interest Amount shall be deemed to be $0. As of the Third Amendment Effective Date, the Dollar Value of Participation Interests is $4,000,000.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00"/>
          </w:cols>
          <w:pgMar w:left="320" w:top="776" w:right="37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242424"/>
        </w:rPr>
        <w:t>Third Amendment Effective Date</w:t>
      </w:r>
      <w:r>
        <w:rPr>
          <w:rFonts w:ascii="Times New Roman" w:cs="Times New Roman" w:eastAsia="Times New Roman" w:hAnsi="Times New Roman"/>
          <w:sz w:val="19"/>
          <w:szCs w:val="19"/>
          <w:color w:val="242424"/>
        </w:rPr>
        <w:t>” means May 2, 2023.</w:t>
      </w:r>
    </w:p>
    <w:p>
      <w:pPr>
        <w:spacing w:after="0" w:line="155" w:lineRule="exact"/>
        <w:rPr>
          <w:sz w:val="20"/>
          <w:szCs w:val="20"/>
          <w:color w:val="auto"/>
        </w:rPr>
      </w:pPr>
    </w:p>
    <w:p>
      <w:pPr>
        <w:jc w:val="both"/>
        <w:ind w:firstLine="639"/>
        <w:spacing w:after="0" w:line="254" w:lineRule="auto"/>
        <w:tabs>
          <w:tab w:leader="none" w:pos="126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Amendment Fee</w:t>
      </w:r>
      <w:r>
        <w:rPr>
          <w:rFonts w:ascii="Times New Roman" w:cs="Times New Roman" w:eastAsia="Times New Roman" w:hAnsi="Times New Roman"/>
          <w:sz w:val="19"/>
          <w:szCs w:val="19"/>
          <w:color w:val="auto"/>
        </w:rPr>
        <w:t>. In consideration of the agreements set forth herein, Borrowers hereby agree to, jointly and severally, pay to Lender an amendment fee in the amount of $50,000 (the “</w:t>
      </w:r>
      <w:r>
        <w:rPr>
          <w:rFonts w:ascii="Times New Roman" w:cs="Times New Roman" w:eastAsia="Times New Roman" w:hAnsi="Times New Roman"/>
          <w:sz w:val="19"/>
          <w:szCs w:val="19"/>
          <w:b w:val="1"/>
          <w:bCs w:val="1"/>
          <w:i w:val="1"/>
          <w:iCs w:val="1"/>
          <w:color w:val="auto"/>
        </w:rPr>
        <w:t>Amendment Fee</w:t>
      </w:r>
      <w:r>
        <w:rPr>
          <w:rFonts w:ascii="Times New Roman" w:cs="Times New Roman" w:eastAsia="Times New Roman" w:hAnsi="Times New Roman"/>
          <w:sz w:val="19"/>
          <w:szCs w:val="19"/>
          <w:color w:val="auto"/>
        </w:rPr>
        <w:t>”), which fee is non-refundable when paid and is fully-earned as of and due and payable on the date of this Amendment.</w:t>
      </w:r>
    </w:p>
    <w:p>
      <w:pPr>
        <w:spacing w:after="0" w:line="20" w:lineRule="exact"/>
        <w:rPr>
          <w:rFonts w:ascii="Times New Roman" w:cs="Times New Roman" w:eastAsia="Times New Roman" w:hAnsi="Times New Roman"/>
          <w:sz w:val="21"/>
          <w:szCs w:val="21"/>
          <w:color w:val="auto"/>
        </w:rPr>
      </w:pPr>
    </w:p>
    <w:p>
      <w:pPr>
        <w:ind w:firstLine="639"/>
        <w:spacing w:after="0" w:line="258" w:lineRule="auto"/>
        <w:tabs>
          <w:tab w:leader="none" w:pos="126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Effectiveness of this Amendment</w:t>
      </w:r>
      <w:r>
        <w:rPr>
          <w:rFonts w:ascii="Times New Roman" w:cs="Times New Roman" w:eastAsia="Times New Roman" w:hAnsi="Times New Roman"/>
          <w:sz w:val="19"/>
          <w:szCs w:val="19"/>
          <w:color w:val="auto"/>
        </w:rPr>
        <w:t>. This Amendment shall become effective as of the Third Amendment Effective Date upon the satisfaction, as determined by Lender, of the following conditions.</w:t>
      </w:r>
    </w:p>
    <w:p>
      <w:pPr>
        <w:spacing w:after="0" w:line="244" w:lineRule="exact"/>
        <w:rPr>
          <w:sz w:val="20"/>
          <w:szCs w:val="20"/>
          <w:color w:val="auto"/>
        </w:rPr>
      </w:pPr>
    </w:p>
    <w:p>
      <w:pPr>
        <w:ind w:right="2100" w:firstLine="2538"/>
        <w:spacing w:after="0" w:line="287" w:lineRule="auto"/>
        <w:tabs>
          <w:tab w:leader="none" w:pos="317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Lender shall have received this Amendment fully executed in a sufficient number of counterparts for distribution to all parties hereto.</w:t>
      </w:r>
    </w:p>
    <w:p>
      <w:pPr>
        <w:spacing w:after="0" w:line="201" w:lineRule="exact"/>
        <w:rPr>
          <w:rFonts w:ascii="Times New Roman" w:cs="Times New Roman" w:eastAsia="Times New Roman" w:hAnsi="Times New Roman"/>
          <w:sz w:val="21"/>
          <w:szCs w:val="21"/>
          <w:color w:val="auto"/>
        </w:rPr>
      </w:pPr>
    </w:p>
    <w:p>
      <w:pPr>
        <w:ind w:right="1780" w:firstLine="2538"/>
        <w:spacing w:after="0" w:line="287" w:lineRule="auto"/>
        <w:tabs>
          <w:tab w:leader="none" w:pos="317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Amendment Fee</w:t>
      </w:r>
      <w:r>
        <w:rPr>
          <w:rFonts w:ascii="Times New Roman" w:cs="Times New Roman" w:eastAsia="Times New Roman" w:hAnsi="Times New Roman"/>
          <w:sz w:val="19"/>
          <w:szCs w:val="19"/>
          <w:color w:val="auto"/>
        </w:rPr>
        <w:t>. Lender shall have received the Amendment Fee, which may be paid as a charge to Borrowers’ Loan Account.</w:t>
      </w:r>
    </w:p>
    <w:p>
      <w:pPr>
        <w:spacing w:after="0" w:line="201" w:lineRule="exact"/>
        <w:rPr>
          <w:rFonts w:ascii="Times New Roman" w:cs="Times New Roman" w:eastAsia="Times New Roman" w:hAnsi="Times New Roman"/>
          <w:sz w:val="21"/>
          <w:szCs w:val="21"/>
          <w:color w:val="auto"/>
        </w:rPr>
      </w:pPr>
    </w:p>
    <w:p>
      <w:pPr>
        <w:ind w:right="1800" w:firstLine="2538"/>
        <w:spacing w:after="0" w:line="287" w:lineRule="auto"/>
        <w:tabs>
          <w:tab w:leader="none" w:pos="317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Amended and Restated Fee Letter</w:t>
      </w:r>
      <w:r>
        <w:rPr>
          <w:rFonts w:ascii="Times New Roman" w:cs="Times New Roman" w:eastAsia="Times New Roman" w:hAnsi="Times New Roman"/>
          <w:sz w:val="19"/>
          <w:szCs w:val="19"/>
          <w:color w:val="auto"/>
        </w:rPr>
        <w:t>. Lender shall have received a fully executed copy of the Amended and Restated Fee Letter, in a sufficient number of counterparts for distribution to all parties thereto.</w:t>
      </w:r>
    </w:p>
    <w:p>
      <w:pPr>
        <w:spacing w:after="0" w:line="188" w:lineRule="exact"/>
        <w:rPr>
          <w:rFonts w:ascii="Times New Roman" w:cs="Times New Roman" w:eastAsia="Times New Roman" w:hAnsi="Times New Roman"/>
          <w:sz w:val="21"/>
          <w:szCs w:val="21"/>
          <w:color w:val="auto"/>
        </w:rPr>
      </w:pPr>
    </w:p>
    <w:p>
      <w:pPr>
        <w:ind w:left="1280" w:firstLine="1258"/>
        <w:spacing w:after="0" w:line="272" w:lineRule="auto"/>
        <w:tabs>
          <w:tab w:leader="none" w:pos="317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Participation Agreement</w:t>
      </w:r>
      <w:r>
        <w:rPr>
          <w:rFonts w:ascii="Times New Roman" w:cs="Times New Roman" w:eastAsia="Times New Roman" w:hAnsi="Times New Roman"/>
          <w:sz w:val="19"/>
          <w:szCs w:val="19"/>
          <w:color w:val="auto"/>
        </w:rPr>
        <w:t>. Lender shall have received a fully executed copy of the Subordinated, Last-Out Participation in a sufficient number of counterparts for distribution to all parties thereto.</w:t>
      </w:r>
    </w:p>
    <w:p>
      <w:pPr>
        <w:spacing w:after="0" w:line="230" w:lineRule="exact"/>
        <w:rPr>
          <w:rFonts w:ascii="Times New Roman" w:cs="Times New Roman" w:eastAsia="Times New Roman" w:hAnsi="Times New Roman"/>
          <w:sz w:val="21"/>
          <w:szCs w:val="21"/>
          <w:color w:val="auto"/>
        </w:rPr>
      </w:pPr>
    </w:p>
    <w:p>
      <w:pPr>
        <w:ind w:left="3160" w:hanging="622"/>
        <w:spacing w:after="0"/>
        <w:tabs>
          <w:tab w:leader="none" w:pos="31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Participation Interests Amount</w:t>
      </w:r>
      <w:r>
        <w:rPr>
          <w:rFonts w:ascii="Times New Roman" w:cs="Times New Roman" w:eastAsia="Times New Roman" w:hAnsi="Times New Roman"/>
          <w:sz w:val="19"/>
          <w:szCs w:val="19"/>
          <w:color w:val="auto"/>
        </w:rPr>
        <w:t>. Lender shall have received $4,000,000 in</w:t>
      </w:r>
    </w:p>
    <w:p>
      <w:pPr>
        <w:spacing w:after="0" w:line="17" w:lineRule="exact"/>
        <w:rPr>
          <w:sz w:val="20"/>
          <w:szCs w:val="20"/>
          <w:color w:val="auto"/>
        </w:rPr>
      </w:pPr>
    </w:p>
    <w:p>
      <w:pPr>
        <w:ind w:hanging="8"/>
        <w:spacing w:after="0" w:line="274" w:lineRule="auto"/>
        <w:rPr>
          <w:sz w:val="20"/>
          <w:szCs w:val="20"/>
          <w:color w:val="auto"/>
        </w:rPr>
      </w:pPr>
      <w:r>
        <w:rPr>
          <w:rFonts w:ascii="Times New Roman" w:cs="Times New Roman" w:eastAsia="Times New Roman" w:hAnsi="Times New Roman"/>
          <w:sz w:val="19"/>
          <w:szCs w:val="19"/>
          <w:color w:val="auto"/>
        </w:rPr>
        <w:t>immediately available funds from Participant, as payment of the purchase price for the Participation Interest (as such term is defined in the Participation Agreement).</w:t>
      </w:r>
    </w:p>
    <w:p>
      <w:pPr>
        <w:spacing w:after="0" w:line="206" w:lineRule="exact"/>
        <w:rPr>
          <w:sz w:val="20"/>
          <w:szCs w:val="20"/>
          <w:color w:val="auto"/>
        </w:rPr>
      </w:pPr>
    </w:p>
    <w:p>
      <w:pPr>
        <w:jc w:val="both"/>
        <w:ind w:left="1280" w:firstLine="1258"/>
        <w:spacing w:after="0" w:line="258" w:lineRule="auto"/>
        <w:tabs>
          <w:tab w:leader="none" w:pos="3179"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Other Required Documentation.</w:t>
      </w:r>
      <w:r>
        <w:rPr>
          <w:rFonts w:ascii="Times New Roman" w:cs="Times New Roman" w:eastAsia="Times New Roman" w:hAnsi="Times New Roman"/>
          <w:sz w:val="19"/>
          <w:szCs w:val="19"/>
          <w:color w:val="auto"/>
        </w:rPr>
        <w:t xml:space="preserve"> All other documents required to be delivered by Borrowers in connection with the transactions contemplated by this Amendment shall have been delivered or executed or recorded, as reasonably required by Lender.</w:t>
      </w:r>
    </w:p>
    <w:p>
      <w:pPr>
        <w:spacing w:after="0" w:line="246" w:lineRule="exact"/>
        <w:rPr>
          <w:rFonts w:ascii="Times New Roman" w:cs="Times New Roman" w:eastAsia="Times New Roman" w:hAnsi="Times New Roman"/>
          <w:sz w:val="21"/>
          <w:szCs w:val="21"/>
          <w:color w:val="auto"/>
        </w:rPr>
      </w:pPr>
    </w:p>
    <w:p>
      <w:pPr>
        <w:ind w:left="1280" w:hanging="641"/>
        <w:spacing w:after="0"/>
        <w:tabs>
          <w:tab w:leader="none" w:pos="12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Each Loan Party represents and warrants as follows:</w:t>
      </w:r>
    </w:p>
    <w:p>
      <w:pPr>
        <w:spacing w:after="0" w:line="259" w:lineRule="exact"/>
        <w:rPr>
          <w:rFonts w:ascii="Times New Roman" w:cs="Times New Roman" w:eastAsia="Times New Roman" w:hAnsi="Times New Roman"/>
          <w:sz w:val="21"/>
          <w:szCs w:val="21"/>
          <w:color w:val="auto"/>
        </w:rPr>
      </w:pPr>
    </w:p>
    <w:p>
      <w:pPr>
        <w:ind w:left="3160" w:hanging="622"/>
        <w:spacing w:after="0"/>
        <w:tabs>
          <w:tab w:leader="none" w:pos="316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Such Loan Party has the requisite corporate power and authority to</w:t>
      </w:r>
    </w:p>
    <w:p>
      <w:pPr>
        <w:spacing w:after="0" w:line="17" w:lineRule="exact"/>
        <w:rPr>
          <w:sz w:val="20"/>
          <w:szCs w:val="20"/>
          <w:color w:val="auto"/>
        </w:rPr>
      </w:pPr>
    </w:p>
    <w:p>
      <w:pPr>
        <w:jc w:val="both"/>
        <w:ind w:hanging="8"/>
        <w:spacing w:after="0" w:line="267" w:lineRule="auto"/>
        <w:rPr>
          <w:sz w:val="20"/>
          <w:szCs w:val="20"/>
          <w:color w:val="auto"/>
        </w:rPr>
      </w:pPr>
      <w:r>
        <w:rPr>
          <w:rFonts w:ascii="Times New Roman" w:cs="Times New Roman" w:eastAsia="Times New Roman" w:hAnsi="Times New Roman"/>
          <w:sz w:val="19"/>
          <w:szCs w:val="19"/>
          <w:color w:val="auto"/>
        </w:rPr>
        <w:t>execute and deliver this Amendment, and to perform its obligations hereunder. The execution, delivery and performance by such Loan Party of this Amendment have been duly approved by all necessary corporate action and no other corporate proceedings are necessary to consummate such transactions.</w:t>
      </w:r>
    </w:p>
    <w:p>
      <w:pPr>
        <w:spacing w:after="0" w:line="213" w:lineRule="exact"/>
        <w:rPr>
          <w:sz w:val="20"/>
          <w:szCs w:val="20"/>
          <w:color w:val="auto"/>
        </w:rPr>
      </w:pPr>
    </w:p>
    <w:p>
      <w:pPr>
        <w:ind w:left="1280" w:firstLine="1258"/>
        <w:spacing w:after="0" w:line="272" w:lineRule="auto"/>
        <w:tabs>
          <w:tab w:leader="none" w:pos="317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Enforceability</w:t>
      </w:r>
      <w:r>
        <w:rPr>
          <w:rFonts w:ascii="Times New Roman" w:cs="Times New Roman" w:eastAsia="Times New Roman" w:hAnsi="Times New Roman"/>
          <w:sz w:val="19"/>
          <w:szCs w:val="19"/>
          <w:color w:val="auto"/>
        </w:rPr>
        <w:t>. This Amendment has been duly executed and delivered by each Loan Party. This Amendment is the legal, valid and binding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00"/>
          </w:cols>
          <w:pgMar w:left="320" w:top="759" w:right="379" w:bottom="1440" w:gutter="0" w:footer="0" w:header="0"/>
        </w:sectPr>
      </w:pPr>
    </w:p>
    <w:bookmarkStart w:id="35" w:name="page36"/>
    <w:bookmarkEnd w:id="35"/>
    <w:p>
      <w:pPr>
        <w:ind w:left="1280"/>
        <w:spacing w:after="0"/>
        <w:rPr>
          <w:sz w:val="20"/>
          <w:szCs w:val="20"/>
          <w:color w:val="auto"/>
        </w:rPr>
      </w:pPr>
      <w:r>
        <w:rPr>
          <w:rFonts w:ascii="Times New Roman" w:cs="Times New Roman" w:eastAsia="Times New Roman" w:hAnsi="Times New Roman"/>
          <w:sz w:val="19"/>
          <w:szCs w:val="19"/>
          <w:color w:val="auto"/>
        </w:rPr>
        <w:t>of each Loan Party, enforceable against each Loan Party in accordance with its terms, and is in full force and effect.</w:t>
      </w:r>
    </w:p>
    <w:p>
      <w:pPr>
        <w:spacing w:after="0" w:line="296" w:lineRule="exact"/>
        <w:rPr>
          <w:sz w:val="20"/>
          <w:szCs w:val="20"/>
          <w:color w:val="auto"/>
        </w:rPr>
      </w:pPr>
    </w:p>
    <w:p>
      <w:pPr>
        <w:ind w:left="3160" w:hanging="622"/>
        <w:spacing w:after="0"/>
        <w:tabs>
          <w:tab w:leader="none" w:pos="31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The representations and warranties contained in</w:t>
      </w:r>
    </w:p>
    <w:p>
      <w:pPr>
        <w:spacing w:after="0" w:line="17" w:lineRule="exact"/>
        <w:rPr>
          <w:sz w:val="20"/>
          <w:szCs w:val="20"/>
          <w:color w:val="auto"/>
        </w:rPr>
      </w:pPr>
    </w:p>
    <w:p>
      <w:pPr>
        <w:ind w:hanging="8"/>
        <w:spacing w:after="0" w:line="274" w:lineRule="auto"/>
        <w:rPr>
          <w:sz w:val="20"/>
          <w:szCs w:val="20"/>
          <w:color w:val="auto"/>
        </w:rPr>
      </w:pPr>
      <w:r>
        <w:rPr>
          <w:rFonts w:ascii="Times New Roman" w:cs="Times New Roman" w:eastAsia="Times New Roman" w:hAnsi="Times New Roman"/>
          <w:sz w:val="19"/>
          <w:szCs w:val="19"/>
          <w:color w:val="auto"/>
        </w:rPr>
        <w:t>the Loan Agreement and each other Loan Document (other than any such representations or warranties that, by their terms, are specifically made as of a date other than the date hereof) are correct on and as of the date hereof as though made on and as of the date hereof.</w:t>
      </w:r>
    </w:p>
    <w:p>
      <w:pPr>
        <w:spacing w:after="0" w:line="232" w:lineRule="exact"/>
        <w:rPr>
          <w:sz w:val="20"/>
          <w:szCs w:val="20"/>
          <w:color w:val="auto"/>
        </w:rPr>
      </w:pPr>
    </w:p>
    <w:p>
      <w:pPr>
        <w:ind w:left="3160" w:hanging="622"/>
        <w:spacing w:after="0"/>
        <w:tabs>
          <w:tab w:leader="none" w:pos="31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Due Execution</w:t>
      </w:r>
      <w:r>
        <w:rPr>
          <w:rFonts w:ascii="Times New Roman" w:cs="Times New Roman" w:eastAsia="Times New Roman" w:hAnsi="Times New Roman"/>
          <w:sz w:val="19"/>
          <w:szCs w:val="19"/>
          <w:color w:val="auto"/>
        </w:rPr>
        <w:t>. The execution, delivery and performance of this Amendment are</w:t>
      </w:r>
    </w:p>
    <w:p>
      <w:pPr>
        <w:spacing w:after="0" w:line="17" w:lineRule="exact"/>
        <w:rPr>
          <w:sz w:val="20"/>
          <w:szCs w:val="20"/>
          <w:color w:val="auto"/>
        </w:rPr>
      </w:pPr>
    </w:p>
    <w:p>
      <w:pPr>
        <w:ind w:hanging="8"/>
        <w:spacing w:after="0" w:line="274" w:lineRule="auto"/>
        <w:rPr>
          <w:sz w:val="20"/>
          <w:szCs w:val="20"/>
          <w:color w:val="auto"/>
        </w:rPr>
      </w:pPr>
      <w:r>
        <w:rPr>
          <w:rFonts w:ascii="Times New Roman" w:cs="Times New Roman" w:eastAsia="Times New Roman" w:hAnsi="Times New Roman"/>
          <w:sz w:val="19"/>
          <w:szCs w:val="19"/>
          <w:color w:val="auto"/>
        </w:rPr>
        <w:t>within the power of each Loan Party, have been duly authorized by all necessary corporate action, have received all necessary governmental approval, if any, and do not contravene any law or any contractual restrictions binding on any Loan Party.</w:t>
      </w:r>
    </w:p>
    <w:p>
      <w:pPr>
        <w:spacing w:after="0" w:line="232" w:lineRule="exact"/>
        <w:rPr>
          <w:sz w:val="20"/>
          <w:szCs w:val="20"/>
          <w:color w:val="auto"/>
        </w:rPr>
      </w:pPr>
    </w:p>
    <w:p>
      <w:pPr>
        <w:ind w:left="3160" w:hanging="622"/>
        <w:spacing w:after="0"/>
        <w:tabs>
          <w:tab w:leader="none" w:pos="31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 No event has occurred and is continuing that constitutes a Default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 Event of Default.</w:t>
      </w:r>
    </w:p>
    <w:p>
      <w:pPr>
        <w:spacing w:after="0" w:line="38" w:lineRule="exact"/>
        <w:rPr>
          <w:sz w:val="20"/>
          <w:szCs w:val="20"/>
          <w:color w:val="auto"/>
        </w:rPr>
      </w:pPr>
    </w:p>
    <w:p>
      <w:pPr>
        <w:ind w:firstLine="639"/>
        <w:spacing w:after="0" w:line="258" w:lineRule="auto"/>
        <w:tabs>
          <w:tab w:leader="none" w:pos="126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Choice of Law</w:t>
      </w:r>
      <w:r>
        <w:rPr>
          <w:rFonts w:ascii="Times New Roman" w:cs="Times New Roman" w:eastAsia="Times New Roman" w:hAnsi="Times New Roman"/>
          <w:sz w:val="19"/>
          <w:szCs w:val="19"/>
          <w:color w:val="auto"/>
        </w:rPr>
        <w:t>. This Amendment shall be governed by and construed in accordance with the laws of the State of New York applied to contracts to be performed wholly within the State of New York.</w:t>
      </w:r>
    </w:p>
    <w:p>
      <w:pPr>
        <w:spacing w:after="0" w:line="230" w:lineRule="exact"/>
        <w:rPr>
          <w:rFonts w:ascii="Times New Roman" w:cs="Times New Roman" w:eastAsia="Times New Roman" w:hAnsi="Times New Roman"/>
          <w:sz w:val="21"/>
          <w:szCs w:val="21"/>
          <w:color w:val="auto"/>
        </w:rPr>
      </w:pPr>
    </w:p>
    <w:p>
      <w:pPr>
        <w:jc w:val="both"/>
        <w:ind w:firstLine="639"/>
        <w:spacing w:after="0" w:line="254" w:lineRule="auto"/>
        <w:tabs>
          <w:tab w:leader="none" w:pos="126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Counterparts; Facsimile Signatures</w:t>
      </w:r>
      <w:r>
        <w:rPr>
          <w:rFonts w:ascii="Times New Roman" w:cs="Times New Roman" w:eastAsia="Times New Roman" w:hAnsi="Times New Roman"/>
          <w:sz w:val="19"/>
          <w:szCs w:val="19"/>
          <w:color w:val="auto"/>
        </w:rPr>
        <w:t>. This Amendment may be executed in any number of and by different parties hereto on separate counterparts, all of which, when so executed, shall be deemed an original, but all such counterparts shall constitute one and the same agreement. Any signature delivered by a party by facsimile or other similar form of electronic transmission shall be deemed to be an original signature hereto.</w:t>
      </w:r>
    </w:p>
    <w:p>
      <w:pPr>
        <w:spacing w:after="0" w:line="250" w:lineRule="exact"/>
        <w:rPr>
          <w:rFonts w:ascii="Times New Roman" w:cs="Times New Roman" w:eastAsia="Times New Roman" w:hAnsi="Times New Roman"/>
          <w:sz w:val="21"/>
          <w:szCs w:val="21"/>
          <w:color w:val="auto"/>
        </w:rPr>
      </w:pPr>
    </w:p>
    <w:p>
      <w:pPr>
        <w:ind w:left="1280" w:hanging="641"/>
        <w:spacing w:after="0"/>
        <w:tabs>
          <w:tab w:leader="none" w:pos="12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Reference to and Effect on the other Loan Documents</w:t>
      </w:r>
      <w:r>
        <w:rPr>
          <w:rFonts w:ascii="Times New Roman" w:cs="Times New Roman" w:eastAsia="Times New Roman" w:hAnsi="Times New Roman"/>
          <w:sz w:val="19"/>
          <w:szCs w:val="19"/>
          <w:color w:val="auto"/>
        </w:rPr>
        <w:t>.</w:t>
      </w:r>
    </w:p>
    <w:p>
      <w:pPr>
        <w:spacing w:after="0" w:line="242" w:lineRule="exact"/>
        <w:rPr>
          <w:rFonts w:ascii="Times New Roman" w:cs="Times New Roman" w:eastAsia="Times New Roman" w:hAnsi="Times New Roman"/>
          <w:sz w:val="21"/>
          <w:szCs w:val="21"/>
          <w:color w:val="auto"/>
        </w:rPr>
      </w:pPr>
    </w:p>
    <w:p>
      <w:pPr>
        <w:jc w:val="both"/>
        <w:ind w:left="1280" w:firstLine="1258"/>
        <w:spacing w:after="0" w:line="255" w:lineRule="auto"/>
        <w:tabs>
          <w:tab w:leader="none" w:pos="317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Upon and after the effectiveness of this Amendment, each reference in the Loan Agreement to “</w:t>
      </w:r>
      <w:r>
        <w:rPr>
          <w:rFonts w:ascii="Times New Roman" w:cs="Times New Roman" w:eastAsia="Times New Roman" w:hAnsi="Times New Roman"/>
          <w:sz w:val="19"/>
          <w:szCs w:val="19"/>
          <w:b w:val="1"/>
          <w:bCs w:val="1"/>
          <w:i w:val="1"/>
          <w:iCs w:val="1"/>
          <w:color w:val="auto"/>
        </w:rPr>
        <w:t>this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hereunder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hereof</w:t>
      </w:r>
      <w:r>
        <w:rPr>
          <w:rFonts w:ascii="Times New Roman" w:cs="Times New Roman" w:eastAsia="Times New Roman" w:hAnsi="Times New Roman"/>
          <w:sz w:val="19"/>
          <w:szCs w:val="19"/>
          <w:color w:val="auto"/>
        </w:rPr>
        <w:t>” or words of like import referring to the Loan Agreement, and each reference in the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Loan Documents to “</w:t>
      </w:r>
      <w:r>
        <w:rPr>
          <w:rFonts w:ascii="Times New Roman" w:cs="Times New Roman" w:eastAsia="Times New Roman" w:hAnsi="Times New Roman"/>
          <w:sz w:val="19"/>
          <w:szCs w:val="19"/>
          <w:b w:val="1"/>
          <w:bCs w:val="1"/>
          <w:i w:val="1"/>
          <w:iCs w:val="1"/>
          <w:color w:val="auto"/>
        </w:rPr>
        <w:t>the Loan Agreement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thereof</w:t>
      </w:r>
      <w:r>
        <w:rPr>
          <w:rFonts w:ascii="Times New Roman" w:cs="Times New Roman" w:eastAsia="Times New Roman" w:hAnsi="Times New Roman"/>
          <w:sz w:val="19"/>
          <w:szCs w:val="19"/>
          <w:color w:val="auto"/>
        </w:rPr>
        <w:t>” or words of like import referring to the Loan Agreement, shall mean and be a reference to the Loan Agreement as modified and amended hereby.</w:t>
      </w:r>
    </w:p>
    <w:p>
      <w:pPr>
        <w:spacing w:after="0" w:line="238" w:lineRule="exact"/>
        <w:rPr>
          <w:rFonts w:ascii="Times New Roman" w:cs="Times New Roman" w:eastAsia="Times New Roman" w:hAnsi="Times New Roman"/>
          <w:sz w:val="21"/>
          <w:szCs w:val="21"/>
          <w:color w:val="auto"/>
        </w:rPr>
      </w:pPr>
    </w:p>
    <w:p>
      <w:pPr>
        <w:jc w:val="both"/>
        <w:ind w:left="1280" w:firstLine="1258"/>
        <w:spacing w:after="0" w:line="258" w:lineRule="auto"/>
        <w:tabs>
          <w:tab w:leader="none" w:pos="3175"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Except as specifically amended above, the Loan Agreement and all other Loan Documents, are and shall continue to be in full force and effect and are hereby in all respects ratified and confirmed and shall constitute the legal, valid, binding and enforceable obligations of Borrowers to Lender.</w:t>
      </w:r>
    </w:p>
    <w:p>
      <w:pPr>
        <w:spacing w:after="0" w:line="246" w:lineRule="exact"/>
        <w:rPr>
          <w:rFonts w:ascii="Times New Roman" w:cs="Times New Roman" w:eastAsia="Times New Roman" w:hAnsi="Times New Roman"/>
          <w:sz w:val="21"/>
          <w:szCs w:val="21"/>
          <w:color w:val="auto"/>
        </w:rPr>
      </w:pPr>
    </w:p>
    <w:p>
      <w:pPr>
        <w:ind w:left="3160" w:hanging="622"/>
        <w:spacing w:after="0"/>
        <w:tabs>
          <w:tab w:leader="none" w:pos="316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execution, delivery and effectiveness of this Amendment shall not, except as</w:t>
      </w:r>
    </w:p>
    <w:p>
      <w:pPr>
        <w:spacing w:after="0" w:line="17" w:lineRule="exact"/>
        <w:rPr>
          <w:sz w:val="20"/>
          <w:szCs w:val="20"/>
          <w:color w:val="auto"/>
        </w:rPr>
      </w:pPr>
    </w:p>
    <w:p>
      <w:pPr>
        <w:ind w:hanging="8"/>
        <w:spacing w:after="0" w:line="274" w:lineRule="auto"/>
        <w:rPr>
          <w:sz w:val="20"/>
          <w:szCs w:val="20"/>
          <w:color w:val="auto"/>
        </w:rPr>
      </w:pPr>
      <w:r>
        <w:rPr>
          <w:rFonts w:ascii="Times New Roman" w:cs="Times New Roman" w:eastAsia="Times New Roman" w:hAnsi="Times New Roman"/>
          <w:sz w:val="19"/>
          <w:szCs w:val="19"/>
          <w:color w:val="auto"/>
        </w:rPr>
        <w:t>expressly provided herein, operate as a waiver of any right, power or remedy of the Lender under the Loan Agreement or any of the other Loan Documents, nor constitute a waiver of any provision of the Loan Agreement or any of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00"/>
          </w:cols>
          <w:pgMar w:left="320" w:top="750" w:right="379" w:bottom="1440" w:gutter="0" w:footer="0" w:header="0"/>
        </w:sectPr>
      </w:pPr>
    </w:p>
    <w:bookmarkStart w:id="36" w:name="page37"/>
    <w:bookmarkEnd w:id="36"/>
    <w:p>
      <w:pPr>
        <w:ind w:left="3160" w:hanging="622"/>
        <w:spacing w:after="0"/>
        <w:tabs>
          <w:tab w:leader="none" w:pos="31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To the extent that any terms and conditions in any of the other Loan Documents</w:t>
      </w:r>
    </w:p>
    <w:p>
      <w:pPr>
        <w:spacing w:after="0" w:line="17" w:lineRule="exact"/>
        <w:rPr>
          <w:sz w:val="20"/>
          <w:szCs w:val="20"/>
          <w:color w:val="auto"/>
        </w:rPr>
      </w:pPr>
    </w:p>
    <w:p>
      <w:pPr>
        <w:jc w:val="both"/>
        <w:ind w:hanging="8"/>
        <w:spacing w:after="0" w:line="260" w:lineRule="auto"/>
        <w:rPr>
          <w:sz w:val="20"/>
          <w:szCs w:val="20"/>
          <w:color w:val="auto"/>
        </w:rPr>
      </w:pPr>
      <w:r>
        <w:rPr>
          <w:rFonts w:ascii="Times New Roman" w:cs="Times New Roman" w:eastAsia="Times New Roman" w:hAnsi="Times New Roman"/>
          <w:sz w:val="19"/>
          <w:szCs w:val="19"/>
          <w:color w:val="auto"/>
        </w:rPr>
        <w:t>shall contradict or be in conflict with any terms or conditions of the Loan Agreement, after giving effect to this Amendment, such terms and conditions are hereby deemed modified or amended accordingly to reflect the terms and conditions of the Loan Agreement as modified or amended hereby.</w:t>
      </w:r>
    </w:p>
    <w:p>
      <w:pPr>
        <w:spacing w:after="0" w:line="232" w:lineRule="exact"/>
        <w:rPr>
          <w:sz w:val="20"/>
          <w:szCs w:val="20"/>
          <w:color w:val="auto"/>
        </w:rPr>
      </w:pPr>
    </w:p>
    <w:p>
      <w:pPr>
        <w:jc w:val="both"/>
        <w:ind w:firstLine="639"/>
        <w:spacing w:after="0" w:line="258" w:lineRule="auto"/>
        <w:tabs>
          <w:tab w:leader="none" w:pos="126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Amendment, together with the Loan Agreement and the other Loan Documents, incorporates all negotiations of the parties hereto with respect to the subject matter hereof and is the final expression and agreement of the parties hereto with respect to the subject matter hereof.</w:t>
      </w:r>
    </w:p>
    <w:p>
      <w:pPr>
        <w:spacing w:after="0" w:line="220" w:lineRule="exact"/>
        <w:rPr>
          <w:rFonts w:ascii="Times New Roman" w:cs="Times New Roman" w:eastAsia="Times New Roman" w:hAnsi="Times New Roman"/>
          <w:sz w:val="21"/>
          <w:szCs w:val="21"/>
          <w:color w:val="auto"/>
        </w:rPr>
      </w:pPr>
    </w:p>
    <w:p>
      <w:pPr>
        <w:jc w:val="both"/>
        <w:ind w:firstLine="639"/>
        <w:spacing w:after="0" w:line="258" w:lineRule="auto"/>
        <w:tabs>
          <w:tab w:leader="none" w:pos="126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of this Amendment is contrary to, prohibited by, or deemed invalid under applicable laws, such provision shall be inapplicable and deemed omitted to the extent so contrary, prohibited or invalid, but the remainder hereof shall not be invalidated thereby and shall be given effect so far as possible.</w:t>
      </w:r>
    </w:p>
    <w:p>
      <w:pPr>
        <w:spacing w:after="0" w:line="233" w:lineRule="exact"/>
        <w:rPr>
          <w:rFonts w:ascii="Times New Roman" w:cs="Times New Roman" w:eastAsia="Times New Roman" w:hAnsi="Times New Roman"/>
          <w:sz w:val="21"/>
          <w:szCs w:val="21"/>
          <w:color w:val="auto"/>
        </w:rPr>
      </w:pPr>
    </w:p>
    <w:p>
      <w:pPr>
        <w:jc w:val="both"/>
        <w:ind w:firstLine="639"/>
        <w:spacing w:after="0" w:line="254" w:lineRule="auto"/>
        <w:tabs>
          <w:tab w:leader="none" w:pos="126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Guarantors’ Acknowledgment</w:t>
      </w:r>
      <w:r>
        <w:rPr>
          <w:rFonts w:ascii="Times New Roman" w:cs="Times New Roman" w:eastAsia="Times New Roman" w:hAnsi="Times New Roman"/>
          <w:sz w:val="19"/>
          <w:szCs w:val="19"/>
          <w:color w:val="auto"/>
        </w:rPr>
        <w:t>. With respect to the amendments to the Loan Agreement effected by this Amendment, each Guarantor hereby acknowledges and agrees to this Amendment and confirms and agrees that its Guaranty (as modified and supplemented in connection with this Amendment) is and shall continue to be, in full force and effect and is hereby ratified and confirmed in all respects except that, upon the effectiveness of, and on and after the date of this Amendment, each reference in such Guaranty to the Loan Agreement, “</w:t>
      </w:r>
      <w:r>
        <w:rPr>
          <w:rFonts w:ascii="Times New Roman" w:cs="Times New Roman" w:eastAsia="Times New Roman" w:hAnsi="Times New Roman"/>
          <w:sz w:val="19"/>
          <w:szCs w:val="19"/>
          <w:b w:val="1"/>
          <w:bCs w:val="1"/>
          <w:i w:val="1"/>
          <w:iCs w:val="1"/>
          <w:color w:val="auto"/>
        </w:rPr>
        <w:t>thereunder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thereof</w:t>
      </w:r>
      <w:r>
        <w:rPr>
          <w:rFonts w:ascii="Times New Roman" w:cs="Times New Roman" w:eastAsia="Times New Roman" w:hAnsi="Times New Roman"/>
          <w:sz w:val="19"/>
          <w:szCs w:val="19"/>
          <w:color w:val="auto"/>
        </w:rPr>
        <w:t>” or words of like import referring to the Loan Agreement, shall mean and be a reference to the Loan Agreement as amended or modified by this Amendment. Although Lender has informed the Guarantors of the matters set forth above, and each Guarantor has acknowledged the same, each Guarantor understands and agrees that Lender has no duty under the Loan Agreement, any Guaranty or any other agreement with any Guarantor to so notify any Guarantor or to seek such an acknowledgement, and nothing contained herein is intended to or shall create such a duty as to any transaction hereafter.</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00"/>
          </w:cols>
          <w:pgMar w:left="320" w:top="776" w:right="37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490855</wp:posOffset>
            </wp:positionV>
            <wp:extent cx="6833870" cy="8785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833870" cy="878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FFFFFF"/>
        </w:rPr>
        <w:t>140690.01137/131107290v.4</w:t>
      </w:r>
    </w:p>
    <w:p>
      <w:pPr>
        <w:sectPr>
          <w:pgSz w:w="11900" w:h="16838" w:orient="portrait"/>
          <w:cols w:equalWidth="0" w:num="1">
            <w:col w:w="9159"/>
          </w:cols>
          <w:pgMar w:left="1300" w:top="1440" w:right="1440" w:bottom="610" w:gutter="0" w:footer="0" w:header="0"/>
        </w:sectPr>
      </w:pPr>
    </w:p>
    <w:bookmarkStart w:id="38" w:name="page39"/>
    <w:bookmarkEnd w:id="38"/>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9"/>
          <w:szCs w:val="19"/>
          <w:b w:val="1"/>
          <w:bCs w:val="1"/>
          <w:color w:val="auto"/>
        </w:rPr>
        <w:t>LENDER:</w:t>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SIENA LENDING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1511935</wp:posOffset>
            </wp:positionH>
            <wp:positionV relativeFrom="paragraph">
              <wp:posOffset>17145</wp:posOffset>
            </wp:positionV>
            <wp:extent cx="2696845" cy="435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696845" cy="43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By:</w:t>
      </w:r>
    </w:p>
    <w:p>
      <w:pPr>
        <w:spacing w:after="0" w:line="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Name: Michael Zielinski</w:t>
      </w:r>
    </w:p>
    <w:p>
      <w:pPr>
        <w:spacing w:after="0" w:line="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1511935</wp:posOffset>
            </wp:positionH>
            <wp:positionV relativeFrom="paragraph">
              <wp:posOffset>25400</wp:posOffset>
            </wp:positionV>
            <wp:extent cx="2705100" cy="393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705100" cy="39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By:</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Name: Steven Sanicola</w:t>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Its: Authorized Signatory</w:t>
      </w:r>
    </w:p>
    <w:p>
      <w:pPr>
        <w:sectPr>
          <w:pgSz w:w="11900" w:h="16838" w:orient="portrait"/>
          <w:cols w:equalWidth="0" w:num="1">
            <w:col w:w="10120"/>
          </w:cols>
          <w:pgMar w:left="1440" w:top="144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[Signature Page to Third Amendment to Loan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140690.01137/131107290v.4</w:t>
      </w:r>
    </w:p>
    <w:p>
      <w:pPr>
        <w:sectPr>
          <w:pgSz w:w="11900" w:h="16838" w:orient="portrait"/>
          <w:cols w:equalWidth="0" w:num="1">
            <w:col w:w="10180"/>
          </w:cols>
          <w:pgMar w:left="1300" w:top="754" w:right="4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9"/>
          <w:szCs w:val="19"/>
          <w:color w:val="auto"/>
        </w:rPr>
        <w:t>Exhibit 10.3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FEE LETTER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May 2,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South Ocean Funding,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9350 Conroy Windermere Road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Windermere, Florida 34786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North Sound Ventures, LP 115 East Putnam Avenue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Greenwich, Connecticut 06830</w:t>
      </w:r>
    </w:p>
    <w:p>
      <w:pPr>
        <w:spacing w:after="0" w:line="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9"/>
          <w:szCs w:val="19"/>
          <w:b w:val="1"/>
          <w:bCs w:val="1"/>
          <w:color w:val="auto"/>
        </w:rPr>
        <w:t>Re:</w:t>
        <w:tab/>
        <w:t>Fee Letter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195" w:lineRule="exact"/>
        <w:rPr>
          <w:sz w:val="20"/>
          <w:szCs w:val="20"/>
          <w:color w:val="auto"/>
        </w:rPr>
      </w:pPr>
    </w:p>
    <w:p>
      <w:pPr>
        <w:jc w:val="both"/>
        <w:ind w:right="40" w:hanging="7"/>
        <w:spacing w:after="0" w:line="259" w:lineRule="auto"/>
        <w:rPr>
          <w:sz w:val="20"/>
          <w:szCs w:val="20"/>
          <w:color w:val="auto"/>
        </w:rPr>
      </w:pPr>
      <w:r>
        <w:rPr>
          <w:rFonts w:ascii="Times New Roman" w:cs="Times New Roman" w:eastAsia="Times New Roman" w:hAnsi="Times New Roman"/>
          <w:sz w:val="19"/>
          <w:szCs w:val="19"/>
          <w:color w:val="auto"/>
        </w:rPr>
        <w:t>Reference is made to that certain Loan and Security Agreement dated as of August 5, 2022 (as the same has been or may be amended, modified, renewed, extended, replaced or substituted from time to time, the “</w:t>
      </w:r>
      <w:r>
        <w:rPr>
          <w:rFonts w:ascii="Times New Roman" w:cs="Times New Roman" w:eastAsia="Times New Roman" w:hAnsi="Times New Roman"/>
          <w:sz w:val="19"/>
          <w:szCs w:val="19"/>
          <w:b w:val="1"/>
          <w:bCs w:val="1"/>
          <w:i w:val="1"/>
          <w:iCs w:val="1"/>
          <w:color w:val="auto"/>
        </w:rPr>
        <w:t>Loan Agreement</w:t>
      </w:r>
      <w:r>
        <w:rPr>
          <w:rFonts w:ascii="Times New Roman" w:cs="Times New Roman" w:eastAsia="Times New Roman" w:hAnsi="Times New Roman"/>
          <w:sz w:val="19"/>
          <w:szCs w:val="19"/>
          <w:color w:val="auto"/>
        </w:rPr>
        <w:t>”), among Siena Lending Group LLC (“</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Inseego Wireless, Inc., a Delaware corporation (“</w:t>
      </w:r>
      <w:r>
        <w:rPr>
          <w:rFonts w:ascii="Times New Roman" w:cs="Times New Roman" w:eastAsia="Times New Roman" w:hAnsi="Times New Roman"/>
          <w:sz w:val="19"/>
          <w:szCs w:val="19"/>
          <w:b w:val="1"/>
          <w:bCs w:val="1"/>
          <w:i w:val="1"/>
          <w:iCs w:val="1"/>
          <w:color w:val="auto"/>
        </w:rPr>
        <w:t>Inseego Wireless</w:t>
      </w:r>
      <w:r>
        <w:rPr>
          <w:rFonts w:ascii="Times New Roman" w:cs="Times New Roman" w:eastAsia="Times New Roman" w:hAnsi="Times New Roman"/>
          <w:sz w:val="19"/>
          <w:szCs w:val="19"/>
          <w:color w:val="auto"/>
        </w:rPr>
        <w:t>”) and Inseego North America LLC, an Oregon limited liability company (“</w:t>
      </w:r>
      <w:r>
        <w:rPr>
          <w:rFonts w:ascii="Times New Roman" w:cs="Times New Roman" w:eastAsia="Times New Roman" w:hAnsi="Times New Roman"/>
          <w:sz w:val="19"/>
          <w:szCs w:val="19"/>
          <w:b w:val="1"/>
          <w:bCs w:val="1"/>
          <w:i w:val="1"/>
          <w:iCs w:val="1"/>
          <w:color w:val="auto"/>
        </w:rPr>
        <w:t>Inseego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North America</w:t>
      </w:r>
      <w:r>
        <w:rPr>
          <w:rFonts w:ascii="Times New Roman" w:cs="Times New Roman" w:eastAsia="Times New Roman" w:hAnsi="Times New Roman"/>
          <w:sz w:val="19"/>
          <w:szCs w:val="19"/>
          <w:color w:val="auto"/>
        </w:rPr>
        <w:t>” and together with Inseego Wireless and any other Person who from time to time becomes a Borrower thereunder, collectively,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Borrowers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each of the Affiliates of the Borrowers signatory thereto from time to time as guarantors (each a “</w:t>
      </w:r>
      <w:r>
        <w:rPr>
          <w:rFonts w:ascii="Times New Roman" w:cs="Times New Roman" w:eastAsia="Times New Roman" w:hAnsi="Times New Roman"/>
          <w:sz w:val="19"/>
          <w:szCs w:val="19"/>
          <w:b w:val="1"/>
          <w:bCs w:val="1"/>
          <w:i w:val="1"/>
          <w:iCs w:val="1"/>
          <w:color w:val="auto"/>
        </w:rPr>
        <w:t>Guarantor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Guarantors</w:t>
      </w:r>
      <w:r>
        <w:rPr>
          <w:rFonts w:ascii="Times New Roman" w:cs="Times New Roman" w:eastAsia="Times New Roman" w:hAnsi="Times New Roman"/>
          <w:sz w:val="19"/>
          <w:szCs w:val="19"/>
          <w:color w:val="auto"/>
        </w:rPr>
        <w:t>”), and the other loan party obligors that are party thereto from time to time. Capitalized words used, but not specifically defined, herein shall have the meaning provided for such terms in the Loan Agreement. References herein to “Sections” or “Schedules” shall be to Sections of or Schedules to the Loan Agreement unless otherwise specifically provided. References herein to “paragraphs” shall be to paragraphs of this letter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consideration of the willingness of South Ocean Funding, LLC and North Sound Ventures, LP</w:t>
      </w:r>
    </w:p>
    <w:p>
      <w:pPr>
        <w:spacing w:after="0" w:line="34" w:lineRule="exact"/>
        <w:rPr>
          <w:sz w:val="20"/>
          <w:szCs w:val="20"/>
          <w:color w:val="auto"/>
        </w:rPr>
      </w:pPr>
    </w:p>
    <w:p>
      <w:pPr>
        <w:jc w:val="both"/>
        <w:ind w:right="40" w:hanging="7"/>
        <w:spacing w:after="0" w:line="259" w:lineRule="auto"/>
        <w:rPr>
          <w:sz w:val="20"/>
          <w:szCs w:val="20"/>
          <w:color w:val="auto"/>
        </w:rPr>
      </w:pPr>
      <w:r>
        <w:rPr>
          <w:rFonts w:ascii="Times New Roman" w:cs="Times New Roman" w:eastAsia="Times New Roman" w:hAnsi="Times New Roman"/>
          <w:sz w:val="19"/>
          <w:szCs w:val="19"/>
          <w:color w:val="auto"/>
        </w:rPr>
        <w:t>(collectively, the “</w:t>
      </w:r>
      <w:r>
        <w:rPr>
          <w:rFonts w:ascii="Times New Roman" w:cs="Times New Roman" w:eastAsia="Times New Roman" w:hAnsi="Times New Roman"/>
          <w:sz w:val="19"/>
          <w:szCs w:val="19"/>
          <w:b w:val="1"/>
          <w:bCs w:val="1"/>
          <w:i w:val="1"/>
          <w:iCs w:val="1"/>
          <w:color w:val="auto"/>
        </w:rPr>
        <w:t>Last Out Lenders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b w:val="1"/>
          <w:bCs w:val="1"/>
          <w:i w:val="1"/>
          <w:iCs w:val="1"/>
          <w:color w:val="auto"/>
        </w:rPr>
        <w:t>Last Out Lender</w:t>
      </w:r>
      <w:r>
        <w:rPr>
          <w:rFonts w:ascii="Times New Roman" w:cs="Times New Roman" w:eastAsia="Times New Roman" w:hAnsi="Times New Roman"/>
          <w:sz w:val="19"/>
          <w:szCs w:val="19"/>
          <w:color w:val="auto"/>
        </w:rPr>
        <w:t>”) to enter into a Subordinated, Last Out Participation Agreement (the “</w:t>
      </w:r>
      <w:r>
        <w:rPr>
          <w:rFonts w:ascii="Times New Roman" w:cs="Times New Roman" w:eastAsia="Times New Roman" w:hAnsi="Times New Roman"/>
          <w:sz w:val="19"/>
          <w:szCs w:val="19"/>
          <w:b w:val="1"/>
          <w:bCs w:val="1"/>
          <w:i w:val="1"/>
          <w:iCs w:val="1"/>
          <w:color w:val="auto"/>
        </w:rPr>
        <w:t>Participation Agreement</w:t>
      </w:r>
      <w:r>
        <w:rPr>
          <w:rFonts w:ascii="Times New Roman" w:cs="Times New Roman" w:eastAsia="Times New Roman" w:hAnsi="Times New Roman"/>
          <w:sz w:val="19"/>
          <w:szCs w:val="19"/>
          <w:color w:val="auto"/>
        </w:rPr>
        <w:t>”), Inseego Wireless agrees to pay to the Last Out Lenders the following fee (the “</w:t>
      </w:r>
      <w:r>
        <w:rPr>
          <w:rFonts w:ascii="Times New Roman" w:cs="Times New Roman" w:eastAsia="Times New Roman" w:hAnsi="Times New Roman"/>
          <w:sz w:val="19"/>
          <w:szCs w:val="19"/>
          <w:b w:val="1"/>
          <w:bCs w:val="1"/>
          <w:i w:val="1"/>
          <w:iCs w:val="1"/>
          <w:color w:val="auto"/>
        </w:rPr>
        <w:t>Exit Fee</w:t>
      </w:r>
      <w:r>
        <w:rPr>
          <w:rFonts w:ascii="Times New Roman" w:cs="Times New Roman" w:eastAsia="Times New Roman" w:hAnsi="Times New Roman"/>
          <w:sz w:val="19"/>
          <w:szCs w:val="19"/>
          <w:color w:val="auto"/>
        </w:rPr>
        <w:t>”) upon the earliest of (i) Scheduled Maturity Date, (ii) the termination of Lender’s commitment to make Revolving Loans prior to the Scheduled Maturity Date for any reason, or (iii) the early redemption of the Last Out Lenders’ participation interests under the Participation Agreement (in each case, the “</w:t>
      </w:r>
      <w:r>
        <w:rPr>
          <w:rFonts w:ascii="Times New Roman" w:cs="Times New Roman" w:eastAsia="Times New Roman" w:hAnsi="Times New Roman"/>
          <w:sz w:val="19"/>
          <w:szCs w:val="19"/>
          <w:b w:val="1"/>
          <w:bCs w:val="1"/>
          <w:i w:val="1"/>
          <w:iCs w:val="1"/>
          <w:color w:val="auto"/>
        </w:rPr>
        <w:t>Exit Event</w:t>
      </w:r>
      <w:r>
        <w:rPr>
          <w:rFonts w:ascii="Times New Roman" w:cs="Times New Roman" w:eastAsia="Times New Roman" w:hAnsi="Times New Roman"/>
          <w:sz w:val="19"/>
          <w:szCs w:val="19"/>
          <w:color w:val="auto"/>
        </w:rPr>
        <w:t>”) and applicable percentage of the aggregate original principal amount of the participation interest actually purchased by the Last Out Lenders pursuant to the Participation Agreement:</w:t>
      </w:r>
    </w:p>
    <w:p>
      <w:pPr>
        <w:spacing w:after="0" w:line="11" w:lineRule="exact"/>
        <w:rPr>
          <w:sz w:val="20"/>
          <w:szCs w:val="20"/>
          <w:color w:val="auto"/>
        </w:rPr>
      </w:pPr>
    </w:p>
    <w:tbl>
      <w:tblPr>
        <w:tblLayout w:type="fixed"/>
        <w:tblInd w:w="410" w:type="dxa"/>
        <w:tblCellMar>
          <w:top w:w="0" w:type="dxa"/>
          <w:left w:w="0" w:type="dxa"/>
          <w:bottom w:w="0" w:type="dxa"/>
          <w:right w:w="0" w:type="dxa"/>
        </w:tblCellMar>
      </w:tblPr>
      <w:tr>
        <w:trPr>
          <w:trHeight w:val="282"/>
        </w:trPr>
        <w:tc>
          <w:tcPr>
            <w:tcW w:w="54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Date of Exit Event</w:t>
            </w:r>
          </w:p>
        </w:tc>
        <w:tc>
          <w:tcPr>
            <w:tcW w:w="248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9"/>
                <w:szCs w:val="19"/>
                <w:b w:val="1"/>
                <w:bCs w:val="1"/>
                <w:color w:val="auto"/>
              </w:rPr>
              <w:t>Exit Fee</w:t>
            </w:r>
          </w:p>
        </w:tc>
      </w:tr>
      <w:tr>
        <w:trPr>
          <w:trHeight w:val="21"/>
        </w:trPr>
        <w:tc>
          <w:tcPr>
            <w:tcW w:w="5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r>
        <w:trPr>
          <w:trHeight w:val="262"/>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On or before December 31, 2023</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7.5%</w:t>
            </w:r>
          </w:p>
        </w:tc>
      </w:tr>
      <w:tr>
        <w:trPr>
          <w:trHeight w:val="21"/>
        </w:trPr>
        <w:tc>
          <w:tcPr>
            <w:tcW w:w="5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r>
        <w:trPr>
          <w:trHeight w:val="262"/>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Between January 1, 2024 and June 30, 2024</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10.0%</w:t>
            </w:r>
          </w:p>
        </w:tc>
      </w:tr>
      <w:tr>
        <w:trPr>
          <w:trHeight w:val="21"/>
        </w:trPr>
        <w:tc>
          <w:tcPr>
            <w:tcW w:w="5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r>
        <w:trPr>
          <w:trHeight w:val="262"/>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After June 30, 2024</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12.5%</w:t>
            </w:r>
          </w:p>
        </w:tc>
      </w:tr>
      <w:tr>
        <w:trPr>
          <w:trHeight w:val="21"/>
        </w:trPr>
        <w:tc>
          <w:tcPr>
            <w:tcW w:w="5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right="40" w:hanging="7"/>
        <w:spacing w:after="0" w:line="261" w:lineRule="auto"/>
        <w:rPr>
          <w:sz w:val="20"/>
          <w:szCs w:val="20"/>
          <w:color w:val="auto"/>
        </w:rPr>
      </w:pPr>
      <w:r>
        <w:rPr>
          <w:rFonts w:ascii="Times New Roman" w:cs="Times New Roman" w:eastAsia="Times New Roman" w:hAnsi="Times New Roman"/>
          <w:sz w:val="19"/>
          <w:szCs w:val="19"/>
          <w:color w:val="auto"/>
        </w:rPr>
        <w:t>Nothing contained in this letter agreement shall amend, alter or change any of the terms, covenants and provisions contained in the Loan Agreement, including, without limitation, any provision governing the payment of any other fees by Borrowers to Lender and/or the Last Out Lenders. The Exit Fee shall be payable in U.S. dollars in immediately available funds to the Last Out Lenders. Once paid, the Exit Fee shall not be refundable under any circumstances.</w:t>
      </w:r>
    </w:p>
    <w:p>
      <w:pPr>
        <w:spacing w:after="0" w:line="1" w:lineRule="exact"/>
        <w:rPr>
          <w:sz w:val="20"/>
          <w:szCs w:val="20"/>
          <w:color w:val="auto"/>
        </w:rPr>
      </w:pPr>
    </w:p>
    <w:p>
      <w:pPr>
        <w:jc w:val="both"/>
        <w:ind w:right="40" w:hanging="7"/>
        <w:spacing w:after="0" w:line="271" w:lineRule="auto"/>
        <w:rPr>
          <w:sz w:val="20"/>
          <w:szCs w:val="20"/>
          <w:color w:val="auto"/>
        </w:rPr>
      </w:pPr>
      <w:r>
        <w:rPr>
          <w:rFonts w:ascii="Times New Roman" w:cs="Times New Roman" w:eastAsia="Times New Roman" w:hAnsi="Times New Roman"/>
          <w:sz w:val="19"/>
          <w:szCs w:val="19"/>
          <w:color w:val="auto"/>
        </w:rPr>
        <w:t>In addition to the Exit Fee payable to the Last Out Lenders, Borrowers agree from time to time to reimburse the Last Out Lenders for all reasonable fees, costs and expenses incurred with respect to, relating to or arising in connection with the Loans, the Loan Agreement and other Loan Documents, the</w:t>
      </w:r>
    </w:p>
    <w:p>
      <w:pPr>
        <w:sectPr>
          <w:pgSz w:w="11900" w:h="16838" w:orient="portrait"/>
          <w:cols w:equalWidth="0" w:num="1">
            <w:col w:w="11240"/>
          </w:cols>
          <w:pgMar w:left="320" w:top="816"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Participation Agreement, the Lender, or this letter, including but not limited to the fees and costs of the Last Out Lenders’ attorneys. It is understood and agreed that this letter agreement shall not constitute or give rise to any obligation by the Last Out Lenders to provide any financing. This letter agreement is binding upon Inseego Wireless and the Last Out Lenders and may not be amended or any provision hereof waived or modified, except by an instrument in writing signed by Inseego Wireless and the Last Out Lenders. This letter agreement may be executed in any number of counterparts, each of which shall be an original and all of which, when taken together, shall constitute one agreement. The Last Out Lenders are entitled to rely on this letter agreement in connection with their purchase of the participation interest and their entry into and execution of the Participation Agreement. Inseego Wireless shall reimburse the Last Out Lenders for all reasonable costs and expenses, including reasonable attorneys’ fees and court costs, incurred in connection with the collection or enforcement of any terms of this letter agreement. Delivery of an executed counterpart of a signature page of this letter agreement by facsimile transmission shall be effective as delivery of a manually executed counterpart of this letter agreement. </w:t>
      </w:r>
      <w:r>
        <w:rPr>
          <w:rFonts w:ascii="Times New Roman" w:cs="Times New Roman" w:eastAsia="Times New Roman" w:hAnsi="Times New Roman"/>
          <w:sz w:val="19"/>
          <w:szCs w:val="19"/>
          <w:b w:val="1"/>
          <w:bCs w:val="1"/>
          <w:color w:val="auto"/>
        </w:rPr>
        <w:t>This letter agreement shall be governed by, and construed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accordance with, the laws of the State of New York without regard to principles of conflicts of law (except Sections 5-1401 and 5-1402 of the New York General Obligation Law). </w:t>
      </w:r>
      <w:r>
        <w:rPr>
          <w:rFonts w:ascii="Times New Roman" w:cs="Times New Roman" w:eastAsia="Times New Roman" w:hAnsi="Times New Roman"/>
          <w:sz w:val="19"/>
          <w:szCs w:val="19"/>
          <w:color w:val="auto"/>
        </w:rPr>
        <w:t>Any right to trial by jury with respect to any claim or action arising out of this letter agreement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conduct in connection with this letter agreement is hereby waived. The provisions of this letter agreement shall survive the expiration or termination of the Loan Agreement and Participation Agreement (including any extensions thereof).</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ectPr>
          <w:pgSz w:w="11900" w:h="16838" w:orient="portrait"/>
          <w:cols w:equalWidth="0" w:num="1">
            <w:col w:w="11200"/>
          </w:cols>
          <w:pgMar w:left="320" w:top="803" w:right="379" w:bottom="1440"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892810</wp:posOffset>
            </wp:positionV>
            <wp:extent cx="7051675" cy="9003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051675" cy="9003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Acknowledged and agreed: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SOUTH OCEAN FUNDING,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-66040</wp:posOffset>
            </wp:positionV>
            <wp:extent cx="20097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009775" cy="8255"/>
                    </a:xfrm>
                    <a:prstGeom prst="rect">
                      <a:avLst/>
                    </a:prstGeom>
                    <a:noFill/>
                  </pic:spPr>
                </pic:pic>
              </a:graphicData>
            </a:graphic>
          </wp:anchor>
        </w:drawing>
      </w:r>
    </w:p>
    <w:p>
      <w:pPr>
        <w:spacing w:after="0"/>
        <w:tabs>
          <w:tab w:leader="none" w:pos="2460" w:val="left"/>
        </w:tabs>
        <w:rPr>
          <w:sz w:val="20"/>
          <w:szCs w:val="20"/>
          <w:color w:val="auto"/>
        </w:rPr>
      </w:pPr>
      <w:r>
        <w:rPr>
          <w:rFonts w:ascii="Times New Roman" w:cs="Times New Roman" w:eastAsia="Times New Roman" w:hAnsi="Times New Roman"/>
          <w:sz w:val="19"/>
          <w:szCs w:val="19"/>
          <w:color w:val="auto"/>
        </w:rPr>
        <w:t>Name: James B. Avery Title:</w:t>
        <w:tab/>
        <w:t>Vice President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NORTH SOUND VENTURES, LP</w:t>
      </w:r>
    </w:p>
    <w:p>
      <w:pPr>
        <w:spacing w:after="0" w:line="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9"/>
          <w:szCs w:val="19"/>
          <w:color w:val="auto"/>
        </w:rPr>
        <w:t>By:</w:t>
        <w:tab/>
        <w:t>North Sound Management, Inc., as its general partner</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-57785</wp:posOffset>
            </wp:positionV>
            <wp:extent cx="16078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1607820" cy="8255"/>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Name: Brian Miller</w:t>
      </w:r>
    </w:p>
    <w:p>
      <w:pPr>
        <w:spacing w:after="0" w:line="32"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9"/>
          <w:szCs w:val="19"/>
          <w:color w:val="auto"/>
        </w:rPr>
        <w:t>Title:</w:t>
        <w:tab/>
        <w:t>President of the General Partner</w:t>
      </w:r>
    </w:p>
    <w:p>
      <w:pPr>
        <w:sectPr>
          <w:pgSz w:w="11900" w:h="16838" w:orient="portrait"/>
          <w:cols w:equalWidth="0" w:num="1">
            <w:col w:w="10139"/>
          </w:cols>
          <w:pgMar w:left="320" w:top="1440"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Ashish Sharma, certify that:</w:t>
      </w:r>
    </w:p>
    <w:p>
      <w:pPr>
        <w:spacing w:after="0" w:line="162" w:lineRule="exact"/>
        <w:rPr>
          <w:sz w:val="20"/>
          <w:szCs w:val="20"/>
          <w:color w:val="auto"/>
        </w:rPr>
      </w:pPr>
    </w:p>
    <w:p>
      <w:pPr>
        <w:ind w:left="660" w:hanging="180"/>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62" w:lineRule="exact"/>
        <w:rPr>
          <w:rFonts w:ascii="Times New Roman" w:cs="Times New Roman" w:eastAsia="Times New Roman" w:hAnsi="Times New Roman"/>
          <w:sz w:val="18"/>
          <w:szCs w:val="18"/>
          <w:color w:val="auto"/>
        </w:rPr>
      </w:pPr>
    </w:p>
    <w:p>
      <w:pPr>
        <w:ind w:right="360" w:firstLine="480"/>
        <w:spacing w:after="0" w:line="333" w:lineRule="auto"/>
        <w:tabs>
          <w:tab w:leader="none" w:pos="65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right="320" w:firstLine="480"/>
        <w:spacing w:after="0" w:line="269" w:lineRule="auto"/>
        <w:tabs>
          <w:tab w:leader="none" w:pos="6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ind w:right="80" w:firstLine="480"/>
        <w:spacing w:after="0" w:line="257" w:lineRule="auto"/>
        <w:tabs>
          <w:tab w:leader="none" w:pos="6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Times New Roman" w:cs="Times New Roman" w:eastAsia="Times New Roman" w:hAnsi="Times New Roman"/>
          <w:sz w:val="18"/>
          <w:szCs w:val="18"/>
          <w:color w:val="auto"/>
        </w:rPr>
      </w:pPr>
    </w:p>
    <w:p>
      <w:pPr>
        <w:ind w:left="1060" w:right="200" w:hanging="225"/>
        <w:spacing w:after="0" w:line="226" w:lineRule="auto"/>
        <w:tabs>
          <w:tab w:leader="none" w:pos="10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8"/>
          <w:szCs w:val="18"/>
          <w:color w:val="auto"/>
        </w:rPr>
      </w:pPr>
    </w:p>
    <w:p>
      <w:pPr>
        <w:ind w:left="1060" w:right="520" w:hanging="235"/>
        <w:spacing w:after="0" w:line="226" w:lineRule="auto"/>
        <w:tabs>
          <w:tab w:leader="none" w:pos="10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jc w:val="both"/>
        <w:ind w:left="1060" w:right="680" w:hanging="225"/>
        <w:spacing w:after="0" w:line="281" w:lineRule="auto"/>
        <w:tabs>
          <w:tab w:leader="none" w:pos="10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6"/>
          <w:szCs w:val="16"/>
          <w:color w:val="auto"/>
        </w:rPr>
      </w:pPr>
    </w:p>
    <w:p>
      <w:pPr>
        <w:ind w:left="1060" w:right="200" w:hanging="235"/>
        <w:spacing w:after="0" w:line="226" w:lineRule="auto"/>
        <w:tabs>
          <w:tab w:leader="none" w:pos="10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8"/>
          <w:szCs w:val="18"/>
          <w:color w:val="auto"/>
        </w:rPr>
      </w:pPr>
    </w:p>
    <w:p>
      <w:pPr>
        <w:ind w:right="240" w:firstLine="480"/>
        <w:spacing w:after="0" w:line="269" w:lineRule="auto"/>
        <w:tabs>
          <w:tab w:leader="none" w:pos="6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8"/>
          <w:szCs w:val="18"/>
          <w:color w:val="auto"/>
        </w:rPr>
      </w:pPr>
    </w:p>
    <w:p>
      <w:pPr>
        <w:ind w:left="1060" w:right="100" w:hanging="225"/>
        <w:spacing w:after="0" w:line="231" w:lineRule="auto"/>
        <w:tabs>
          <w:tab w:leader="none" w:pos="10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60" w:right="60" w:hanging="235"/>
        <w:spacing w:after="0" w:line="231" w:lineRule="auto"/>
        <w:tabs>
          <w:tab w:leader="none" w:pos="10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pacing w:after="0" w:line="228" w:lineRule="exact"/>
        <w:rPr>
          <w:sz w:val="20"/>
          <w:szCs w:val="20"/>
          <w:color w:val="auto"/>
        </w:rPr>
      </w:pPr>
    </w:p>
    <w:p>
      <w:pPr>
        <w:ind w:left="2980"/>
        <w:spacing w:after="0"/>
        <w:tabs>
          <w:tab w:leader="none" w:pos="32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31115</wp:posOffset>
            </wp:positionV>
            <wp:extent cx="33921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3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Ashish Sharma</w:t>
      </w:r>
    </w:p>
    <w:p>
      <w:pPr>
        <w:spacing w:after="0" w:line="1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1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G. Barbieri, certify that:</w:t>
      </w:r>
    </w:p>
    <w:p>
      <w:pPr>
        <w:spacing w:after="0" w:line="162" w:lineRule="exact"/>
        <w:rPr>
          <w:sz w:val="20"/>
          <w:szCs w:val="20"/>
          <w:color w:val="auto"/>
        </w:rPr>
      </w:pPr>
    </w:p>
    <w:p>
      <w:pPr>
        <w:ind w:left="660" w:hanging="180"/>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62" w:lineRule="exact"/>
        <w:rPr>
          <w:rFonts w:ascii="Times New Roman" w:cs="Times New Roman" w:eastAsia="Times New Roman" w:hAnsi="Times New Roman"/>
          <w:sz w:val="18"/>
          <w:szCs w:val="18"/>
          <w:color w:val="auto"/>
        </w:rPr>
      </w:pPr>
    </w:p>
    <w:p>
      <w:pPr>
        <w:ind w:right="360" w:firstLine="480"/>
        <w:spacing w:after="0" w:line="333" w:lineRule="auto"/>
        <w:tabs>
          <w:tab w:leader="none" w:pos="65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right="320" w:firstLine="480"/>
        <w:spacing w:after="0" w:line="269" w:lineRule="auto"/>
        <w:tabs>
          <w:tab w:leader="none" w:pos="6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ind w:right="80" w:firstLine="480"/>
        <w:spacing w:after="0" w:line="257" w:lineRule="auto"/>
        <w:tabs>
          <w:tab w:leader="none" w:pos="6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Times New Roman" w:cs="Times New Roman" w:eastAsia="Times New Roman" w:hAnsi="Times New Roman"/>
          <w:sz w:val="18"/>
          <w:szCs w:val="18"/>
          <w:color w:val="auto"/>
        </w:rPr>
      </w:pPr>
    </w:p>
    <w:p>
      <w:pPr>
        <w:ind w:left="1060" w:right="200" w:hanging="225"/>
        <w:spacing w:after="0" w:line="220" w:lineRule="auto"/>
        <w:tabs>
          <w:tab w:leader="none" w:pos="1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8"/>
          <w:szCs w:val="18"/>
          <w:color w:val="auto"/>
        </w:rPr>
      </w:pPr>
    </w:p>
    <w:p>
      <w:pPr>
        <w:ind w:left="1060" w:right="520" w:hanging="235"/>
        <w:spacing w:after="0" w:line="220" w:lineRule="auto"/>
        <w:tabs>
          <w:tab w:leader="none" w:pos="1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8"/>
          <w:szCs w:val="18"/>
          <w:color w:val="auto"/>
        </w:rPr>
      </w:pPr>
    </w:p>
    <w:p>
      <w:pPr>
        <w:jc w:val="both"/>
        <w:ind w:left="1060" w:right="680" w:hanging="225"/>
        <w:spacing w:after="0" w:line="281" w:lineRule="auto"/>
        <w:tabs>
          <w:tab w:leader="none" w:pos="106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6"/>
          <w:szCs w:val="16"/>
          <w:color w:val="auto"/>
        </w:rPr>
      </w:pPr>
    </w:p>
    <w:p>
      <w:pPr>
        <w:ind w:left="1060" w:right="200" w:hanging="235"/>
        <w:spacing w:after="0" w:line="220" w:lineRule="auto"/>
        <w:tabs>
          <w:tab w:leader="none" w:pos="1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8"/>
          <w:szCs w:val="18"/>
          <w:color w:val="auto"/>
        </w:rPr>
      </w:pPr>
    </w:p>
    <w:p>
      <w:pPr>
        <w:ind w:right="240" w:firstLine="480"/>
        <w:spacing w:after="0" w:line="269" w:lineRule="auto"/>
        <w:tabs>
          <w:tab w:leader="none" w:pos="6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8"/>
          <w:szCs w:val="18"/>
          <w:color w:val="auto"/>
        </w:rPr>
      </w:pPr>
    </w:p>
    <w:p>
      <w:pPr>
        <w:ind w:left="1060" w:right="100" w:hanging="225"/>
        <w:spacing w:after="0" w:line="239" w:lineRule="auto"/>
        <w:tabs>
          <w:tab w:leader="none" w:pos="1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8"/>
          <w:szCs w:val="18"/>
          <w:color w:val="auto"/>
        </w:rPr>
      </w:pPr>
    </w:p>
    <w:p>
      <w:pPr>
        <w:ind w:left="1060" w:right="60" w:hanging="235"/>
        <w:spacing w:after="0" w:line="239" w:lineRule="auto"/>
        <w:tabs>
          <w:tab w:leader="none" w:pos="10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pacing w:after="0" w:line="228" w:lineRule="exact"/>
        <w:rPr>
          <w:sz w:val="20"/>
          <w:szCs w:val="20"/>
          <w:color w:val="auto"/>
        </w:rPr>
      </w:pPr>
    </w:p>
    <w:p>
      <w:pPr>
        <w:ind w:left="298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31115</wp:posOffset>
            </wp:positionV>
            <wp:extent cx="33921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19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Robert G. Barbieri</w:t>
      </w:r>
    </w:p>
    <w:p>
      <w:pPr>
        <w:spacing w:after="0" w:line="1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67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Ashish Sharma, Chief Executive Officer of Inseego Corp. (the “Company”), do hereby certify, pursuant to 18 U.S.C. Section 1350, as adopted pursuant to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50" w:lineRule="exact"/>
        <w:rPr>
          <w:sz w:val="20"/>
          <w:szCs w:val="20"/>
          <w:color w:val="auto"/>
        </w:rPr>
      </w:pPr>
    </w:p>
    <w:p>
      <w:pPr>
        <w:ind w:left="1460" w:right="700" w:hanging="810"/>
        <w:spacing w:after="0" w:line="231" w:lineRule="auto"/>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2023 (the “Report”) fully complies with the requirements of Section 13(a) or 15(d) of the Securities Exchange Act of 1934, as amended; and</w:t>
      </w:r>
    </w:p>
    <w:p>
      <w:pPr>
        <w:spacing w:after="0" w:line="234" w:lineRule="exact"/>
        <w:rPr>
          <w:rFonts w:ascii="Times New Roman" w:cs="Times New Roman" w:eastAsia="Times New Roman" w:hAnsi="Times New Roman"/>
          <w:sz w:val="18"/>
          <w:szCs w:val="18"/>
          <w:color w:val="auto"/>
        </w:rPr>
      </w:pPr>
    </w:p>
    <w:p>
      <w:pPr>
        <w:ind w:left="1460" w:right="400" w:hanging="810"/>
        <w:spacing w:after="0" w:line="231" w:lineRule="auto"/>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pacing w:after="0" w:line="241" w:lineRule="exact"/>
        <w:rPr>
          <w:sz w:val="20"/>
          <w:szCs w:val="20"/>
          <w:color w:val="auto"/>
        </w:rPr>
      </w:pPr>
    </w:p>
    <w:p>
      <w:pPr>
        <w:ind w:left="3040"/>
        <w:spacing w:after="0"/>
        <w:tabs>
          <w:tab w:leader="none" w:pos="33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Ashish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31115</wp:posOffset>
            </wp:positionV>
            <wp:extent cx="32994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299460" cy="8255"/>
                    </a:xfrm>
                    <a:prstGeom prst="rect">
                      <a:avLst/>
                    </a:prstGeom>
                    <a:noFill/>
                  </pic:spPr>
                </pic:pic>
              </a:graphicData>
            </a:graphic>
          </wp:anchor>
        </w:drawing>
      </w:r>
    </w:p>
    <w:p>
      <w:pPr>
        <w:spacing w:after="0" w:line="3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Ashish Sharma</w:t>
      </w:r>
    </w:p>
    <w:p>
      <w:pPr>
        <w:spacing w:after="0" w:line="7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67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Robert G. Barbieri, Chief Financial Officer of Inseego Corp. (the “Company”), do hereby certify, pursuant to 18 U.S.C. Section 1350, as adopted pursuant to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50" w:lineRule="exact"/>
        <w:rPr>
          <w:sz w:val="20"/>
          <w:szCs w:val="20"/>
          <w:color w:val="auto"/>
        </w:rPr>
      </w:pPr>
    </w:p>
    <w:p>
      <w:pPr>
        <w:ind w:left="1320" w:right="840" w:hanging="822"/>
        <w:spacing w:after="0" w:line="231"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2023 (the “Report”) fully complies with the requirements of Section 13(a) or 15(d) of the Securities Exchange Act of 1934, as amended; and</w:t>
      </w:r>
    </w:p>
    <w:p>
      <w:pPr>
        <w:spacing w:after="0" w:line="234" w:lineRule="exact"/>
        <w:rPr>
          <w:rFonts w:ascii="Times New Roman" w:cs="Times New Roman" w:eastAsia="Times New Roman" w:hAnsi="Times New Roman"/>
          <w:sz w:val="18"/>
          <w:szCs w:val="18"/>
          <w:color w:val="auto"/>
        </w:rPr>
      </w:pPr>
    </w:p>
    <w:p>
      <w:pPr>
        <w:ind w:left="1320" w:right="540" w:hanging="822"/>
        <w:spacing w:after="0" w:line="231" w:lineRule="auto"/>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pacing w:after="0" w:line="241" w:lineRule="exact"/>
        <w:rPr>
          <w:sz w:val="20"/>
          <w:szCs w:val="20"/>
          <w:color w:val="auto"/>
        </w:rPr>
      </w:pPr>
    </w:p>
    <w:p>
      <w:pPr>
        <w:ind w:left="3040"/>
        <w:spacing w:after="0"/>
        <w:tabs>
          <w:tab w:leader="none" w:pos="33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1921510</wp:posOffset>
            </wp:positionH>
            <wp:positionV relativeFrom="paragraph">
              <wp:posOffset>31115</wp:posOffset>
            </wp:positionV>
            <wp:extent cx="32994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299460" cy="8255"/>
                    </a:xfrm>
                    <a:prstGeom prst="rect">
                      <a:avLst/>
                    </a:prstGeom>
                    <a:noFill/>
                  </pic:spPr>
                </pic:pic>
              </a:graphicData>
            </a:graphic>
          </wp:anchor>
        </w:drawing>
      </w:r>
    </w:p>
    <w:p>
      <w:pPr>
        <w:spacing w:after="0" w:line="19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Robert G. Barbieri</w:t>
      </w:r>
    </w:p>
    <w:p>
      <w:pPr>
        <w:spacing w:after="0" w:line="7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4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upperLetter"/>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3"/>
    </w:lvl>
  </w:abstractNum>
  <w:abstractNum w:abstractNumId="14">
    <w:nsid w:val="2443A858"/>
    <w:multiLevelType w:val="hybridMultilevel"/>
    <w:lvl w:ilvl="0">
      <w:lvlJc w:val="left"/>
      <w:lvlText w:val="(%1)"/>
      <w:numFmt w:val="lowerLetter"/>
      <w:start w:val="4"/>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decimal"/>
      <w:start w:val="1"/>
    </w:lvl>
    <w:lvl w:ilvl="1">
      <w:lvlJc w:val="left"/>
      <w:lvlText w:val="(%2)"/>
      <w:numFmt w:val="lowerLetter"/>
      <w:start w:val="6"/>
    </w:lvl>
  </w:abstractNum>
  <w:abstractNum w:abstractNumId="18">
    <w:nsid w:val="8EDBDAB"/>
    <w:multiLevelType w:val="hybridMultilevel"/>
    <w:lvl w:ilvl="0">
      <w:lvlJc w:val="left"/>
      <w:lvlText w:val="%1."/>
      <w:numFmt w:val="decimal"/>
      <w:start w:val="4"/>
    </w:lvl>
    <w:lvl w:ilvl="1">
      <w:lvlJc w:val="left"/>
      <w:lvlText w:val="(%2)"/>
      <w:numFmt w:val="lowerLetter"/>
      <w:start w:val="1"/>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lowerLetter"/>
      <w:start w:val="3"/>
    </w:lvl>
  </w:abstractNum>
  <w:abstractNum w:abstractNumId="21">
    <w:nsid w:val="B03E0C6"/>
    <w:multiLevelType w:val="hybridMultilevel"/>
    <w:lvl w:ilvl="0">
      <w:lvlJc w:val="left"/>
      <w:lvlText w:val="(%1)"/>
      <w:numFmt w:val="lowerLetter"/>
      <w:start w:val="4"/>
    </w:lvl>
  </w:abstractNum>
  <w:abstractNum w:abstractNumId="22">
    <w:nsid w:val="189A769B"/>
    <w:multiLevelType w:val="hybridMultilevel"/>
    <w:lvl w:ilvl="0">
      <w:lvlJc w:val="left"/>
      <w:lvlText w:val="(%1)"/>
      <w:numFmt w:val="lowerLetter"/>
      <w:start w:val="5"/>
    </w:lvl>
  </w:abstractNum>
  <w:abstractNum w:abstractNumId="23">
    <w:nsid w:val="54E49EB4"/>
    <w:multiLevelType w:val="hybridMultilevel"/>
    <w:lvl w:ilvl="0">
      <w:lvlJc w:val="left"/>
      <w:lvlText w:val="%1."/>
      <w:numFmt w:val="decimal"/>
      <w:start w:val="5"/>
    </w:lvl>
    <w:lvl w:ilvl="1">
      <w:lvlJc w:val="left"/>
      <w:lvlText w:val="(%2)"/>
      <w:numFmt w:val="lowerLetter"/>
      <w:start w:val="1"/>
    </w:lvl>
  </w:abstractNum>
  <w:abstractNum w:abstractNumId="24">
    <w:nsid w:val="71F32454"/>
    <w:multiLevelType w:val="hybridMultilevel"/>
    <w:lvl w:ilvl="0">
      <w:lvlJc w:val="left"/>
      <w:lvlText w:val="(%1)"/>
      <w:numFmt w:val="lowerLetter"/>
      <w:start w:val="4"/>
    </w:lvl>
  </w:abstractNum>
  <w:abstractNum w:abstractNumId="25">
    <w:nsid w:val="2CA88611"/>
    <w:multiLevelType w:val="hybridMultilevel"/>
    <w:lvl w:ilvl="0">
      <w:lvlJc w:val="left"/>
      <w:lvlText w:val="%1."/>
      <w:numFmt w:val="decimal"/>
      <w:start w:val="8"/>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jpeg"/><Relationship Id="rId50" Type="http://schemas.openxmlformats.org/officeDocument/2006/relationships/image" Target="media/image38.jpeg"/><Relationship Id="rId51" Type="http://schemas.openxmlformats.org/officeDocument/2006/relationships/image" Target="media/image39.jpeg"/><Relationship Id="rId52" Type="http://schemas.openxmlformats.org/officeDocument/2006/relationships/image" Target="media/image40.jpe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43" Type="http://schemas.openxmlformats.org/officeDocument/2006/relationships/hyperlink" Target="http://www.sec.gov/Archives/edgar/data/1022652/000119312516763609/d261554dex31.htm" TargetMode="External"/><Relationship Id="rId44" Type="http://schemas.openxmlformats.org/officeDocument/2006/relationships/hyperlink" Target="http://www.sec.gov/Archives/edgar/data/1022652/000119312516763609/d261554dex32.htm" TargetMode="External"/><Relationship Id="rId45" Type="http://schemas.openxmlformats.org/officeDocument/2006/relationships/hyperlink" Target="http://www.sec.gov/Archives/edgar/data/1022652/000119312519219943/d792529dex31.htm" TargetMode="External"/><Relationship Id="rId46" Type="http://schemas.openxmlformats.org/officeDocument/2006/relationships/hyperlink" Target="http://www.sec.gov/Archives/edgar/data/1022652/000119312520067668/d824727dex31.htm" TargetMode="External"/><Relationship Id="rId47" Type="http://schemas.openxmlformats.org/officeDocument/2006/relationships/hyperlink" Target="https://www.sec.gov/Archives/edgar/data/1022652/000102265223000006/amend1-amendmenttoloan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2023-05-04T12:24:11Z</dcterms:created>
  <dcterms:modified xsi:type="dcterms:W3CDTF">2023-05-04T12:24:11Z</dcterms:modified>
</cp:coreProperties>
</file>