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2009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6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06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343"/>
        </w:trPr>
        <w:tc>
          <w:tcPr>
            <w:tcW w:w="4660" w:type="dxa"/>
            <w:vAlign w:val="bottom"/>
            <w:gridSpan w:val="4"/>
          </w:tcPr>
          <w:p>
            <w:pPr>
              <w:ind w:left="1080"/>
              <w:spacing w:after="0"/>
              <w:rPr>
                <w:sz w:val="20"/>
                <w:szCs w:val="20"/>
                <w:color w:val="auto"/>
              </w:rPr>
            </w:pPr>
            <w:r>
              <w:rPr>
                <w:rFonts w:ascii="Arial" w:cs="Arial" w:eastAsia="Arial" w:hAnsi="Arial"/>
                <w:sz w:val="18"/>
                <w:szCs w:val="18"/>
                <w:b w:val="1"/>
                <w:bCs w:val="1"/>
                <w:color w:val="auto"/>
              </w:rPr>
              <w:t>Commission file number: 0-31659</w:t>
            </w:r>
          </w:p>
        </w:tc>
        <w:tc>
          <w:tcPr>
            <w:tcW w:w="40" w:type="dxa"/>
            <w:vAlign w:val="bottom"/>
          </w:tcPr>
          <w:p>
            <w:pPr>
              <w:spacing w:after="0"/>
              <w:rPr>
                <w:sz w:val="24"/>
                <w:szCs w:val="24"/>
                <w:color w:val="auto"/>
              </w:rPr>
            </w:pPr>
          </w:p>
        </w:tc>
      </w:tr>
    </w:tbl>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8"/>
              </w:rPr>
              <w:t>Delaware</w:t>
            </w:r>
          </w:p>
        </w:tc>
        <w:tc>
          <w:tcPr>
            <w:tcW w:w="3180" w:type="dxa"/>
            <w:vAlign w:val="bottom"/>
          </w:tcPr>
          <w:p>
            <w:pPr>
              <w:jc w:val="right"/>
              <w:ind w:right="2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42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89"/>
              </w:rPr>
              <w:t>(State or Other Jurisdiction</w:t>
            </w:r>
          </w:p>
        </w:tc>
        <w:tc>
          <w:tcPr>
            <w:tcW w:w="3180" w:type="dxa"/>
            <w:vAlign w:val="bottom"/>
          </w:tcPr>
          <w:p>
            <w:pPr>
              <w:jc w:val="center"/>
              <w:ind w:left="206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4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0"/>
              </w:rPr>
              <w:t>of Incorporation or Organization)</w:t>
            </w:r>
          </w:p>
        </w:tc>
        <w:tc>
          <w:tcPr>
            <w:tcW w:w="3180" w:type="dxa"/>
            <w:vAlign w:val="bottom"/>
          </w:tcPr>
          <w:p>
            <w:pPr>
              <w:jc w:val="center"/>
              <w:ind w:left="206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8"/>
              </w:rPr>
              <w:t>9645 Scranton Road</w:t>
            </w:r>
          </w:p>
        </w:tc>
        <w:tc>
          <w:tcPr>
            <w:tcW w:w="3180" w:type="dxa"/>
            <w:vAlign w:val="bottom"/>
          </w:tcPr>
          <w:p>
            <w:pPr>
              <w:spacing w:after="0"/>
              <w:rPr>
                <w:sz w:val="24"/>
                <w:szCs w:val="24"/>
                <w:color w:val="auto"/>
              </w:rPr>
            </w:pPr>
          </w:p>
        </w:tc>
      </w:tr>
      <w:tr>
        <w:trPr>
          <w:trHeight w:val="231"/>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9"/>
              </w:rPr>
              <w:t>San Diego, California</w:t>
            </w:r>
          </w:p>
        </w:tc>
        <w:tc>
          <w:tcPr>
            <w:tcW w:w="318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92121</w:t>
            </w:r>
          </w:p>
        </w:tc>
      </w:tr>
      <w:tr>
        <w:trPr>
          <w:trHeight w:val="174"/>
        </w:trPr>
        <w:tc>
          <w:tcPr>
            <w:tcW w:w="4420" w:type="dxa"/>
            <w:vAlign w:val="bottom"/>
          </w:tcPr>
          <w:p>
            <w:pPr>
              <w:jc w:val="center"/>
              <w:ind w:right="20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180" w:type="dxa"/>
            <w:vAlign w:val="bottom"/>
          </w:tcPr>
          <w:p>
            <w:pPr>
              <w:jc w:val="center"/>
              <w:ind w:left="2064"/>
              <w:spacing w:after="0"/>
              <w:rPr>
                <w:sz w:val="20"/>
                <w:szCs w:val="20"/>
                <w:color w:val="auto"/>
              </w:rPr>
            </w:pPr>
            <w:r>
              <w:rPr>
                <w:rFonts w:ascii="Arial" w:cs="Arial" w:eastAsia="Arial" w:hAnsi="Arial"/>
                <w:sz w:val="14"/>
                <w:szCs w:val="14"/>
                <w:b w:val="1"/>
                <w:bCs w:val="1"/>
                <w:color w:val="auto"/>
                <w:w w:val="85"/>
              </w:rPr>
              <w:t>(zip code)</w:t>
            </w:r>
          </w:p>
        </w:tc>
      </w:tr>
    </w:tbl>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51" w:lineRule="exact"/>
        <w:rPr>
          <w:sz w:val="24"/>
          <w:szCs w:val="24"/>
          <w:color w:val="auto"/>
        </w:rPr>
      </w:pPr>
    </w:p>
    <w:p>
      <w:pPr>
        <w:ind w:left="460" w:right="1540"/>
        <w:spacing w:after="0" w:line="28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460" w:right="1800" w:firstLine="1340"/>
        <w:spacing w:after="0" w:line="28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2009, as reported by The Nasdaq Global Select Market, was approximately $188,411,961.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spacing w:after="0" w:line="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Registrant’s common stock outstanding as of March 11, 2010 was 31,194,209.</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780" w:firstLine="456"/>
        <w:spacing w:after="0" w:line="332" w:lineRule="auto"/>
        <w:rPr>
          <w:sz w:val="20"/>
          <w:szCs w:val="20"/>
          <w:color w:val="auto"/>
        </w:rPr>
      </w:pPr>
      <w:r>
        <w:rPr>
          <w:rFonts w:ascii="Arial" w:cs="Arial" w:eastAsia="Arial" w:hAnsi="Arial"/>
          <w:sz w:val="16"/>
          <w:szCs w:val="16"/>
          <w:color w:val="auto"/>
        </w:rPr>
        <w:t>Portions of the Registrant’s definitive proxy statement for the 2010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8"/>
          </w:tcPr>
          <w:p>
            <w:pPr>
              <w:jc w:val="center"/>
              <w:ind w:right="414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19"/>
                <w:szCs w:val="19"/>
                <w:color w:val="auto"/>
              </w:rPr>
            </w:pPr>
          </w:p>
        </w:tc>
      </w:tr>
      <w:tr>
        <w:trPr>
          <w:trHeight w:val="353"/>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16"/>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6"/>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98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800" w:type="dxa"/>
            <w:vAlign w:val="bottom"/>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1B.</w:t>
            </w:r>
          </w:p>
        </w:tc>
        <w:tc>
          <w:tcPr>
            <w:tcW w:w="980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780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980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Reserved</w:t>
              </w:r>
            </w:hyperlink>
          </w:p>
        </w:tc>
        <w:tc>
          <w:tcPr>
            <w:tcW w:w="850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3"/>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6"/>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98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7.</w:t>
            </w:r>
          </w:p>
        </w:tc>
        <w:tc>
          <w:tcPr>
            <w:tcW w:w="980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50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Financial Statements and Supplementary Data</w:t>
              </w:r>
            </w:hyperlink>
          </w:p>
        </w:tc>
        <w:tc>
          <w:tcPr>
            <w:tcW w:w="6540" w:type="dxa"/>
            <w:vAlign w:val="bottom"/>
            <w:gridSpan w:val="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Changes in and Disagreements With Accountants on Accounting and Financial Disclosure</w:t>
              </w:r>
            </w:hyperlink>
          </w:p>
        </w:tc>
        <w:tc>
          <w:tcPr>
            <w:tcW w:w="344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9A.</w:t>
            </w:r>
          </w:p>
        </w:tc>
        <w:tc>
          <w:tcPr>
            <w:tcW w:w="980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808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3"/>
        </w:trPr>
        <w:tc>
          <w:tcPr>
            <w:tcW w:w="126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6"/>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Directors, Executive Officers and Corporate Governance</w:t>
              </w:r>
            </w:hyperlink>
          </w:p>
        </w:tc>
        <w:tc>
          <w:tcPr>
            <w:tcW w:w="58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11.</w:t>
            </w:r>
          </w:p>
        </w:tc>
        <w:tc>
          <w:tcPr>
            <w:tcW w:w="980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Security Ownership of Certain Beneficial Owners and Management and Related Stockholder Matters</w:t>
              </w:r>
            </w:hyperlink>
          </w:p>
        </w:tc>
        <w:tc>
          <w:tcPr>
            <w:tcW w:w="268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13.</w:t>
            </w:r>
          </w:p>
        </w:tc>
        <w:tc>
          <w:tcPr>
            <w:tcW w:w="980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Principal Accounting Fees and Services</w:t>
              </w:r>
            </w:hyperlink>
          </w:p>
        </w:tc>
        <w:tc>
          <w:tcPr>
            <w:tcW w:w="448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3"/>
        </w:trPr>
        <w:tc>
          <w:tcPr>
            <w:tcW w:w="126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6"/>
        </w:trPr>
        <w:tc>
          <w:tcPr>
            <w:tcW w:w="1260" w:type="dxa"/>
            <w:vAlign w:val="bottom"/>
            <w:gridSpan w:val="2"/>
          </w:tcPr>
          <w:p>
            <w:pPr>
              <w:ind w:left="240"/>
              <w:spacing w:after="0"/>
              <w:rPr>
                <w:sz w:val="20"/>
                <w:szCs w:val="20"/>
                <w:color w:val="auto"/>
              </w:rPr>
            </w:pPr>
            <w:r>
              <w:rPr>
                <w:rFonts w:ascii="Arial" w:cs="Arial" w:eastAsia="Arial" w:hAnsi="Arial"/>
                <w:sz w:val="18"/>
                <w:szCs w:val="18"/>
                <w:color w:val="auto"/>
              </w:rPr>
              <w:t>Item 15.</w:t>
            </w:r>
          </w:p>
        </w:tc>
        <w:tc>
          <w:tcPr>
            <w:tcW w:w="980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6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
        </w:trPr>
        <w:tc>
          <w:tcPr>
            <w:tcW w:w="1080" w:type="dxa"/>
            <w:vAlign w:val="bottom"/>
            <w:shd w:val="clear" w:color="auto" w:fill="0000EE"/>
          </w:tcPr>
          <w:p>
            <w:pPr>
              <w:spacing w:after="0" w:line="20" w:lineRule="exact"/>
              <w:rPr>
                <w:sz w:val="1"/>
                <w:szCs w:val="1"/>
                <w:color w:val="auto"/>
              </w:rPr>
            </w:pPr>
          </w:p>
        </w:tc>
        <w:tc>
          <w:tcPr>
            <w:tcW w:w="3280" w:type="dxa"/>
            <w:vAlign w:val="bottom"/>
            <w:gridSpan w:val="14"/>
          </w:tcPr>
          <w:p>
            <w:pPr>
              <w:spacing w:after="0" w:line="20" w:lineRule="exact"/>
              <w:rPr>
                <w:sz w:val="1"/>
                <w:szCs w:val="1"/>
                <w:color w:val="auto"/>
              </w:rPr>
            </w:pPr>
          </w:p>
        </w:tc>
        <w:tc>
          <w:tcPr>
            <w:tcW w:w="67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1060" w:type="dxa"/>
            <w:vAlign w:val="bottom"/>
            <w:gridSpan w:val="2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INDEX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gridSpan w:val="6"/>
          </w:tcPr>
          <w:p>
            <w:pPr>
              <w:jc w:val="center"/>
              <w:ind w:right="5160"/>
              <w:spacing w:after="0"/>
              <w:rPr>
                <w:sz w:val="20"/>
                <w:szCs w:val="20"/>
                <w:color w:val="auto"/>
              </w:rPr>
            </w:pPr>
            <w:r>
              <w:rPr>
                <w:rFonts w:ascii="Arial" w:cs="Arial" w:eastAsia="Arial" w:hAnsi="Arial"/>
                <w:sz w:val="18"/>
                <w:szCs w:val="18"/>
                <w:color w:val="auto"/>
              </w:rPr>
              <w:t>i</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 global economic conditions on the demand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and emerging 4G standards and government regulations;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sufficient product quantities;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“Novatel Wireless”, the Novatel Wireless logo, “MiFi”, “MiFi Intelligent Mobile Hotspot”, “MobiLink”, “Ovation”, “Expedite”, “MiFi.Freedom.My Way”, “Conversa”, “TotalMobileInternet,”, “NovaSpeed”, “NovaCore” and “NovaDrive”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current products principally includes third generation, or 3G, intelligent mobile hotspots, communications and applications software, USB modems, embedded PCI express mini card modems and wireless PC card and ExpressCard modems. Through the integration of our hardware and software, our products are designed to operate on a majority of the world’s wireless networks and provide mobile subscribers with secure and convenient high speed access to corporate, public and personal information through the Internet and enterprise networks.</w:t>
      </w:r>
    </w:p>
    <w:p>
      <w:pPr>
        <w:spacing w:after="0" w:line="14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Our global customer base is comprised of wireless operators, laptop PC and other OEMs, distributors and various companies in other vertical markets. Our current customer base includes wireless operators and other wireless market participants such as Bell Mobility, Sprint PCS, Telefonica, Verizon Wireless, Virgin Mobile, Vodafone and OEM partners such as Dell. We also have strategic technology, development and marketing relationships with several of these customers.</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years ended December 31, 2009, 2008, and 2007, net revenues recognized from sales of our products was $337.4 million, $321.0 million and $429.9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incorporated in 1996 under the laws of the State of Delaware.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objective is to be the leading provider of wireless broadband access solutions for the worldwide mobile communications market. The key elements of our strategy are to:</w:t>
      </w:r>
    </w:p>
    <w:p>
      <w:pPr>
        <w:spacing w:after="0" w:line="51" w:lineRule="exact"/>
        <w:rPr>
          <w:sz w:val="20"/>
          <w:szCs w:val="20"/>
          <w:color w:val="auto"/>
        </w:rPr>
      </w:pPr>
    </w:p>
    <w:p>
      <w:pPr>
        <w:ind w:left="780" w:right="2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Broaden Our Product Offerings. </w:t>
      </w:r>
      <w:r>
        <w:rPr>
          <w:rFonts w:ascii="Arial" w:cs="Arial" w:eastAsia="Arial" w:hAnsi="Arial"/>
          <w:sz w:val="18"/>
          <w:szCs w:val="18"/>
          <w:color w:val="auto"/>
        </w:rPr>
        <w:t>We intend to diversify and continue to broaden our product line in the following areas: intelligent mobile hotspots,</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applications software, USB modems and embedded modules.</w:t>
      </w:r>
    </w:p>
    <w:p>
      <w:pPr>
        <w:spacing w:after="0" w:line="50" w:lineRule="exact"/>
        <w:rPr>
          <w:rFonts w:ascii="Arial" w:cs="Arial" w:eastAsia="Arial" w:hAnsi="Arial"/>
          <w:sz w:val="18"/>
          <w:szCs w:val="18"/>
          <w:color w:val="auto"/>
        </w:rPr>
      </w:pPr>
    </w:p>
    <w:p>
      <w:pPr>
        <w:ind w:left="780" w:right="4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Our 3G and introduce 4G Wireless Product Offerings Worldwide. </w:t>
      </w:r>
      <w:r>
        <w:rPr>
          <w:rFonts w:ascii="Arial" w:cs="Arial" w:eastAsia="Arial" w:hAnsi="Arial"/>
          <w:sz w:val="16"/>
          <w:szCs w:val="16"/>
          <w:color w:val="auto"/>
        </w:rPr>
        <w:t>We intend to continue expanding our portfolio of 3G wireless products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wireless operators worldwide. We have introduced numerous 3G products, including EV-DO, HSDPA and HSUPA products. We also plan to introduce new products aimed at the next generation technologies, including 4G technologies LTE and WiMax.</w:t>
      </w:r>
    </w:p>
    <w:p>
      <w:pPr>
        <w:spacing w:after="0" w:line="25" w:lineRule="exact"/>
        <w:rPr>
          <w:rFonts w:ascii="Arial" w:cs="Arial" w:eastAsia="Arial" w:hAnsi="Arial"/>
          <w:sz w:val="16"/>
          <w:szCs w:val="16"/>
          <w:color w:val="auto"/>
        </w:rPr>
      </w:pPr>
    </w:p>
    <w:p>
      <w:pPr>
        <w:ind w:left="780" w:right="80" w:hanging="326"/>
        <w:spacing w:after="0" w:line="294"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Lead the Intelligent Mobile Hotspot Product Category</w:t>
      </w:r>
      <w:r>
        <w:rPr>
          <w:rFonts w:ascii="Arial" w:cs="Arial" w:eastAsia="Arial" w:hAnsi="Arial"/>
          <w:sz w:val="16"/>
          <w:szCs w:val="16"/>
          <w:color w:val="auto"/>
        </w:rPr>
        <w:t>. In December 2008, we announced our MiFi Intelligent Mobile Hotspot, a completely new</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in wireless mobile data devices, and one that we created. In May 2009, the first nationwide commercial deployment of MiFi was announced by Verizon Wireless. In June 2009, Sprint PCS announced its nationwide commercial launch of MiFi. Since that time, approximately 15 additional operators around the world have commercially launched MiFi for both EV-DO and HSPA technologies. We have multiple follow-on versions of MiFi currently in development and we plan to continue to lead the market with innovative MiFi products and software applications.</w:t>
      </w:r>
    </w:p>
    <w:p>
      <w:pPr>
        <w:spacing w:after="0" w:line="34" w:lineRule="exact"/>
        <w:rPr>
          <w:rFonts w:ascii="Arial" w:cs="Arial" w:eastAsia="Arial" w:hAnsi="Arial"/>
          <w:sz w:val="16"/>
          <w:szCs w:val="16"/>
          <w:color w:val="auto"/>
        </w:rPr>
      </w:pPr>
    </w:p>
    <w:p>
      <w:pPr>
        <w:jc w:val="both"/>
        <w:ind w:left="7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relationships with wireless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increase our worldwide market position. In the United States and internationally, we are working closely with wireless operators of EV-DO and HSPA wireless networks.</w:t>
      </w:r>
    </w:p>
    <w:p>
      <w:pPr>
        <w:spacing w:after="0" w:line="59"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Leverage Strategic Relationships with Wireless Industry Leaders. </w:t>
      </w:r>
      <w:r>
        <w:rPr>
          <w:rFonts w:ascii="Arial" w:cs="Arial" w:eastAsia="Arial" w:hAnsi="Arial"/>
          <w:sz w:val="18"/>
          <w:szCs w:val="18"/>
          <w:color w:val="auto"/>
        </w:rPr>
        <w:t>We believe that strategic relationships with wireless and mobile computing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leaders are critical to our ability to leverage sales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80"/>
        <w:spacing w:after="0" w:line="256" w:lineRule="auto"/>
        <w:rPr>
          <w:sz w:val="20"/>
          <w:szCs w:val="20"/>
          <w:color w:val="auto"/>
        </w:rPr>
      </w:pPr>
      <w:r>
        <w:rPr>
          <w:rFonts w:ascii="Arial" w:cs="Arial" w:eastAsia="Arial" w:hAnsi="Arial"/>
          <w:sz w:val="18"/>
          <w:szCs w:val="18"/>
          <w:color w:val="auto"/>
        </w:rPr>
        <w:t>opportunities and ensure that our technology investments address customer needs. Through strategic relationships, we believe that we can increase market penetration and differentiate our products by accessing the resources of others, including access to distribution resources, and dedicated sales and marketing resources and addressing new market opportunities through innovation with our selected partners. We intend to continue the development and leverage of strategic relationships in our target market.</w:t>
      </w:r>
    </w:p>
    <w:p>
      <w:pPr>
        <w:spacing w:after="0" w:line="76" w:lineRule="exact"/>
        <w:rPr>
          <w:sz w:val="20"/>
          <w:szCs w:val="20"/>
          <w:color w:val="auto"/>
        </w:rPr>
      </w:pPr>
    </w:p>
    <w:p>
      <w:pPr>
        <w:ind w:left="780" w:right="24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Target Key Vertical Market Opportunities and Penetrate New Markets. </w:t>
      </w:r>
      <w:r>
        <w:rPr>
          <w:rFonts w:ascii="Arial" w:cs="Arial" w:eastAsia="Arial" w:hAnsi="Arial"/>
          <w:sz w:val="18"/>
          <w:szCs w:val="18"/>
          <w:color w:val="auto"/>
        </w:rPr>
        <w:t>We believe that on-going developments in wireless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additional vertical market opportunities and more applications for our products. Currently, we market our broadband wireless access solutions to key vertical industry segments by offering innovative products that are intended to increase productivity, reduce costs and create operational efficiencies.</w:t>
      </w:r>
    </w:p>
    <w:p>
      <w:pPr>
        <w:spacing w:after="0" w:line="62" w:lineRule="exact"/>
        <w:rPr>
          <w:rFonts w:ascii="Arial" w:cs="Arial" w:eastAsia="Arial" w:hAnsi="Arial"/>
          <w:sz w:val="18"/>
          <w:szCs w:val="18"/>
          <w:color w:val="auto"/>
        </w:rPr>
      </w:pPr>
    </w:p>
    <w:p>
      <w:pPr>
        <w:ind w:left="780" w:right="40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functionality and intellectual property to our products and develop new</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software applications to enhance the overall value and ease of use that our products provide to our customers and end users.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current products are designed to operate across 3G networks. We also plan to introduce products designed to operate across 4G networks. 3G and 4G networks include the following:</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Third Generation (3G) Technologies</w:t>
      </w:r>
    </w:p>
    <w:p>
      <w:pPr>
        <w:spacing w:after="0" w:line="90" w:lineRule="exact"/>
        <w:rPr>
          <w:sz w:val="20"/>
          <w:szCs w:val="20"/>
          <w:color w:val="auto"/>
        </w:rPr>
      </w:pPr>
    </w:p>
    <w:p>
      <w:pPr>
        <w:ind w:left="780" w:right="10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Code Division Multiple Access</w:t>
      </w:r>
      <w:r>
        <w:rPr>
          <w:rFonts w:ascii="Arial" w:cs="Arial" w:eastAsia="Arial" w:hAnsi="Arial"/>
          <w:sz w:val="16"/>
          <w:szCs w:val="16"/>
          <w:color w:val="auto"/>
        </w:rPr>
        <w:t>, or</w:t>
      </w:r>
      <w:r>
        <w:rPr>
          <w:rFonts w:ascii="Arial" w:cs="Arial" w:eastAsia="Arial" w:hAnsi="Arial"/>
          <w:sz w:val="16"/>
          <w:szCs w:val="16"/>
          <w:i w:val="1"/>
          <w:iCs w:val="1"/>
          <w:color w:val="auto"/>
        </w:rPr>
        <w:t xml:space="preserve"> CDMA</w:t>
      </w:r>
      <w:r>
        <w:rPr>
          <w:rFonts w:ascii="Arial" w:cs="Arial" w:eastAsia="Arial" w:hAnsi="Arial"/>
          <w:sz w:val="16"/>
          <w:szCs w:val="16"/>
          <w:color w:val="auto"/>
        </w:rPr>
        <w:t>, 1xEV-DO is designed to be employed by CDMA operators and provide wireless access speeds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to wireline digital subscriber line, or DSL, services. Subscribers can attain wireless access to data at maximum speeds of up to 2.4 megabits per second, or Mbps, on CDMA 1xEV-DO Rev. 0 networks and 3.1 Mbps on CDMA 1xEV-DO Rev. A networks.</w:t>
      </w:r>
    </w:p>
    <w:p>
      <w:pPr>
        <w:spacing w:after="0" w:line="25" w:lineRule="exact"/>
        <w:rPr>
          <w:rFonts w:ascii="Arial" w:cs="Arial" w:eastAsia="Arial" w:hAnsi="Arial"/>
          <w:sz w:val="16"/>
          <w:szCs w:val="16"/>
          <w:color w:val="auto"/>
        </w:rPr>
      </w:pPr>
    </w:p>
    <w:p>
      <w:pPr>
        <w:ind w:left="780" w:right="2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High Speed Packet Access, </w:t>
      </w:r>
      <w:r>
        <w:rPr>
          <w:rFonts w:ascii="Arial" w:cs="Arial" w:eastAsia="Arial" w:hAnsi="Arial"/>
          <w:sz w:val="16"/>
          <w:szCs w:val="16"/>
          <w:color w:val="auto"/>
        </w:rPr>
        <w:t>or</w:t>
      </w:r>
      <w:r>
        <w:rPr>
          <w:rFonts w:ascii="Arial" w:cs="Arial" w:eastAsia="Arial" w:hAnsi="Arial"/>
          <w:sz w:val="16"/>
          <w:szCs w:val="16"/>
          <w:i w:val="1"/>
          <w:iCs w:val="1"/>
          <w:color w:val="auto"/>
        </w:rPr>
        <w:t xml:space="preserve"> HSPA, </w:t>
      </w:r>
      <w:r>
        <w:rPr>
          <w:rFonts w:ascii="Arial" w:cs="Arial" w:eastAsia="Arial" w:hAnsi="Arial"/>
          <w:sz w:val="16"/>
          <w:szCs w:val="16"/>
          <w:color w:val="auto"/>
        </w:rPr>
        <w:t>is an enhancement of the</w:t>
      </w:r>
      <w:r>
        <w:rPr>
          <w:rFonts w:ascii="Arial" w:cs="Arial" w:eastAsia="Arial" w:hAnsi="Arial"/>
          <w:sz w:val="16"/>
          <w:szCs w:val="16"/>
          <w:i w:val="1"/>
          <w:iCs w:val="1"/>
          <w:color w:val="auto"/>
        </w:rPr>
        <w:t xml:space="preserve"> Universal Mobile Telecommunications System, </w:t>
      </w:r>
      <w:r>
        <w:rPr>
          <w:rFonts w:ascii="Arial" w:cs="Arial" w:eastAsia="Arial" w:hAnsi="Arial"/>
          <w:sz w:val="16"/>
          <w:szCs w:val="16"/>
          <w:color w:val="auto"/>
        </w:rPr>
        <w:t>or</w:t>
      </w:r>
      <w:r>
        <w:rPr>
          <w:rFonts w:ascii="Arial" w:cs="Arial" w:eastAsia="Arial" w:hAnsi="Arial"/>
          <w:sz w:val="16"/>
          <w:szCs w:val="16"/>
          <w:i w:val="1"/>
          <w:iCs w:val="1"/>
          <w:color w:val="auto"/>
        </w:rPr>
        <w:t xml:space="preserve"> UMTS, </w:t>
      </w:r>
      <w:r>
        <w:rPr>
          <w:rFonts w:ascii="Arial" w:cs="Arial" w:eastAsia="Arial" w:hAnsi="Arial"/>
          <w:sz w:val="16"/>
          <w:szCs w:val="16"/>
          <w:color w:val="auto"/>
        </w:rPr>
        <w:t>standard which enables packet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data transmission at maximum speeds of up to 14.4 Mbps. </w:t>
      </w:r>
      <w:r>
        <w:rPr>
          <w:rFonts w:ascii="Arial" w:cs="Arial" w:eastAsia="Arial" w:hAnsi="Arial"/>
          <w:sz w:val="16"/>
          <w:szCs w:val="16"/>
          <w:i w:val="1"/>
          <w:iCs w:val="1"/>
          <w:color w:val="auto"/>
        </w:rPr>
        <w:t>UMTS</w:t>
      </w:r>
      <w:r>
        <w:rPr>
          <w:rFonts w:ascii="Arial" w:cs="Arial" w:eastAsia="Arial" w:hAnsi="Arial"/>
          <w:sz w:val="16"/>
          <w:szCs w:val="16"/>
          <w:color w:val="auto"/>
        </w:rPr>
        <w:t xml:space="preserve"> is also referred to as Wideband Code Division Multiple Access, or W-CDMA.</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High Speed Packet Access Plus, </w:t>
      </w:r>
      <w:r>
        <w:rPr>
          <w:rFonts w:ascii="Arial" w:cs="Arial" w:eastAsia="Arial" w:hAnsi="Arial"/>
          <w:sz w:val="16"/>
          <w:szCs w:val="16"/>
          <w:color w:val="auto"/>
        </w:rPr>
        <w:t>or</w:t>
      </w:r>
      <w:r>
        <w:rPr>
          <w:rFonts w:ascii="Arial" w:cs="Arial" w:eastAsia="Arial" w:hAnsi="Arial"/>
          <w:sz w:val="16"/>
          <w:szCs w:val="16"/>
          <w:i w:val="1"/>
          <w:iCs w:val="1"/>
          <w:color w:val="auto"/>
        </w:rPr>
        <w:t xml:space="preserve"> HSPA+</w:t>
      </w:r>
      <w:r>
        <w:rPr>
          <w:rFonts w:ascii="Arial" w:cs="Arial" w:eastAsia="Arial" w:hAnsi="Arial"/>
          <w:sz w:val="16"/>
          <w:szCs w:val="16"/>
          <w:color w:val="auto"/>
        </w:rPr>
        <w:t>, is a follow on to HSPA technology which provides theoretical maximum downlink data rates of 28 Mbps.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Dual-Carrier High Speed Packet Access Plus</w:t>
      </w:r>
      <w:r>
        <w:rPr>
          <w:rFonts w:ascii="Arial" w:cs="Arial" w:eastAsia="Arial" w:hAnsi="Arial"/>
          <w:sz w:val="18"/>
          <w:szCs w:val="18"/>
          <w:color w:val="auto"/>
        </w:rPr>
        <w:t>, or</w:t>
      </w:r>
      <w:r>
        <w:rPr>
          <w:rFonts w:ascii="Arial" w:cs="Arial" w:eastAsia="Arial" w:hAnsi="Arial"/>
          <w:sz w:val="18"/>
          <w:szCs w:val="18"/>
          <w:i w:val="1"/>
          <w:iCs w:val="1"/>
          <w:color w:val="auto"/>
        </w:rPr>
        <w:t xml:space="preserve"> DC-HSPA+ </w:t>
      </w:r>
      <w:r>
        <w:rPr>
          <w:rFonts w:ascii="Arial" w:cs="Arial" w:eastAsia="Arial" w:hAnsi="Arial"/>
          <w:sz w:val="18"/>
          <w:szCs w:val="18"/>
          <w:color w:val="auto"/>
        </w:rPr>
        <w:t>is a continuation of HSPA+ technology which provides theoretical data throughputs of up</w:t>
      </w:r>
      <w:r>
        <w:rPr>
          <w:rFonts w:ascii="Arial" w:cs="Arial" w:eastAsia="Arial" w:hAnsi="Arial"/>
          <w:sz w:val="18"/>
          <w:szCs w:val="18"/>
          <w:i w:val="1"/>
          <w:iCs w:val="1"/>
          <w:color w:val="auto"/>
        </w:rPr>
        <w:t xml:space="preserve"> </w:t>
      </w:r>
      <w:r>
        <w:rPr>
          <w:rFonts w:ascii="Arial" w:cs="Arial" w:eastAsia="Arial" w:hAnsi="Arial"/>
          <w:sz w:val="18"/>
          <w:szCs w:val="18"/>
          <w:color w:val="auto"/>
        </w:rPr>
        <w:t>to 42 Mbps.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Generation (4G) Technologies:</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WiMax </w:t>
      </w:r>
      <w:r>
        <w:rPr>
          <w:rFonts w:ascii="Arial" w:cs="Arial" w:eastAsia="Arial" w:hAnsi="Arial"/>
          <w:sz w:val="18"/>
          <w:szCs w:val="18"/>
          <w:color w:val="auto"/>
        </w:rPr>
        <w:t>is a follow on 4G technology which provides theoretical maximum downlink data rates of 10 Mbps and 5 Mbps on the uplink.</w:t>
      </w:r>
    </w:p>
    <w:p>
      <w:pPr>
        <w:spacing w:after="0" w:line="90"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Long Term Evolution, </w:t>
      </w:r>
      <w:r>
        <w:rPr>
          <w:rFonts w:ascii="Arial" w:cs="Arial" w:eastAsia="Arial" w:hAnsi="Arial"/>
          <w:sz w:val="16"/>
          <w:szCs w:val="16"/>
          <w:color w:val="auto"/>
        </w:rPr>
        <w:t>or</w:t>
      </w:r>
      <w:r>
        <w:rPr>
          <w:rFonts w:ascii="Arial" w:cs="Arial" w:eastAsia="Arial" w:hAnsi="Arial"/>
          <w:sz w:val="16"/>
          <w:szCs w:val="16"/>
          <w:i w:val="1"/>
          <w:iCs w:val="1"/>
          <w:color w:val="auto"/>
        </w:rPr>
        <w:t xml:space="preserve"> LTE</w:t>
      </w:r>
      <w:r>
        <w:rPr>
          <w:rFonts w:ascii="Arial" w:cs="Arial" w:eastAsia="Arial" w:hAnsi="Arial"/>
          <w:sz w:val="16"/>
          <w:szCs w:val="16"/>
          <w:color w:val="auto"/>
        </w:rPr>
        <w:t>, defines signal modulation schemes that will permit much higher data rates to be achieved in 3G networks. LTE enables</w:t>
      </w:r>
      <w:r>
        <w:rPr>
          <w:rFonts w:ascii="Arial" w:cs="Arial" w:eastAsia="Arial" w:hAnsi="Arial"/>
          <w:sz w:val="16"/>
          <w:szCs w:val="16"/>
          <w:i w:val="1"/>
          <w:iCs w:val="1"/>
          <w:color w:val="auto"/>
        </w:rPr>
        <w:t xml:space="preserve"> </w:t>
      </w:r>
      <w:r>
        <w:rPr>
          <w:rFonts w:ascii="Arial" w:cs="Arial" w:eastAsia="Arial" w:hAnsi="Arial"/>
          <w:sz w:val="16"/>
          <w:szCs w:val="16"/>
          <w:color w:val="auto"/>
        </w:rPr>
        <w:t>theoretical data transmission rates of up to 100 Mbps depending on environment and carrier network configuration.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current principal product lines and applications: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Intelligent Mobile Hotspots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MiFi</w:t>
      </w:r>
      <w:r>
        <w:rPr>
          <w:rFonts w:ascii="Arial" w:cs="Arial" w:eastAsia="Arial" w:hAnsi="Arial"/>
          <w:sz w:val="18"/>
          <w:szCs w:val="18"/>
          <w:color w:val="auto"/>
        </w:rPr>
        <w:t xml:space="preserve"> brand of Intelligent Mobile Hotspot provides both WLAN and WWAN wireless connectivity to up to five users simultaneously from a wide assortment of devices including notebook computers, music players and digital cameras. In addition to cellular network access, our </w:t>
      </w:r>
      <w:r>
        <w:rPr>
          <w:rFonts w:ascii="Arial" w:cs="Arial" w:eastAsia="Arial" w:hAnsi="Arial"/>
          <w:sz w:val="18"/>
          <w:szCs w:val="18"/>
          <w:i w:val="1"/>
          <w:iCs w:val="1"/>
          <w:color w:val="auto"/>
        </w:rPr>
        <w:t>MiFi</w:t>
      </w:r>
      <w:r>
        <w:rPr>
          <w:rFonts w:ascii="Arial" w:cs="Arial" w:eastAsia="Arial" w:hAnsi="Arial"/>
          <w:sz w:val="18"/>
          <w:szCs w:val="18"/>
          <w:color w:val="auto"/>
        </w:rPr>
        <w:t xml:space="preserve"> product also provides a platform to host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native software applications. Software is included on the device so that users don’t need to install drivers from a CD. The following is a representative selection of our current </w:t>
      </w:r>
      <w:r>
        <w:rPr>
          <w:rFonts w:ascii="Arial" w:cs="Arial" w:eastAsia="Arial" w:hAnsi="Arial"/>
          <w:sz w:val="18"/>
          <w:szCs w:val="18"/>
          <w:i w:val="1"/>
          <w:iCs w:val="1"/>
          <w:color w:val="auto"/>
        </w:rPr>
        <w:t>MiFi</w:t>
      </w:r>
      <w:r>
        <w:rPr>
          <w:rFonts w:ascii="Arial" w:cs="Arial" w:eastAsia="Arial" w:hAnsi="Arial"/>
          <w:sz w:val="18"/>
          <w:szCs w:val="18"/>
          <w:color w:val="auto"/>
        </w:rPr>
        <w:t xml:space="preserve"> products:</w:t>
      </w:r>
    </w:p>
    <w:p>
      <w:pPr>
        <w:spacing w:after="0" w:line="51" w:lineRule="exact"/>
        <w:rPr>
          <w:sz w:val="20"/>
          <w:szCs w:val="20"/>
          <w:color w:val="auto"/>
        </w:rPr>
      </w:pPr>
    </w:p>
    <w:p>
      <w:pPr>
        <w:ind w:left="780" w:right="20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MiFi 2200</w:t>
      </w:r>
      <w:r>
        <w:rPr>
          <w:rFonts w:ascii="Arial" w:cs="Arial" w:eastAsia="Arial" w:hAnsi="Arial"/>
          <w:sz w:val="18"/>
          <w:szCs w:val="18"/>
          <w:color w:val="auto"/>
        </w:rPr>
        <w:t xml:space="preserve"> Intelligent Mobile Hotspot provides broadband connections at speeds up to 3.1 Mbps on CDMA EVDO Rev. A networks. The </w:t>
      </w:r>
      <w:r>
        <w:rPr>
          <w:rFonts w:ascii="Arial" w:cs="Arial" w:eastAsia="Arial" w:hAnsi="Arial"/>
          <w:sz w:val="18"/>
          <w:szCs w:val="18"/>
          <w:i w:val="1"/>
          <w:iCs w:val="1"/>
          <w:color w:val="auto"/>
        </w:rPr>
        <w:t>MiFi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2200 </w:t>
      </w:r>
      <w:r>
        <w:rPr>
          <w:rFonts w:ascii="Arial" w:cs="Arial" w:eastAsia="Arial" w:hAnsi="Arial"/>
          <w:sz w:val="18"/>
          <w:szCs w:val="18"/>
          <w:color w:val="auto"/>
        </w:rPr>
        <w:t>utilizes modem manager software and is compatible with a range of devices including laptop PCs, PDAs, mobile phones, as well as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systems including Microsoft Windows XP, Vista, Mac OS X 10.3.9 or higher, and Linux. The </w:t>
      </w:r>
      <w:r>
        <w:rPr>
          <w:rFonts w:ascii="Arial" w:cs="Arial" w:eastAsia="Arial" w:hAnsi="Arial"/>
          <w:sz w:val="18"/>
          <w:szCs w:val="18"/>
          <w:i w:val="1"/>
          <w:iCs w:val="1"/>
          <w:color w:val="auto"/>
        </w:rPr>
        <w:t>MiFi 2200</w:t>
      </w:r>
      <w:r>
        <w:rPr>
          <w:rFonts w:ascii="Arial" w:cs="Arial" w:eastAsia="Arial" w:hAnsi="Arial"/>
          <w:sz w:val="18"/>
          <w:szCs w:val="18"/>
          <w:color w:val="auto"/>
        </w:rPr>
        <w:t xml:space="preserve"> operates on the 800 MHz and 1900 MHz bands.</w:t>
      </w:r>
    </w:p>
    <w:p>
      <w:pPr>
        <w:spacing w:after="0" w:line="62" w:lineRule="exact"/>
        <w:rPr>
          <w:rFonts w:ascii="Arial" w:cs="Arial" w:eastAsia="Arial" w:hAnsi="Arial"/>
          <w:sz w:val="18"/>
          <w:szCs w:val="18"/>
          <w:color w:val="auto"/>
        </w:rPr>
      </w:pPr>
    </w:p>
    <w:p>
      <w:pPr>
        <w:ind w:left="780" w:right="14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MiFi 2352 /2372</w:t>
      </w:r>
      <w:r>
        <w:rPr>
          <w:rFonts w:ascii="Arial" w:cs="Arial" w:eastAsia="Arial" w:hAnsi="Arial"/>
          <w:sz w:val="16"/>
          <w:szCs w:val="16"/>
          <w:color w:val="auto"/>
        </w:rPr>
        <w:t xml:space="preserve"> Intelligent Mobile Hotspot products provide HSPA capable downloads and uploads on carrier networks at either 900MHz or 850Mhz, 1900 MHz and 2100 MHz. The </w:t>
      </w:r>
      <w:r>
        <w:rPr>
          <w:rFonts w:ascii="Arial" w:cs="Arial" w:eastAsia="Arial" w:hAnsi="Arial"/>
          <w:sz w:val="16"/>
          <w:szCs w:val="16"/>
          <w:i w:val="1"/>
          <w:iCs w:val="1"/>
          <w:color w:val="auto"/>
        </w:rPr>
        <w:t>MiFi 2352</w:t>
      </w:r>
      <w:r>
        <w:rPr>
          <w:rFonts w:ascii="Arial" w:cs="Arial" w:eastAsia="Arial" w:hAnsi="Arial"/>
          <w:sz w:val="16"/>
          <w:szCs w:val="16"/>
          <w:color w:val="auto"/>
        </w:rPr>
        <w:t xml:space="preserve"> and </w:t>
      </w:r>
      <w:r>
        <w:rPr>
          <w:rFonts w:ascii="Arial" w:cs="Arial" w:eastAsia="Arial" w:hAnsi="Arial"/>
          <w:sz w:val="16"/>
          <w:szCs w:val="16"/>
          <w:i w:val="1"/>
          <w:iCs w:val="1"/>
          <w:color w:val="auto"/>
        </w:rPr>
        <w:t>MiFi 2372</w:t>
      </w:r>
      <w:r>
        <w:rPr>
          <w:rFonts w:ascii="Arial" w:cs="Arial" w:eastAsia="Arial" w:hAnsi="Arial"/>
          <w:sz w:val="16"/>
          <w:szCs w:val="16"/>
          <w:color w:val="auto"/>
        </w:rPr>
        <w:t xml:space="preserve"> are capable of downloading files at speeds up to 7.2 Mbps and uploading files at speeds up to 5.76 Mbps. Additionally, through support of GPRS and EDGE, the </w:t>
      </w:r>
      <w:r>
        <w:rPr>
          <w:rFonts w:ascii="Arial" w:cs="Arial" w:eastAsia="Arial" w:hAnsi="Arial"/>
          <w:sz w:val="16"/>
          <w:szCs w:val="16"/>
          <w:i w:val="1"/>
          <w:iCs w:val="1"/>
          <w:color w:val="auto"/>
        </w:rPr>
        <w:t>MiFi 2352</w:t>
      </w:r>
      <w:r>
        <w:rPr>
          <w:rFonts w:ascii="Arial" w:cs="Arial" w:eastAsia="Arial" w:hAnsi="Arial"/>
          <w:sz w:val="16"/>
          <w:szCs w:val="16"/>
          <w:color w:val="auto"/>
        </w:rPr>
        <w:t xml:space="preserve"> and </w:t>
      </w:r>
      <w:r>
        <w:rPr>
          <w:rFonts w:ascii="Arial" w:cs="Arial" w:eastAsia="Arial" w:hAnsi="Arial"/>
          <w:sz w:val="16"/>
          <w:szCs w:val="16"/>
          <w:i w:val="1"/>
          <w:iCs w:val="1"/>
          <w:color w:val="auto"/>
        </w:rPr>
        <w:t>MiFi 2372</w:t>
      </w:r>
      <w:r>
        <w:rPr>
          <w:rFonts w:ascii="Arial" w:cs="Arial" w:eastAsia="Arial" w:hAnsi="Arial"/>
          <w:sz w:val="16"/>
          <w:szCs w:val="16"/>
          <w:color w:val="auto"/>
        </w:rPr>
        <w:t xml:space="preserve"> provide global cellular network access.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Expedite Embedded PCI Express Mini Card Modems for OEMs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Expedite</w:t>
      </w:r>
      <w:r>
        <w:rPr>
          <w:rFonts w:ascii="Arial" w:cs="Arial" w:eastAsia="Arial" w:hAnsi="Arial"/>
          <w:sz w:val="18"/>
          <w:szCs w:val="18"/>
          <w:color w:val="auto"/>
        </w:rPr>
        <w:t xml:space="preserve"> brand of Embedded PCI Express Mini Card modems are a form factor specification designed for easy integration into multiple laptop platforms and other wireless devices. Each </w:t>
      </w:r>
      <w:r>
        <w:rPr>
          <w:rFonts w:ascii="Arial" w:cs="Arial" w:eastAsia="Arial" w:hAnsi="Arial"/>
          <w:sz w:val="18"/>
          <w:szCs w:val="18"/>
          <w:i w:val="1"/>
          <w:iCs w:val="1"/>
          <w:color w:val="auto"/>
        </w:rPr>
        <w:t>Expedite</w:t>
      </w:r>
      <w:r>
        <w:rPr>
          <w:rFonts w:ascii="Arial" w:cs="Arial" w:eastAsia="Arial" w:hAnsi="Arial"/>
          <w:sz w:val="18"/>
          <w:szCs w:val="18"/>
          <w:color w:val="auto"/>
        </w:rPr>
        <w:t xml:space="preserve"> embedded PCI express mini card modem enables wireless high-speed streaming video and audio, secure access to emails with large attachments and other corporate information stored behind firewalls providing reliable connectivity, maximum data throughput and efficient management of device power consumption. The following is a representative selection of our current </w:t>
      </w:r>
      <w:r>
        <w:rPr>
          <w:rFonts w:ascii="Arial" w:cs="Arial" w:eastAsia="Arial" w:hAnsi="Arial"/>
          <w:sz w:val="18"/>
          <w:szCs w:val="18"/>
          <w:i w:val="1"/>
          <w:iCs w:val="1"/>
          <w:color w:val="auto"/>
        </w:rPr>
        <w:t>Expedite</w:t>
      </w:r>
      <w:r>
        <w:rPr>
          <w:rFonts w:ascii="Arial" w:cs="Arial" w:eastAsia="Arial" w:hAnsi="Arial"/>
          <w:sz w:val="18"/>
          <w:szCs w:val="18"/>
          <w:color w:val="auto"/>
        </w:rPr>
        <w:t xml:space="preserve"> embedded PCI express mini card modems:</w:t>
      </w:r>
    </w:p>
    <w:p>
      <w:pPr>
        <w:spacing w:after="0" w:line="62" w:lineRule="exact"/>
        <w:rPr>
          <w:sz w:val="20"/>
          <w:szCs w:val="20"/>
          <w:color w:val="auto"/>
        </w:rPr>
      </w:pPr>
    </w:p>
    <w:p>
      <w:pPr>
        <w:ind w:left="780" w:right="5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E760</w:t>
      </w:r>
      <w:r>
        <w:rPr>
          <w:rFonts w:ascii="Arial" w:cs="Arial" w:eastAsia="Arial" w:hAnsi="Arial"/>
          <w:sz w:val="18"/>
          <w:szCs w:val="18"/>
          <w:color w:val="auto"/>
        </w:rPr>
        <w:t xml:space="preserve"> PCI Express Mini Card includes receiver diversity on 800 and 1900 MHz band CDMA2000 1xEV-DO and CDMA2000 1X networks.</w:t>
      </w:r>
    </w:p>
    <w:p>
      <w:pPr>
        <w:spacing w:after="0" w:line="5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E725</w:t>
      </w:r>
      <w:r>
        <w:rPr>
          <w:rFonts w:ascii="Arial" w:cs="Arial" w:eastAsia="Arial" w:hAnsi="Arial"/>
          <w:sz w:val="18"/>
          <w:szCs w:val="18"/>
          <w:color w:val="auto"/>
        </w:rPr>
        <w:t xml:space="preserve"> PCI Express Mini Card provides dual band (800/1900 MHz) wireless access and is designed to provide mobile broadband connections at speeds up to 3.1 Mbps on CDMA 1xEV-DO Rev. A networks.</w:t>
      </w:r>
    </w:p>
    <w:p>
      <w:pPr>
        <w:spacing w:after="0" w:line="50"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Expedite EU860D</w:t>
      </w:r>
      <w:r>
        <w:rPr>
          <w:rFonts w:ascii="Arial" w:cs="Arial" w:eastAsia="Arial" w:hAnsi="Arial"/>
          <w:sz w:val="16"/>
          <w:szCs w:val="16"/>
          <w:color w:val="auto"/>
        </w:rPr>
        <w:t xml:space="preserve"> PCI Express Mini Card operates globally on 850, 1900, and 2100 MHz bands on HSDPA and UMTS networks with mobile broadband connection speeds up to 3.6 Mbps on the downlink and up to 384 Kbps on the uplink on HSDPA/UMTS capable networks.</w:t>
      </w:r>
    </w:p>
    <w:p>
      <w:pPr>
        <w:spacing w:after="0" w:line="4" w:lineRule="exact"/>
        <w:rPr>
          <w:rFonts w:ascii="Arial" w:cs="Arial" w:eastAsia="Arial" w:hAnsi="Arial"/>
          <w:sz w:val="16"/>
          <w:szCs w:val="16"/>
          <w:color w:val="auto"/>
        </w:rPr>
      </w:pPr>
    </w:p>
    <w:p>
      <w:pPr>
        <w:jc w:val="both"/>
        <w:ind w:left="780" w:right="10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EU870D</w:t>
      </w:r>
      <w:r>
        <w:rPr>
          <w:rFonts w:ascii="Arial" w:cs="Arial" w:eastAsia="Arial" w:hAnsi="Arial"/>
          <w:sz w:val="18"/>
          <w:szCs w:val="18"/>
          <w:color w:val="auto"/>
        </w:rPr>
        <w:t xml:space="preserve"> is optimized for Europe and offers receiver diversity and equalizer support and operates globally on 850, 1900 and 2100 MHz bands on HSDPA and UMTS networks. The </w:t>
      </w:r>
      <w:r>
        <w:rPr>
          <w:rFonts w:ascii="Arial" w:cs="Arial" w:eastAsia="Arial" w:hAnsi="Arial"/>
          <w:sz w:val="18"/>
          <w:szCs w:val="18"/>
          <w:i w:val="1"/>
          <w:iCs w:val="1"/>
          <w:color w:val="auto"/>
        </w:rPr>
        <w:t>Expedite EU870D</w:t>
      </w:r>
      <w:r>
        <w:rPr>
          <w:rFonts w:ascii="Arial" w:cs="Arial" w:eastAsia="Arial" w:hAnsi="Arial"/>
          <w:sz w:val="18"/>
          <w:szCs w:val="18"/>
          <w:color w:val="auto"/>
        </w:rPr>
        <w:t xml:space="preserve"> transmits wireless data at speeds up to 3.6 Mbps on the downlink and up to 384 Kbps on the uplink on HSDPA/UMTS networks.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USB Modems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Ovation</w:t>
      </w:r>
      <w:r>
        <w:rPr>
          <w:rFonts w:ascii="Arial" w:cs="Arial" w:eastAsia="Arial" w:hAnsi="Arial"/>
          <w:sz w:val="18"/>
          <w:szCs w:val="18"/>
          <w:color w:val="auto"/>
        </w:rPr>
        <w:t xml:space="preserve"> USB product line provides wireless connectivity interchangeably to both desktop and other fixed computing devices and to laptop PCs and other portable computing devices. The following is a representative selection of our current </w:t>
      </w:r>
      <w:r>
        <w:rPr>
          <w:rFonts w:ascii="Arial" w:cs="Arial" w:eastAsia="Arial" w:hAnsi="Arial"/>
          <w:sz w:val="18"/>
          <w:szCs w:val="18"/>
          <w:i w:val="1"/>
          <w:iCs w:val="1"/>
          <w:color w:val="auto"/>
        </w:rPr>
        <w:t>Ovation</w:t>
      </w:r>
      <w:r>
        <w:rPr>
          <w:rFonts w:ascii="Arial" w:cs="Arial" w:eastAsia="Arial" w:hAnsi="Arial"/>
          <w:sz w:val="18"/>
          <w:szCs w:val="18"/>
          <w:color w:val="auto"/>
        </w:rPr>
        <w:t xml:space="preserve"> products:</w:t>
      </w:r>
    </w:p>
    <w:p>
      <w:pPr>
        <w:spacing w:after="0" w:line="51" w:lineRule="exact"/>
        <w:rPr>
          <w:sz w:val="20"/>
          <w:szCs w:val="20"/>
          <w:color w:val="auto"/>
        </w:rPr>
      </w:pPr>
    </w:p>
    <w:p>
      <w:pPr>
        <w:jc w:val="both"/>
        <w:ind w:left="780" w:hanging="326"/>
        <w:spacing w:after="0" w:line="306"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Ovation MC760</w:t>
      </w:r>
      <w:r>
        <w:rPr>
          <w:rFonts w:ascii="Arial" w:cs="Arial" w:eastAsia="Arial" w:hAnsi="Arial"/>
          <w:sz w:val="16"/>
          <w:szCs w:val="16"/>
          <w:color w:val="auto"/>
        </w:rPr>
        <w:t xml:space="preserve"> USB Modem is a micro-sized broadband Internet device with high-capacity removable memory storage. The integrated microSD slot of the </w:t>
      </w:r>
      <w:r>
        <w:rPr>
          <w:rFonts w:ascii="Arial" w:cs="Arial" w:eastAsia="Arial" w:hAnsi="Arial"/>
          <w:sz w:val="16"/>
          <w:szCs w:val="16"/>
          <w:i w:val="1"/>
          <w:iCs w:val="1"/>
          <w:color w:val="auto"/>
        </w:rPr>
        <w:t>MC760</w:t>
      </w:r>
      <w:r>
        <w:rPr>
          <w:rFonts w:ascii="Arial" w:cs="Arial" w:eastAsia="Arial" w:hAnsi="Arial"/>
          <w:sz w:val="16"/>
          <w:szCs w:val="16"/>
          <w:color w:val="auto"/>
        </w:rPr>
        <w:t xml:space="preserve"> provides flexible portable storage options without hindering Internet connection performance. The </w:t>
      </w:r>
      <w:r>
        <w:rPr>
          <w:rFonts w:ascii="Arial" w:cs="Arial" w:eastAsia="Arial" w:hAnsi="Arial"/>
          <w:sz w:val="16"/>
          <w:szCs w:val="16"/>
          <w:i w:val="1"/>
          <w:iCs w:val="1"/>
          <w:color w:val="auto"/>
        </w:rPr>
        <w:t>MC760</w:t>
      </w:r>
      <w:r>
        <w:rPr>
          <w:rFonts w:ascii="Arial" w:cs="Arial" w:eastAsia="Arial" w:hAnsi="Arial"/>
          <w:sz w:val="16"/>
          <w:szCs w:val="16"/>
          <w:color w:val="auto"/>
        </w:rPr>
        <w:t xml:space="preserve"> operates on EV-DO Rev. A networks. The </w:t>
      </w:r>
      <w:r>
        <w:rPr>
          <w:rFonts w:ascii="Arial" w:cs="Arial" w:eastAsia="Arial" w:hAnsi="Arial"/>
          <w:sz w:val="16"/>
          <w:szCs w:val="16"/>
          <w:i w:val="1"/>
          <w:iCs w:val="1"/>
          <w:color w:val="auto"/>
        </w:rPr>
        <w:t>MC760</w:t>
      </w:r>
      <w:r>
        <w:rPr>
          <w:rFonts w:ascii="Arial" w:cs="Arial" w:eastAsia="Arial" w:hAnsi="Arial"/>
          <w:sz w:val="16"/>
          <w:szCs w:val="16"/>
          <w:color w:val="auto"/>
        </w:rPr>
        <w:t xml:space="preserve"> is capable of downloads at rates up to 3.1 Mbps and can upload files at rates of up to 1.8 Mbps.</w:t>
      </w:r>
    </w:p>
    <w:p>
      <w:pPr>
        <w:spacing w:after="0" w:line="25" w:lineRule="exact"/>
        <w:rPr>
          <w:rFonts w:ascii="Arial" w:cs="Arial" w:eastAsia="Arial" w:hAnsi="Arial"/>
          <w:sz w:val="16"/>
          <w:szCs w:val="16"/>
          <w:color w:val="auto"/>
        </w:rPr>
      </w:pPr>
    </w:p>
    <w:p>
      <w:pPr>
        <w:ind w:left="780" w:right="30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MC990D</w:t>
      </w:r>
      <w:r>
        <w:rPr>
          <w:rFonts w:ascii="Arial" w:cs="Arial" w:eastAsia="Arial" w:hAnsi="Arial"/>
          <w:sz w:val="18"/>
          <w:szCs w:val="18"/>
          <w:color w:val="auto"/>
        </w:rPr>
        <w:t xml:space="preserve"> is a 2-in-1 mobile broadband USB modem with microSDHC (high capacity) removable memory, optimized for Europe and North America, with download rates of up to 7.2 Mbps and upload speeds of up to 5.7 Mbps. The </w:t>
      </w:r>
      <w:r>
        <w:rPr>
          <w:rFonts w:ascii="Arial" w:cs="Arial" w:eastAsia="Arial" w:hAnsi="Arial"/>
          <w:sz w:val="18"/>
          <w:szCs w:val="18"/>
          <w:i w:val="1"/>
          <w:iCs w:val="1"/>
          <w:color w:val="auto"/>
        </w:rPr>
        <w:t>MC990D</w:t>
      </w:r>
      <w:r>
        <w:rPr>
          <w:rFonts w:ascii="Arial" w:cs="Arial" w:eastAsia="Arial" w:hAnsi="Arial"/>
          <w:sz w:val="18"/>
          <w:szCs w:val="18"/>
          <w:color w:val="auto"/>
        </w:rPr>
        <w:t xml:space="preserve"> operates on the HSDPA and EDGE networks.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MC996D</w:t>
      </w:r>
      <w:r>
        <w:rPr>
          <w:rFonts w:ascii="Arial" w:cs="Arial" w:eastAsia="Arial" w:hAnsi="Arial"/>
          <w:sz w:val="18"/>
          <w:szCs w:val="18"/>
          <w:color w:val="auto"/>
        </w:rPr>
        <w:t xml:space="preserve"> provides network access at both 900MHz and 2100MHz. Utilizing advanced receiver technologies, it is capable of downloads at rates up to 28.8 Mbps and can upload files at rates of up to 5.76 Mbps.</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MC998D</w:t>
      </w:r>
      <w:r>
        <w:rPr>
          <w:rFonts w:ascii="Arial" w:cs="Arial" w:eastAsia="Arial" w:hAnsi="Arial"/>
          <w:sz w:val="18"/>
          <w:szCs w:val="18"/>
          <w:color w:val="auto"/>
        </w:rPr>
        <w:t xml:space="preserve"> is a tri-band solution (850/1900/2100 MHz) and built around HSPA+. It is capable of downloading at rates up to 28.8 Mbps and uploading at rates of up to 5.76 Mbps.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Merlin Wireless PC Card and ExpressCard Modems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Merlin</w:t>
      </w:r>
      <w:r>
        <w:rPr>
          <w:rFonts w:ascii="Arial" w:cs="Arial" w:eastAsia="Arial" w:hAnsi="Arial"/>
          <w:sz w:val="18"/>
          <w:szCs w:val="18"/>
          <w:color w:val="auto"/>
        </w:rPr>
        <w:t xml:space="preserve"> Wireless PC Card and ExpressCard modems provide mobile subscribers with secure and convenient high-speed wireless access to data including corporate, public and personal information through the Internet and enterprise networks. Each of our </w:t>
      </w:r>
      <w:r>
        <w:rPr>
          <w:rFonts w:ascii="Arial" w:cs="Arial" w:eastAsia="Arial" w:hAnsi="Arial"/>
          <w:sz w:val="18"/>
          <w:szCs w:val="18"/>
          <w:i w:val="1"/>
          <w:iCs w:val="1"/>
          <w:color w:val="auto"/>
        </w:rPr>
        <w:t>Merlin</w:t>
      </w:r>
      <w:r>
        <w:rPr>
          <w:rFonts w:ascii="Arial" w:cs="Arial" w:eastAsia="Arial" w:hAnsi="Arial"/>
          <w:sz w:val="18"/>
          <w:szCs w:val="18"/>
          <w:color w:val="auto"/>
        </w:rPr>
        <w:t xml:space="preserve"> Wireless PC Card and ExpressCard modems connects to standard laptop PCs and other products employing PCMCIA or ExpressCard/34/54 interfaces, respectively. All of our modems utilize modem manager software and are compatible with a range of devices including laptop PCs, PDAs, as well as operating systems including Microsoft Windows 98, 2000, Millennium Edition, XP, Vista and Pocket PC. Our primary </w:t>
      </w:r>
      <w:r>
        <w:rPr>
          <w:rFonts w:ascii="Arial" w:cs="Arial" w:eastAsia="Arial" w:hAnsi="Arial"/>
          <w:sz w:val="18"/>
          <w:szCs w:val="18"/>
          <w:i w:val="1"/>
          <w:iCs w:val="1"/>
          <w:color w:val="auto"/>
        </w:rPr>
        <w:t>Merlin</w:t>
      </w:r>
      <w:r>
        <w:rPr>
          <w:rFonts w:ascii="Arial" w:cs="Arial" w:eastAsia="Arial" w:hAnsi="Arial"/>
          <w:sz w:val="18"/>
          <w:szCs w:val="18"/>
          <w:color w:val="auto"/>
        </w:rPr>
        <w:t xml:space="preserve"> Wireless PC Card and ExpressCard is the </w:t>
      </w:r>
      <w:r>
        <w:rPr>
          <w:rFonts w:ascii="Arial" w:cs="Arial" w:eastAsia="Arial" w:hAnsi="Arial"/>
          <w:sz w:val="18"/>
          <w:szCs w:val="18"/>
          <w:i w:val="1"/>
          <w:iCs w:val="1"/>
          <w:color w:val="auto"/>
        </w:rPr>
        <w:t>Merlin CC760,</w:t>
      </w:r>
      <w:r>
        <w:rPr>
          <w:rFonts w:ascii="Arial" w:cs="Arial" w:eastAsia="Arial" w:hAnsi="Arial"/>
          <w:sz w:val="18"/>
          <w:szCs w:val="18"/>
          <w:color w:val="auto"/>
        </w:rPr>
        <w:t xml:space="preserve"> which is a dual-band EVDO Rev. A wireless modem designed to be used in both ExpressCard/34 as well as PCMCIA card slots. The </w:t>
      </w:r>
      <w:r>
        <w:rPr>
          <w:rFonts w:ascii="Arial" w:cs="Arial" w:eastAsia="Arial" w:hAnsi="Arial"/>
          <w:sz w:val="18"/>
          <w:szCs w:val="18"/>
          <w:i w:val="1"/>
          <w:iCs w:val="1"/>
          <w:color w:val="auto"/>
        </w:rPr>
        <w:t>CC760</w:t>
      </w:r>
      <w:r>
        <w:rPr>
          <w:rFonts w:ascii="Arial" w:cs="Arial" w:eastAsia="Arial" w:hAnsi="Arial"/>
          <w:sz w:val="18"/>
          <w:szCs w:val="18"/>
          <w:color w:val="auto"/>
        </w:rPr>
        <w:t xml:space="preserve"> is capable of 3.1 Mbps downloads and 1.8 Mpbs uploads.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MobiLink Mobile Communications Suite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mobile communications software suite, which resides on the mobile subscriber’s computing device, is an object-oriented application that enables a user to gain quick and simple access to advanced connectivity features such as SMS, multimedia messaging and virtual private networking.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also offers video telephony and wireless local area networks, or WLAN management capabilities. The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graphical user interface and underlying functionality are designed to be modular, easily configurable and expandable in order to enable our customers to differentiate their product offerings.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is engineered to work with all our wireless modems.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Our end-customer base is comprised of wireless operators, distributors as well as OEMs and various companies in other vertical markets. Our current customer base includes wireless operators and other wireless market participants including Bell Mobility, Sprint PCS, Telefonica, Verizon Wireless, Virgin Mobile and Vodafone and OEM partners such as Dell. We also have strategic technology, development and marketing relationships with several of these customers.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780" w:right="300" w:hanging="326"/>
        <w:spacing w:after="0" w:line="25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62" w:lineRule="exact"/>
        <w:rPr>
          <w:rFonts w:ascii="Arial" w:cs="Arial" w:eastAsia="Arial" w:hAnsi="Arial"/>
          <w:sz w:val="18"/>
          <w:szCs w:val="18"/>
          <w:color w:val="auto"/>
        </w:rPr>
      </w:pPr>
    </w:p>
    <w:p>
      <w:pPr>
        <w:ind w:left="780" w:right="100" w:hanging="326"/>
        <w:spacing w:after="0" w:line="255"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OEMs</w:t>
      </w:r>
      <w:r>
        <w:rPr>
          <w:rFonts w:ascii="Arial" w:cs="Arial" w:eastAsia="Arial" w:hAnsi="Arial"/>
          <w:sz w:val="18"/>
          <w:szCs w:val="18"/>
          <w:color w:val="auto"/>
        </w:rPr>
        <w:t>. Our OEM customers integrate our products into devices that they manufacture and sell through their own direct sales forces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channels. Our products are capable of being integrated into a broad range of devices, including laptop PCs, e-book readers, M2M devices, and vehicle location devices. We seek to build strong relationships with our OEM partners by working closely with them and providing radio frequency, or RF, design consulting, performance optimization, software integration and customization and application engineering support during the integration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continue to develop and maintain strategic relationships with wireless and computing industry leaders like Alcatel-Lucent, Dell, QUALCOMM, Sprint PCS, Verizon Wireless, Virgin Mobile, Vodafone, Telefonica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as well as to OEM partners and distributors located worldwide. Most of our sales to wireless operators and OEM partners are sold directly by our sales force. To a lesser degree, we also use an indirect sales distribution model through the use of select distributors. A significant portion of our net revenues comes from a small number of customers. Our net revenues from sales to Verizon Wireless, Hon Hai and Sprint PCS represented approximately 38.1%, 20.5% and 10.7%, respectively, of our total net revenues for the year ended December 31, 2009.</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to our consolidated financial statements for a discussion of our revenue and asset concentrations by geographic location.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Our product development efforts are focused on developing innovative wireless broadband access solutions to address opportunities presented by next generation wireless networks and improving the functionality, design and performance of our products. Our research and development expenses for the years ended December 31, 2009, 2008 and 2007 were $44.9 million, $34.7 million and $37.6 million, respectively. The Company did not recover any costs from vendor-funded development contracts during the years ended December 31, 2009 and 2007. The Company recovered $1.7 million from vendor-funded development contracts during the year ended December 31, 2008.</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WAN technology, ease-of-use, performance, weight, cost and power consumption.</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780" w:hanging="326"/>
        <w:spacing w:after="0" w:line="306"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Advanced Radio Frequency and Hardware Design. </w:t>
      </w:r>
      <w:r>
        <w:rPr>
          <w:rFonts w:ascii="Arial" w:cs="Arial" w:eastAsia="Arial" w:hAnsi="Arial"/>
          <w:sz w:val="16"/>
          <w:szCs w:val="16"/>
          <w:color w:val="auto"/>
        </w:rPr>
        <w:t>Advanced Radio Frequency, or RF, design is the key technology that determines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devices. We have specialized in 800/900/1800/1900 and 2100 MHz designs for digital cellular, packet data and CDMA technology. Our expertise in RF and baseband technology contributes to the performance, cost advantages and small size of our products.</w:t>
      </w:r>
    </w:p>
    <w:p>
      <w:pPr>
        <w:spacing w:after="0" w:line="25" w:lineRule="exact"/>
        <w:rPr>
          <w:rFonts w:ascii="Arial" w:cs="Arial" w:eastAsia="Arial" w:hAnsi="Arial"/>
          <w:sz w:val="16"/>
          <w:szCs w:val="16"/>
          <w:color w:val="auto"/>
        </w:rPr>
      </w:pPr>
    </w:p>
    <w:p>
      <w:pPr>
        <w:ind w:left="780" w:right="22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Miniaturization and System Integration</w:t>
      </w:r>
      <w:r>
        <w:rPr>
          <w:rFonts w:ascii="Arial" w:cs="Arial" w:eastAsia="Arial" w:hAnsi="Arial"/>
          <w:sz w:val="18"/>
          <w:szCs w:val="18"/>
          <w:color w:val="auto"/>
        </w:rPr>
        <w:t>. Small systems integration is the integration of application specific integrated circuits, or ASICs, RF and</w:t>
      </w:r>
      <w:r>
        <w:rPr>
          <w:rFonts w:ascii="Arial" w:cs="Arial" w:eastAsia="Arial" w:hAnsi="Arial"/>
          <w:sz w:val="18"/>
          <w:szCs w:val="18"/>
          <w:i w:val="1"/>
          <w:iCs w:val="1"/>
          <w:color w:val="auto"/>
        </w:rPr>
        <w:t xml:space="preserve"> </w:t>
      </w:r>
      <w:r>
        <w:rPr>
          <w:rFonts w:ascii="Arial" w:cs="Arial" w:eastAsia="Arial" w:hAnsi="Arial"/>
          <w:sz w:val="18"/>
          <w:szCs w:val="18"/>
          <w:color w:val="auto"/>
        </w:rPr>
        <w:t>baseband integrated circuits and packaging technologies. We will continue to augment our miniaturization technology, working to further reduce the size and cost of current and future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306"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Firmware Development. </w:t>
      </w:r>
      <w:r>
        <w:rPr>
          <w:rFonts w:ascii="Arial" w:cs="Arial" w:eastAsia="Arial" w:hAnsi="Arial"/>
          <w:sz w:val="16"/>
          <w:szCs w:val="16"/>
          <w:color w:val="auto"/>
        </w:rPr>
        <w:t>We have specialized in integrating 3G (HSDPA/HSUPA and 1xEV-DO) protocol stacks and customizing the firmware to meet</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and regulatory requirements. We supply end-to-end WAN modem solutions to our customers including the modem hardware, the customized firmware that runs on the 3G processor and the modem manager application that controls the modem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agreements with LG Innotek Co., Ltd, or “LG Innotek”, a subsidiary of the LG Group, located in South Korea, and, with Inventec Appliances Corporations, or “IAC”, located in China,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(Europe) Limited, or Mobiltron, for distribution, fulfillment and repair services related to our business in Europe, Middle East, and Africa, or EMEA.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71"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believe that additional assembly line efficiencies are realized due to our product architecture and our commitment to process design. Direct materials for our products consist of custom tooled parts such as printed circuit boards, molded plastic components and fabricated metal components, as well as industry-standard components such as ASICs, RF power amplifiers, flash memory, transistors, integrated circuits, piezo-electric filters, duplexers, inductors, resistors and capacitors. Many of the components used in our products are similar to those used in cellular telephone handsets, helping to reduce our component costs through the use of standard parts.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operations organization manages our relationships with LG Innotek, IAC and Mobiltron as well as other key suppliers. Our operations team focuses on supply chain management, quality, cost optimization, customer order management and new product introduction.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wireless broadband access solutions rely on and benefit from our portfolio of intellectual property, including patents and trademarks. We currently own 34 United States patents, two of which are also registered in Canada. In addition, we currently have 60 patent applications pending. From time to time we also seek to have our patents registered in selected foreign jurisdictions. The patents that we currently own expire at various times between 2010 and 2016.</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licensed software and other intellectual property for use in our products from third-parties, such as QUALCOMM. In the case of QUALCOMM, these licenses allow us to manufacture CDMA, UMTS, HSPA and EV-DO-based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of our intellectual property that incorporates the technology licensed to us by QUALCOMM. This license allows QUALCOMM to make, use, sell or dispose of such products and the related components.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also hold a number of trademarks including Expedite, MiFi, MiFi Intelligent Mobile Hotspot, MobiLink, Ovation, Conversa, NovaSpeed, NovaCore and NovaDrive.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market for wireless broadband access solutions is rapidly evolving and highly competitive. It is likely to continue to be significantly affected by the evolution of new wireless technology standards, additional companies entering the market, new product introductions and the product pricing and other market activities of industry participants. 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 and leverage our strategic relationships.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wireless data modem providers, such as Huawei, ZTE, Option International, Sierra Wireless, Kyocera, Pantech, UTStarcom and Sony-Ericsson;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wireless chipset providers, such as QUALCOMM and Ericsson.</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believe that we have advantages over each of our primary competitors due in varying measure to the technical and engineering design of our products, the broad range of solutions that we offer, the ease-of-use of our products, our ability to adapt our products to specific customer needs and our competitive pricing. As the market for wireless broadband access solutions expands, other entrants may seek to compete with us either directly or indirectly.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2009, we had 352 employees, including 187 in research and development, 69 in sales and marketing, 50 in operations, and 46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 xml:space="preserve">We maintain an Internet website at </w:t>
      </w:r>
      <w:r>
        <w:rPr>
          <w:rFonts w:ascii="Arial" w:cs="Arial" w:eastAsia="Arial" w:hAnsi="Arial"/>
          <w:sz w:val="15"/>
          <w:szCs w:val="15"/>
          <w:i w:val="1"/>
          <w:iCs w:val="1"/>
          <w:u w:val="single" w:color="auto"/>
          <w:color w:val="auto"/>
        </w:rPr>
        <w:t>www.novatelwireless.com</w:t>
      </w:r>
      <w:r>
        <w:rPr>
          <w:rFonts w:ascii="Arial" w:cs="Arial" w:eastAsia="Arial" w:hAnsi="Arial"/>
          <w:sz w:val="15"/>
          <w:szCs w:val="15"/>
          <w:color w:val="auto"/>
        </w:rPr>
        <w:t>. The information contained on our website or that can be accessed through our website does not constitute a part of this report. We make available, free of charge through our Internet website, our annual reports on Form 10-K, quarterly reports on Form</w:t>
      </w:r>
    </w:p>
    <w:p>
      <w:pPr>
        <w:spacing w:after="0" w:line="255" w:lineRule="auto"/>
        <w:rPr>
          <w:sz w:val="20"/>
          <w:szCs w:val="20"/>
          <w:color w:val="auto"/>
        </w:rPr>
      </w:pPr>
      <w:r>
        <w:rPr>
          <w:rFonts w:ascii="Arial" w:cs="Arial" w:eastAsia="Arial" w:hAnsi="Arial"/>
          <w:sz w:val="18"/>
          <w:szCs w:val="18"/>
          <w:color w:val="auto"/>
        </w:rPr>
        <w:t>10-Q, current reports on Form 8-K, and amendments to those reports filed or furnished pursuant to Section 13(a) or 15(d) of the Securities Exchange Act of 1934, as amended, or the Exchange Act, as soon as reasonably practicable after we electronically file or furnish this information to the Securities and Exchange Commission, or SEC.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An investment in our common stock involves various risks. 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weakness in global economic conditions could have a material adverse effect on our results of operations and financial condition.</w:t>
      </w:r>
    </w:p>
    <w:p>
      <w:pPr>
        <w:spacing w:after="0" w:line="11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As a result of weak economic conditions globally, we have experienced lower demand for our products, which has adversely impacted our results of operations. The volatility and illiquidity of financial and credit markets and the resulting negative economic impact could continue, and it is possible that the conditions may be prolonged. If this occurs, demand for our products may continue to contract, which could have a material adverse effect on our results of operations and financial condition.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Additionally, there could be a number of related effects on our business resulting from these economic conditions, including the insolvency of one or more of our suppliers resulting in product launch or product delivery delays, customer insolvencies resulting in that customer’s inability to order products from us or pay for already delivered product, an inability on the part of our customers to obtain credit to finance purchases of our products and reduced demand by the ultimate end-users of our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continue to monitor market conditions, we cannot predict future market conditions or their impact on demand for our products.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wireless broadband data access products and services is rapidly evolving and highly competitive. We may be unable to compete effectively.</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market for wireless broadband data access products and services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competitors include:</w:t>
      </w:r>
    </w:p>
    <w:p>
      <w:pPr>
        <w:spacing w:after="0" w:line="5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wireless data modem providers, such as Huawei, ZTE, Option International, Sierra Wireless, Kyocera, Pantech, UTStarcom and Sony-Ericsson;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wireless chipset providers, such as QUALCOMM and Ericsson.</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performance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product margins and loss of our market share. Our failure to compete successfully could seriously harm our business, financial condition and results of operations.</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failure to predict carrier and end user customer preferences among the many evolving wireless industry standards could hurt our ability to introduce and sell new products.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these standards in relevant respects. We are currently focused on engineering and manufacturing products that comply with several different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that can be difficult, lengthy and costly. In addition, wireless operators require that wireless data systems deployed on their networks comply with their own technical and product performance standards, that may differ from the standards our products are required to meet for other operators. This increases the complexity of the product development and customer approval process. In addition, as we introduce new products or new versions of our existing products,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Further, as part of our business, we enter into contracts with some customers pursuant to which we develop products for later sale to that customer. Our ability to generate future revenue and operating income under any such contracts depends upon, among other factors, our ability to timely and profitably develop products that are suitable for manufacturing in a cost effective manner and that meet defined product design, technical and performance specifications. Our ability to maximize the benefits of these contracts is subject to the following risks:</w:t>
      </w:r>
    </w:p>
    <w:p>
      <w:pPr>
        <w:spacing w:after="0" w:line="62" w:lineRule="exact"/>
        <w:rPr>
          <w:sz w:val="20"/>
          <w:szCs w:val="20"/>
          <w:color w:val="auto"/>
        </w:rPr>
      </w:pPr>
    </w:p>
    <w:p>
      <w:pPr>
        <w:ind w:left="780" w:right="6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customer support and warranty costs. If these or other costs are actually higher than our estimated costs, our gross margins and operating margins on the corresponding products sold will be less than anticipated.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98"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are unable to commit the necessary engineering, program management and other resources or are otherwise unable to successfully develop products as required by the terms of these contracts, our customers might suspend or cancel the applicable program or terminate the related contracts, we may not be entitled to recover any costs that we incurred for research and development, sales and marketing, production and otherwise, and we may be subject to additional costs such as contractual penalties.</w:t>
      </w:r>
    </w:p>
    <w:p>
      <w:pPr>
        <w:spacing w:after="0" w:line="31" w:lineRule="exact"/>
        <w:rPr>
          <w:rFonts w:ascii="Arial" w:cs="Arial" w:eastAsia="Arial" w:hAnsi="Arial"/>
          <w:sz w:val="16"/>
          <w:szCs w:val="16"/>
          <w:color w:val="auto"/>
        </w:rPr>
      </w:pPr>
    </w:p>
    <w:p>
      <w:pPr>
        <w:ind w:left="780" w:right="20" w:hanging="326"/>
        <w:spacing w:after="0" w:line="298"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fail to deliver in a timely manner a product that is suitable for manufacture in a cost effective manner or if a customer determines that a prototype product we delivered does not meet the agreed-upon specifications including receiving wireless operator approval, we may be unable to commercially launch the product, we may have to reduce the price we charge for this product if it does launch, or we may be required to pay damages to the customer. These circumstances may also result in excess or obsolete inventory charges that may materially impact our financial results.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key element of our business strategy is to penetrate new markets by developing new products through strategic relationships with industry participants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Our business could be negatively affected by an adverse change in our dealings with these customers.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significant portion of our net revenues come from only a few customers. Our revenue could be materially adversely affected if we are unable to retain the level of business of any of our significant customers and if we are unable to offset this loss fully from alternative customers. We expect that a small number of customers will continue to account for a substantial portion of our revenue for the foreseeable future and any impairment of our relationship with, or the material financial impairment of, these customers could adversely affect our business.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a majority of our current customers purchase our products pursuant to contracts that do not require them to purchase any specific minimum quantity of units other than the number of units ordered on an individual purchase order that might be issued to us from time to time. These customers have no contractual obligation to continue to purchase our products and if they do not continue to make purchases consistent with their historical purchase levels, our net revenue would decline if we are unable to increase sales from other existing or new customers.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many of whom are already customers, it would be difficult to replace revenue resulting from the loss of any significant existing customer or from a material reduction in the volume of business we conduct with any significant existing customer. Consolidation among our customers may further concentrate our business to a more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5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Various risks arise if companies and industries quickly evolve. If our business or industry develops more quickly than our ability to respond, our ability to meet customer demand in a timely and efficient manner could be challenged. We may also experience development, certification or production delays as we seek to meet increased demand for our products or unanticipated product requirements. Our failure to properly manage the developments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currently outsource our manufacturing to LG Innotek and Inventec Appliances Corporation. If one of these third-party manufacturers were to experience delays, disruptions, capacity constraints or quality control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problems in its manufacturing operations, product shipments to our customers could be delayed or rejected by them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and that has been accepted.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if a third-party manufacturer were to negatively change the product pricing and other terms under which it agrees to manufacture for us and we are unable to locate a suitable alternative manufacturer, our manufacturing costs could significantly increase.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corresponding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and timing of delivery of units that a customer orders from us on the subsequently issued purchase order differs materially from the number of units in respect of which we contractually ordered our manufacturer to procure component parts,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been in the past and may in the future be materially adversely affected by our ability to manage our current or finished goods inventory levels and respond to short-term or unexpected shifts in customer demand as to quantities or our customer’s product delivery schedule.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sole source suppliers for some components used in our products. The availability and sale of those finished products would be harmed if any of these suppliers is not able to meet our demand and production schedule and alternative suitable components are not available on acceptable terms, if at all.</w:t>
      </w:r>
    </w:p>
    <w:p>
      <w:pPr>
        <w:ind w:firstLine="456"/>
        <w:spacing w:after="0" w:line="289" w:lineRule="auto"/>
        <w:rPr>
          <w:sz w:val="20"/>
          <w:szCs w:val="20"/>
          <w:color w:val="auto"/>
        </w:rPr>
      </w:pPr>
      <w:r>
        <w:rPr>
          <w:rFonts w:ascii="Arial" w:cs="Arial" w:eastAsia="Arial" w:hAnsi="Arial"/>
          <w:sz w:val="16"/>
          <w:szCs w:val="16"/>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or their availability has been subsequently interrupted for reasons outside our control. If there is a shortage or interruption in the availability to us of any such components, and we cannot timely obtain a commercially and technologically suitable substitute or make sufficient and timely design or other product modifications to permit the use of such a substitute component,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the original cost of the component in our costed bill of materials, then our results of operations would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party to litigation that could be costly to defend and distracting to management.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the date of this report, a class action lawsuit has been filed on behalf of persons who allegedly purchased our common stock between February 27, 2007 and November 10, 2008. The lawsuit names the Company and certain of our current and former officers as defendants. The complaint alleges generally that we issued materially false and misleading statements during the relevant time period regarding the strength of our products and market share, our financial results and internal controls.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Also as of the date of this report, we have been named as a nominal defendant in a purported shareholder derivative lawsuit filed in California state court. The complaint also names as defendants certain of our current and former officers and directors. The complaint alleges claims for breach of fiduciary duties, unjust enrichment and gross mismanagement.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194"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Third parties have in the past and may claim in the future that we, or our customers or suppliers, have violated their intellectual property rights. Defending an infringement or misappropriation claim, for example, regardless of the merits or success of the claim, could result in our incurring substantial legal and other costs. These claims could also divert our engineering and other human resources and management attention and cause harm to our reputation. These claims can be difficult and costly to assess and defend. A successful infringement claim related to our products could result in, among other things, our becoming liable for damages and litigation costs or unexpected and costly engineering changes to affected products.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have to modify our product design, if possible, so it does not infringe,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2009, six putative patent infringement claims were filed by various plaintiffs against us and/or numerous third parties, some of whom are our customers. These cases generally allege that the defendants’ use, sale and importation of specified products and/or processes constitutes infringement of certain U.S. patents allegedly owned by each plaintiff. Under certain circumstances, we may have an obligation to indemnify and/or defend our customers against these lawsuits.</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which we may not be able to do on commercially competitive terms, if at all.</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There can be no assurance 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addition to our manufacturing activities in Asia, a significant portion of our research and development staff is located in Canada and significant portion of our sales activity has taken place in Europe. These international business activities expose the Company to additional business risks, including:</w:t>
      </w:r>
    </w:p>
    <w:p>
      <w:pPr>
        <w:spacing w:after="0" w:line="4"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managing sales, research and development operations and post-sales logistics and support across these continents;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processes, standards and expectations;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or damage to products in transit;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 and</w:t>
      </w:r>
    </w:p>
    <w:p>
      <w:pPr>
        <w:spacing w:after="0" w:line="90"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court ordered injunctions in a given jurisdiction in connection with alleged intellectual property rights infringement by our products or components contained with our products which might prohibit the importation, sale or offer for sale of our products in the jurisdiction subject to such injunction.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international business activities expose the Company to fluctuations in exchange rates between the United States dollar and foreign currencies which may materially affect our operating results.</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portion of our revenues are generated from sales agreements denominated in foreign currencies, and we expect to enter into additional such agreements as we expand our international customer base. Additionally, a significant portion of our research and development staff is located in Canada and paid in Canadian dollars. As a result, we are exposed to changes in foreign currency exchange rates. We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products, including our proprietary or third party software contained in 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products are technologically complex and must meet stringent industry, regulatory and customer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at the time commercial shipments have begun, which could result in the rejection of our products, the loss of an existing or potential customer or the failure to obtain one, damage to our reputation, lost revenue, diverted development resources, increased customer service and support costs, unanticipated warranty claims, and the payment of monetary damages to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780" w:right="40" w:hanging="326"/>
        <w:spacing w:after="0" w:line="25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5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Lengthy sales cycle. </w:t>
      </w:r>
      <w:r>
        <w:rPr>
          <w:rFonts w:ascii="Arial" w:cs="Arial" w:eastAsia="Arial" w:hAnsi="Arial"/>
          <w:sz w:val="18"/>
          <w:szCs w:val="18"/>
          <w:color w:val="auto"/>
        </w:rPr>
        <w:t>The length of time between the date of initial contact with a potential customer and the execution of and product delivery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63"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In particular, fluctuations in the Euro currency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significant impact on our future operating results and gross margins. Our attempts to minimize the effects of volatility in foreign currencies on cash flows may not be successful.</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in the future, currently only Peter Leparulo, the Company’s Chairman and CEO, is a party to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As part of our business strategy, we review and intend to continue to review, acquisition opportunities that we believe would be advantageous or complementary to the development of our business. Accordingly,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Acquisitions also entail numerous other risks, including: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or circumvention of our controls and procedures could seriously harm our business.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system of control and procedures, however well designed and operated, is based in part on certain assumptions and can provide only reasonable, and not absolute, assurances that the objectives of the controls and procedures are met. The failure or circumvention of our controls, policies and procedures could have a material adverse effect on our business, results of operations and financial position.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principal executive offices are located in San Diego, California where we lease approximately 63,000 square feet under an arrangement that expires in December 2010. In Calgary, Canada, we lease approximately 24,000 square feet for certain aspects of our research and development organization under a lease that expires in September 2012. In Basingstoke, United Kingdom, we lease approximately 4,000 square feet for our European staff under a lease agreement that expires in December 2011. In Shanghai, China, we lease approximately 600 square meters for our Chinese staff under a lease agreement that expires in June 2010. We also lease space in 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Backe v. Novatel Wireless, Inc., et al. , Case No. 08-CV-01689-H</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January 2010, the lead plaintiffs filed a motion for class certification, which is scheduled to be heard in April 2010. Discovery in this case is ongoing. The Company intends to defend this litigation vigorously.</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The plaintiffs are seeking equitable and/or injunctive relief, restitution from the defendants, attorneys’ fees and costs, and other relief.</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January 9, 2009, DNT, LLC filed a putative patent infringement lawsuit in the United Sates District Court for the Eastern District of Virginia against several wireless carriers, including two of the Company’s customers, Sprint Nextel Corporation and Verizon Wireless, Inc., as defendants. The complaint alleged, among other things, that the defendants’ use, sale and importation of specified wireless modem cards for computers designed to be used in conjunction with the defendants’ cellular networks constituted direct infringement of U.S. Patent No. RE 37,660 which the plaintiff allegedly owned. The Company elected to intervene in this action as a defendant. On December 14, 2009, the jury returned a verdict in favor of all the defendants, finding that none of the named products infringed upon the asserted patent.</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Reserved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6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Data</w:t>
      </w:r>
    </w:p>
    <w:p>
      <w:pPr>
        <w:spacing w:after="0" w:line="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Shares of our common stock are quoted and traded on The Nasdaq Global Select Market under the symbol “NVTL.” The following table sets forth, for the periods indicated, the high and low sales prices per share of our common stock as reported by The Nasdaq Global Select Market.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High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 xml:space="preserve">Low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16.80</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11.15</w:t>
            </w: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349"/>
        </w:trPr>
        <w:tc>
          <w:tcPr>
            <w:tcW w:w="902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11.68</w:t>
            </w:r>
          </w:p>
        </w:tc>
        <w:tc>
          <w:tcPr>
            <w:tcW w:w="4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12.36</w:t>
            </w: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outstanding capital stock consists of a single class of common stock. As of March 12, 2010 there were approximately 53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2004 and December 31, 2009 with the cumulative total return of (i) the Nasdaq Stock Market (U.S.) Index (“Nasdaq Composite Index”) and (ii) the Nasdaq Telecommunications Index (the “Nasdaq Telecom Index”), over the same period. This graph assumes the investment of $100.00 on December 31, 2004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97155</wp:posOffset>
            </wp:positionV>
            <wp:extent cx="4768215" cy="3404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821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0"/>
              </w:rPr>
              <w:t>Cumulative Total Return</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12/04</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12/05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12/06</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12/07</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12/08</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12/09</w:t>
            </w:r>
          </w:p>
        </w:tc>
        <w:tc>
          <w:tcPr>
            <w:tcW w:w="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Novatel Wireless, Inc.</w:t>
            </w:r>
          </w:p>
        </w:tc>
        <w:tc>
          <w:tcPr>
            <w:tcW w:w="394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NASDAQ Composite Index</w:t>
            </w:r>
          </w:p>
        </w:tc>
        <w:tc>
          <w:tcPr>
            <w:tcW w:w="3940" w:type="dxa"/>
            <w:vAlign w:val="bottom"/>
            <w:gridSpan w:val="3"/>
          </w:tcPr>
          <w:p>
            <w:pPr>
              <w:ind w:left="3340"/>
              <w:spacing w:after="0"/>
              <w:rPr>
                <w:sz w:val="20"/>
                <w:szCs w:val="20"/>
                <w:color w:val="auto"/>
              </w:rPr>
            </w:pPr>
            <w:r>
              <w:rPr>
                <w:rFonts w:ascii="Arial" w:cs="Arial" w:eastAsia="Arial" w:hAnsi="Arial"/>
                <w:sz w:val="18"/>
                <w:szCs w:val="18"/>
                <w:color w:val="auto"/>
              </w:rPr>
              <w:t>100.00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101.33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114.01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123.71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73.11</w:t>
            </w:r>
          </w:p>
        </w:tc>
        <w:tc>
          <w:tcPr>
            <w:tcW w:w="680" w:type="dxa"/>
            <w:vAlign w:val="bottom"/>
          </w:tcPr>
          <w:p>
            <w:pPr>
              <w:jc w:val="right"/>
              <w:spacing w:after="0"/>
              <w:rPr>
                <w:sz w:val="20"/>
                <w:szCs w:val="20"/>
                <w:color w:val="auto"/>
              </w:rPr>
            </w:pPr>
            <w:r>
              <w:rPr>
                <w:rFonts w:ascii="Arial" w:cs="Arial" w:eastAsia="Arial" w:hAnsi="Arial"/>
                <w:sz w:val="18"/>
                <w:szCs w:val="18"/>
                <w:color w:val="auto"/>
              </w:rPr>
              <w:t>105.61</w:t>
            </w:r>
          </w:p>
        </w:tc>
        <w:tc>
          <w:tcPr>
            <w:tcW w:w="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NASDAQ Telecom Index</w:t>
            </w:r>
          </w:p>
        </w:tc>
        <w:tc>
          <w:tcPr>
            <w:tcW w:w="394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w:t>
            </w:r>
          </w:p>
        </w:tc>
        <w:tc>
          <w:tcPr>
            <w:tcW w:w="20" w:type="dxa"/>
            <w:vAlign w:val="bottom"/>
          </w:tcPr>
          <w:p>
            <w:pPr>
              <w:spacing w:after="0"/>
              <w:rPr>
                <w:sz w:val="18"/>
                <w:szCs w:val="18"/>
                <w:color w:val="auto"/>
              </w:rPr>
            </w:pPr>
          </w:p>
        </w:tc>
      </w:tr>
      <w:tr>
        <w:trPr>
          <w:trHeight w:val="363"/>
        </w:trPr>
        <w:tc>
          <w:tcPr>
            <w:tcW w:w="3800" w:type="dxa"/>
            <w:vAlign w:val="bottom"/>
          </w:tcPr>
          <w:p>
            <w:pPr>
              <w:spacing w:after="0"/>
              <w:rPr>
                <w:sz w:val="24"/>
                <w:szCs w:val="24"/>
                <w:color w:val="auto"/>
              </w:rPr>
            </w:pPr>
          </w:p>
        </w:tc>
        <w:tc>
          <w:tcPr>
            <w:tcW w:w="3160" w:type="dxa"/>
            <w:vAlign w:val="bottom"/>
          </w:tcPr>
          <w:p>
            <w:pPr>
              <w:jc w:val="right"/>
              <w:ind w:right="1072"/>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2009, 2008, and 2007, and the consolidated balance sheet data at December 31, 2009 and 2008 are derived from our consolidated financial statements included elsewhere in this report. The selected consolidated statements of operations data for the years ended December 31, 2006 and 2005 and consolidated balance sheet data at December 31, 2007, 2006 and 2005 are derived from audited consolidated financial statements not included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71"/>
              </w:rPr>
              <w:t>thousands,</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gridSpan w:val="2"/>
            <w:vMerge w:val="continue"/>
          </w:tcPr>
          <w:p>
            <w:pPr>
              <w:spacing w:after="0"/>
              <w:rPr>
                <w:sz w:val="12"/>
                <w:szCs w:val="12"/>
                <w:color w:val="auto"/>
              </w:rPr>
            </w:pPr>
          </w:p>
        </w:tc>
        <w:tc>
          <w:tcPr>
            <w:tcW w:w="222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w w:val="95"/>
              </w:rPr>
              <w:t>except per share data)</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revenues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337,422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320,973</w:t>
            </w:r>
          </w:p>
        </w:tc>
        <w:tc>
          <w:tcPr>
            <w:tcW w:w="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$ 429,903</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217,972</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249,764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252,231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299,062</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162,749</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87,658</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68,742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130,841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55,223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44,892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34,740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31,317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18,899</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84,908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61,791</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(5,743)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53,447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(2,190)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59,518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12,522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38,762</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31,224</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32,007</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30,058</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176,044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143,231</w:t>
            </w:r>
          </w:p>
        </w:tc>
        <w:tc>
          <w:tcPr>
            <w:tcW w:w="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$ 153,012</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84,162</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149,468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173,153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200,691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109,677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282,507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260,731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296,629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191,645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176,064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211,155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197,962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217,745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134,236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liabilities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20,656</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18,916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do so in connection with our obligation to file reports with the SEC.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current products principally includes third generation, or 3G, intelligent mobile hotspots, communications and applications software, USB modems, embedded PCI express mini card modems and wireless PC card and ExpressCard modems. We plan to introduce fourth generation, or 4G, products. Through the integration of our hardware and software, our products are designed to operate on a majority of the world’s wireless networks and provide mobile subscribers with secure and convenient high speed access to corporate, public and personal information through the Internet and enterprise networks.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continuing economic uncertainties and the resulting slowdown in certain regional economies are causing, and we expect may continue to cause, contraction in demand for our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Europe, North America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competition from other wireless data modem suppliers as well as suppliers of emerging devices that contain a wireless data access feature;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3G and 4G products. We continue to develop and maintain strategic relationships with wireless and computing industry leaders like Alcatel-Lucent, Dell, QUALCOMM, Sprint PCS, Verizon Wireless, Telefonica, Virgin Mobile, Vodafone and major software vendors.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revenues. Cost of revenues also includes warranty costs, amortization of intangible licenses,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increased research and development expenses. We have in the past and expect to continue to incur these expenses in future periods prior to recognizing net revenues from sales of these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statements of operations expressed as a percentage of net revenues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(as a percent of net revenues)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17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Cost of revenues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7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1"/>
        </w:trPr>
        <w:tc>
          <w:tcPr>
            <w:tcW w:w="852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(0.7)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(0.4)%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$337.4 million during 2009, an increase of $16.4 million or 5.1% compared to 2008. Net revenues for EV-DO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driven technology amounted to $291.1 million in 2009, an increase of $106.6 million or 57.8% compared to 2008. We benefited from strong sales of our MiFi product primarily during the second half of 2009 that contributed significantly to the increase in EV-DO net revenues. In addition, EV-DO net revenues were positively impacted by embedded module sales during the first half of 2009 primarily driven by sales to a content delivery device customer. However, sales of embedded modules significantly decreased to laptop manufacturers year over year due to the impact of competing product available to OEMs during 2009. EV-DO products are primarily sold in the North American market and represented approximately 86.3% of net revenues in the year ended December 31, 2009 compared to 57.5% in the same period in 2008.</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Net revenues for High Speed Packet Access (“HSPA”) product driven technology amounted to $44.4 million in 2009, a decline of $91.2 million or 67.2% compared to 2008. The decrease in sales of HSPA products was primarily due to intense competitive pressure resulting in a steep decline in demand for our products in Europe. HSPA products represented approximately 13.1% of net revenues in the year ended December 31, 2009 compared to 42.2% in the same period in 2008. We expect similar levels of competitive pressure in the HSPA markets for the foreseeable future. However, we expect the recent quarterly trend of sales declines to be modestly offset in 2010 by increased revenues from MiFi product sales in Europe as more wireless operators are expected to launch the product in 2010.</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for the year ended December 31, 2009 was $249.8 million, or 74.0% of net revenues, as compared to $252.2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78.6% of net revenues in 2008. The primary driver of the decrease in cost of revenues in 2009 as a percentage of net revenues as compared to 2008 was a more favorable sales mix toward products with higher gross margins. Cost of revenues as a percentage of net revenues is expected to fluctuate in future quarters depending on the mix of products sold, competitive pricing, new product introduction costs and other factors.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Additionally, cost of revenues in 2008 was negatively impacted by inventory write downs to the lower of cost or market in 2008 as compared to 2009. Cost of revenues in 2009 included $2.3 million of inventory write down to the lower of cost or market, which represents a decrease of $5.9 million of write downs recorded in 2008. The higher inventory write down in 2008 resulted primarily from the effects of lower average sales prices and demand for our HSPA products due to competitive pressures and the slowdown of the global economies. 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14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2009 was $87.7 million, or 26.0% of net revenues, as compared to $68.7 million, or 21.4%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in 2008. The increase was primarily attributable to the changes in product mix of net revenues and cost of revenues as discussed above.</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year ended December 31, 2009 were $44.9 million, or 13.3%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$34.7 million, or 10.8% of net revenues in 2008. This increase was primarily due to an increase in headcount, higher stock-based compensation expenses, an increase in product testing and certification fees and an increase in equipment costs in the current year to support expanded research and development activities. We continue to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expenses as a percentage of revenue are expected to fluctuate in future quarters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for the year ended December 31, 2009 were $19.9 million, or 5.9% of net revenues,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$18.2 million or 5.7% of net revenues in 2008. This increase was due primarily to an increase in cooperative marketing and advertising funds to support the launch of new products including MiFi. Although total sales and marketing expenses increased 9.1% during 2009, it remained relatively flat as a percentage of net revenues during 2009. While managing sales and marketing expenses relative to revenue, we expect to continue to make selected investments in sales and marketing as we introduce new products, market existing products, expand our distribution channels and focus on key customers around the world.</w:t>
      </w:r>
    </w:p>
    <w:p>
      <w:pPr>
        <w:spacing w:after="0" w:line="10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2009 were $20.2 million, or 6.0%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$21.6 million, or 6.7% of net revenues in 2008. The decrease in expenses was primarily due to lower bad debt expense and lower professional fees. Professional fees were significantly impacted during 2009 by approximately $2.1 million in legal fees related to our ongoing class action securities litigation and our intellectual property device indemnification obligations as further discussed in Note 8 to our consolidated financial statements included elsewhere in this report. During 2008, we incurred $4.0 million in professional fees and related expenses as a result of our internal review of revenue cut-off procedures, internal controls, and accounting related to certain customer contracts.</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While we are closely monitoring and controlling general and administrative costs, we expect these costs will continue to include significant legal fees to defend claims described in Note 8 to our consolidated financial statements included elsewhere in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income (expense). </w:t>
      </w:r>
      <w:r>
        <w:rPr>
          <w:rFonts w:ascii="Arial" w:cs="Arial" w:eastAsia="Arial" w:hAnsi="Arial"/>
          <w:sz w:val="16"/>
          <w:szCs w:val="16"/>
          <w:color w:val="auto"/>
        </w:rPr>
        <w:t>Interest income, net decreased by approximately $2.9 million for the year ended December 31, 2009 compared to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Although our average cash and marketable securities balance has increased period over period, average yields have decreased.</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for the year ended December 31, 2009 increased by approximately $1.0 million, to $315,000 of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$729,000 of expense in 2008. This increase was primarily due to the year-over-year strengthening of the Euro and the related foreign exchange impact on our respective Euro denominated accounts receivable and cash balances. Also, our gross exposure to Euro based financial balances decreased year over year due to decreased Euro based sales.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approximately $527,000 for fiscal 2009, which represents an annual effective tax rate of 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 between the federal and state statutory combined rate of 36% and our effective tax rate for 2009 is primarily due to the recognition of an approximately $1.4 million benefit in 2009 related to a derecognition of our uncertain tax liability, a benefit of $3.0 million from the impact of research and development tax credits, a $1.1 million tax expense impact of accounting for share based compensation and a $1.2 million increase in our valuation allowance for our deferred tax assets.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the third quarter of 2009, we reduced our uncertain tax liability by approximately $3.1 million, including a related interest accrual of approximately $240,000, due to the expiration of the statute of limitations applicable to the 2005 taxable year and the completion of the examination of our 2006 federal tax return. Approximately $1.4 million of this amount benefited the 2009 tax provision as a discrete item.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recognize a tax benefit upon expensing certain share-based awards granted under equity incentive compensation plans, including nonqualified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options and restricted stock units, but cannot recognize a tax benefit currently for those share-based compensation expenses associated with incentive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options and employee stock purchase plan shares (qualified stock options). For qualified stock options that vested after our adoption of the accounting guidance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Statement of Financial Accounting Standard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No. 123(R)”, which was superseded and subsumed by ASC Topic 718),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recognize a tax benefit in the period when disqualifying dispositions of the underlying stock occur, and for qualified stock options that vested prior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adoption this guidance, the tax benefit is recorded directly to additional paid-in capital. During 2009, we recorded an additional tax expense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 million associated with share-based compensation. The impact of share-based compensation permanent items resulted in an increase of 26 percentage points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our annual effective tax rate. Because we cannot recognize the tax benefit for share-based compensation expense associated with qualified stock options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future disqualifying dispositions of the underlying stock and because a portion of that tax benefit may be recorded directly to additional paid-in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our future quarterly and annual effective tax rates will be subject to greater volatility and, consequently, our ability to reasonably estimate our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quarterly and annual effective tax rates is diminished.</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Additionally, income tax expense was negatively impacted by activity related to our valuation allowance in 2009. During 2009, management evaluated our deferred tax valuation allowance and determined that valuation allowance should be increased by approximately $1.2 million based on uncertainty associated with our ability to utilize increased deferred tax assets. This determination was based on available positive and negative evidence, including scheduled reversals of deferred tax liabilities, projected future taxable income and recent financial operations. This determination required significant judgment about the forecasts of future taxable income and is consistent with the plans and estimates we are using to manage the underlying business. The tax benefit for the year ended December 31, 2009 was $624,000, excluding the valuation allowance adjustment.</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year ended December 31, 2009, we reported net income of $3.9 million, as compared to net loss of approximately $1.2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2008. Although operating expenses increased during 2009 compared to the same period last year, net income was favorably impacted by the increases in net revenues and gross margin percentage as discussed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year ended December 31, 2008 decreased $108.9 million, or 25.3%, to $321.0 million compared to $429.9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The decrease in net revenues was primarily attributable to decreases in sales for our EV-DO products partially offset by an increase in our HSPA products. The decrease in EV-DO product sales for the year ended December 31, 2008 compared to 2007 was approximately $126.6 million, primarily due to lower unit shipments of our Merlin Express and PC Cards, and Ovation USB Modems and the effects of a lower average sales prices for such products due to competitive pricing pressures and the slowdown of global economies. Our HSPA product sales increased by approximately $17.7 million during 2008 compared to 2007, primarily as a result of the increase in unit shipments of our Ovation USB Modems and Expedite Embedded Modules. Overall, EV-DO net revenues, which consist primarily of North American products, represented approximately 58% of net revenues in 2008 compared to 73% in 2007 while HSDPA/HSUPA products represented approximately 42% of net revenues in 2008 compared to 27% in 2007.</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for the year ended December 31, 2008 was $252.2 million, or 78.6% of net revenues, as compared to $299.1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69.6% of revenues in 2007. The increase in cost of revenues as a percentage of revenues in 2008 was primarily related to the rate of decrease in the average per unit selling prices for products exceeding the rate of decrease in the average per unit cost of revenues and other market driven factors. Cost of revenues included $8.2 million of inventory write down to the lower of cost or market due to the effects of lower than expected demand for certain products, the effects of the falling valuation of the Euro, and poor macro economic conditions. In addition, we recorded impairment charges of approximately $830,000 related to technology licenses, production fixtures, and tooling equipment. As more fully discussed in Note 3 to the consolidated financial statements, management performed an impairment analysis of the assets in accordance with the relevant accounting guidance contained in ASC 360, and concluded that certain assets were not fully recoverable and an impairment loss was recognized in the year ended December 31, 2008.</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Cost of revenues for the year ended December 31, 2008 included a $2.3 million benefit due to a change in our assessment of contingent liability related to intellectual property claims. We do not believe that it is probable that we will incur a loss relating to these intellectual property claims.</w:t>
      </w:r>
    </w:p>
    <w:p>
      <w:pPr>
        <w:spacing w:after="0" w:line="85"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Cost of revenues for the year ended December 31, 2008 included share-based compensation expense of approximately $600,000, compared to approximately $700,000 in 2007.</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2008 was $68.7 million, or 21.4% of revenues, as compared to $130.8 million, or 30.4%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in 2007. The decrease was primarily attributable to the changes in revenues and cost of revenues as discussed above.</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year ended December 31, 2008 were $34.7 million, or 10.8%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$37.6 million, or 8.7% of revenues in 2007. This decrease in expenses reflected a decrease of $3.6 million in consulting and outside service fees and the favorable impact of development cost reimbursements from a vendor totaling $1.7 million. This decline was partially offset by a $1.4 million increase in payroll related expenditures for ongoing research and development activities. Research and development expenses in 2008 included share-based compensation of approximately $2.1 million, compared to approximately $2.5 million in 2007.</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2008 were $18.2 million, or 5.7% of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$20.9 million, or 4.9% of revenues in 2007. The reduction in expense was primarily attributable to a decrease of approximately $1.0 million in marketing expenses. Sales and marketing expenses in 2008 included share-based compensation of approximately $1.0 million, compared to approximately $1.9 million in 2007.</w:t>
      </w:r>
    </w:p>
    <w:p>
      <w:pPr>
        <w:spacing w:after="0" w:line="14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2008 were $21.6 million, or 6.7%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$18.9 million, or 4.4% of revenues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2007. During the year, we incurred approximately $4.0 million in professional fees and expenses related to an internal review of our revenue cut-off procedures, internal controls and accounting related to certain customer contracts. General and administrative expenses in 2008 included share-based compensation of $2.6 million, compared to $4.7 million in 2007.</w:t>
      </w:r>
    </w:p>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(expense). </w:t>
      </w:r>
      <w:r>
        <w:rPr>
          <w:rFonts w:ascii="Arial" w:cs="Arial" w:eastAsia="Arial" w:hAnsi="Arial"/>
          <w:sz w:val="18"/>
          <w:szCs w:val="18"/>
          <w:color w:val="auto"/>
        </w:rPr>
        <w:t>Interest income, net decreased by approximately $1.3 million for the year ended December 31, 2008 compared to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decrease in the average yields realized on our marketable securities and cash balances during the year, which resulted in lower income as compared to 2007.</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for the year ended December 31, 2008 decreased by approximately $1.2 million, to $729,000 of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$479,000 of income in 2007. This decrease was primarily due to the foreign exchange losses on our Euro denominated accounts receivable and cash balances.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We recorded an income tax benefit of approximately $947,000 for the year ended December 31, 2008, which represents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benefit rate of 43%. The difference between the federal and state statutory combined rate of 36% and our effective tax rate for 2008 is primarily due to the impact of domestic and foreign tax credits for research and development expenses and the impact of accounting for share-based compensation, for which certain share-based awards are treated as permanent differences.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2008, management evaluated our deferred tax valuation allowance and determined that the valuation allowance related to our U.S. deferred tax assets should not be significantly revised. Approximately $1.4 million of deferred tax valuation allowance relating to our Canadian subsidiary was established based on the uncertainty associated with the Canadian subsidiary’s ability to utilize the increased deferred tax assets. This determination was based on available positive and negative evidence, including scheduled reversals of deferred tax liabilities, projected future taxable income and recent financial operations. This determination required significant judgment about the forecasts of future taxable income and is consistent with the plans and estimates we are using to manage the underlying business. The tax benefit for the year ended December 31, 2008 was $2.3 million excluding the valuation allowance adjustment. The tax expense for the year ended December 31, 2007 was $21.6 million excluding the valuation allowance adjustment in 2007.</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2008, we recorded a tax benefit of approximately $1.1 million associated with share-based compensation. The impact of share-based compensation permanent items resulted in a decrease of 38.5 percentage points in our annual effective tax benefit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For the year ended December 31, 2008, we reported a net loss of $1.2 million, as compared to net income of approximately $38.8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2007. The decrease in net income was due to a decrease in revenue and our overall profitability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 We do not currently have a revolving credit facility or similar loan agreement.</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September 2009, we filed a shelf registration statement with the Securities and Exchange Commission (“SEC”) that will allow us to sell up to $125 million of equity, debt or other securities described in the registration statement in one or more offerings by us from time to time. As set forth in the shelf registration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gridSpan w:val="7"/>
          </w:tcPr>
          <w:p>
            <w:pPr>
              <w:jc w:val="center"/>
              <w:ind w:left="46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Increase /</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$ 149,468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173,153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(23,685)</w:t>
            </w: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(1)</w:t>
            </w:r>
          </w:p>
        </w:tc>
        <w:tc>
          <w:tcPr>
            <w:tcW w:w="2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gridSpan w:val="3"/>
            <w:vMerge w:val="continue"/>
          </w:tcPr>
          <w:p>
            <w:pPr>
              <w:spacing w:after="0"/>
              <w:rPr>
                <w:sz w:val="18"/>
                <w:szCs w:val="18"/>
                <w:color w:val="auto"/>
              </w:rPr>
            </w:pPr>
          </w:p>
        </w:tc>
        <w:tc>
          <w:tcPr>
            <w:tcW w:w="3120" w:type="dxa"/>
            <w:vAlign w:val="bottom"/>
            <w:gridSpan w:val="3"/>
          </w:tcPr>
          <w:p>
            <w:pPr>
              <w:jc w:val="right"/>
              <w:ind w:right="80"/>
              <w:spacing w:after="0"/>
              <w:rPr>
                <w:sz w:val="20"/>
                <w:szCs w:val="20"/>
                <w:color w:val="auto"/>
              </w:rPr>
            </w:pPr>
            <w:r>
              <w:rPr>
                <w:rFonts w:ascii="Arial" w:cs="Arial" w:eastAsia="Arial" w:hAnsi="Arial"/>
                <w:sz w:val="18"/>
                <w:szCs w:val="18"/>
                <w:color w:val="auto"/>
              </w:rPr>
              <w:t>$ 100,025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77,733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22,292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(1)</w:t>
            </w:r>
          </w:p>
        </w:tc>
        <w:tc>
          <w:tcPr>
            <w:tcW w:w="3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27,664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(30,872)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41,393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$ 176,044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143,231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32,813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Included in working capital.</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2009, our working capital decreased $23.7 million over the prior year primarily due to our purchase of long-term marketable securities during 2009.</w:t>
      </w:r>
    </w:p>
    <w:p>
      <w:pPr>
        <w:spacing w:after="0" w:line="132"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 xml:space="preserve">As of December 31, 2009, our marketable securities increased $10.5 million primarily due to the investment of a portion of our net cash provided by operations. See the discussion of cash equivalents, short and long-term marketable securities by major security type in Note 2 in the consolidated financial statements, and discussion of market risk that follows in Item 7A. </w:t>
      </w:r>
      <w:r>
        <w:rPr>
          <w:rFonts w:ascii="Arial" w:cs="Arial" w:eastAsia="Arial" w:hAnsi="Arial"/>
          <w:sz w:val="16"/>
          <w:szCs w:val="16"/>
          <w:i w:val="1"/>
          <w:iCs w:val="1"/>
          <w:color w:val="auto"/>
        </w:rPr>
        <w:t>Quantitative and Qualitative Disclosures About Market Risk.</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Cash and cash equivalents increased $22.3 million from $77.7 million at December 31, 2008 to $100.0 million at December 31, 2009 as a result of increases in cash provided by operating activities during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25,800</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(17,404)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(6,987)</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(24,581)</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(6,867)</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100,025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77,733</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increased by $10.9 million to $36.7 million for 2009 compared to $25.8 million for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2009, the $10.9 million increase in net cash provided by operations was primarily attributable to increased sales of our products and improved margins, along with the beneficial impact of certain working capital accounts. The difference between our 2009 net income of $3.9 million and our net cash provided by operating activities of $36.7 million is primarily due to non-cash charges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including depreciation and amortization, charges for inventory losses, and share-based compensation. During 2008, the difference between our 2008 net loss of $1.2 million and our net cash provided by operating activities of $25.8 million was primarily due to non-cash charges, including depreciation and amortization, charges for inventory losses, and share-based compensation.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for 2009 was approximately $17.4 million compared to $7.0 million used in investing activities in</w:t>
      </w:r>
    </w:p>
    <w:p>
      <w:pPr>
        <w:spacing w:after="0" w:line="38"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2008. The cash used by investing activities in 2009 was related to net purchases of marketable securities of approximately $10.6 million and purchases of property and equipment of approximately $5.8 million. The cash used in investing activities in 2008 was primarily related to purchases of property and equipment, offset by net sales of marketable securities.</w:t>
      </w:r>
    </w:p>
    <w:p>
      <w:pPr>
        <w:spacing w:after="0" w:line="144" w:lineRule="exact"/>
        <w:rPr>
          <w:sz w:val="20"/>
          <w:szCs w:val="20"/>
          <w:color w:val="auto"/>
        </w:rPr>
      </w:pPr>
    </w:p>
    <w:p>
      <w:pPr>
        <w:ind w:right="3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provided by financing activities for 2009 was $2.8 million, compared to net cash used in financing activities of $24.6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2008. Net cash provided by financing activities in 2009 was primarily related to proceeds from the exercise of employee stock options and stock purchases under the employee stock purchase plan. Proceeds from the exercise of stock options and share purchases pursuant to the employee stock purchase plan, including related excess tax benefits, were higher in 2009 compared to 2008 due to increased stock option exercise activity. Net cash used in financing activities in 2008 was primarily related to our repurchase of $25.0 million of our outstanding common stock on the open market pursuant to a repurchase program.</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jc w:val="both"/>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2009,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right"/>
              <w:ind w:right="116"/>
              <w:spacing w:after="0"/>
              <w:rPr>
                <w:sz w:val="20"/>
                <w:szCs w:val="20"/>
                <w:color w:val="auto"/>
              </w:rPr>
            </w:pPr>
            <w:r>
              <w:rPr>
                <w:rFonts w:ascii="Arial" w:cs="Arial" w:eastAsia="Arial" w:hAnsi="Arial"/>
                <w:sz w:val="14"/>
                <w:szCs w:val="14"/>
                <w:b w:val="1"/>
                <w:bCs w:val="1"/>
                <w:color w:val="auto"/>
                <w:w w:val="96"/>
              </w:rPr>
              <w:t>Payments Due by Fiscal Year</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2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51,217</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51,217</w:t>
            </w:r>
          </w:p>
        </w:tc>
        <w:tc>
          <w:tcPr>
            <w:tcW w:w="20" w:type="dxa"/>
            <w:vAlign w:val="bottom"/>
          </w:tcPr>
          <w:p>
            <w:pPr>
              <w:spacing w:after="0"/>
              <w:rPr>
                <w:sz w:val="18"/>
                <w:szCs w:val="18"/>
                <w:color w:val="auto"/>
              </w:rPr>
            </w:pPr>
          </w:p>
        </w:tc>
      </w:tr>
      <w:tr>
        <w:trPr>
          <w:trHeight w:val="222"/>
        </w:trPr>
        <w:tc>
          <w:tcPr>
            <w:tcW w:w="772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54,383</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724</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55,557</w:t>
            </w: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liability for uncertain tax benefits, including interest, as of December 31, 2009 was approximately $20.5 million. Our tax liability for uncertain tax benefits is not included in our table of contractual obligations and commercial commitments. We do not believe that we will pay such amount within one year from December 31, 2009; however, we cannot reasonably estimate the timing of future payments with respect to this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to incur ongoing professional fees and expenses to defend litigation filed against us or related to our products, which litigation is discussed in Note 8 to our consolidated financial statements included in this report. These costs cannot be estimated at this time.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$10 million for discretionary capital expenditures, including the acquisition of additional software licenses.</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believe our cash resources from cash and cash equivalents and marketable securities, together with anticipated cash flows from operations, and our ability to raise capital under our shelf registration statement will be sufficient to meet our working capital needs for the next twelve months.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would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 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principally generated from the sale of wireless modems to wireless operators, OEM customers and value added</w:t>
      </w:r>
      <w:r>
        <w:rPr>
          <w:rFonts w:ascii="Arial" w:cs="Arial" w:eastAsia="Arial" w:hAnsi="Arial"/>
          <w:sz w:val="16"/>
          <w:szCs w:val="16"/>
          <w:i w:val="1"/>
          <w:iCs w:val="1"/>
          <w:color w:val="auto"/>
        </w:rPr>
        <w:t xml:space="preserve"> </w:t>
      </w:r>
      <w:r>
        <w:rPr>
          <w:rFonts w:ascii="Arial" w:cs="Arial" w:eastAsia="Arial" w:hAnsi="Arial"/>
          <w:sz w:val="16"/>
          <w:szCs w:val="16"/>
          <w:color w:val="auto"/>
        </w:rPr>
        <w:t>resellers and distributors. Revenue from product sales is recognized upon the later of transfer of title or shipment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arrangements in which our hardware and software are delivered concurrently, we do not provide significant post contract customer support (“PCS”) and recognize revenue upon the delivery of the of the hardware product, assuming all other basic revenue recognition criteria are met. As of December 31, 2009, we have not recorded any significant revenues from separate software sales.</w:t>
      </w:r>
    </w:p>
    <w:p>
      <w:pPr>
        <w:spacing w:after="0" w:line="140"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two to five years. This reduces the risk of large impairment charges in any given period. However, most of these assets are associated with technology that may change rapidly and such changes could have an immediate impact on our impairment analysis.</w:t>
      </w:r>
    </w:p>
    <w:p>
      <w:pPr>
        <w:spacing w:after="0" w:line="12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 xml:space="preserve">Provision for Warranty Costs. </w:t>
      </w:r>
      <w:r>
        <w:rPr>
          <w:rFonts w:ascii="Arial" w:cs="Arial" w:eastAsia="Arial" w:hAnsi="Arial"/>
          <w:sz w:val="16"/>
          <w:szCs w:val="16"/>
          <w:color w:val="auto"/>
        </w:rPr>
        <w:t>We accrue warranty costs based on estimates of future warranty related replacement, repairs or rework of products. Our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policy generally provides one to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Royalty Costs. </w:t>
      </w:r>
      <w:r>
        <w:rPr>
          <w:rFonts w:ascii="Arial" w:cs="Arial" w:eastAsia="Arial" w:hAnsi="Arial"/>
          <w:sz w:val="18"/>
          <w:szCs w:val="18"/>
          <w:color w:val="auto"/>
        </w:rPr>
        <w:t>We have intellectual property license agreements which generally require us to make royalty payments based on a percentage of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sales of products incorporating the licensed technology. We recognize royalty obligations in accordance with the terms of the respective royalty agreements.</w:t>
      </w:r>
    </w:p>
    <w:p>
      <w:pPr>
        <w:spacing w:after="0" w:line="14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recognize federal, state and foreign current tax liabilities or assets based on our estimate of taxes payable to or refundable by tax</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in the current fiscal year. We also recognize federal, state and foreign deferred tax liabilities or assets based on our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Deferred tax assets are reduced by valuation allowances if, based on the consideration of all available evidence, it is more-likely-than-not that some portion of the deferred tax asset will not be realized. We evaluate deferred income taxes on a quarterly basis to determine if valuation allowances are required by considering available evidence. If we are unable to generate sufficient future taxable income in certain tax jurisdictions, or if there is a material change in the actual effective tax rates or time period within which the underlying temporary differences become taxable or deductible, we could be required to increase our valuation allowance against our deferred tax assets which could result in a decrease in our effective tax rate and an adverse impact on operating results. We will continue to evaluate the necessity of the valuation allowance based on the remaining deferred tax assets.</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recognizes the impact of uncertain income tax positions on the income tax return at the largest amount that is more-likely-than-not to be sustained upon audit by the relevant taxing authority. An uncertain income tax position will not be recognized if it has less than a 50% likelihood of being sustained.</w:t>
      </w:r>
    </w:p>
    <w:p>
      <w:pPr>
        <w:spacing w:after="0" w:line="14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i w:val="1"/>
          <w:iCs w:val="1"/>
          <w:color w:val="auto"/>
        </w:rPr>
        <w:t xml:space="preserve">Foreign Exchange Forward Contracts. </w:t>
      </w:r>
      <w:r>
        <w:rPr>
          <w:rFonts w:ascii="Arial" w:cs="Arial" w:eastAsia="Arial" w:hAnsi="Arial"/>
          <w:sz w:val="16"/>
          <w:szCs w:val="16"/>
          <w:color w:val="auto"/>
        </w:rPr>
        <w:t>We use foreign exchange forward contracts to hedge the economic exposure associated with cash and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balances denominated in Euros. Our forward contracts do not qualify as accounting hedges. We mark-to-market the forward contracts and include unrealized gains and losses in the current period as a component of other income (expense) in the consolidated statements of operations.</w:t>
      </w:r>
    </w:p>
    <w:p>
      <w:pPr>
        <w:spacing w:after="0" w:line="10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We have stock incentive plans under which incentive stock options and restricted stock units have been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members of our Board of Directors. We also have an employee stock purchase plan for all eligible employees. Share-based payments to employees, including grants of employee stock options, restricted stock units and employee stock purchase rights, are recognized in the financial statements based upon their respective grant date fair values.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estimate the fair value of share-based payment awards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At December 31, 2009, we had $176 million in cash, cash equivalents and marketable securities, all of which are stated at fair value. Changes in market interest rates would not be expected to have a material impact on the fair value of our $67 million in cash equivalents at December 31, 2009, as these consisted of money market funds with the value of all of our cash equivalents determined based on “Level 1” inputs, which consist of quoted prices in active markets for identical assets.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December 31, 2009, substantially all of our marketable securities are invested in fixed income products. As such, our 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investments is judged to be other-than-temporary. Using a model that estimates the aggregate yield to maturity of our investment portfolio, we estimate that 100 basis point increase or decrease in interest rates would, however, decrease or increase, respectively, our $76 million in marketable securities by approximately $700,000.</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However, because any debt securities we hold are classified as available-for-sale (within the meaning of ASC Topic 320), no gains or losses are realized in the income statement due to changes in interest rates unless such securities are sold prior to maturity or unless declines in value are determined to be other-than-temporary. These securities are reported at fair value with the related unrealized gains and losses included in accumulated other comprehensive income (loss), a component of shareholders’ equity, net of tax.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utilize derivative instruments or other financial contracts to manage our exposure to changes in interest rates in our investment portfolio.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maintain our cash and cash equivalents and our marketable securities, which include various security holdings, types and maturities, with a number of financial institutions. Although the global credit crisis appears to have abated somewhat, credit risk remains.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place our cash investments in instruments that meet credit quality standards specified in our investment policy guidelines at the time the investments are made. At December 31, 2009, we have cash and cash equivalents of $100 million. Of this $100 million, $33 million is held in cash demand deposits. Our $67 million in cash equivalents at December 31, 2009 was held in money market investments. These money market funds attempt to maintain a net asset value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We hold money market funds that target a balance of investment return and preservation of invested capital through diversified holdings. As such, we do not believe we currently have significant exposure to NAV declines for our money market holdings.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December 31, 2009, we had $76 million invested in our portfolio of marketable securities. Our investment policy guidelines limit the amount of credit exposure to any one issue, issuer or type of instrument. The fair value of our marketable securities at December 31, 2009 was determined based on “Level 2” inputs, which were derived based on quoted prices for identical or similar assets, which had few transactions near the measurement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generate Euro-denominated accounts receivable from sales to customers that are members of the European Union, and we lack significant Euro-denominated purchases and trade liabilities to offset our exposure to this Euro denominated accounts receivable activity. During the year ended December 31, 2009, Euro-denominated revenue was approximately $18.3 million. As a result, we are exposed to market risk arising from changes in foreign currency exchange rates, principally change in the value of the Euro versus the U.S. Dollar. To mitigate this risk, we enter into foreign exchange contracts, principally forward currency foreign exchange contracts. These forward currency foreign exchange contracts cover a portion, generally 50% to 80%, but may cover up to 100%, of our Euro-based financial assets.</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At December 31, 2009, we had approximately $5.0 million (€3.5 million) of Euro-denominated financial assets, as compared to $3.7 million (€2.6 million) in forward currency foreign exchange contracts with expiration dates of 125 days or less. At December 31, 2009, we recorded an unrealized gain of approximately $30,000 on our outstanding forward contracts. In addition, at December 31, 2009, we recorded approximately $116,000 in unrealized foreign currency losses related to our outstanding Euro-denominated accounts receivable balances. Both the unrealized gain on the outstanding forward contracts and the unrealized losses on outstanding Euro-denominated receivables were recorded in other income and expense in our consolidated statement of operations.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year ended December 31, 2009 at an average Euro-to-U.S. Dollar exchange rate of $1.395 and a uniform ten percent strengthening or weakening of this exchange rate, we estimate that income before income taxes for the year ended December 31, 2009 would increase or decrease by approximately $1.8 million. This analysis does not give effect to any forward currency foreign exchange contracts that may be used to hedge foreign currency risk.</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us to reduce per unit selling prices.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report.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2009, the end of the period covered by this report. Based on the foregoing, our principal executive officer and principal financial and accounting officer concluded that our disclosure controls and procedures were effective as of December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management of Novatel Wireless, Inc.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authorizations of management and the board of directors, and (d) provide reasonable assurance regarding prevention or timely detection of unauthorized acquisition, use or disposition of assets that could have a material effect on the financial statements.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principal executive officer and our principal financial and accounting officer, conducted an evaluation of the effectiveness of our internal control over financial reporting as of December 31, 2009 based on the criteria established in the Internal Control—Integrated Framework issued by the Committee of Sponsoring Organizations of the Treadway Commission (“COSO”). As a result of that evaluation, management has concluded that our internal control over financial reporting was effective as of December 31, 2009.</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Ernst and Young LLP, the independent registered public accounting firm that audited the consolidated financial statements of Novatel Wireless, Inc. included in this report, has issued an audit report on the effectiveness of Novatel Wireless Inc.’s internal control over financial reporting as of December 31, 2009. The report, which expresses an unqualified opinion on the effectiveness of Novatel Wireless Inc.’s internal control over financial reporting as of December 31, 2009, is included in this Item under the heading “Report of Independent Registered Public Accounting Firm.”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have audited Novatel Wireless, Inc.’s internal control over financial reporting as of December 31, 2009,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 (COSO). Novatel Wireless,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our opinion, Novatel Wireless, Inc. maintained, in all material respects, effective internal control over financial reporting as of December 31, 2009, based on the COSO criteria.</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accompanying consolidated balance sheet of Novatel Wireless, Inc. as of December 31, 2009, and the related consolidated statements of operations, stockholders’ equity and comprehensive income (loss), and cash flows for the year ended December 31, 2009, and our report dated March 12, 2010 expressed an unqualified opinion on those consolidated financial statements.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2010</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64"/>
        <w:spacing w:after="0" w:line="268" w:lineRule="auto"/>
        <w:tabs>
          <w:tab w:leader="none" w:pos="70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2010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is incorporated herein by reference.</w:t>
      </w:r>
    </w:p>
    <w:p>
      <w:pPr>
        <w:spacing w:after="0" w:line="131" w:lineRule="exact"/>
        <w:rPr>
          <w:rFonts w:ascii="Arial" w:cs="Arial" w:eastAsia="Arial" w:hAnsi="Arial"/>
          <w:sz w:val="18"/>
          <w:szCs w:val="18"/>
          <w:b w:val="1"/>
          <w:bCs w:val="1"/>
          <w:color w:val="auto"/>
        </w:rPr>
      </w:pPr>
    </w:p>
    <w:p>
      <w:pPr>
        <w:ind w:right="140" w:firstLine="464"/>
        <w:spacing w:after="0" w:line="268" w:lineRule="auto"/>
        <w:tabs>
          <w:tab w:leader="none" w:pos="71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“Executive Officers” appearing in the Proxy Statement to be filed for the 2010</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is incorporated herein by reference.</w:t>
      </w:r>
    </w:p>
    <w:p>
      <w:pPr>
        <w:spacing w:after="0" w:line="131" w:lineRule="exact"/>
        <w:rPr>
          <w:rFonts w:ascii="Arial" w:cs="Arial" w:eastAsia="Arial" w:hAnsi="Arial"/>
          <w:sz w:val="18"/>
          <w:szCs w:val="18"/>
          <w:b w:val="1"/>
          <w:bCs w:val="1"/>
          <w:color w:val="auto"/>
        </w:rPr>
      </w:pPr>
    </w:p>
    <w:p>
      <w:pPr>
        <w:ind w:right="200" w:firstLine="464"/>
        <w:spacing w:after="0" w:line="332" w:lineRule="auto"/>
        <w:tabs>
          <w:tab w:leader="none" w:pos="695" w:val="left"/>
        </w:tabs>
        <w:numPr>
          <w:ilvl w:val="0"/>
          <w:numId w:val="26"/>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“Section 16(a) Beneficial Ownership Reporting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2010 Annual Meeting of Stockholders is incorporated herein by reference.</w:t>
      </w:r>
    </w:p>
    <w:p>
      <w:pPr>
        <w:spacing w:after="0" w:line="85" w:lineRule="exact"/>
        <w:rPr>
          <w:rFonts w:ascii="Arial" w:cs="Arial" w:eastAsia="Arial" w:hAnsi="Arial"/>
          <w:sz w:val="16"/>
          <w:szCs w:val="16"/>
          <w:b w:val="1"/>
          <w:bCs w:val="1"/>
          <w:color w:val="auto"/>
        </w:rPr>
      </w:pPr>
    </w:p>
    <w:p>
      <w:pPr>
        <w:ind w:right="40" w:firstLine="464"/>
        <w:spacing w:after="0" w:line="290" w:lineRule="auto"/>
        <w:tabs>
          <w:tab w:leader="none" w:pos="715" w:val="left"/>
        </w:tabs>
        <w:numPr>
          <w:ilvl w:val="0"/>
          <w:numId w:val="2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We have adopted a</w:t>
      </w:r>
      <w:r>
        <w:rPr>
          <w:rFonts w:ascii="Arial" w:cs="Arial" w:eastAsia="Arial" w:hAnsi="Arial"/>
          <w:sz w:val="16"/>
          <w:szCs w:val="16"/>
          <w:i w:val="1"/>
          <w:iCs w:val="1"/>
          <w:color w:val="auto"/>
        </w:rPr>
        <w:t xml:space="preserve"> Code of Business Conduct and Ethics </w:t>
      </w:r>
      <w:r>
        <w:rPr>
          <w:rFonts w:ascii="Arial" w:cs="Arial" w:eastAsia="Arial" w:hAnsi="Arial"/>
          <w:sz w:val="16"/>
          <w:szCs w:val="16"/>
          <w:color w:val="auto"/>
        </w:rPr>
        <w:t>which, together with the policies referred to therein, is applicable to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officers and employees. The Code of Business Conduct and Ethics is intended to cover all areas of professional conduct, including conflicts of interest, disclosure obligations, insider trading and confidential information, as well as compliance with all laws, rules and regulations applicable to our business. We encourage all employees, officers and directors to promptly report any violations of any of our policies. The Code of Business Conduct and Ethics is posted on our website at </w:t>
      </w:r>
      <w:r>
        <w:rPr>
          <w:rFonts w:ascii="Arial" w:cs="Arial" w:eastAsia="Arial" w:hAnsi="Arial"/>
          <w:sz w:val="16"/>
          <w:szCs w:val="16"/>
          <w:i w:val="1"/>
          <w:iCs w:val="1"/>
          <w:color w:val="auto"/>
        </w:rPr>
        <w:t>www.novatelwireless.com</w:t>
      </w:r>
      <w:r>
        <w:rPr>
          <w:rFonts w:ascii="Arial" w:cs="Arial" w:eastAsia="Arial" w:hAnsi="Arial"/>
          <w:sz w:val="16"/>
          <w:szCs w:val="16"/>
          <w:color w:val="auto"/>
        </w:rPr>
        <w:t xml:space="preserve"> in the Investor tab under “Corporate Governance.” In the event that a substantive amendment to, or a waiver from, a provision of the Code of Business Conduct and Ethics that applies to our principal executive officer or principal financial and accounting officer is necessary, we intend to post such information on our website.</w:t>
      </w:r>
    </w:p>
    <w:p>
      <w:pPr>
        <w:spacing w:after="0" w:line="118" w:lineRule="exact"/>
        <w:rPr>
          <w:rFonts w:ascii="Arial" w:cs="Arial" w:eastAsia="Arial" w:hAnsi="Arial"/>
          <w:sz w:val="16"/>
          <w:szCs w:val="16"/>
          <w:b w:val="1"/>
          <w:bCs w:val="1"/>
          <w:color w:val="auto"/>
        </w:rPr>
      </w:pPr>
    </w:p>
    <w:p>
      <w:pPr>
        <w:ind w:right="280" w:firstLine="464"/>
        <w:spacing w:after="0" w:line="268" w:lineRule="auto"/>
        <w:tabs>
          <w:tab w:leader="none" w:pos="69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“The Board, Its Committees and Its Compensation—Audit Committee”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2010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under the headings “Executive Compensation,” “The Board, Its Committees and Its Compensation—Director Compensation,” “Compensation Discussion and Analysis” and “Compensation Committee Report” appearing in the Proxy Statement to be filed for the 2010 Annual Meeting of Stockholders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under the headings “Security Ownership of Management and Certain Beneficial Owners” and “Equity Compensation Plan Information” appearing in the Proxy Statement to be filed for the 2010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information under the headings “Review and Approval of Transactions with Related Parties” and “The Board, Its Committees and Its Compensation— Director Independence” appearing in the Proxy Statement to be filed for the 2010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under the heading “Independent Public Accountants” appearing in the Proxy Statement to be filed for the 2010 Annual Meeting of Stockholders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720" w:hanging="256"/>
        <w:spacing w:after="0"/>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2009, 2008, and 2007 should be read in conjunction with the consolidated financial statements, and related notes thereto.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Schedule</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r>
      <w:tr>
        <w:trPr>
          <w:trHeight w:val="216"/>
        </w:trPr>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7"/>
              </w:rPr>
              <w:t>Schedule</w:t>
            </w:r>
          </w:p>
        </w:tc>
        <w:tc>
          <w:tcPr>
            <w:tcW w:w="9520" w:type="dxa"/>
            <w:vAlign w:val="bottom"/>
          </w:tcPr>
          <w:p>
            <w:pPr>
              <w:ind w:left="160"/>
              <w:spacing w:after="0"/>
              <w:rPr>
                <w:sz w:val="20"/>
                <w:szCs w:val="20"/>
                <w:color w:val="auto"/>
              </w:rPr>
            </w:pPr>
            <w:r>
              <w:rPr>
                <w:rFonts w:ascii="Arial" w:cs="Arial" w:eastAsia="Arial" w:hAnsi="Arial"/>
                <w:sz w:val="18"/>
                <w:szCs w:val="18"/>
                <w:color w:val="auto"/>
              </w:rPr>
              <w:t>II—Valuation and Qualifying Accounts</w:t>
            </w: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F-32</w:t>
            </w:r>
          </w:p>
        </w:tc>
        <w:tc>
          <w:tcPr>
            <w:tcW w:w="20" w:type="dxa"/>
            <w:vAlign w:val="bottom"/>
          </w:tcPr>
          <w:p>
            <w:pPr>
              <w:spacing w:after="0"/>
              <w:rPr>
                <w:sz w:val="18"/>
                <w:szCs w:val="18"/>
                <w:color w:val="auto"/>
              </w:rPr>
            </w:pPr>
          </w:p>
        </w:tc>
      </w:tr>
    </w:tbl>
    <w:p>
      <w:pPr>
        <w:spacing w:after="0" w:line="14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132" w:lineRule="exact"/>
        <w:rPr>
          <w:sz w:val="20"/>
          <w:szCs w:val="20"/>
          <w:color w:val="auto"/>
        </w:rPr>
      </w:pPr>
    </w:p>
    <w:p>
      <w:pPr>
        <w:ind w:left="720" w:hanging="256"/>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3"/>
              </w:rPr>
              <w:t>Registration Rights Agreement, dated as of March 12, 2003, entered into in connection with the Company’s 2003 Series B Convertible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Preferred Stock Financing (incorporated by reference to Exhibit 4.8 to the Company’s Current Report on Form 8-K, filed March 28, 2003).</w:t>
            </w:r>
          </w:p>
        </w:tc>
      </w:tr>
      <w:tr>
        <w:trPr>
          <w:trHeight w:val="365"/>
        </w:trPr>
        <w:tc>
          <w:tcPr>
            <w:tcW w:w="520" w:type="dxa"/>
            <w:vAlign w:val="bottom"/>
          </w:tcPr>
          <w:p>
            <w:pPr>
              <w:spacing w:after="0"/>
              <w:rPr>
                <w:sz w:val="24"/>
                <w:szCs w:val="24"/>
                <w:color w:val="auto"/>
              </w:rPr>
            </w:pPr>
          </w:p>
        </w:tc>
        <w:tc>
          <w:tcPr>
            <w:tcW w:w="5540" w:type="dxa"/>
            <w:vAlign w:val="bottom"/>
          </w:tcPr>
          <w:p>
            <w:pPr>
              <w:ind w:left="5100"/>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4.4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Warrant Financing Transaction (incorporated by reference to Exhibit 10.21 to the Company’s Annual Report on Form 10-K for the year ended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99.1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S-8, filed November 10,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tcPr>
          <w:p>
            <w:pPr>
              <w:ind w:left="5000"/>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275"/>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10.13*</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10.14*</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2"/>
              </w:rPr>
              <w:t>2009 Omnibus Incentive Compensation Plan (incorporated by reference to Exhibit 10.1 to the Company’s Current Report on Form 8-K,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June 24, 2009).</w:t>
            </w:r>
          </w:p>
        </w:tc>
      </w:tr>
      <w:tr>
        <w:trPr>
          <w:trHeight w:val="277"/>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10.15*</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2009 Senior Management Incentive Plan (incorporated by reference to Exhibit 10.1 to the Company’s Current Report on Form 8-K, filed July 24,</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2009).</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pacing w:after="0" w:line="61" w:lineRule="exact"/>
        <w:rPr>
          <w:sz w:val="20"/>
          <w:szCs w:val="20"/>
          <w:color w:val="auto"/>
        </w:rPr>
      </w:pPr>
    </w:p>
    <w:p>
      <w:pPr>
        <w:ind w:left="1160" w:hanging="1152"/>
        <w:spacing w:after="0" w:line="268"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10360" w:type="dxa"/>
            <w:vAlign w:val="bottom"/>
          </w:tcPr>
          <w:p>
            <w:pPr>
              <w:ind w:left="3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24</w:t>
            </w:r>
          </w:p>
        </w:tc>
        <w:tc>
          <w:tcPr>
            <w:tcW w:w="10360" w:type="dxa"/>
            <w:vAlign w:val="bottom"/>
          </w:tcPr>
          <w:p>
            <w:pPr>
              <w:ind w:left="3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3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3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34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82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880" w:firstLine="8"/>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2010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OVATEL</w:t>
      </w:r>
      <w:r>
        <w:rPr>
          <w:rFonts w:ascii="Arial" w:cs="Arial" w:eastAsia="Arial" w:hAnsi="Arial"/>
          <w:sz w:val="16"/>
          <w:szCs w:val="16"/>
          <w:color w:val="auto"/>
        </w:rPr>
        <w:t xml:space="preserve"> W</w:t>
      </w:r>
      <w:r>
        <w:rPr>
          <w:rFonts w:ascii="Arial" w:cs="Arial" w:eastAsia="Arial" w:hAnsi="Arial"/>
          <w:sz w:val="13"/>
          <w:szCs w:val="13"/>
          <w:color w:val="auto"/>
        </w:rPr>
        <w:t>IRELESS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360" w:space="720"/>
            <w:col w:w="5280"/>
          </w:cols>
          <w:pgMar w:left="240" w:top="459" w:right="299" w:bottom="1440" w:gutter="0" w:footer="0" w:header="0"/>
          <w:type w:val="continuous"/>
        </w:sectPr>
      </w:pPr>
    </w:p>
    <w:p>
      <w:pPr>
        <w:spacing w:after="0" w:line="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-1169035</wp:posOffset>
            </wp:positionH>
            <wp:positionV relativeFrom="paragraph">
              <wp:posOffset>25400</wp:posOffset>
            </wp:positionV>
            <wp:extent cx="31127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3">
            <w:col w:w="7300" w:space="720"/>
            <w:col w:w="160" w:space="180"/>
            <w:col w:w="3000"/>
          </w:cols>
          <w:pgMar w:left="240" w:top="459" w:right="299" w:bottom="1440" w:gutter="0" w:footer="0" w:header="0"/>
          <w:type w:val="continuous"/>
        </w:sectPr>
      </w:pPr>
    </w:p>
    <w:p>
      <w:pPr>
        <w:jc w:val="center"/>
        <w:ind w:left="6500"/>
        <w:spacing w:after="0"/>
        <w:rPr>
          <w:sz w:val="20"/>
          <w:szCs w:val="20"/>
          <w:color w:val="auto"/>
        </w:rPr>
      </w:pPr>
      <w:r>
        <w:rPr>
          <w:rFonts w:ascii="Arial" w:cs="Arial" w:eastAsia="Arial" w:hAnsi="Arial"/>
          <w:sz w:val="14"/>
          <w:szCs w:val="14"/>
          <w:b w:val="1"/>
          <w:bCs w:val="1"/>
          <w:color w:val="auto"/>
        </w:rPr>
        <w:t>Peter Leparulo</w:t>
      </w:r>
    </w:p>
    <w:p>
      <w:pPr>
        <w:jc w:val="center"/>
        <w:ind w:left="65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500"/>
        <w:spacing w:after="0"/>
        <w:rPr>
          <w:sz w:val="20"/>
          <w:szCs w:val="20"/>
          <w:color w:val="auto"/>
        </w:rPr>
      </w:pPr>
      <w:r>
        <w:rPr>
          <w:rFonts w:ascii="Arial" w:cs="Arial" w:eastAsia="Arial" w:hAnsi="Arial"/>
          <w:sz w:val="14"/>
          <w:szCs w:val="14"/>
          <w:b w:val="1"/>
          <w:bCs w:val="1"/>
          <w:color w:val="auto"/>
        </w:rPr>
        <w:t>(Principal Executive Officer)</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Peter Leparulo and Kenneth Leddon,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1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L</w:t>
            </w:r>
            <w:r>
              <w:rPr>
                <w:rFonts w:ascii="Arial" w:cs="Arial" w:eastAsia="Arial" w:hAnsi="Arial"/>
                <w:sz w:val="14"/>
                <w:szCs w:val="14"/>
                <w:color w:val="auto"/>
                <w:w w:val="95"/>
              </w:rPr>
              <w:t>EPARULO</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Chairman and Chief Executive Officer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202"/>
        </w:trPr>
        <w:tc>
          <w:tcPr>
            <w:tcW w:w="1660" w:type="dxa"/>
            <w:vAlign w:val="bottom"/>
          </w:tcPr>
          <w:p>
            <w:pPr>
              <w:spacing w:after="0"/>
              <w:rPr>
                <w:sz w:val="17"/>
                <w:szCs w:val="17"/>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9"/>
              </w:rPr>
              <w:t>Peter Leparulo</w:t>
            </w:r>
          </w:p>
        </w:tc>
        <w:tc>
          <w:tcPr>
            <w:tcW w:w="43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18"/>
        </w:trPr>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202"/>
        </w:trPr>
        <w:tc>
          <w:tcPr>
            <w:tcW w:w="1660" w:type="dxa"/>
            <w:vAlign w:val="bottom"/>
          </w:tcPr>
          <w:p>
            <w:pPr>
              <w:spacing w:after="0"/>
              <w:rPr>
                <w:sz w:val="17"/>
                <w:szCs w:val="17"/>
                <w:color w:val="auto"/>
              </w:rPr>
            </w:pPr>
          </w:p>
        </w:tc>
        <w:tc>
          <w:tcPr>
            <w:tcW w:w="314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8"/>
              </w:rPr>
              <w:t>Kenneth Leddon</w:t>
            </w:r>
          </w:p>
        </w:tc>
        <w:tc>
          <w:tcPr>
            <w:tcW w:w="43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19"/>
        </w:trPr>
        <w:tc>
          <w:tcPr>
            <w:tcW w:w="16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USSELL</w:t>
            </w:r>
            <w:r>
              <w:rPr>
                <w:rFonts w:ascii="Arial" w:cs="Arial" w:eastAsia="Arial" w:hAnsi="Arial"/>
                <w:sz w:val="18"/>
                <w:szCs w:val="18"/>
                <w:color w:val="auto"/>
                <w:w w:val="96"/>
              </w:rPr>
              <w:t xml:space="preserve"> C. G</w:t>
            </w:r>
            <w:r>
              <w:rPr>
                <w:rFonts w:ascii="Arial" w:cs="Arial" w:eastAsia="Arial" w:hAnsi="Arial"/>
                <w:sz w:val="14"/>
                <w:szCs w:val="14"/>
                <w:color w:val="auto"/>
                <w:w w:val="96"/>
              </w:rPr>
              <w:t>ERNS</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5"/>
              </w:rPr>
              <w:t>Russell C. Gerns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L</w:t>
            </w:r>
            <w:r>
              <w:rPr>
                <w:rFonts w:ascii="Arial" w:cs="Arial" w:eastAsia="Arial" w:hAnsi="Arial"/>
                <w:sz w:val="14"/>
                <w:szCs w:val="14"/>
                <w:color w:val="auto"/>
              </w:rPr>
              <w:t>EDWITH</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7"/>
              </w:rPr>
              <w:t>James Ledwith</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8"/>
              </w:rPr>
              <w:t>Greg Lorenzetti</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ORST</w:t>
            </w:r>
            <w:r>
              <w:rPr>
                <w:rFonts w:ascii="Arial" w:cs="Arial" w:eastAsia="Arial" w:hAnsi="Arial"/>
                <w:sz w:val="18"/>
                <w:szCs w:val="18"/>
                <w:color w:val="auto"/>
                <w:w w:val="97"/>
              </w:rPr>
              <w:t xml:space="preserve"> J. P</w:t>
            </w:r>
            <w:r>
              <w:rPr>
                <w:rFonts w:ascii="Arial" w:cs="Arial" w:eastAsia="Arial" w:hAnsi="Arial"/>
                <w:sz w:val="14"/>
                <w:szCs w:val="14"/>
                <w:color w:val="auto"/>
                <w:w w:val="97"/>
              </w:rPr>
              <w:t>UDWILL</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9"/>
              </w:rPr>
              <w:t>Horst J. Pudwill</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R</w:t>
            </w:r>
            <w:r>
              <w:rPr>
                <w:rFonts w:ascii="Arial" w:cs="Arial" w:eastAsia="Arial" w:hAnsi="Arial"/>
                <w:sz w:val="14"/>
                <w:szCs w:val="14"/>
                <w:color w:val="auto"/>
              </w:rPr>
              <w:t>OSS</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0"/>
              </w:rPr>
              <w:t>John Ross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D. W</w:t>
            </w:r>
            <w:r>
              <w:rPr>
                <w:rFonts w:ascii="Arial" w:cs="Arial" w:eastAsia="Arial" w:hAnsi="Arial"/>
                <w:sz w:val="14"/>
                <w:szCs w:val="14"/>
                <w:color w:val="auto"/>
                <w:w w:val="99"/>
              </w:rPr>
              <w:t>AKELIN</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8"/>
              </w:rPr>
              <w:t>John D. Wakelin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A. W</w:t>
            </w:r>
            <w:r>
              <w:rPr>
                <w:rFonts w:ascii="Arial" w:cs="Arial" w:eastAsia="Arial" w:hAnsi="Arial"/>
                <w:sz w:val="14"/>
                <w:szCs w:val="14"/>
                <w:color w:val="auto"/>
                <w:w w:val="99"/>
              </w:rPr>
              <w:t>ERNER</w:t>
            </w:r>
          </w:p>
        </w:tc>
        <w:tc>
          <w:tcPr>
            <w:tcW w:w="43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12, 2010</w:t>
            </w:r>
          </w:p>
        </w:tc>
      </w:tr>
      <w:tr>
        <w:trPr>
          <w:trHeight w:val="169"/>
        </w:trPr>
        <w:tc>
          <w:tcPr>
            <w:tcW w:w="1660" w:type="dxa"/>
            <w:vAlign w:val="bottom"/>
          </w:tcPr>
          <w:p>
            <w:pPr>
              <w:spacing w:after="0"/>
              <w:rPr>
                <w:sz w:val="14"/>
                <w:szCs w:val="14"/>
                <w:color w:val="auto"/>
              </w:rPr>
            </w:pPr>
          </w:p>
        </w:tc>
        <w:tc>
          <w:tcPr>
            <w:tcW w:w="314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0"/>
              </w:rPr>
              <w:t>David A. Werner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380" w:type="dxa"/>
            <w:vAlign w:val="bottom"/>
            <w:gridSpan w:val="3"/>
          </w:tcPr>
          <w:p>
            <w:pPr>
              <w:ind w:left="800"/>
              <w:spacing w:after="0"/>
              <w:rPr>
                <w:sz w:val="20"/>
                <w:szCs w:val="20"/>
                <w:color w:val="auto"/>
              </w:rPr>
            </w:pPr>
            <w:r>
              <w:rPr>
                <w:rFonts w:ascii="Arial" w:cs="Arial" w:eastAsia="Arial" w:hAnsi="Arial"/>
                <w:sz w:val="18"/>
                <w:szCs w:val="18"/>
                <w:color w:val="auto"/>
              </w:rPr>
              <w:t>S-1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19"/>
                <w:szCs w:val="19"/>
                <w:color w:val="auto"/>
              </w:rPr>
            </w:pPr>
          </w:p>
        </w:tc>
      </w:tr>
      <w:tr>
        <w:trPr>
          <w:trHeight w:val="380"/>
        </w:trPr>
        <w:tc>
          <w:tcPr>
            <w:tcW w:w="948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Balance Sheets</w:t>
              </w:r>
            </w:hyperlink>
          </w:p>
        </w:tc>
        <w:tc>
          <w:tcPr>
            <w:tcW w:w="1800" w:type="dxa"/>
            <w:vAlign w:val="bottom"/>
          </w:tcPr>
          <w:p>
            <w:pPr>
              <w:ind w:left="1460"/>
              <w:spacing w:after="0"/>
              <w:rPr>
                <w:sz w:val="20"/>
                <w:szCs w:val="20"/>
                <w:color w:val="auto"/>
              </w:rPr>
            </w:pPr>
            <w:r>
              <w:rPr>
                <w:rFonts w:ascii="Arial" w:cs="Arial" w:eastAsia="Arial" w:hAnsi="Arial"/>
                <w:sz w:val="18"/>
                <w:szCs w:val="18"/>
                <w:color w:val="auto"/>
              </w:rPr>
              <w:t>F-2</w:t>
            </w:r>
          </w:p>
        </w:tc>
      </w:tr>
      <w:tr>
        <w:trPr>
          <w:trHeight w:val="20"/>
        </w:trPr>
        <w:tc>
          <w:tcPr>
            <w:tcW w:w="2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Consolidated Statements of Operations</w:t>
              </w:r>
            </w:hyperlink>
          </w:p>
        </w:tc>
        <w:tc>
          <w:tcPr>
            <w:tcW w:w="6720" w:type="dxa"/>
            <w:vAlign w:val="bottom"/>
            <w:gridSpan w:val="5"/>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F-3</w:t>
            </w:r>
          </w:p>
        </w:tc>
      </w:tr>
      <w:tr>
        <w:trPr>
          <w:trHeight w:val="196"/>
        </w:trPr>
        <w:tc>
          <w:tcPr>
            <w:tcW w:w="59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Stockholders’ Equity and Comprehensive Income (Loss)</w:t>
              </w:r>
            </w:hyperlink>
          </w:p>
        </w:tc>
        <w:tc>
          <w:tcPr>
            <w:tcW w:w="3500" w:type="dxa"/>
            <w:vAlign w:val="bottom"/>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F-4</w:t>
            </w: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F-5</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F-6</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Reports of Independent Registered Public Accounting Firms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F-30</w:t>
            </w:r>
          </w:p>
        </w:tc>
      </w:tr>
      <w:tr>
        <w:trPr>
          <w:trHeight w:val="196"/>
        </w:trPr>
        <w:tc>
          <w:tcPr>
            <w:tcW w:w="4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Financial Statement Schedule II</w:t>
              </w:r>
            </w:hyperlink>
          </w:p>
        </w:tc>
        <w:tc>
          <w:tcPr>
            <w:tcW w:w="5220" w:type="dxa"/>
            <w:vAlign w:val="bottom"/>
            <w:gridSpan w:val="2"/>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F-32</w:t>
            </w:r>
          </w:p>
        </w:tc>
      </w:tr>
      <w:tr>
        <w:trPr>
          <w:trHeight w:val="383"/>
        </w:trPr>
        <w:tc>
          <w:tcPr>
            <w:tcW w:w="2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20" w:type="dxa"/>
            <w:vAlign w:val="bottom"/>
            <w:gridSpan w:val="2"/>
          </w:tcPr>
          <w:p>
            <w:pPr>
              <w:jc w:val="center"/>
              <w:ind w:right="2300"/>
              <w:spacing w:after="0"/>
              <w:rPr>
                <w:sz w:val="20"/>
                <w:szCs w:val="20"/>
                <w:color w:val="auto"/>
              </w:rPr>
            </w:pPr>
            <w:r>
              <w:rPr>
                <w:rFonts w:ascii="Arial" w:cs="Arial" w:eastAsia="Arial" w:hAnsi="Arial"/>
                <w:sz w:val="18"/>
                <w:szCs w:val="18"/>
                <w:color w:val="auto"/>
                <w:w w:val="88"/>
              </w:rPr>
              <w:t>F-1</w:t>
            </w:r>
          </w:p>
        </w:tc>
        <w:tc>
          <w:tcPr>
            <w:tcW w:w="18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100,025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77,733</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58,536</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$741 in 2009 and $1,010 in 2008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40,072</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23,229</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200,164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217,006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$40,279 in 2009 and $33,417 in 2008</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20,225</w:t>
            </w: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$2,441 in 2009 and $8,568 in 2008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282,507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260,731</w:t>
            </w:r>
          </w:p>
        </w:tc>
        <w:tc>
          <w:tcPr>
            <w:tcW w:w="0" w:type="dxa"/>
            <w:vAlign w:val="bottom"/>
          </w:tcPr>
          <w:p>
            <w:pPr>
              <w:spacing w:after="0"/>
              <w:rPr>
                <w:sz w:val="1"/>
                <w:szCs w:val="1"/>
                <w:color w:val="auto"/>
              </w:rPr>
            </w:pPr>
          </w:p>
        </w:tc>
      </w:tr>
      <w:tr>
        <w:trPr>
          <w:trHeight w:val="20"/>
        </w:trPr>
        <w:tc>
          <w:tcPr>
            <w:tcW w:w="932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27,460</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23,225</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2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43,853</w:t>
            </w: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62,769</w:t>
            </w:r>
          </w:p>
        </w:tc>
        <w:tc>
          <w:tcPr>
            <w:tcW w:w="0" w:type="dxa"/>
            <w:vAlign w:val="bottom"/>
          </w:tcPr>
          <w:p>
            <w:pPr>
              <w:spacing w:after="0"/>
              <w:rPr>
                <w:sz w:val="1"/>
                <w:szCs w:val="1"/>
                <w:color w:val="auto"/>
              </w:rPr>
            </w:pPr>
          </w:p>
        </w:tc>
      </w:tr>
      <w:tr>
        <w:trPr>
          <w:trHeight w:val="221"/>
        </w:trPr>
        <w:tc>
          <w:tcPr>
            <w:tcW w:w="9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Common stock, par value $0.001; 50,000 shares authorized, 31,092 and 30,327 shares issued and outstanding at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December 31, 2009 and 2008, respectively</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416,579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407,252</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(180,470)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(184,382)</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236,155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Treasury stock at cost; 2,436 common shares at December 31, 2009 and 2008, respectively</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211,155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ind w:left="17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282,507</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260,731</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337,422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320,973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429,903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249,764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252,231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299,062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20,159</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84,908</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computation of basic and diluted 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STATEMENTS OF STOCKHOLDERS’ EQUITY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8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Paid-in</w:t>
            </w:r>
          </w:p>
        </w:tc>
        <w:tc>
          <w:tcPr>
            <w:tcW w:w="80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94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106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9"/>
              </w:rPr>
              <w:t>Stockholders’</w:t>
            </w:r>
          </w:p>
        </w:tc>
        <w:tc>
          <w:tcPr>
            <w:tcW w:w="10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gridSpan w:val="2"/>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29,743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$356,138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(221,901)</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Exercise of stock options, warrants and shares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issued under employee stock purchase plan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24,987</w:t>
            </w:r>
          </w:p>
        </w:tc>
        <w:tc>
          <w:tcPr>
            <w:tcW w:w="10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24,990</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tax effect from stock options exercised</w:t>
            </w:r>
          </w:p>
        </w:tc>
        <w:tc>
          <w:tcPr>
            <w:tcW w:w="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Unrealized gain on marketable securities, net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taxes</w:t>
            </w: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32,602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400,786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2"/>
              </w:rPr>
              <w:t>Exercise of stock options, vesting of restricted stock</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units and awards, and shares issued under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86"/>
              </w:rPr>
              <w:t>161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tax effect from stock options exercised</w:t>
            </w:r>
          </w:p>
        </w:tc>
        <w:tc>
          <w:tcPr>
            <w:tcW w:w="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6,183</w:t>
            </w: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(2,436)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w w:val="94"/>
              </w:rPr>
              <w:t>Unrealized loss on marketable securities, net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640"/>
              <w:spacing w:after="0"/>
              <w:rPr>
                <w:sz w:val="20"/>
                <w:szCs w:val="20"/>
                <w:color w:val="auto"/>
              </w:rPr>
            </w:pPr>
            <w:r>
              <w:rPr>
                <w:rFonts w:ascii="Arial" w:cs="Arial" w:eastAsia="Arial" w:hAnsi="Arial"/>
                <w:sz w:val="18"/>
                <w:szCs w:val="18"/>
                <w:color w:val="auto"/>
              </w:rPr>
              <w:t>of taxes</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2008</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3"/>
              </w:rPr>
              <w:t>30,327</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30</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407,252</w:t>
            </w:r>
          </w:p>
        </w:tc>
        <w:tc>
          <w:tcPr>
            <w:tcW w:w="100" w:type="dxa"/>
            <w:vAlign w:val="bottom"/>
          </w:tcPr>
          <w:p>
            <w:pPr>
              <w:spacing w:after="0" w:line="20" w:lineRule="exact"/>
              <w:rPr>
                <w:sz w:val="1"/>
                <w:szCs w:val="1"/>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auto"/>
              </w:rPr>
              <w:t>(25,000)</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(184,382)</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197,962</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2"/>
              </w:rPr>
              <w:t>Exercise of stock options, vesting of restricted stock</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units and shares issued under employee stock</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765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tax effect from stock options exercised</w:t>
            </w:r>
          </w:p>
        </w:tc>
        <w:tc>
          <w:tcPr>
            <w:tcW w:w="7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w w:val="94"/>
              </w:rPr>
              <w:t>Unrealized loss on marketable securities, net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20" w:type="dxa"/>
            <w:vAlign w:val="bottom"/>
          </w:tcPr>
          <w:p>
            <w:pPr>
              <w:ind w:left="640"/>
              <w:spacing w:after="0"/>
              <w:rPr>
                <w:sz w:val="20"/>
                <w:szCs w:val="20"/>
                <w:color w:val="auto"/>
              </w:rPr>
            </w:pPr>
            <w:r>
              <w:rPr>
                <w:rFonts w:ascii="Arial" w:cs="Arial" w:eastAsia="Arial" w:hAnsi="Arial"/>
                <w:sz w:val="18"/>
                <w:szCs w:val="18"/>
                <w:color w:val="auto"/>
              </w:rPr>
              <w:t>of taxes</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2009</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3"/>
              </w:rPr>
              <w:t>31,092</w:t>
            </w:r>
          </w:p>
        </w:tc>
        <w:tc>
          <w:tcPr>
            <w:tcW w:w="24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40" w:type="dxa"/>
            <w:vAlign w:val="bottom"/>
            <w:vMerge w:val="restart"/>
          </w:tcPr>
          <w:p>
            <w:pPr>
              <w:spacing w:after="0" w:line="20" w:lineRule="exact"/>
              <w:rPr>
                <w:sz w:val="1"/>
                <w:szCs w:val="1"/>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416,579</w:t>
            </w:r>
          </w:p>
        </w:tc>
        <w:tc>
          <w:tcPr>
            <w:tcW w:w="10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vMerge w:val="restart"/>
          </w:tcPr>
          <w:p>
            <w:pPr>
              <w:spacing w:after="0"/>
              <w:rPr>
                <w:sz w:val="20"/>
                <w:szCs w:val="20"/>
                <w:color w:val="auto"/>
              </w:rPr>
            </w:pPr>
            <w:r>
              <w:rPr>
                <w:rFonts w:ascii="Arial" w:cs="Arial" w:eastAsia="Arial" w:hAnsi="Arial"/>
                <w:sz w:val="18"/>
                <w:szCs w:val="18"/>
                <w:color w:val="auto"/>
              </w:rPr>
              <w:t>(25,000)</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9"/>
              </w:rPr>
              <w:t>$ (180,470)</w:t>
            </w:r>
          </w:p>
        </w:tc>
        <w:tc>
          <w:tcPr>
            <w:tcW w:w="2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211,155</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8080" w:type="dxa"/>
            <w:vAlign w:val="bottom"/>
            <w:gridSpan w:val="15"/>
          </w:tcPr>
          <w:p>
            <w:pPr>
              <w:ind w:left="354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F-4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3,912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12,994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11,563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(gain) on disposal of fixed assets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Impairment loss on equipment and intagible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8,198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Excess tax benefits from equity based awards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benefit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30,615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(6,851)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3,930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(15,551)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36,661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25,800</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49,980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(5,770)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(8,609)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Purchases of intangible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(76,967)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(85,094)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Securities maturities/sales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66,399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88,005</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69,570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(17,404)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(35,085)</w:t>
            </w:r>
          </w:p>
        </w:tc>
        <w:tc>
          <w:tcPr>
            <w:tcW w:w="0" w:type="dxa"/>
            <w:vAlign w:val="bottom"/>
          </w:tcPr>
          <w:p>
            <w:pPr>
              <w:spacing w:after="0"/>
              <w:rPr>
                <w:sz w:val="1"/>
                <w:szCs w:val="1"/>
                <w:color w:val="auto"/>
              </w:rPr>
            </w:pP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(24,581)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77,733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84,600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100,025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77,733</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84,600</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Interest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current products principally includes third generation, or 3G, intelligent mobile hotspots, communications and applications software, USB modems, embedded PCI express mini card modems and wireless PC card and ExpressCard modems. Through the integration of our hardware and software, our products are designed to operate on the world’s wireless networks and provide mobile subscribers with secure and convenient high speed access to corporate, public and personal information through the Internet and enterprise networks.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assets and liabilities. Actual results could differ materially from these estimates. Significant estimates include allowance for doubtful accounts receivable, provision for excess and obsolete inventory, valuation of intangible and long-lived assets, royalty costs, provision for warranty costs, income taxes and share-based compensation expense.</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actual results could differ significantly from these estimates, particularly those related to the condition of the economy.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Cash and cash equivalents include highly liquid investments with original maturities of three months or less at the time of acquisition. Cash and cash equivalents consist of demand deposits and money market funds. Cash and cash equivalents are recorded at market value, which approximates cost. Gains and losses associated with the Company’s foreign currency denominated demand deposits are recorded as a component of other income.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 If the financial condition of the Company’s customers deteriorates resulting in an impairment of their ability to make payments, additional allowances may be required.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accounts for its marketable securities in accordance with Accounting Standards Codification (“ASC”) Topic 320. All of the Company’s marketable securities are treated as “available-for-sale” as defined in this accounting guidance. Marketable securities consist of highly liquid investments with a maturity of greater than three months when purchased. While it is the Company’s intent to hold such securities until maturity, the Company may sell certain securities for cash flow purposes. Thus, the Company’s marketable securities are classified as available-for-sale and are carried on the balance sheet at fair value with the related unrealized gains and losses included in accumulated other comprehensive income (loss), a component of stockholders’ equity. Realized gains and losses on the sale of marketable securities are determined using the specific-identification method.</w:t>
      </w:r>
    </w:p>
    <w:p>
      <w:pPr>
        <w:spacing w:after="0" w:line="12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Company determines the fair value of its financial assets and liabilities by reference to the hierarchy of inputs contained in ASC Topic 820. This hierarchy on inputs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10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Company classifies its marketable securities as current or non-current in accordance with ASC Topic 210. All securities whose maturity or sale is expected within one year are classified as “current” on the consolidated balance sheet. All other securities are classified as “long term” on the consolidated balance sheet.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Inventories are stated at the lower of cost (first-in, first-out method) or market. Shipping and handling costs are classified as a component of cost of revenue in the consolidated statements of income.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Property and equipment are stated at cost and depreciated using the straight-line method. Test equipment, computer equipment, purchased software, furniture, and fixtures and product tooling are depreciated over lives ranging from eighteen months to five years and leasehold improvements are depreciated over the shorter of the related lease period or useful life. Amortization of assets held under capital leases is included in depreciation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Intangible assets include the costs of non-exclusive and perpetual worldwide software technology licenses. The Company’s intangible asset licenses primarily consist of software license agreements for research and development or production purposes. These costs are amortized on a straight-line basis over the estimated useful lives of the assets, which the Company typically estimates as one year for research and development licenses, and two years for production licenses.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and equipment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is expensed as a part of continuing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revenue is principally generated from the sale of wireless modems to wireless operators, OEM customers and value added resellers and distributors. Revenue from product sales is recognized upon the later of transfer of title or shipment of the product to the customer. Where the transfer of title or risk of loss is contingent on the customer’s acceptance of the product, the Company will not recognize revenue until both title and risk of loss have transferred to the customer. The Company records deferred revenue for cash payments received from customers in advance of when revenue recognition criteria are met. The Company has granted price protection to certain customers in accordance with the provisions of the respective contracts and tracks pricing and other terms offered to customers buying similar products to assess compliance with these provisions. The Company estimates the amount of price protection for current period product sales utilizing historical experience and information regarding customer inventory levels. To date, the Company has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the Company, or the fair value of the advertising benefit cannot be reliably estimated, such amounts are recorded as a reduction of revenue. The Company establishes reserves for estimated product returns allowances in the period in which revenue is recognized. In estimating future product returns, the Company considers various factors, including the Company’s stated return policies and practices and historical trends.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arrangements in which our hardware and software are delivered concurrently, the Company does not provide significant post contract customer support (“PCS”) and recognizes revenue upon the delivery of the of the hardware product, assuming all other basic revenue recognition criteria are met. As of December 31, 2009, the Company has not recorded any significant revenues from separate software sales.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the cost to replace or repair products under warranty. The warranty provision for its products is determined by using a financial model to estimate future warranty costs. The Company’s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Royalty Costs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Company has intellectual property license agreements which generally require the Company to make royalty payments based on a percentage of the revenue generated by sales of products incorporating the licensed technology. The Company recognizes royalty obligations in accordance with the terms of the respective royalty agreements. Royalty costs are recorded as a component of cost of revenues in the period when incurred.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our estimate of taxes payable to or refundable by tax authorities in the current fiscal year. The Company also recognizes federal, state and foreign deferred tax liabilities or assets based on our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 decrease in the Company’s effective tax rate and an adverse impact on operating results. The Company will continue to evaluate the necessity of the valuation allowance based on the remaining deferred tax assets.</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an income tax return at the largest amount that is more-likely-than-not to be sustained upon audit by the relevant taxing authority. An uncertain income tax position will not be recognized if it has less than a 50% likelihood of being sustained.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derivative financial instruments consist solely of foreign currency forward exchange contracts. The purpose of these derivative instruments is to hedge the Company’s economic exposure associated with accounts receivable and cash balances denominated in Euros. The Company’s forward contracts do not qualify as accounting hedges. As a result, the Company marks-to-market the forward contracts and includes unrealized gains and losses in the current period as a component of other income (expense) in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is currently involved in certain legal proceedings. The Company will record a loss when the Company determines information 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color w:val="auto"/>
        </w:rPr>
        <w:t>The Company has granted stock options to employees and restricted stock units. The Company also has an employee stock purchase plan (ESPP) for all eligible employees. The Company measures the compensation cost associated with all share-based payments based on grant date fair values. The fair value of each employee stock option and employee stock purchase right is estimated on the date of grant using an option pricing model that meets certain requirements.</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Company currently uses the Black-Scholes option pricing model to estimate the fair value of our stock options and stock purchase rights. The Black-Scholes model is considered an acceptable model but the fair values generated by it may not be indicative of the actual fair values of our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our stock price and a number of assumptions, including expected volatility, expected term, risk-free interest rate and expected dividends.</w:t>
      </w:r>
    </w:p>
    <w:p>
      <w:pPr>
        <w:spacing w:after="0" w:line="11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grants of incentive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incentive stock options is based on its belief that while that implied volatility is representative of expected future volatility, the historical volatility over the expected term of the award is also an indicator of expected future volatility. Due to the short duration of employee stock purchase rights, the Company utilizes historical volatility in order to estimate the expected volatility assumption of the Black-Sholes Model.</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expected term of incentive stock options granted is estimated using the average of the vesting date, the contractual term and historical experience. The expected term of an employee stock purchase right is the contractual term of that right. The risk-free interest rate assumption is based on observed interest rates appropriate for the expected terms of our stock options and employee stock purchase rights. The dividend yield assumption is based on the Company’s history and expectation of no dividend payouts. The fair value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Company’s restricted stock units is based on the closing market price of its common stock on the date of grant. The Company will evaluate the assumptions used to value stock awards on a quarterly basis. If factors change and the Company employs different assumptions, stock-based compensation expense may differ significantly from what it has recorded in the past. If there are any modifications or cancellations of the underlying unvested securities, the Company may be required to accelerate, increase or cancel any remaining unearned stock-based compensation expense. To the extent that the Company grants additional equity securities to employees or it assumes unvested securities in connection with any acquisitions, its stock-based compensation expense will be increased by the additional unearned compensation resulting from those additional grants or acquisitions.</w:t>
      </w:r>
    </w:p>
    <w:p>
      <w:pPr>
        <w:spacing w:after="0" w:line="12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recognizes share-based compensation expense using the straight-line method for awards that contain only service conditions. For awards that contain performance conditions, the Company recognizes the share-based compensation expense on a straight-line basis for each vesting tranche. The Company estimates forfeitures at the time of grant and revises these estimates, if necessary, in subsequent periods if actual forfeitures differ from those estimates. The Company estimates its forfeiture rate assumption for all types of share based compensation awards based historical forfeiture rates related to each category of award.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(Loss) Per Share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income (loss) per share excludes dilution and is computed by dividing the net income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expenses approximate their fair value due to their short-term nature. The Company performs credit evaluations of key customers and management believes it is not exposed to significant credit risk on its accounts receivable in excess of established reserves.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consists of net earnings and unrealized gains and losses on available-for-sale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jc w:val="center"/>
        <w:ind w:right="40"/>
        <w:spacing w:after="0" w:line="370" w:lineRule="auto"/>
        <w:rPr>
          <w:sz w:val="20"/>
          <w:szCs w:val="20"/>
          <w:color w:val="auto"/>
        </w:rPr>
      </w:pPr>
      <w:r>
        <w:rPr>
          <w:rFonts w:ascii="Arial" w:cs="Arial" w:eastAsia="Arial" w:hAnsi="Arial"/>
          <w:sz w:val="15"/>
          <w:szCs w:val="15"/>
          <w:color w:val="auto"/>
        </w:rPr>
        <w:t>The Company identifies its operating segments based on how management internally evaluates separate financial information, business activities and management responsibility. The Company operates in a single business segment consisting of the development, manufacture and sale of wireless access products.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October 2009, the FASB issued new revenue recognition standards for arrangements with multiple deliverables, where certain of those deliverables are non-software related. The new standards require entities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initially use management’s best estimate of selling price to value individual deliverables when those deliverables do not have VSOE of fair value or when third-party evidence is not available. Additionally, these new standards modify the manner in which the transaction consideration is allocated across the separately identified deliverables by no longer permitting the residual method of allocating arrangement consideration. These new standards are effective for annual periods ending after June 15, 2010, however early adoption is permitted. In accordance with the transition provisions of the revised standard, the Company prospectively adopted the provisions of guidance on January 1, 2010. The adoption of these provisions is not expected to have a material impact on the Company’s consolidated financial statements.</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October 2009, the FASB issued new revenue recognition standards for revenue arrangements that contain tangible products and software. These new standards change the scope of existing accounting guidance related to revenue arrangements containing software deliverables to exclude from its scope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These new standards are effective for annual periods ending after June 15, 2010, however early adoption is permitted. Additionally, adoption of these standards is required in the period in which the Company adopts the FASB’s revised standards on revenue recognition with multiple deliverables. In accordance with the transition provisions of the revised standard, the Company prospectively adopted the provisions of guidance on January 1, 2010. The adoption of these provisions is not expected to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 of Assets and Liabilities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Company’s cash equivalents and marketable securities are generally classified within level 1 or level 2 of the fair value hierarchy because they are valued using quoted market prices, broker or dealer quotations, or alternative pricing sources with reasonable levels of price transparency. The Company maintains an investment portfolio of various security holdings, types and maturities. The Company places its cash equivalents and investments in instruments that meet credit quality standards, as specified in its investment policy guidelines. These guidelines also limit the amount of credit exposure to any one issue, issuer or type of instrument. The Company’s foreign exchange forward contracts are valued using pricing models that take into account the currency rates as of the balance sheet date.</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Company’s investments in financial instruments valued based on quoted market prices in active markets are its investments in money market securities. Such instruments are generally classified within level 1 of the fair value hierarchy.</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 deposits, government and agency securities, and foreign exchange forward contracts. These instruments are generally classified within level 2 of the fair value hierarchy.</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of December 31, 2009, the Company did not have any financial instruments without observable market values that would require a high level of judgment to determine fair value (level 3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financial instruments measured at fair value on a recurring basis as of December 31, 2009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as of</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67,065</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67,065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67,065</w:t>
            </w:r>
          </w:p>
        </w:tc>
        <w:tc>
          <w:tcPr>
            <w:tcW w:w="5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67,065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Corporate debenture/bonds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8,403</w:t>
            </w:r>
          </w:p>
        </w:tc>
        <w:tc>
          <w:tcPr>
            <w:tcW w:w="5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27,664</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6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debenture/bonds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10,968</w:t>
            </w:r>
          </w:p>
        </w:tc>
        <w:tc>
          <w:tcPr>
            <w:tcW w:w="5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w:t>
            </w:r>
          </w:p>
        </w:tc>
        <w:tc>
          <w:tcPr>
            <w:tcW w:w="5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48,355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6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143,114</w:t>
            </w:r>
          </w:p>
        </w:tc>
        <w:tc>
          <w:tcPr>
            <w:tcW w:w="5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67,065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76,049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31, 2009, the total amount of outstanding foreign exchange forward contracts amounted to €2.6 million ($3.7 million using the exchange rate of $1.43 at December 31, 2009). These contracts are used to hedge the Company’s Euro-denominated cash and accounts receivable balances. At December 31, 2009 and 2008, the Company recorded an unrealized gain of $30,000, and unrealized losses of $671,000, respectively, on its outstanding foreign currency forward exchange contracts.</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For the years ended December 31, 2009, 2008 and 2007, the Company recorded gains of $446,000, losses of $323,000 and losses of $60,000, respectively, on its Euro denominated foreign exchange forward contracts. During the years ended December 31, 2009 and 2008, the Company recorded foreign currency losses on foreign currency denominated transactions of approximately $420,000 and $406,000, respectively. During the year ended December 31, 2007, the Company recorded foreign currency gains of $495,000. All recorded gains and losses on foreign exchange transactions are recorded in other income (expense).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900" w:firstLine="8"/>
        <w:spacing w:after="0" w:line="347" w:lineRule="auto"/>
        <w:tabs>
          <w:tab w:leader="none" w:pos="44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Details </w:t>
      </w:r>
      <w:r>
        <w:rPr>
          <w:rFonts w:ascii="Arial" w:cs="Arial" w:eastAsia="Arial" w:hAnsi="Arial"/>
          <w:sz w:val="18"/>
          <w:szCs w:val="18"/>
          <w:i w:val="1"/>
          <w:iCs w:val="1"/>
          <w:color w:val="auto"/>
        </w:rPr>
        <w:t>Marketable Securities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Amortized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 or less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 or less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14,755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 or less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27,626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27,664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10,984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48,369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48,355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$ 75,995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$ 76,019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Amortized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 or less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 or less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 or less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26,902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 or less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21,965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58,537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Corporate debenture/bonds</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60" w:type="dxa"/>
            <w:vAlign w:val="bottom"/>
            <w:gridSpan w:val="3"/>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 to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6,865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$ 65,402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$ 65,498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2009, 2008, and 2007, the Company recorded net unrealized gains of $24,000 ($15,000 net of taxes), $96,000 ($62,000 net of taxes) and $83,000 ($65,000 net of taxes), respectively. The Company’s net unrealized gains are the result of market conditions affecting fixed-income securities and are included in accumulated other comprehensive income in the consolidated balance sheets.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December 31, 2009, the Company did not have any investments in individual securities that have been in a continuous unrealized loss position deemed to be temporary for more than twelve months. Because the Company’s general intent is to hold its investment securities to maturity, and considering the high quality of the investment securities, the Company believes that the unrealized losses at December 31, 2009 represent a temporary condition and will not result in realized losses on sale or maturity of the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70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$ 22,515</w:t>
            </w:r>
          </w:p>
        </w:tc>
        <w:tc>
          <w:tcPr>
            <w:tcW w:w="20" w:type="dxa"/>
            <w:vAlign w:val="bottom"/>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3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r>
      <w:tr>
        <w:trPr>
          <w:trHeight w:val="216"/>
        </w:trPr>
        <w:tc>
          <w:tcPr>
            <w:tcW w:w="550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$ 24,973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$ 23,229</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Test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37,887</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$ 34,950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10,689</w:t>
            </w:r>
          </w:p>
        </w:tc>
        <w:tc>
          <w:tcPr>
            <w:tcW w:w="3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8,989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1,763</w:t>
            </w:r>
          </w:p>
        </w:tc>
        <w:tc>
          <w:tcPr>
            <w:tcW w:w="3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1,735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8"/>
                <w:szCs w:val="18"/>
                <w:color w:val="auto"/>
              </w:rPr>
            </w:pPr>
          </w:p>
        </w:tc>
      </w:tr>
      <w:tr>
        <w:trPr>
          <w:trHeight w:val="221"/>
        </w:trPr>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55,190</w:t>
            </w:r>
          </w:p>
        </w:tc>
        <w:tc>
          <w:tcPr>
            <w:tcW w:w="32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53,642</w:t>
            </w: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(40,279)</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(33,417)</w:t>
            </w:r>
          </w:p>
        </w:tc>
      </w:tr>
      <w:tr>
        <w:trPr>
          <w:trHeight w:val="222"/>
        </w:trPr>
        <w:tc>
          <w:tcPr>
            <w:tcW w:w="8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14,911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$ 20,225</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carrying values of long-lived assets are reviewed for impairment whenever events or changes in circumstances indicate that the recorded value cannot be recovered from the undiscounted future cash flows. When the carrying value of an asset exceeds the associated undiscounted expected future cash flows, it is considered to be impaired and is written down to fair value, which is determined based on either undiscounted future cash flows or appraised values</w:t>
      </w:r>
      <w:r>
        <w:rPr>
          <w:rFonts w:ascii="Arial" w:cs="Arial" w:eastAsia="Arial" w:hAnsi="Arial"/>
          <w:sz w:val="16"/>
          <w:szCs w:val="16"/>
          <w:i w:val="1"/>
          <w:iCs w:val="1"/>
          <w:color w:val="auto"/>
        </w:rPr>
        <w:t>.</w:t>
      </w:r>
      <w:r>
        <w:rPr>
          <w:rFonts w:ascii="Arial" w:cs="Arial" w:eastAsia="Arial" w:hAnsi="Arial"/>
          <w:sz w:val="16"/>
          <w:szCs w:val="16"/>
          <w:color w:val="auto"/>
        </w:rPr>
        <w:t xml:space="preserve"> For the years ended December 31, 2009 and 2008, the Company recorded $92,000 and $638,000, respectively, in its cost of revenues as a result of its impairment analysis. There was no impairment loss recorded for the year ended December 31, 2007.</w:t>
      </w:r>
    </w:p>
    <w:p>
      <w:pPr>
        <w:spacing w:after="0" w:line="1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Depreciation and amortization expense relating to property and equipment was $11.4 million, $10.6 million and $9.9 million for the years ended December 31, 2009,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HSUPA, HSDPA, UMTS, and GPRS licenses</w:t>
            </w:r>
          </w:p>
        </w:tc>
        <w:tc>
          <w:tcPr>
            <w:tcW w:w="5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$ 1,901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EV-DO and CDMA licenses</w:t>
            </w:r>
          </w:p>
        </w:tc>
        <w:tc>
          <w:tcPr>
            <w:tcW w:w="44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2,053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4,456</w:t>
            </w:r>
          </w:p>
        </w:tc>
      </w:tr>
      <w:tr>
        <w:trPr>
          <w:trHeight w:val="27"/>
        </w:trPr>
        <w:tc>
          <w:tcPr>
            <w:tcW w:w="41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10,428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Less—accumulated amortization</w:t>
            </w:r>
          </w:p>
        </w:tc>
        <w:tc>
          <w:tcPr>
            <w:tcW w:w="44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(2,441)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(8,568)</w:t>
            </w:r>
          </w:p>
        </w:tc>
      </w:tr>
      <w:tr>
        <w:trPr>
          <w:trHeight w:val="27"/>
        </w:trPr>
        <w:tc>
          <w:tcPr>
            <w:tcW w:w="41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$ 1,513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r>
      <w:tr>
        <w:trPr>
          <w:trHeight w:val="20"/>
        </w:trPr>
        <w:tc>
          <w:tcPr>
            <w:tcW w:w="4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5340" w:type="dxa"/>
            <w:vAlign w:val="bottom"/>
            <w:gridSpan w:val="3"/>
          </w:tcPr>
          <w:p>
            <w:pPr>
              <w:jc w:val="right"/>
              <w:ind w:right="4080"/>
              <w:spacing w:after="0"/>
              <w:rPr>
                <w:sz w:val="20"/>
                <w:szCs w:val="20"/>
                <w:color w:val="auto"/>
              </w:rPr>
            </w:pPr>
            <w:r>
              <w:rPr>
                <w:rFonts w:ascii="Arial" w:cs="Arial" w:eastAsia="Arial" w:hAnsi="Arial"/>
                <w:sz w:val="18"/>
                <w:szCs w:val="18"/>
                <w:color w:val="auto"/>
              </w:rPr>
              <w:t>F-15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monitors its intangible and long-lived asset balances and conducts formal tests on at least an annual basis or earlier when impairment indicators are present. There was no impairment loss recorded for the year ended December 31, 2009. For the year ended December 31, 2008, the Company recorded $202,000, in its cost of revenues as a result of its impairment analysis. There was no impairment loss recorded for the year ended December 31, 2007.</w:t>
      </w:r>
    </w:p>
    <w:p>
      <w:pPr>
        <w:spacing w:after="0" w:line="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Amortization expense relating to intangible licenses was $1.6 million, $1.0 million and $1.1 million for the years ended December 31, 2009, 2008 and 2007, respectively. Amortization expense related to licenses obtained for research purposes is recorded within research and development expense in the consolidated financial statements. Amortization expense related to licenses obtained for commercial products is recorded in cost of revenues in the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estimated amortization expense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835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2011</w:t>
            </w: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1,513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gridSpan w:val="4"/>
            <w:vMerge w:val="restart"/>
          </w:tcPr>
          <w:p>
            <w:pPr>
              <w:ind w:left="460"/>
              <w:spacing w:after="0"/>
              <w:rPr>
                <w:sz w:val="20"/>
                <w:szCs w:val="20"/>
                <w:color w:val="auto"/>
              </w:rPr>
            </w:pPr>
            <w:r>
              <w:rPr>
                <w:rFonts w:ascii="Arial" w:cs="Arial" w:eastAsia="Arial" w:hAnsi="Arial"/>
                <w:sz w:val="18"/>
                <w:szCs w:val="18"/>
                <w:color w:val="auto"/>
                <w:w w:val="88"/>
              </w:rPr>
              <w:t>At December 31, 2009, the weighted average remaining useful life of the Company’s intangible assets is twenty-one months.</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80" w:type="dxa"/>
            <w:vAlign w:val="bottom"/>
            <w:gridSpan w:val="4"/>
          </w:tcPr>
          <w:p>
            <w:pPr>
              <w:spacing w:after="0"/>
              <w:rPr>
                <w:sz w:val="20"/>
                <w:szCs w:val="20"/>
                <w:color w:val="auto"/>
              </w:rPr>
            </w:pPr>
            <w:r>
              <w:rPr>
                <w:rFonts w:ascii="Arial" w:cs="Arial" w:eastAsia="Arial" w:hAnsi="Arial"/>
                <w:sz w:val="18"/>
                <w:szCs w:val="18"/>
                <w:i w:val="1"/>
                <w:iCs w:val="1"/>
                <w:color w:val="auto"/>
              </w:rPr>
              <w:t>Accrued Expenses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80" w:type="dxa"/>
            <w:vAlign w:val="bottom"/>
            <w:gridSpan w:val="4"/>
          </w:tcPr>
          <w:p>
            <w:pPr>
              <w:ind w:left="460"/>
              <w:spacing w:after="0"/>
              <w:rPr>
                <w:sz w:val="20"/>
                <w:szCs w:val="20"/>
                <w:color w:val="auto"/>
              </w:rPr>
            </w:pPr>
            <w:r>
              <w:rPr>
                <w:rFonts w:ascii="Arial" w:cs="Arial" w:eastAsia="Arial" w:hAnsi="Arial"/>
                <w:sz w:val="18"/>
                <w:szCs w:val="18"/>
                <w:color w:val="auto"/>
              </w:rPr>
              <w:t>Accrued expenses consist of the following (in thousands):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Royalties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Payroll and related</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Market development fund and price protection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23,236</w:t>
            </w:r>
          </w:p>
        </w:tc>
        <w:tc>
          <w:tcPr>
            <w:tcW w:w="10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$ 20,628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Basic earnings per share (“EPS”) excludes dilution and is computed by dividing net income or loss by the weighted-average number of common shares outstanding for the period. Diluted EPS reflects the potential dilution that could occur if securities or other contracts to issue common stock were exercised or converted into common stock.</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Potentially dilutive securities (currently consisting of options, warrants, restricted stock and employee stock purchase plan withholdings using the treasury stock method) are excluded from the diluted EPS computation in loss periods and when their exercise price is greater than the market price as the effect would be anti-dilutive.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years ended December 31, 2009, 2008 and 2007, respectively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20" w:type="dxa"/>
            <w:vAlign w:val="bottom"/>
            <w:tcBorders>
              <w:bottom w:val="single" w:sz="8" w:color="auto"/>
            </w:tcBorders>
            <w:gridSpan w:val="5"/>
          </w:tcPr>
          <w:p>
            <w:pPr>
              <w:jc w:val="center"/>
              <w:ind w:left="397"/>
              <w:spacing w:after="0"/>
              <w:rPr>
                <w:sz w:val="20"/>
                <w:szCs w:val="20"/>
                <w:color w:val="auto"/>
              </w:rPr>
            </w:pPr>
            <w:r>
              <w:rPr>
                <w:rFonts w:ascii="Arial" w:cs="Arial" w:eastAsia="Arial" w:hAnsi="Arial"/>
                <w:sz w:val="14"/>
                <w:szCs w:val="14"/>
                <w:b w:val="1"/>
                <w:bCs w:val="1"/>
                <w:color w:val="auto"/>
                <w:w w:val="87"/>
              </w:rPr>
              <w:t>Year Ended December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31,389</w:t>
            </w:r>
          </w:p>
        </w:tc>
        <w:tc>
          <w:tcPr>
            <w:tcW w:w="20" w:type="dxa"/>
            <w:vAlign w:val="bottom"/>
          </w:tcPr>
          <w:p>
            <w:pPr>
              <w:spacing w:after="0"/>
              <w:rPr>
                <w:sz w:val="18"/>
                <w:szCs w:val="18"/>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Options</w:t>
            </w: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Unvested Restricted Stock (including Restricted Stock Units)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Weighted average options, warrants, restricted stock units and ESPP shares to purchase a total of 3,149,937 shares, 3,833,226 shares and 473,183 shares of common stock for the years ended December 31, 2009, 2008 and 2007 respectively, were outstanding but not included in the computation of diluted earnings per share as their effect was anti-dilutive.</w:t>
      </w:r>
    </w:p>
    <w:p>
      <w:pPr>
        <w:spacing w:after="0" w:line="256" w:lineRule="exact"/>
        <w:rPr>
          <w:sz w:val="20"/>
          <w:szCs w:val="20"/>
          <w:color w:val="auto"/>
        </w:rPr>
      </w:pPr>
    </w:p>
    <w:p>
      <w:pPr>
        <w:ind w:left="240" w:right="9300" w:hanging="232"/>
        <w:spacing w:after="0" w:line="391" w:lineRule="auto"/>
        <w:tabs>
          <w:tab w:leader="none" w:pos="45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spacing w:after="0" w:line="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for possible future issuance as of December 31, 2009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Future grants of awards under the 2009 Omnibus Incentive Compensation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18"/>
                <w:szCs w:val="18"/>
                <w:color w:val="auto"/>
              </w:rPr>
            </w:pPr>
          </w:p>
        </w:tc>
      </w:tr>
      <w:tr>
        <w:trPr>
          <w:trHeight w:val="223"/>
        </w:trPr>
        <w:tc>
          <w:tcPr>
            <w:tcW w:w="9960" w:type="dxa"/>
            <w:vAlign w:val="bottom"/>
          </w:tcPr>
          <w:p>
            <w:pPr>
              <w:spacing w:after="0"/>
              <w:rPr>
                <w:sz w:val="20"/>
                <w:szCs w:val="20"/>
                <w:color w:val="auto"/>
              </w:rPr>
            </w:pPr>
            <w:r>
              <w:rPr>
                <w:rFonts w:ascii="Arial" w:cs="Arial" w:eastAsia="Arial" w:hAnsi="Arial"/>
                <w:sz w:val="18"/>
                <w:szCs w:val="18"/>
                <w:color w:val="auto"/>
              </w:rPr>
              <w:t>Shares available under the Employee Stock Purchase Plan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9"/>
                <w:szCs w:val="19"/>
                <w:color w:val="auto"/>
              </w:rPr>
            </w:pPr>
          </w:p>
        </w:tc>
      </w:tr>
      <w:tr>
        <w:trPr>
          <w:trHeight w:val="216"/>
        </w:trPr>
        <w:tc>
          <w:tcPr>
            <w:tcW w:w="9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 of common stock reserved for issuance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During the year ended December 31, 2008, the Company repurchased a total of 2,435,853 shares of its outstanding common stock for $25.0 million The Repurchase Program was completed in the third quarter of 2008. The Company currently holds these repurchased shares as treasury stock.</w:t>
      </w:r>
    </w:p>
    <w:p>
      <w:pPr>
        <w:spacing w:after="0" w:line="20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and Employee Stock Purchase Plans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 ended December 31, 2009, the Company granted awards under two incentive compensation plans, the 2000 Stock Incentive Plan (the “2000 Plan”) and the 2009 Omnibus Incentive Compensation Plan (the “2009 Plan”). The Compensation Committee of the Board of Directors administers both plans.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Under the 2000 Plan, awards typically vest over either a three or a four year period and the plan permits the granting of awards with alternative vesting schedules including vesting based on performance criteria. Under the 2000 Plan, the Company may issue restricted stock units, which upon meeting vesting conditions, allow for employees and non-employee directors to receive common stock. Issuances of such awards reduce common stock available under the 2000 Plan for stock incentive awards. During July 2009, the Company ceased granting awards under the 2000 Plan.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June 2009, the Company’s stockholders approved the 2009 Plan. Under the 2009 Plan, a maximum of 2.5 million shares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years ended December 31, 2009, 2008 and 2007, the following table presents total stock-based compensation expense in each functional line item on our consolidated statements of operations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auto"/>
            </w:tcBorders>
          </w:tcPr>
          <w:p>
            <w:pPr>
              <w:spacing w:after="0"/>
              <w:rPr>
                <w:sz w:val="14"/>
                <w:szCs w:val="14"/>
                <w:color w:val="auto"/>
              </w:rPr>
            </w:pPr>
          </w:p>
        </w:tc>
      </w:tr>
      <w:tr>
        <w:trPr>
          <w:trHeight w:val="142"/>
        </w:trPr>
        <w:tc>
          <w:tcPr>
            <w:tcW w:w="7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2,493</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1,906</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2,382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2,590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4,734</w:t>
            </w: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6,183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9,851</w:t>
            </w: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per share fair values of stock options granted in connection with stock incentive plans and rights granted in connection with the employee stock purchase plan have been estimated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Employee Stock Options</w:t>
            </w:r>
          </w:p>
        </w:tc>
        <w:tc>
          <w:tcPr>
            <w:tcW w:w="3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Employee Stock Purchase Rights</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6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7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7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tcPr>
          <w:p>
            <w:pPr>
              <w:jc w:val="right"/>
              <w:ind w:right="472"/>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80%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5.6</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9"/>
                <w:szCs w:val="19"/>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Compensation Committee of the Board of Directors determines eligibility, vesting schedules and exercise prices for options granted under the plans. Options granted generally have a term of ten years, and in the case of new hires, generally vest and become exercisable at the rate of 25% after one year and ratably on a monthly basis over a period of thirty-six months thereafter. Subsequent option grants to existing employees generally vest and become exercisable ratably on a monthly basis over a period of forty-eight months measured from the date of grant.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 ended December 31, 2009 is presented below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06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Remaining</w:t>
            </w:r>
          </w:p>
        </w:tc>
        <w:tc>
          <w:tcPr>
            <w:tcW w:w="7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 Per</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72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4"/>
                <w:szCs w:val="14"/>
                <w:color w:val="auto"/>
              </w:rPr>
            </w:pPr>
          </w:p>
        </w:tc>
        <w:tc>
          <w:tcPr>
            <w:tcW w:w="106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(Years)</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15.45</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1,243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6.61</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8.09</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13.35</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13.38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2009</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17.00</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5.22</w:t>
            </w:r>
          </w:p>
        </w:tc>
        <w:tc>
          <w:tcPr>
            <w:tcW w:w="840" w:type="dxa"/>
            <w:vAlign w:val="bottom"/>
            <w:gridSpan w:val="2"/>
            <w:vMerge w:val="restart"/>
          </w:tcPr>
          <w:p>
            <w:pPr>
              <w:ind w:left="720"/>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4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to purchase common stock during the years ended December 31, 2009, 2008 and 2007 was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$633,000, $26,000 and $30.2 million, respectively. As of December 31, 2009, total unrecognized share-based compensation cost related to unvested stock options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was $7.3 million, which is expected to be recognized over a weighted average period of approximately 2.4 years. The total fair value of option awards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expense during the years ended December 31, 2009, 2008 and 2007 was approximately $3.6 million, $3.5 million and $5.9 million, respectively.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fair value of option awards granted during years ended December 31, 2009, 2008 and 2007 was $4.07, $3.82 and $8.37,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2000 and the 2009 Plans, the Company may issue restricted stock units (“RSUs”) that, upon satisfaction of vesting conditions, allow for employees and non-employee directors to receive common stock. Issuances of such awards reduce common stock available under the 2009 Plan for stock incentive awards. The Company measures compensation cost associated with grants of RSUs at fair value, which is generally the closing price of the Company’s stock on the date of grant.</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During 2009, the Compensation Committee of the Board of Directors, pursuant to the Plans, awarded a total of 424,416 RSUs to employees pursuant to the plans at fair values ranging from $5.51 per share to $11.83 per share. Generally, one-third of the shares underlying each grant become issuable on the anniversary of each grant date, assuming continued employment or other qualifying service to the Company through such date. Based on the fair value of the Company’s common stock price at the grant dates, the Company estimated the aggregate fair value of these awards at approximately $2.5 million. The estimated fair value of these awards is being amortized to compensation expense for each grant on a straight-line basis, which is predominately over a three-year service period.</w:t>
      </w:r>
    </w:p>
    <w:p>
      <w:pPr>
        <w:spacing w:after="0" w:line="10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2008, the Compensation Committee of the Board of Directors, pursuant to the 2000 Plan, awarded a total of 83,595 RSUs to employees at fair values ranging from $3.00 per share to $3.50 per share. One-third of the shares underlying each grant becomes issuable on January 16, 2009, 2010, and 2011, assuming continued employment or other qualifying service to the Company through such date. The Company estimated the aggregate fair value of these awards to the employees at approximately $263,000, based on the fair value of the Company’s common stock price at the grant date. The estimated fair value of these awards is being amortized to compensation expense for each grant on a straight-line basis over the three-year service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2007, the Compensation Committee of the Board of Directors, pursuant to the 2000 Plan, awarded a total of 106,773 RSUs to employees and six non-employee directors at fair values ranging $10.40 per share to $25.22 per share. The shares underlying the RSUs become issuable in three equal annual installments beginning on the first anniversary of the grant date, assuming continued employment or other qualifying service to the Company through each vesting date. The Company estimated the aggregate fair value of these awards to the employees and non-employee directors at approximately $1.3 million, based on the fair value of the Company’s common stock price at the grant date. Compensation cost is being amortized to compensation expense for each grant on straight-line basis over the three-year service period.</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2007 and October 2007, the Compensation Committee of the Board of Directors also awarded a total of 100,000 RSUs and 150,000 RSUs pursuant to the 2000 Plan, to certain executives and to the Company’s Executive Chairman, respectively, at fair values of $10.40 and $25.49 per share, respectively. One-third of the shares underlying each grant becomes issuable annually each January, commencing in 2008, subject to achievement of specific operating metrics in fiscal 2007 and continued employment through each vesting date. As of December 31, 2007, all of the operating metrics had been achieved resulting in satisfaction of the performance conditions for the awards. The Company estimated the aggregate fair value of these awards at approximately $4.8 million, which is being amortized to compensation expense on a straight-line basis for each vesting tranche. The total fair value of these performance based RSUs recognized as expense during the years ended December 31, 2009, 2008 and 2007 was approximately $654,000, $1.8 million and $2.4 million, respectively. No performance based equity awards were made to executives the years ended December 31, 2009 or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restricted stock unit activity for the year ended December 31, 2009 is presented below (dollars and shares in thousands, except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7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7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78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December 31, 2009, there was $1.8 million of unrecognized compensation cost related to non-vested RSUs granted under the Company’s incentive plans. That cost is expected to be recognized over a weighted average period of 1.3 years. The total fair value of RSUs recognized as expense during the years ended December 31, 2009, 2008 and 2007 was $2.1 million, $2.2 million and $2.3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Employee Stock Purchase Plan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Company’s 2000 Employee Stock Purchase Plan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In June 2009, the Company’s shareholders approved an amendment to the ESPP to increase the number of shares available for issuance under the ESPP by 750,000 shares, extend the term of the ESPP to June 2019, cease the automatic annual increase in the number of shares available for issuance under the ESPP and make certain other technical changes.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During the years ended December 31, 2009, 2008 and 2007, the Company issued 425,941, 78,050 and 113,433 shares under the ESPP. During the years ended December 31, 2009, 2008 and 2007, the Company received $1.3 million, $726,000 and $1.0 million, respectively, in cash through employee withholdings.</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December 31, 2009, total unrecognized ESPP compensation cost related to ESPP share purchases was $729,000, which is expected to be recognized over a weighted average period of approximately 14.9 months. The total fair value of ESPP awards recognized as expense during the years ended December 31, 2009, 2008 and 2007 was $1.2 million, $494,000 and $493,000, respectively.</w:t>
      </w:r>
    </w:p>
    <w:p>
      <w:pPr>
        <w:spacing w:after="0" w:line="25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2009, 2008 and 2007 were allocated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 income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 stockholders’ equity</w:t>
            </w:r>
          </w:p>
        </w:tc>
        <w:tc>
          <w:tcPr>
            <w:tcW w:w="3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759</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taxes for the years ended December 31, 2009, 2008 and 2007 is comprised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$2,674</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4,439</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59,518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(benefit) for income taxes for the years ended December 31, 2009, 2008 and 2007 is comprised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56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Federal</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3,230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$23,610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342</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Foreign</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3,632</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(3,299)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State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1,054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(1,299)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(4,579)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40" w:type="dxa"/>
            <w:vAlign w:val="bottom"/>
            <w:gridSpan w:val="2"/>
          </w:tcPr>
          <w:p>
            <w:pPr>
              <w:jc w:val="right"/>
              <w:ind w:right="2172"/>
              <w:spacing w:after="0"/>
              <w:rPr>
                <w:sz w:val="20"/>
                <w:szCs w:val="20"/>
                <w:color w:val="auto"/>
              </w:rPr>
            </w:pPr>
            <w:r>
              <w:rPr>
                <w:rFonts w:ascii="Arial" w:cs="Arial" w:eastAsia="Arial" w:hAnsi="Arial"/>
                <w:sz w:val="18"/>
                <w:szCs w:val="18"/>
                <w:color w:val="auto"/>
              </w:rPr>
              <w:t>F-21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deferred tax assets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5,051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obsolescence provision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3,685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6,642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Unrecognized tax benefits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6,094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27,610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(3,897)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23,713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evaluates its deferred tax assets for future realization and reduces it by a valuation allowance to the extent significant uncertainty exists.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factors the Company considers when assessing the likelihood of future realization of deferred tax assets include recent cumulative earnings experience,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expectations of future taxable income, the carryforward periods available for tax reporting purposes and other relevant factors. At December 31, 2009 and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provided a valuation allowance for its deferred tax assets for which significant uncertainty exists regarding the ultimate realization.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the allowance consisted of $2.2 million relating to the Company’s domestic net operating loss and tax credit carryforwards and $1.7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Company’s Canadian deferred tax assets. At December 31, 2008, the allowance consisted of $1.4 million relating to the Company’s domestic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carryforwards and $1.4 million related to certain to the Company’s Canadian deferred tax assets.</w:t>
      </w:r>
    </w:p>
    <w:p>
      <w:pPr>
        <w:spacing w:after="0" w:line="16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Management believes that it is more likely than not that the results of future operations will generate sufficient future taxable income to realize the Company’s remaining deferred tax assets, net of the valuation allowance.</w:t>
      </w:r>
    </w:p>
    <w:p>
      <w:pPr>
        <w:spacing w:after="0" w:line="1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During the years ended December 31, 2009 and 2008, the Company recorded a non-cash deferred income tax expense of $1.2 million and $1.4 million, respectively, related to the changes in the valuation allowances on deferred tax assets. During the year ended 2007, the Company recorded a non-cash deferred income tax benefit of $1.0 million related to the changes in the valuation allowances on deferred tax assets.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in 2009, 34% in 2008, and 35% in 2007 to income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statutory rate</w:t>
            </w:r>
          </w:p>
        </w:tc>
        <w:tc>
          <w:tcPr>
            <w:tcW w:w="3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(745)</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$20,831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(47)</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1,190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1,352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(3,017)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(3,259)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1,083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r>
      <w:tr>
        <w:trPr>
          <w:trHeight w:val="20"/>
        </w:trPr>
        <w:tc>
          <w:tcPr>
            <w:tcW w:w="3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880" w:type="dxa"/>
            <w:vAlign w:val="bottom"/>
          </w:tcPr>
          <w:p>
            <w:pPr>
              <w:spacing w:after="0"/>
              <w:rPr>
                <w:sz w:val="19"/>
                <w:szCs w:val="19"/>
                <w:color w:val="auto"/>
              </w:rPr>
            </w:pPr>
          </w:p>
        </w:tc>
        <w:tc>
          <w:tcPr>
            <w:tcW w:w="3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(947)</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20,756</w:t>
            </w:r>
          </w:p>
        </w:tc>
      </w:tr>
      <w:tr>
        <w:trPr>
          <w:trHeight w:val="20"/>
        </w:trPr>
        <w:tc>
          <w:tcPr>
            <w:tcW w:w="3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3740" w:type="dxa"/>
            <w:vAlign w:val="bottom"/>
            <w:gridSpan w:val="2"/>
          </w:tcPr>
          <w:p>
            <w:pPr>
              <w:jc w:val="right"/>
              <w:ind w:right="2200"/>
              <w:spacing w:after="0"/>
              <w:rPr>
                <w:sz w:val="20"/>
                <w:szCs w:val="20"/>
                <w:color w:val="auto"/>
              </w:rPr>
            </w:pPr>
            <w:r>
              <w:rPr>
                <w:rFonts w:ascii="Arial" w:cs="Arial" w:eastAsia="Arial" w:hAnsi="Arial"/>
                <w:sz w:val="18"/>
                <w:szCs w:val="18"/>
                <w:color w:val="auto"/>
              </w:rPr>
              <w:t>F-22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December 31, 2009, the Company has U.S. federal net operating loss carryforwards of approximately $4.4 million. Federal net operating loss carryforwards expire at various dates from 2011 through 2024. The Company has California net operating loss carryforwards of approximately $5.0 million, which expire at various dates from 2010 through 2014. On September 23, 2008, the State of California passed tax legislation that, among other things, placed a moratorium on the use of net operating loss carryforwards and limited the use of certain tax credits to reduce state income tax liability in 2009. The Company has a California research and development tax credit carryforwards of approximately $3.2 million. The California tax credits have no expiration date. The Company also has federal research and development tax credit carryforwards of approximately $463,000. The federal tax credits expire at various dates from 2024 through 2029.</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The total liability for unrecognized tax benefits as of the date of adoption was $3.7 million. As of December 31, 2009 and 2008, the total liability for unrecognized tax benefits was $20.5 million and $18.6 million, respectively, and is included in other long-term liabilities.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07" w:lineRule="exact"/>
        <w:rPr>
          <w:sz w:val="20"/>
          <w:szCs w:val="20"/>
          <w:color w:val="auto"/>
        </w:rPr>
      </w:pPr>
    </w:p>
    <w:p>
      <w:pPr>
        <w:ind w:left="10320"/>
        <w:spacing w:after="0"/>
        <w:rPr>
          <w:sz w:val="20"/>
          <w:szCs w:val="20"/>
          <w:color w:val="auto"/>
        </w:rPr>
      </w:pPr>
      <w:r>
        <w:rPr>
          <w:rFonts w:ascii="Arial" w:cs="Arial" w:eastAsia="Arial" w:hAnsi="Arial"/>
          <w:sz w:val="14"/>
          <w:szCs w:val="14"/>
          <w:b w:val="1"/>
          <w:bCs w:val="1"/>
          <w:u w:val="single" w:color="auto"/>
          <w:color w:val="auto"/>
        </w:rPr>
        <w:t>Amount</w:t>
      </w:r>
    </w:p>
    <w:p>
      <w:pPr>
        <w:sectPr>
          <w:pgSz w:w="11900" w:h="16838" w:orient="portrait"/>
          <w:cols w:equalWidth="0" w:num="1">
            <w:col w:w="11380"/>
          </w:cols>
          <w:pgMar w:left="240" w:top="459" w:right="279" w:bottom="1440" w:gutter="0" w:footer="0" w:header="0"/>
        </w:sectPr>
      </w:pP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-115570</wp:posOffset>
            </wp:positionV>
            <wp:extent cx="666369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Increases related to current and prior year tax positions</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December 31, 2007</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Increases related to current and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-107315</wp:posOffset>
            </wp:positionV>
            <wp:extent cx="666369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-111125</wp:posOffset>
            </wp:positionV>
            <wp:extent cx="666369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Increases related to current and prior year tax positions</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Unrecognized tax benefits balance at December 31, 2009</w:t>
      </w:r>
    </w:p>
    <w:p>
      <w:pPr>
        <w:spacing w:after="0" w:line="20" w:lineRule="exact"/>
        <w:rPr>
          <w:sz w:val="20"/>
          <w:szCs w:val="20"/>
          <w:color w:val="auto"/>
        </w:rPr>
      </w:pPr>
      <w:r>
        <w:rPr>
          <w:sz w:val="20"/>
          <w:szCs w:val="20"/>
          <w:color w:val="auto"/>
        </w:rPr>
        <w:br w:type="column"/>
      </w:r>
    </w:p>
    <w:p>
      <w:pPr>
        <w:jc w:val="right"/>
        <w:ind w:left="300" w:right="520" w:hanging="317"/>
        <w:spacing w:after="0" w:line="280" w:lineRule="auto"/>
        <w:rPr>
          <w:sz w:val="20"/>
          <w:szCs w:val="20"/>
          <w:color w:val="auto"/>
        </w:rPr>
      </w:pPr>
      <w:r>
        <w:rPr>
          <w:rFonts w:ascii="Arial" w:cs="Arial" w:eastAsia="Arial" w:hAnsi="Arial"/>
          <w:sz w:val="16"/>
          <w:szCs w:val="16"/>
          <w:color w:val="auto"/>
        </w:rPr>
        <w:t>$40,663 676</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41,339</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41,435</w:t>
      </w:r>
    </w:p>
    <w:p>
      <w:pPr>
        <w:spacing w:after="0" w:line="15"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2,590</w:t>
      </w:r>
    </w:p>
    <w:p>
      <w:pPr>
        <w:spacing w:after="0" w:line="9"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$41,135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720"/>
            <w:col w:w="1100"/>
          </w:cols>
          <w:pgMar w:left="240" w:top="459" w:right="279" w:bottom="1440" w:gutter="0" w:footer="0" w:header="0"/>
          <w:type w:val="continuous"/>
        </w:sectPr>
      </w:pPr>
    </w:p>
    <w:p>
      <w:pPr>
        <w:spacing w:after="0" w:line="4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Included in the balances of unrecognized tax benefits at December 31, 2009 are $40.6 million of tax benefits that, if recognized, would affect the effective tax rate. The Company’s estimate of these unrecognized tax benefits does not contemplate the potential impact of deferred tax asset valuation allowances.</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December 31, 2009 and 2008, the Company recorded approximately $1.4 million and $572,000, respectively, of accrued interest related to uncertain tax positions.</w:t>
      </w:r>
    </w:p>
    <w:p>
      <w:pPr>
        <w:spacing w:after="0" w:line="8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the third quarter of 2009, the Company reduced its uncertain tax liability by approximately $3.1 million, including a related interest accrual of approximately $240,000, due to the expiration of the statute of limitations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applicable to the 2005 taxable year and the completion of the examination of its 2006 federal tax return. Approximately $1.4 million of this amount benefited the 2009 tax provision as a discrete item.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anticipate any significant increases or decreases to its unrecognized tax benefits within the next twelve months.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subject to various income tax examinations for the 1996 through 2008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5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Leases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did not purchase equipment under capital leases during the year ended December 31, 2009. During the years ended December 31, 2008 and 2007, the Company purchased equipment under capital leases for $150,000 and $510,000, respectively. At December 31, 2009 and 2008, assets held under capital leases had a net book value of $348,000 and $499,000, respectively, net of accumulated amortization of $312,000 and $161,000, respectively.</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December 31, 2009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7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2011</w:t>
            </w: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Total minimum lease payments</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900" w:type="dxa"/>
            <w:vAlign w:val="bottom"/>
            <w:gridSpan w:val="3"/>
            <w:vMerge w:val="restart"/>
          </w:tcPr>
          <w:p>
            <w:pPr>
              <w:spacing w:after="0"/>
              <w:rPr>
                <w:sz w:val="20"/>
                <w:szCs w:val="20"/>
                <w:color w:val="auto"/>
              </w:rPr>
            </w:pPr>
            <w:r>
              <w:rPr>
                <w:rFonts w:ascii="Arial" w:cs="Arial" w:eastAsia="Arial" w:hAnsi="Arial"/>
                <w:sz w:val="18"/>
                <w:szCs w:val="18"/>
                <w:color w:val="auto"/>
              </w:rPr>
              <w:t>Present value of net minimum lease payments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9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9900" w:type="dxa"/>
            <w:vAlign w:val="bottom"/>
            <w:gridSpan w:val="3"/>
            <w:vMerge w:val="restart"/>
          </w:tcPr>
          <w:p>
            <w:pPr>
              <w:spacing w:after="0"/>
              <w:rPr>
                <w:sz w:val="20"/>
                <w:szCs w:val="20"/>
                <w:color w:val="auto"/>
              </w:rPr>
            </w:pPr>
            <w:r>
              <w:rPr>
                <w:rFonts w:ascii="Arial" w:cs="Arial" w:eastAsia="Arial" w:hAnsi="Arial"/>
                <w:sz w:val="18"/>
                <w:szCs w:val="18"/>
                <w:color w:val="auto"/>
              </w:rPr>
              <w:t>Long-term portion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00" w:type="dxa"/>
            <w:vAlign w:val="bottom"/>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2012.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2009, 2008 and 2007 was $3.1 million, $3.0 million and $4.1 million, respectively. The Company’s office space lease contains incentives in the form of reimbursement from the landlord for a portion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costs of leasehold improvements incurred by the Company which are recorded to rent expense on a straight-line basis over the term of the lease.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future lease payments under non-cancelable operating leases as of December 31, 2009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60" w:type="dxa"/>
            <w:vAlign w:val="bottom"/>
            <w:gridSpan w:val="3"/>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77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2011</w:t>
            </w:r>
          </w:p>
        </w:tc>
        <w:tc>
          <w:tcPr>
            <w:tcW w:w="7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940" w:type="dxa"/>
            <w:vAlign w:val="bottom"/>
            <w:gridSpan w:val="2"/>
          </w:tcPr>
          <w:p>
            <w:pPr>
              <w:ind w:left="420"/>
              <w:spacing w:after="0"/>
              <w:rPr>
                <w:sz w:val="20"/>
                <w:szCs w:val="20"/>
                <w:color w:val="auto"/>
              </w:rPr>
            </w:pPr>
            <w:r>
              <w:rPr>
                <w:rFonts w:ascii="Arial" w:cs="Arial" w:eastAsia="Arial" w:hAnsi="Arial"/>
                <w:sz w:val="18"/>
                <w:szCs w:val="18"/>
                <w:color w:val="auto"/>
              </w:rPr>
              <w:t>Total minimum lease payments</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$ 4,052</w:t>
            </w: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has license agreements which require it to make royalty payments generally based on a percentage of the sales price of its products using certain technologies. During the year ended December 31, 2008, the Company revised its estimate of its contingent liability for royalty costs and reduced its liability by $2.3 million. The change in this estimate was reflected as a reduction of royalty expense in the year ended December 31, 2008. In the years ended 2009, 2008 and 2007, the Company incurred royalty expense of $19.1 million, $14.8 million and $22.0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During 2005 and 2004, the Company entered into management retention agreements with certain of the Company’s executive officers.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 of the employee’s stock incentive awards, a tax equalization payment to eliminate the effects of any applicable excise tax and financial planning and outplacement services.</w:t>
      </w:r>
    </w:p>
    <w:p>
      <w:pPr>
        <w:spacing w:after="0" w:line="10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November 2007, the Company entered into an employment agreement with the Company’s Chief Executive Officer, with an initial term of three years. Under the agreement, Mr. Leparulo will continue to serve as Chairman of the Board and as the Company’s most senior officer. The agreement entitles</w:t>
      </w:r>
    </w:p>
    <w:p>
      <w:pPr>
        <w:spacing w:after="0" w:line="288" w:lineRule="auto"/>
        <w:rPr>
          <w:sz w:val="20"/>
          <w:szCs w:val="20"/>
          <w:color w:val="auto"/>
        </w:rPr>
      </w:pPr>
      <w:r>
        <w:rPr>
          <w:rFonts w:ascii="Arial" w:cs="Arial" w:eastAsia="Arial" w:hAnsi="Arial"/>
          <w:sz w:val="16"/>
          <w:szCs w:val="16"/>
          <w:color w:val="auto"/>
        </w:rPr>
        <w:t>Mr. Leparulo to enumerated severance benefits under various circumstances if Mr. Leparulo’s employment with the Company is terminated. These enumerated severance benefits vary according to whether (a) Mr. Leparulo’s employment with the Company is terminated within the one year period immediately following a change in control (as defined in the agreement) or at the direction of an acquirer in anticipation of such an event; (b) the Company terminates his employment other than for cause or he terminates his employment for good reason; or (c) the Company terminates his employment for cause or he terminates his employment for other than good reason. Depending on the cause of the employment termination, the enumerated severance benefits include a lump sum payment ranging from one to three years annual base salary then in effect, an additional lump sum bonus payment representing certain multiples of his targeted bonus, and varying periods of ongoing employee benefits including health care and outplacement services.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Backe v. Novatel Wireless, Inc., et al. ,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January 2010, the lead plaintiffs filed a motion for class certification, which is scheduled to be heard in April 2010. Discovery in this case is ongoing. The Company intends to defend this litigation vigorously. Due to the preliminary nature of this litigation, the Company is unable to estimate a range of exposure associated with this litigation.</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The plaintiffs are seeking equitable and/or injunctive relief, restitution from the defendants, attorneys’ fees and costs, and other relief. Due to the preliminary nature of this action, the Company is unable to estimate a range of exposure associated with this litigation.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July 6, 2009, SPH America, LLC filed suit in the United States District Court for the Eastern District of Virginia against the Company and numerous other defendants, including original equipment manufacturers of laptops and manufacturers of wireless modems, alleging, among other things, that the defendants’ manufacture, sale and/or use of certain wireless modems infringes various U.S. patents to which plaintiff purportedly has exclusive licensing rights. On October 9, 2009, the court granted defendants’ motion to transfer the lawsuit to the U.S. District Court for the Southern District of California. Due to the preliminary nature of this action, the Company is unable to estimate a range of exposure associated with this litigation.</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July 7, 2009, WIAV Networks, LLC filed suit in the United States District Court for the Eastern District of Texas against the Company and numerous other defendants, including original equipment manufacturers of laptops and manufacturers of wireless modems, alleging, among other things, that the defendants’ manufacture, sale and/or use of certain wireless modems infringes various U.S. patents which plaintiff purportedly owns. Due to the preliminary nature of this action, the Company is unable to estimate a range of exposure associated with this litigation.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9, 2009, DNT, LLC filed a putative patent infringement lawsuit in the United States District Court for the Eastern District of Virginia against several wireless operators, including two of the Company’s customers, Sprint Nextel Corporation and Verizon Wireless, Inc., as defendants. The complaint alleged, among other things, that the defendants’ use, sale and importation of specified wireless modem cards for computers designed to be used in conjunction with the defendants’ cellular networks constituted direct infringement of U.S. Patent No. RE 37,660, which the plaintiff allegedly owned. The complaint also alleged that customer use of the products sold by the defendants constituted indirect infringement of the patent allegedly owned by the plaintiff. The plaintiff sought an amount of damages equal to no less than a reasonable royalty for the sale of each infringing product, an injunction, costs and other relief as appropriate. The Company elected to intervene in this action as a defendant. On December 14, 2009, the jury returned a verdict in favor of all the defendants, finding that none of the named products infringed upon the asserted patent.</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January 16, 2009, Datascape, Inc. filed a putative patent infringement lawsuit in the United States District Court for the Northern District of Georgia against Company customer, Sprint Spectrum, L.P. and affiliates (“Sprint”)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Due to the preliminary nature of this matter, the Company is unable to estimate the range of exposure associated with this matter.</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June 18, 2009, MSTG, Inc. filed a putative patent infringement lawsuit in the United States District Court for the Northern District of Illinois, Eastern Division, against several wireless operators and wireless device providers, including one of the Company’s customers, Sprint Spectrum, L.P., as defendants. The complaint alleges generally that the defendants have engaged in the manufacture, use, importation, sale and/or offer for sale of products, services and technology employing inventions that constitute infringement of U.S. Patent Nos. 5,920,551, 6,198,936 and 6,438,113, which the plaintiff allegedly owns. The plaintiff is seeking an award of damages adequate to compensate MSTG for any infringement (together with pre-judgment interest); an award of all remedies available under 35 U.S.C. Sections 284 and 285; and a permanent injunction prohibiting further infringement and additional relief as may be awarded. The Company is currently evaluating this matter to determine the nature and extent of any obligation to indemnify and/or defend this customer in this lawsuit. Due to the preliminary nature of this action, the Company is unable to estimate the range of exposure associated with this matter.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8, 2009, Celltrace, LLC. filed a putative patent infringement lawsuit in the United States District Court for the Eastern District of Texas, Tyler Division, against several wireless operators, including Company customers, Sprint, Sprint Spectrum L.P. and Cellco Partnership d/b/a Verizon Wireless, as defendants. The complaint alleges generally that the defendants have engaged in making, using, selling, offering for sale and/or leasing certain products, services and systems in Texas that constitute infringement of U.S. Patent Nos. 6,011,976 and 7,551,933, which the plaintiff allegedly owns. The complaint also alleges that each defendant sells and/or offers for sale cellular telephone services which communicate with the defendants’ cellular network that constitute infringement of the patents allegedly owned by the plaintiff. The plaintiff is seeking a reasonable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royalty for the acts of infringement, adjudication of infringement, damages and costs related thereto, attorneys’ fees and costs and additional relief as may be awarded. The Company is currently evaluating this matter to determine the nature and extent of any obligation to indemnify and/or defend its customers in this lawsuit. Due to the preliminary nature of this action, the Company is unable to estimate the range of exposure associated with this matter.</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2009, the Board of Directors of the Company approved, and the Company executed a new form of indemnification agreement with each of its current directors and executive officers. Each indemnification agreement provides, among other things, that the Company will indemnify and defend, to the fullest extent permitted under Delaware law, the covered director or officer against any and all expenses in connection in connection with the director or officer’s service to the Company. Any amounts advanced to an executive officer or director by the Company in connection with action of indemnification may be recovered by the Company if the executive or director is subsequently determined not to be entitled.</w:t>
      </w:r>
    </w:p>
    <w:p>
      <w:pPr>
        <w:spacing w:after="0" w:line="2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 of Risk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and Asia. The following table details the geographic concentration of the Company’s assets in the United States, Canada, Europe and Asia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277,054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253,500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Canada</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4,436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Asia</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282,507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260,731</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9"/>
              </w:rPr>
              <w:t>The following table details the Company’s concentration of net revenues by geographic region:</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85"/>
              </w:rPr>
              <w:t>100.0%</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Substantially all of the Company’s revenue is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 significant portion of the Company’s revenue comes from a small number of customers. Three customers accounted for 38.1%, 20.5% and 10.7% of 2009 net revenues. Four customers accounted for 26.2%, 16.1%, 15.4% and 12.6% of 2008 net revenues. Three customers accounted for 34.9%, 25.9% and 10.9% of 2007 net revenues.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22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 limitations. Employer matching contributions amounted to $858,000, $803,000 and $653,000 for the years ended December 31, 2009, 2008 and 2007, respectively. Employer matching contributions vest over a two-year period.</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amounted to $472,000, $223,000 and $205,000 for the years ended December 31, 2009, 2008 and 2007, respectively.</w:t>
      </w:r>
    </w:p>
    <w:p>
      <w:pPr>
        <w:spacing w:after="0" w:line="25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2008, the Board of Directors (the “Board”) of the Company authorized the Company to engage Mr. John Ross as a consultant to the Company (the “Engagement”). Mr. Ross is currently a member of the Board and was previously employed by the Company from August 2000 until February 2007. Pursuant to the Engagement, Mr. Ross received a monthly fee of $15,000 in exchange for his providing consulting services to the Company with respect to certain strategic initiatives. Total payments made to Mr. Ross during the year ended December 31, 2009 under the Engagement were approximately $162,000. In November of 2009, Mr. Ross was hired by the Company in an executive role, at which point the Engagement was terminated.</w:t>
      </w:r>
    </w:p>
    <w:p>
      <w:pPr>
        <w:spacing w:after="0" w:line="23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2009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Quarter</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4"/>
              </w:rPr>
              <w:t>Second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(in thousands, except per share amounts)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revenues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$70,393</w:t>
            </w:r>
          </w:p>
        </w:tc>
        <w:tc>
          <w:tcPr>
            <w:tcW w:w="24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$84,100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$94,293</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29,805</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3840" w:type="dxa"/>
            <w:vAlign w:val="bottom"/>
            <w:gridSpan w:val="3"/>
          </w:tcPr>
          <w:p>
            <w:pPr>
              <w:jc w:val="right"/>
              <w:ind w:right="112"/>
              <w:spacing w:after="0"/>
              <w:rPr>
                <w:sz w:val="20"/>
                <w:szCs w:val="20"/>
                <w:color w:val="auto"/>
              </w:rPr>
            </w:pPr>
            <w:r>
              <w:rPr>
                <w:rFonts w:ascii="Arial" w:cs="Arial" w:eastAsia="Arial" w:hAnsi="Arial"/>
                <w:sz w:val="18"/>
                <w:szCs w:val="18"/>
                <w:color w:val="auto"/>
              </w:rPr>
              <w:t>(2,463)</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6,223</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common share</w:t>
            </w:r>
          </w:p>
        </w:tc>
        <w:tc>
          <w:tcPr>
            <w:tcW w:w="38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(0.08)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(loss) per common share</w:t>
            </w:r>
          </w:p>
        </w:tc>
        <w:tc>
          <w:tcPr>
            <w:tcW w:w="3840" w:type="dxa"/>
            <w:vAlign w:val="bottom"/>
            <w:gridSpan w:val="3"/>
          </w:tcPr>
          <w:p>
            <w:pPr>
              <w:jc w:val="right"/>
              <w:ind w:right="112"/>
              <w:spacing w:after="0"/>
              <w:rPr>
                <w:sz w:val="20"/>
                <w:szCs w:val="20"/>
                <w:color w:val="auto"/>
              </w:rPr>
            </w:pPr>
            <w:r>
              <w:rPr>
                <w:rFonts w:ascii="Arial" w:cs="Arial" w:eastAsia="Arial" w:hAnsi="Arial"/>
                <w:sz w:val="18"/>
                <w:szCs w:val="18"/>
                <w:color w:val="auto"/>
              </w:rPr>
              <w:t>(0.08)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3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revenues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$87,830</w:t>
            </w:r>
          </w:p>
        </w:tc>
        <w:tc>
          <w:tcPr>
            <w:tcW w:w="24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$89,630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$78,398</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21,711</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22,678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16,663</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952</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(1,046)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common share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(loss) per common share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0.03</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(0.03)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840" w:type="dxa"/>
            <w:vAlign w:val="bottom"/>
            <w:gridSpan w:val="3"/>
          </w:tcPr>
          <w:p>
            <w:pPr>
              <w:jc w:val="right"/>
              <w:ind w:right="2572"/>
              <w:spacing w:after="0"/>
              <w:rPr>
                <w:sz w:val="20"/>
                <w:szCs w:val="20"/>
                <w:color w:val="auto"/>
              </w:rPr>
            </w:pPr>
            <w:r>
              <w:rPr>
                <w:rFonts w:ascii="Arial" w:cs="Arial" w:eastAsia="Arial" w:hAnsi="Arial"/>
                <w:sz w:val="18"/>
                <w:szCs w:val="18"/>
                <w:color w:val="auto"/>
              </w:rPr>
              <w:t>F-29</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Novatel Wireless, Inc. as of December 31, 2009 and the related consolidated statements of operations, stockholders’ equity and comprehensive income (loss), and cash flows for the year ended December 31, 2009. Our audit also included the financial statement schedule for the year ended December 31, 2009 listed in Schedule II. These financial statements and schedule are the responsibility of the Company’s management. Our responsibility is to express an opinion on these financial statements and financial statement schedule based on our audit.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Novatel Wireless, Inc. as of December 31, 2009, and the consolidated results of its operations and its cash flows for the year ended December 31,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Novatel Wireless, Inc.’s internal control over financial reporting as of December 31, 2009,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and our report dated March 12, 2010 expressed an unqualified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 of Novatel Wireless, Inc. and subsidiaries (the Company) as of December 31, 2008, and the related consolidated statements of operations, stockholders’ equity and comprehensive income (loss), and cash flows for the years ended December 31, 2008 and December 31, 2007. In connection with our audits of the consolidated financial statements, we also have audited financial statement Schedule II. These consolidated financial statements and financial statement schedule are the responsibility of the Company’s management. Our responsibility is to express an opinion on these consolidated financial statements and financial statement Schedule II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Novatel Wireless, Inc. and subsidiaries as of December 31, 2008, and the results of their operations and their cash flows for the years ended December 31, 2008 and December 31, 2007,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jc w:val="both"/>
        <w:ind w:right="440" w:firstLine="456"/>
        <w:spacing w:after="0" w:line="335" w:lineRule="auto"/>
        <w:rPr>
          <w:sz w:val="20"/>
          <w:szCs w:val="20"/>
          <w:color w:val="auto"/>
        </w:rPr>
      </w:pPr>
      <w:r>
        <w:rPr>
          <w:rFonts w:ascii="Arial" w:cs="Arial" w:eastAsia="Arial" w:hAnsi="Arial"/>
          <w:sz w:val="15"/>
          <w:szCs w:val="15"/>
          <w:color w:val="auto"/>
        </w:rPr>
        <w:t xml:space="preserve">As discussed in note 1 to the consolidated financial statements, the Company adopted the disclosure provisions of Statement of Financial Accounting Standards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in 2008, and changed its method of accounting for uncertainty in income taxes in 2007 due to the adoption of Financial Accounting Standards Board Interpretation 48, </w:t>
      </w:r>
      <w:r>
        <w:rPr>
          <w:rFonts w:ascii="Arial" w:cs="Arial" w:eastAsia="Arial" w:hAnsi="Arial"/>
          <w:sz w:val="15"/>
          <w:szCs w:val="15"/>
          <w:i w:val="1"/>
          <w:iCs w:val="1"/>
          <w:color w:val="auto"/>
        </w:rPr>
        <w:t>Accounting for Uncertainty in Income Taxes—an interpretation of FASB Statement No. 109</w:t>
      </w:r>
      <w:r>
        <w:rPr>
          <w:rFonts w:ascii="Arial" w:cs="Arial" w:eastAsia="Arial" w:hAnsi="Arial"/>
          <w:sz w:val="15"/>
          <w:szCs w:val="15"/>
          <w:color w:val="auto"/>
        </w:rPr>
        <w:t>.</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12,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6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Deductions</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4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6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From</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At End</w:t>
            </w:r>
          </w:p>
        </w:tc>
      </w:tr>
      <w:tr>
        <w:trPr>
          <w:trHeight w:val="161"/>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6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3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0"/>
              </w:rPr>
              <w:t>Reserves</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of Year</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8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  1,010</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741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w:t>
            </w:r>
          </w:p>
        </w:tc>
        <w:tc>
          <w:tcPr>
            <w:tcW w:w="2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3,471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3,039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1,464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2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2,746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3,897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2,378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Returns Allowance:</w:t>
            </w:r>
          </w:p>
        </w:tc>
        <w:tc>
          <w:tcPr>
            <w:tcW w:w="2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2009</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356"/>
        </w:trPr>
        <w:tc>
          <w:tcPr>
            <w:tcW w:w="4320" w:type="dxa"/>
            <w:vAlign w:val="bottom"/>
          </w:tcPr>
          <w:p>
            <w:pPr>
              <w:spacing w:after="0"/>
              <w:rPr>
                <w:sz w:val="24"/>
                <w:szCs w:val="24"/>
                <w:color w:val="auto"/>
              </w:rPr>
            </w:pPr>
          </w:p>
        </w:tc>
        <w:tc>
          <w:tcPr>
            <w:tcW w:w="3460" w:type="dxa"/>
            <w:vAlign w:val="bottom"/>
            <w:gridSpan w:val="2"/>
          </w:tcPr>
          <w:p>
            <w:pPr>
              <w:jc w:val="right"/>
              <w:ind w:right="1832"/>
              <w:spacing w:after="0"/>
              <w:rPr>
                <w:sz w:val="20"/>
                <w:szCs w:val="20"/>
                <w:color w:val="auto"/>
              </w:rPr>
            </w:pPr>
            <w:r>
              <w:rPr>
                <w:rFonts w:ascii="Arial" w:cs="Arial" w:eastAsia="Arial" w:hAnsi="Arial"/>
                <w:sz w:val="18"/>
                <w:szCs w:val="18"/>
                <w:color w:val="auto"/>
              </w:rPr>
              <w:t>F-32</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 for</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March 12, 2003, entered into in connection with the Company’s 2003 Series B Convertible Preferred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10.21 to the Company’s Annual Report on Form 10-K for the year ended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Report on Form 10-K for the year ended December 31, 2005, filed March 16, 2006).</w:t>
            </w: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99.1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S-8, filed November 10,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2009 Omnibus Incentive Compensation Plan (incorporated by reference to Exhibit 10.1 to the Company’s Current Report on Form 8-K,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June 24,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2009 Senior Management Incentive Plan (incorporated by reference to Exhibit 10.1 to the Company’s Current Report on Form 8-K, filed July 24,</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2009).</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bl>
    <w:p>
      <w:pPr>
        <w:spacing w:after="0" w:line="61" w:lineRule="exact"/>
        <w:rPr>
          <w:sz w:val="20"/>
          <w:szCs w:val="20"/>
          <w:color w:val="auto"/>
        </w:rPr>
      </w:pPr>
    </w:p>
    <w:p>
      <w:pPr>
        <w:ind w:left="1160" w:hanging="1152"/>
        <w:spacing w:after="0" w:line="268"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97"/>
              </w:rPr>
              <w:t>23.1**</w:t>
            </w:r>
          </w:p>
        </w:tc>
        <w:tc>
          <w:tcPr>
            <w:tcW w:w="6080" w:type="dxa"/>
            <w:vAlign w:val="bottom"/>
          </w:tcPr>
          <w:p>
            <w:pPr>
              <w:ind w:left="340"/>
              <w:spacing w:after="0"/>
              <w:rPr>
                <w:sz w:val="20"/>
                <w:szCs w:val="20"/>
                <w:color w:val="auto"/>
              </w:rPr>
            </w:pPr>
            <w:r>
              <w:rPr>
                <w:rFonts w:ascii="Arial" w:cs="Arial" w:eastAsia="Arial" w:hAnsi="Arial"/>
                <w:sz w:val="18"/>
                <w:szCs w:val="18"/>
                <w:color w:val="auto"/>
                <w:w w:val="89"/>
              </w:rPr>
              <w:t>Consent of Ernst &amp; Young LLP, Independent Registered Public Accounting Firm.</w:t>
            </w:r>
          </w:p>
        </w:tc>
      </w:tr>
      <w:tr>
        <w:trPr>
          <w:trHeight w:val="284"/>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97"/>
              </w:rPr>
              <w:t>23.2**</w:t>
            </w:r>
          </w:p>
        </w:tc>
        <w:tc>
          <w:tcPr>
            <w:tcW w:w="6080" w:type="dxa"/>
            <w:vAlign w:val="bottom"/>
          </w:tcPr>
          <w:p>
            <w:pPr>
              <w:ind w:left="340"/>
              <w:spacing w:after="0"/>
              <w:rPr>
                <w:sz w:val="20"/>
                <w:szCs w:val="20"/>
                <w:color w:val="auto"/>
              </w:rPr>
            </w:pPr>
            <w:r>
              <w:rPr>
                <w:rFonts w:ascii="Arial" w:cs="Arial" w:eastAsia="Arial" w:hAnsi="Arial"/>
                <w:sz w:val="18"/>
                <w:szCs w:val="18"/>
                <w:color w:val="auto"/>
                <w:w w:val="98"/>
              </w:rPr>
              <w:t>Consent of KPMG LLP, Independent Registered Public Accounting Firm.</w:t>
            </w:r>
          </w:p>
        </w:tc>
      </w:tr>
    </w:tbl>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282"/>
        </w:trPr>
        <w:tc>
          <w:tcPr>
            <w:tcW w:w="620" w:type="dxa"/>
            <w:vAlign w:val="bottom"/>
            <w:gridSpan w:val="2"/>
          </w:tcPr>
          <w:p>
            <w:pPr>
              <w:spacing w:after="0"/>
              <w:rPr>
                <w:sz w:val="20"/>
                <w:szCs w:val="20"/>
                <w:color w:val="auto"/>
              </w:rPr>
            </w:pPr>
            <w:r>
              <w:rPr>
                <w:rFonts w:ascii="Arial" w:cs="Arial" w:eastAsia="Arial" w:hAnsi="Arial"/>
                <w:sz w:val="18"/>
                <w:szCs w:val="18"/>
                <w:color w:val="auto"/>
              </w:rPr>
              <w:t>24</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620" w:firstLine="8"/>
        <w:spacing w:after="0" w:line="268"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ectPr>
          <w:pgSz w:w="11900" w:h="16838" w:orient="portrait"/>
          <w:cols w:equalWidth="0" w:num="1">
            <w:col w:w="11180"/>
          </w:cols>
          <w:pgMar w:left="240" w:top="459" w:right="47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60" w:firstLine="3464"/>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Registration Statements:</w:t>
      </w:r>
    </w:p>
    <w:p>
      <w:pPr>
        <w:spacing w:after="0" w:line="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333-163032) pertaining to 2000 Employee Stock Purchase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Registration Statement (Form S-8 No. 333-145482) pertaining to 2000 Stock Incentive Plan and 2000 Employee Stock Purchase Plan;</w:t>
      </w:r>
    </w:p>
    <w:p>
      <w:pPr>
        <w:spacing w:after="0" w:line="113"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333-53692) pertaining to 2000 Stock Incentive Plan, 2000 Employee Stock Purchase Plan and 1997 Stock Incentive Plan;</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S-3 No. 333-162020) and related prospectus pertaining to the registration of $125,000,000 of debt securities, common stock, preferred stock, subscription rights, depositary shares, warrants, purchase contracts and units;</w:t>
      </w:r>
    </w:p>
    <w:p>
      <w:pPr>
        <w:spacing w:after="0" w:line="5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of our reports dated March 12, 2010, with respect to the consolidated financial statements and schedule of Novatel Wireless, Inc., and the effectiveness of internal control over financial reporting of Novatel Wireless, Inc. included in this Annual Report (Form 10-K) for the year ended December 31, 2009.</w:t>
      </w:r>
    </w:p>
    <w:p>
      <w:pPr>
        <w:spacing w:after="0" w:line="8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2010</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(Nos. 333-163033, 333-163032, 333-145482, and 333-53692) on Form S-8 and (No. 333-162020) on Form S-3 of Novatel Wireless, Inc. (the Company) of our report dated March 12, 2010, with respect to the consolidated balance sheet of Novatel Wireless, Inc. as of December 31, 2008, and the related consolidated statements of operations, stockholders’ equity and comprehensive income (loss), and cash flows, and the related financial statement Schedule II for the years ended December 31, 2008 and December 31, 2007, which report appears in the December 31, 2009 annual report on Form 10-K of Novatel Wireless, Inc.</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Our report on the consolidated financial statements contains an explanatory paragraph that states that the Company adopted the disclosure provisions of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in 2008, and changed its method of accounting for uncertainty in income taxes in 2007 due to the adoption of Financial Accounting Standards Board Interpretation 48, </w:t>
      </w:r>
      <w:r>
        <w:rPr>
          <w:rFonts w:ascii="Arial" w:cs="Arial" w:eastAsia="Arial" w:hAnsi="Arial"/>
          <w:sz w:val="18"/>
          <w:szCs w:val="18"/>
          <w:i w:val="1"/>
          <w:iCs w:val="1"/>
          <w:color w:val="auto"/>
        </w:rPr>
        <w:t>Accounting for Uncertainty in Income Taxes—an interpretation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109</w:t>
      </w:r>
      <w:r>
        <w:rPr>
          <w:rFonts w:ascii="Arial" w:cs="Arial" w:eastAsia="Arial" w:hAnsi="Arial"/>
          <w:sz w:val="18"/>
          <w:szCs w:val="18"/>
          <w:color w:val="auto"/>
        </w:rPr>
        <w: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2010</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80"/>
        <w:spacing w:after="0"/>
        <w:tabs>
          <w:tab w:leader="none" w:pos="8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12, 2010</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2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12, 2010</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Peter Leparulo, Chairman and Chief Executive Officer of Novatel Wireless, Inc. (the “Company”), and Kenneth Leddon, Senior Vice President and Chief Financial Officer of the Company, each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88" w:lineRule="exact"/>
        <w:rPr>
          <w:sz w:val="20"/>
          <w:szCs w:val="20"/>
          <w:color w:val="auto"/>
        </w:rPr>
      </w:pPr>
    </w:p>
    <w:p>
      <w:pPr>
        <w:ind w:right="40" w:firstLine="464"/>
        <w:spacing w:after="0" w:line="268" w:lineRule="auto"/>
        <w:tabs>
          <w:tab w:leader="none" w:pos="632"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Annual Report on Form 10-K of the Company for the year ended December 31, 2009 fully complies with the requirements of Section 13(a) or 15(d) of the Exchange Act; and</w:t>
      </w:r>
    </w:p>
    <w:p>
      <w:pPr>
        <w:spacing w:after="0" w:line="126"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 The information contained in the Annual Report on Form 10-K of the Company for the year ended December 31, 2009 fairly presents,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the financial condition of the Company at the end of the period covered by the Annual Report and the results of operations of the Company for the period covered by the Annual Report.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12</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2010.</w:t>
      </w:r>
    </w:p>
    <w:p>
      <w:pPr>
        <w:spacing w:after="0" w:line="200" w:lineRule="exact"/>
        <w:rPr>
          <w:sz w:val="20"/>
          <w:szCs w:val="20"/>
          <w:color w:val="auto"/>
        </w:rPr>
      </w:pPr>
    </w:p>
    <w:p>
      <w:pPr>
        <w:spacing w:after="0" w:line="234" w:lineRule="exact"/>
        <w:rPr>
          <w:sz w:val="20"/>
          <w:szCs w:val="20"/>
          <w:color w:val="auto"/>
        </w:rPr>
      </w:pPr>
    </w:p>
    <w:p>
      <w:pPr>
        <w:ind w:left="8180"/>
        <w:spacing w:after="0"/>
        <w:tabs>
          <w:tab w:leader="none" w:pos="8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8120"/>
        <w:spacing w:after="0"/>
        <w:tabs>
          <w:tab w:leader="none" w:pos="8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2"/>
    </w:lvl>
  </w:abstractNum>
  <w:abstractNum w:abstractNumId="28">
    <w:nsid w:val="2D517796"/>
    <w:multiLevelType w:val="hybridMultilevel"/>
    <w:lvl w:ilvl="0">
      <w:lvlJc w:val="left"/>
      <w:lvlText w:val="%1"/>
      <w:numFmt w:val="decimal"/>
      <w:start w:val="2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3"/>
    </w:lvl>
  </w:abstractNum>
  <w:abstractNum w:abstractNumId="32">
    <w:nsid w:val="70A64E2A"/>
    <w:multiLevelType w:val="hybridMultilevel"/>
    <w:lvl w:ilvl="0">
      <w:lvlJc w:val="left"/>
      <w:lvlText w:val="%1."/>
      <w:numFmt w:val="decimal"/>
      <w:start w:val="4"/>
    </w:lvl>
  </w:abstractNum>
  <w:abstractNum w:abstractNumId="33">
    <w:nsid w:val="6A2342EC"/>
    <w:multiLevelType w:val="hybridMultilevel"/>
    <w:lvl w:ilvl="0">
      <w:lvlJc w:val="left"/>
      <w:lvlText w:val="%1."/>
      <w:numFmt w:val="decimal"/>
      <w:start w:val="5"/>
    </w:lvl>
  </w:abstractNum>
  <w:abstractNum w:abstractNumId="34">
    <w:nsid w:val="2A487CB0"/>
    <w:multiLevelType w:val="hybridMultilevel"/>
    <w:lvl w:ilvl="0">
      <w:lvlJc w:val="left"/>
      <w:lvlText w:val="%1."/>
      <w:numFmt w:val="decimal"/>
      <w:start w:val="6"/>
    </w:lvl>
  </w:abstractNum>
  <w:abstractNum w:abstractNumId="35">
    <w:nsid w:val="1D4ED43B"/>
    <w:multiLevelType w:val="hybridMultilevel"/>
    <w:lvl w:ilvl="0">
      <w:lvlJc w:val="left"/>
      <w:lvlText w:val="%1."/>
      <w:numFmt w:val="decimal"/>
      <w:start w:val="7"/>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8"/>
    </w:lvl>
  </w:abstractNum>
  <w:abstractNum w:abstractNumId="38">
    <w:nsid w:val="57E4CCAF"/>
    <w:multiLevelType w:val="hybridMultilevel"/>
    <w:lvl w:ilvl="0">
      <w:lvlJc w:val="left"/>
      <w:lvlText w:val="%1."/>
      <w:numFmt w:val="decimal"/>
      <w:start w:val="9"/>
    </w:lvl>
  </w:abstractNum>
  <w:abstractNum w:abstractNumId="39">
    <w:nsid w:val="7A6D8D3C"/>
    <w:multiLevelType w:val="hybridMultilevel"/>
    <w:lvl w:ilvl="0">
      <w:lvlJc w:val="left"/>
      <w:lvlText w:val="%1."/>
      <w:numFmt w:val="decimal"/>
      <w:start w:val="10"/>
    </w:lvl>
  </w:abstractNum>
  <w:abstractNum w:abstractNumId="40">
    <w:nsid w:val="4B588F54"/>
    <w:multiLevelType w:val="hybridMultilevel"/>
    <w:lvl w:ilvl="0">
      <w:lvlJc w:val="left"/>
      <w:lvlText w:val="%1."/>
      <w:numFmt w:val="decimal"/>
      <w:start w:val="11"/>
    </w:lvl>
  </w:abstractNum>
  <w:abstractNum w:abstractNumId="41">
    <w:nsid w:val="542289EC"/>
    <w:multiLevelType w:val="hybridMultilevel"/>
    <w:lvl w:ilvl="0">
      <w:lvlJc w:val="left"/>
      <w:lvlText w:val="%1."/>
      <w:numFmt w:val="decimal"/>
      <w:start w:val="12"/>
    </w:lvl>
  </w:abstractNum>
  <w:abstractNum w:abstractNumId="42">
    <w:nsid w:val="6DE91B18"/>
    <w:multiLevelType w:val="hybridMultilevel"/>
    <w:lvl w:ilvl="0">
      <w:lvlJc w:val="left"/>
      <w:lvlText w:val="%1"/>
      <w:numFmt w:val="decimal"/>
      <w:start w:val="2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decimal"/>
      <w:start w:val="5"/>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2019-12-10T14:10:22Z</dcterms:created>
  <dcterms:modified xsi:type="dcterms:W3CDTF">2019-12-10T14:10:22Z</dcterms:modified>
</cp:coreProperties>
</file>