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129"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fiscal year ended December 31, 2022</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11" w:lineRule="exact"/>
        <w:rPr>
          <w:sz w:val="24"/>
          <w:szCs w:val="24"/>
          <w:color w:val="auto"/>
        </w:rPr>
      </w:pPr>
    </w:p>
    <w:p>
      <w:pPr>
        <w:ind w:left="440" w:hanging="421"/>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sz w:val="24"/>
          <w:szCs w:val="24"/>
          <w:color w:val="auto"/>
        </w:rPr>
      </w:pPr>
    </w:p>
    <w:tbl>
      <w:tblPr>
        <w:tblLayout w:type="fixed"/>
        <w:tblInd w:w="23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2680" w:type="dxa"/>
            <w:vAlign w:val="bottom"/>
            <w:gridSpan w:val="2"/>
          </w:tcPr>
          <w:p>
            <w:pPr>
              <w:ind w:left="220"/>
              <w:spacing w:after="0"/>
              <w:rPr>
                <w:sz w:val="20"/>
                <w:szCs w:val="20"/>
                <w:color w:val="auto"/>
              </w:rPr>
            </w:pPr>
            <w:r>
              <w:rPr>
                <w:rFonts w:ascii="Arial" w:cs="Arial" w:eastAsia="Arial" w:hAnsi="Arial"/>
                <w:sz w:val="13"/>
                <w:szCs w:val="13"/>
                <w:b w:val="1"/>
                <w:bCs w:val="1"/>
                <w:color w:val="auto"/>
              </w:rPr>
              <w:t>For the transition period from</w:t>
            </w:r>
          </w:p>
        </w:tc>
        <w:tc>
          <w:tcPr>
            <w:tcW w:w="340" w:type="dxa"/>
            <w:vAlign w:val="bottom"/>
          </w:tcPr>
          <w:p>
            <w:pPr>
              <w:spacing w:after="0"/>
              <w:rPr>
                <w:sz w:val="20"/>
                <w:szCs w:val="20"/>
                <w:color w:val="auto"/>
              </w:rPr>
            </w:pPr>
            <w:r>
              <w:rPr>
                <w:rFonts w:ascii="Arial" w:cs="Arial" w:eastAsia="Arial" w:hAnsi="Arial"/>
                <w:sz w:val="13"/>
                <w:szCs w:val="13"/>
                <w:b w:val="1"/>
                <w:bCs w:val="1"/>
                <w:color w:val="auto"/>
              </w:rPr>
              <w:t>to</w:t>
            </w:r>
          </w:p>
        </w:tc>
        <w:tc>
          <w:tcPr>
            <w:tcW w:w="4340" w:type="dxa"/>
            <w:vAlign w:val="bottom"/>
          </w:tcPr>
          <w:p>
            <w:pPr>
              <w:spacing w:after="0"/>
              <w:rPr>
                <w:sz w:val="14"/>
                <w:szCs w:val="14"/>
                <w:color w:val="auto"/>
              </w:rPr>
            </w:pPr>
          </w:p>
        </w:tc>
      </w:tr>
      <w:tr>
        <w:trPr>
          <w:trHeight w:val="180"/>
        </w:trPr>
        <w:tc>
          <w:tcPr>
            <w:tcW w:w="3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Commission file number: 001-38358</w:t>
            </w:r>
          </w:p>
        </w:tc>
        <w:tc>
          <w:tcPr>
            <w:tcW w:w="4340" w:type="dxa"/>
            <w:vAlign w:val="bottom"/>
          </w:tcPr>
          <w:p>
            <w:pPr>
              <w:spacing w:after="0"/>
              <w:rPr>
                <w:sz w:val="15"/>
                <w:szCs w:val="15"/>
                <w:color w:val="auto"/>
              </w:rPr>
            </w:pPr>
          </w:p>
        </w:tc>
      </w:tr>
      <w:tr>
        <w:trPr>
          <w:trHeight w:val="348"/>
        </w:trPr>
        <w:tc>
          <w:tcPr>
            <w:tcW w:w="3520" w:type="dxa"/>
            <w:vAlign w:val="bottom"/>
          </w:tcPr>
          <w:p>
            <w:pPr>
              <w:spacing w:after="0"/>
              <w:rPr>
                <w:sz w:val="24"/>
                <w:szCs w:val="24"/>
                <w:color w:val="auto"/>
              </w:rPr>
            </w:pPr>
          </w:p>
        </w:tc>
        <w:tc>
          <w:tcPr>
            <w:tcW w:w="3020" w:type="dxa"/>
            <w:vAlign w:val="bottom"/>
            <w:gridSpan w:val="3"/>
          </w:tcPr>
          <w:p>
            <w:pPr>
              <w:jc w:val="center"/>
              <w:ind w:left="705"/>
              <w:spacing w:after="0"/>
              <w:rPr>
                <w:sz w:val="20"/>
                <w:szCs w:val="20"/>
                <w:color w:val="auto"/>
              </w:rPr>
            </w:pPr>
            <w:r>
              <w:rPr>
                <w:rFonts w:ascii="Arial" w:cs="Arial" w:eastAsia="Arial" w:hAnsi="Arial"/>
                <w:sz w:val="28"/>
                <w:szCs w:val="28"/>
                <w:b w:val="1"/>
                <w:bCs w:val="1"/>
                <w:color w:val="auto"/>
                <w:w w:val="98"/>
              </w:rPr>
              <w:t>INSEEGO CORP.</w:t>
            </w:r>
          </w:p>
        </w:tc>
        <w:tc>
          <w:tcPr>
            <w:tcW w:w="4340" w:type="dxa"/>
            <w:vAlign w:val="bottom"/>
          </w:tcPr>
          <w:p>
            <w:pPr>
              <w:spacing w:after="0"/>
              <w:rPr>
                <w:sz w:val="24"/>
                <w:szCs w:val="24"/>
                <w:color w:val="auto"/>
              </w:rPr>
            </w:pPr>
          </w:p>
        </w:tc>
      </w:tr>
      <w:tr>
        <w:trPr>
          <w:trHeight w:val="147"/>
        </w:trPr>
        <w:tc>
          <w:tcPr>
            <w:tcW w:w="3520" w:type="dxa"/>
            <w:vAlign w:val="bottom"/>
          </w:tcPr>
          <w:p>
            <w:pPr>
              <w:spacing w:after="0"/>
              <w:rPr>
                <w:sz w:val="12"/>
                <w:szCs w:val="12"/>
                <w:color w:val="auto"/>
              </w:rPr>
            </w:pPr>
          </w:p>
        </w:tc>
        <w:tc>
          <w:tcPr>
            <w:tcW w:w="7360" w:type="dxa"/>
            <w:vAlign w:val="bottom"/>
            <w:gridSpan w:val="4"/>
          </w:tcPr>
          <w:p>
            <w:pPr>
              <w:jc w:val="center"/>
              <w:ind w:right="3476"/>
              <w:spacing w:after="0"/>
              <w:rPr>
                <w:sz w:val="20"/>
                <w:szCs w:val="20"/>
                <w:color w:val="auto"/>
              </w:rPr>
            </w:pPr>
            <w:r>
              <w:rPr>
                <w:rFonts w:ascii="Arial" w:cs="Arial" w:eastAsia="Arial" w:hAnsi="Arial"/>
                <w:sz w:val="11"/>
                <w:szCs w:val="11"/>
                <w:b w:val="1"/>
                <w:bCs w:val="1"/>
                <w:color w:val="auto"/>
                <w:w w:val="92"/>
              </w:rPr>
              <w:t>(Exact name of registrant as specified in its charter)</w:t>
            </w:r>
          </w:p>
        </w:tc>
      </w:tr>
      <w:tr>
        <w:trPr>
          <w:trHeight w:val="278"/>
        </w:trPr>
        <w:tc>
          <w:tcPr>
            <w:tcW w:w="3520" w:type="dxa"/>
            <w:vAlign w:val="bottom"/>
          </w:tcPr>
          <w:p>
            <w:pPr>
              <w:jc w:val="center"/>
              <w:ind w:left="2395"/>
              <w:spacing w:after="0"/>
              <w:rPr>
                <w:sz w:val="20"/>
                <w:szCs w:val="20"/>
                <w:color w:val="auto"/>
              </w:rPr>
            </w:pPr>
            <w:r>
              <w:rPr>
                <w:rFonts w:ascii="Arial" w:cs="Arial" w:eastAsia="Arial" w:hAnsi="Arial"/>
                <w:sz w:val="14"/>
                <w:szCs w:val="14"/>
                <w:b w:val="1"/>
                <w:bCs w:val="1"/>
                <w:color w:val="auto"/>
                <w:w w:val="94"/>
              </w:rPr>
              <w:t>Delaware</w:t>
            </w: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Pr>
          <w:p>
            <w:pPr>
              <w:jc w:val="right"/>
              <w:ind w:right="1696"/>
              <w:spacing w:after="0"/>
              <w:rPr>
                <w:sz w:val="20"/>
                <w:szCs w:val="20"/>
                <w:color w:val="auto"/>
              </w:rPr>
            </w:pPr>
            <w:r>
              <w:rPr>
                <w:rFonts w:ascii="Arial" w:cs="Arial" w:eastAsia="Arial" w:hAnsi="Arial"/>
                <w:sz w:val="14"/>
                <w:szCs w:val="14"/>
                <w:b w:val="1"/>
                <w:bCs w:val="1"/>
                <w:color w:val="auto"/>
              </w:rPr>
              <w:t>81-3377646</w:t>
            </w:r>
          </w:p>
        </w:tc>
      </w:tr>
      <w:tr>
        <w:trPr>
          <w:trHeight w:val="113"/>
        </w:trPr>
        <w:tc>
          <w:tcPr>
            <w:tcW w:w="6200" w:type="dxa"/>
            <w:vAlign w:val="bottom"/>
            <w:gridSpan w:val="3"/>
          </w:tcPr>
          <w:p>
            <w:pPr>
              <w:jc w:val="center"/>
              <w:ind w:right="153"/>
              <w:spacing w:after="0" w:line="113" w:lineRule="exact"/>
              <w:rPr>
                <w:sz w:val="20"/>
                <w:szCs w:val="20"/>
                <w:color w:val="auto"/>
              </w:rPr>
            </w:pPr>
            <w:r>
              <w:rPr>
                <w:rFonts w:ascii="Arial" w:cs="Arial" w:eastAsia="Arial" w:hAnsi="Arial"/>
                <w:sz w:val="11"/>
                <w:szCs w:val="11"/>
                <w:b w:val="1"/>
                <w:bCs w:val="1"/>
                <w:color w:val="auto"/>
                <w:w w:val="94"/>
              </w:rPr>
              <w:t>(State or Other Jurisdiction</w:t>
            </w:r>
          </w:p>
        </w:tc>
        <w:tc>
          <w:tcPr>
            <w:tcW w:w="340" w:type="dxa"/>
            <w:vAlign w:val="bottom"/>
          </w:tcPr>
          <w:p>
            <w:pPr>
              <w:spacing w:after="0"/>
              <w:rPr>
                <w:sz w:val="9"/>
                <w:szCs w:val="9"/>
                <w:color w:val="auto"/>
              </w:rPr>
            </w:pPr>
          </w:p>
        </w:tc>
        <w:tc>
          <w:tcPr>
            <w:tcW w:w="4340" w:type="dxa"/>
            <w:vAlign w:val="bottom"/>
          </w:tcPr>
          <w:p>
            <w:pPr>
              <w:jc w:val="center"/>
              <w:ind w:left="96"/>
              <w:spacing w:after="0" w:line="113"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6200" w:type="dxa"/>
            <w:vAlign w:val="bottom"/>
            <w:gridSpan w:val="3"/>
          </w:tcPr>
          <w:p>
            <w:pPr>
              <w:jc w:val="center"/>
              <w:ind w:right="133"/>
              <w:spacing w:after="0"/>
              <w:rPr>
                <w:sz w:val="20"/>
                <w:szCs w:val="20"/>
                <w:color w:val="auto"/>
              </w:rPr>
            </w:pPr>
            <w:r>
              <w:rPr>
                <w:rFonts w:ascii="Arial" w:cs="Arial" w:eastAsia="Arial" w:hAnsi="Arial"/>
                <w:sz w:val="11"/>
                <w:szCs w:val="11"/>
                <w:b w:val="1"/>
                <w:bCs w:val="1"/>
                <w:color w:val="auto"/>
                <w:w w:val="95"/>
              </w:rPr>
              <w:t>of Incorporation or Organization)</w:t>
            </w:r>
          </w:p>
        </w:tc>
        <w:tc>
          <w:tcPr>
            <w:tcW w:w="340" w:type="dxa"/>
            <w:vAlign w:val="bottom"/>
          </w:tcPr>
          <w:p>
            <w:pPr>
              <w:spacing w:after="0"/>
              <w:rPr>
                <w:sz w:val="12"/>
                <w:szCs w:val="12"/>
                <w:color w:val="auto"/>
              </w:rPr>
            </w:pPr>
          </w:p>
        </w:tc>
        <w:tc>
          <w:tcPr>
            <w:tcW w:w="4340" w:type="dxa"/>
            <w:vAlign w:val="bottom"/>
          </w:tcPr>
          <w:p>
            <w:pPr>
              <w:jc w:val="center"/>
              <w:ind w:left="76"/>
              <w:spacing w:after="0"/>
              <w:rPr>
                <w:sz w:val="20"/>
                <w:szCs w:val="20"/>
                <w:color w:val="auto"/>
              </w:rPr>
            </w:pPr>
            <w:r>
              <w:rPr>
                <w:rFonts w:ascii="Arial" w:cs="Arial" w:eastAsia="Arial" w:hAnsi="Arial"/>
                <w:sz w:val="11"/>
                <w:szCs w:val="11"/>
                <w:b w:val="1"/>
                <w:bCs w:val="1"/>
                <w:color w:val="auto"/>
                <w:w w:val="94"/>
              </w:rPr>
              <w:t>Identification No.)</w:t>
            </w:r>
          </w:p>
        </w:tc>
      </w:tr>
      <w:tr>
        <w:trPr>
          <w:trHeight w:val="231"/>
        </w:trPr>
        <w:tc>
          <w:tcPr>
            <w:tcW w:w="620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w w:val="91"/>
              </w:rPr>
              <w:t>9710 Scranton Road, Suite 200</w:t>
            </w: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178"/>
        </w:trPr>
        <w:tc>
          <w:tcPr>
            <w:tcW w:w="3520" w:type="dxa"/>
            <w:vAlign w:val="bottom"/>
          </w:tcPr>
          <w:p>
            <w:pPr>
              <w:ind w:left="2180"/>
              <w:spacing w:after="0"/>
              <w:rPr>
                <w:sz w:val="20"/>
                <w:szCs w:val="20"/>
                <w:color w:val="auto"/>
              </w:rPr>
            </w:pPr>
            <w:r>
              <w:rPr>
                <w:rFonts w:ascii="Arial" w:cs="Arial" w:eastAsia="Arial" w:hAnsi="Arial"/>
                <w:sz w:val="14"/>
                <w:szCs w:val="14"/>
                <w:b w:val="1"/>
                <w:bCs w:val="1"/>
                <w:color w:val="auto"/>
                <w:w w:val="93"/>
              </w:rPr>
              <w:t>San Diego, California</w:t>
            </w: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40" w:type="dxa"/>
            <w:vAlign w:val="bottom"/>
          </w:tcPr>
          <w:p>
            <w:pPr>
              <w:jc w:val="right"/>
              <w:ind w:right="1856"/>
              <w:spacing w:after="0"/>
              <w:rPr>
                <w:sz w:val="20"/>
                <w:szCs w:val="20"/>
                <w:color w:val="auto"/>
              </w:rPr>
            </w:pPr>
            <w:r>
              <w:rPr>
                <w:rFonts w:ascii="Arial" w:cs="Arial" w:eastAsia="Arial" w:hAnsi="Arial"/>
                <w:sz w:val="14"/>
                <w:szCs w:val="14"/>
                <w:b w:val="1"/>
                <w:bCs w:val="1"/>
                <w:color w:val="auto"/>
              </w:rPr>
              <w:t>92121</w:t>
            </w:r>
          </w:p>
        </w:tc>
      </w:tr>
      <w:tr>
        <w:trPr>
          <w:trHeight w:val="147"/>
        </w:trPr>
        <w:tc>
          <w:tcPr>
            <w:tcW w:w="6200" w:type="dxa"/>
            <w:vAlign w:val="bottom"/>
            <w:gridSpan w:val="3"/>
          </w:tcPr>
          <w:p>
            <w:pPr>
              <w:jc w:val="center"/>
              <w:ind w:right="153"/>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340" w:type="dxa"/>
            <w:vAlign w:val="bottom"/>
          </w:tcPr>
          <w:p>
            <w:pPr>
              <w:spacing w:after="0"/>
              <w:rPr>
                <w:sz w:val="12"/>
                <w:szCs w:val="12"/>
                <w:color w:val="auto"/>
              </w:rPr>
            </w:pPr>
          </w:p>
        </w:tc>
        <w:tc>
          <w:tcPr>
            <w:tcW w:w="4340" w:type="dxa"/>
            <w:vAlign w:val="bottom"/>
          </w:tcPr>
          <w:p>
            <w:pPr>
              <w:jc w:val="center"/>
              <w:ind w:left="76"/>
              <w:spacing w:after="0"/>
              <w:rPr>
                <w:sz w:val="20"/>
                <w:szCs w:val="20"/>
                <w:color w:val="auto"/>
              </w:rPr>
            </w:pPr>
            <w:r>
              <w:rPr>
                <w:rFonts w:ascii="Arial" w:cs="Arial" w:eastAsia="Arial" w:hAnsi="Arial"/>
                <w:sz w:val="11"/>
                <w:szCs w:val="11"/>
                <w:b w:val="1"/>
                <w:bCs w:val="1"/>
                <w:color w:val="auto"/>
                <w:w w:val="95"/>
              </w:rPr>
              <w:t>(Zip Code)</w:t>
            </w:r>
          </w:p>
        </w:tc>
      </w:tr>
      <w:tr>
        <w:trPr>
          <w:trHeight w:val="259"/>
        </w:trPr>
        <w:tc>
          <w:tcPr>
            <w:tcW w:w="3520" w:type="dxa"/>
            <w:vAlign w:val="bottom"/>
          </w:tcPr>
          <w:p>
            <w:pPr>
              <w:spacing w:after="0"/>
              <w:rPr>
                <w:sz w:val="22"/>
                <w:szCs w:val="22"/>
                <w:color w:val="auto"/>
              </w:rPr>
            </w:pPr>
          </w:p>
        </w:tc>
        <w:tc>
          <w:tcPr>
            <w:tcW w:w="7360" w:type="dxa"/>
            <w:vAlign w:val="bottom"/>
            <w:gridSpan w:val="4"/>
          </w:tcPr>
          <w:p>
            <w:pPr>
              <w:jc w:val="center"/>
              <w:ind w:right="3476"/>
              <w:spacing w:after="0"/>
              <w:rPr>
                <w:sz w:val="20"/>
                <w:szCs w:val="20"/>
                <w:color w:val="auto"/>
              </w:rPr>
            </w:pPr>
            <w:r>
              <w:rPr>
                <w:rFonts w:ascii="Arial" w:cs="Arial" w:eastAsia="Arial" w:hAnsi="Arial"/>
                <w:sz w:val="13"/>
                <w:szCs w:val="13"/>
                <w:b w:val="1"/>
                <w:bCs w:val="1"/>
                <w:color w:val="auto"/>
                <w:w w:val="87"/>
              </w:rPr>
              <w:t>Registrant’s telephone number, including area code: (858) 812-3400</w:t>
            </w:r>
          </w:p>
        </w:tc>
      </w:tr>
      <w:tr>
        <w:trPr>
          <w:trHeight w:val="241"/>
        </w:trPr>
        <w:tc>
          <w:tcPr>
            <w:tcW w:w="3520" w:type="dxa"/>
            <w:vAlign w:val="bottom"/>
            <w:tcBorders>
              <w:bottom w:val="single" w:sz="8" w:color="auto"/>
            </w:tcBorders>
          </w:tcPr>
          <w:p>
            <w:pPr>
              <w:spacing w:after="0"/>
              <w:rPr>
                <w:sz w:val="20"/>
                <w:szCs w:val="20"/>
                <w:color w:val="auto"/>
              </w:rPr>
            </w:pPr>
          </w:p>
        </w:tc>
        <w:tc>
          <w:tcPr>
            <w:tcW w:w="7360" w:type="dxa"/>
            <w:vAlign w:val="bottom"/>
            <w:tcBorders>
              <w:bottom w:val="single" w:sz="8" w:color="auto"/>
            </w:tcBorders>
            <w:gridSpan w:val="4"/>
          </w:tcPr>
          <w:p>
            <w:pPr>
              <w:jc w:val="center"/>
              <w:ind w:right="3496"/>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r>
      <w:tr>
        <w:trPr>
          <w:trHeight w:val="179"/>
        </w:trPr>
        <w:tc>
          <w:tcPr>
            <w:tcW w:w="3520" w:type="dxa"/>
            <w:vAlign w:val="bottom"/>
            <w:tcBorders>
              <w:left w:val="single" w:sz="8" w:color="auto"/>
              <w:bottom w:val="single" w:sz="8" w:color="auto"/>
            </w:tcBorders>
          </w:tcPr>
          <w:p>
            <w:pPr>
              <w:jc w:val="center"/>
              <w:ind w:left="755"/>
              <w:spacing w:after="0"/>
              <w:rPr>
                <w:sz w:val="20"/>
                <w:szCs w:val="20"/>
                <w:color w:val="auto"/>
              </w:rPr>
            </w:pPr>
            <w:r>
              <w:rPr>
                <w:rFonts w:ascii="Arial" w:cs="Arial" w:eastAsia="Arial" w:hAnsi="Arial"/>
                <w:sz w:val="14"/>
                <w:szCs w:val="14"/>
                <w:b w:val="1"/>
                <w:bCs w:val="1"/>
                <w:color w:val="auto"/>
                <w:w w:val="87"/>
              </w:rPr>
              <w:t>Title of each class</w:t>
            </w:r>
          </w:p>
        </w:tc>
        <w:tc>
          <w:tcPr>
            <w:tcW w:w="84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40" w:type="dxa"/>
            <w:vAlign w:val="bottom"/>
            <w:tcBorders>
              <w:bottom w:val="single" w:sz="8" w:color="auto"/>
            </w:tcBorders>
          </w:tcPr>
          <w:p>
            <w:pPr>
              <w:spacing w:after="0"/>
              <w:rPr>
                <w:sz w:val="15"/>
                <w:szCs w:val="15"/>
                <w:color w:val="auto"/>
              </w:rPr>
            </w:pPr>
          </w:p>
        </w:tc>
        <w:tc>
          <w:tcPr>
            <w:tcW w:w="434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3520" w:type="dxa"/>
            <w:vAlign w:val="bottom"/>
            <w:tcBorders>
              <w:left w:val="single" w:sz="8" w:color="auto"/>
            </w:tcBorders>
          </w:tcPr>
          <w:p>
            <w:pPr>
              <w:jc w:val="center"/>
              <w:ind w:left="755"/>
              <w:spacing w:after="0"/>
              <w:rPr>
                <w:sz w:val="20"/>
                <w:szCs w:val="20"/>
                <w:color w:val="auto"/>
              </w:rPr>
            </w:pPr>
            <w:r>
              <w:rPr>
                <w:rFonts w:ascii="Arial" w:cs="Arial" w:eastAsia="Arial" w:hAnsi="Arial"/>
                <w:sz w:val="14"/>
                <w:szCs w:val="14"/>
                <w:color w:val="auto"/>
                <w:w w:val="91"/>
              </w:rPr>
              <w:t>Common Stock, $0.001 par value</w:t>
            </w:r>
          </w:p>
        </w:tc>
        <w:tc>
          <w:tcPr>
            <w:tcW w:w="8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INSG</w:t>
            </w:r>
          </w:p>
        </w:tc>
        <w:tc>
          <w:tcPr>
            <w:tcW w:w="340" w:type="dxa"/>
            <w:vAlign w:val="bottom"/>
          </w:tcPr>
          <w:p>
            <w:pPr>
              <w:spacing w:after="0"/>
              <w:rPr>
                <w:sz w:val="14"/>
                <w:szCs w:val="14"/>
                <w:color w:val="auto"/>
              </w:rPr>
            </w:pPr>
          </w:p>
        </w:tc>
        <w:tc>
          <w:tcPr>
            <w:tcW w:w="4340" w:type="dxa"/>
            <w:vAlign w:val="bottom"/>
            <w:tcBorders>
              <w:right w:val="single" w:sz="8" w:color="auto"/>
            </w:tcBorders>
          </w:tcPr>
          <w:p>
            <w:pPr>
              <w:jc w:val="center"/>
              <w:ind w:right="316"/>
              <w:spacing w:after="0"/>
              <w:rPr>
                <w:sz w:val="20"/>
                <w:szCs w:val="20"/>
                <w:color w:val="auto"/>
              </w:rPr>
            </w:pPr>
            <w:r>
              <w:rPr>
                <w:rFonts w:ascii="Arial" w:cs="Arial" w:eastAsia="Arial" w:hAnsi="Arial"/>
                <w:sz w:val="14"/>
                <w:szCs w:val="14"/>
                <w:color w:val="auto"/>
                <w:w w:val="92"/>
              </w:rPr>
              <w:t>Nasdaq Global Select Market</w:t>
            </w:r>
          </w:p>
        </w:tc>
      </w:tr>
      <w:tr>
        <w:trPr>
          <w:trHeight w:val="170"/>
        </w:trPr>
        <w:tc>
          <w:tcPr>
            <w:tcW w:w="352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680" w:type="dxa"/>
            <w:vAlign w:val="bottom"/>
            <w:tcBorders>
              <w:bottom w:val="single" w:sz="8" w:color="auto"/>
              <w:right w:val="single" w:sz="8" w:color="auto"/>
            </w:tcBorders>
            <w:gridSpan w:val="2"/>
          </w:tcPr>
          <w:p>
            <w:pPr>
              <w:spacing w:after="0"/>
              <w:rPr>
                <w:sz w:val="14"/>
                <w:szCs w:val="14"/>
                <w:color w:val="auto"/>
              </w:rPr>
            </w:pPr>
          </w:p>
        </w:tc>
      </w:tr>
      <w:tr>
        <w:trPr>
          <w:trHeight w:val="495"/>
        </w:trPr>
        <w:tc>
          <w:tcPr>
            <w:tcW w:w="3520" w:type="dxa"/>
            <w:vAlign w:val="bottom"/>
          </w:tcPr>
          <w:p>
            <w:pPr>
              <w:spacing w:after="0"/>
              <w:rPr>
                <w:sz w:val="24"/>
                <w:szCs w:val="24"/>
                <w:color w:val="auto"/>
              </w:rPr>
            </w:pPr>
          </w:p>
        </w:tc>
        <w:tc>
          <w:tcPr>
            <w:tcW w:w="7360" w:type="dxa"/>
            <w:vAlign w:val="bottom"/>
            <w:gridSpan w:val="4"/>
          </w:tcPr>
          <w:p>
            <w:pPr>
              <w:jc w:val="center"/>
              <w:ind w:right="3476"/>
              <w:spacing w:after="0"/>
              <w:rPr>
                <w:sz w:val="20"/>
                <w:szCs w:val="20"/>
                <w:color w:val="auto"/>
              </w:rPr>
            </w:pPr>
            <w:r>
              <w:rPr>
                <w:rFonts w:ascii="Arial" w:cs="Arial" w:eastAsia="Arial" w:hAnsi="Arial"/>
                <w:sz w:val="13"/>
                <w:szCs w:val="13"/>
                <w:b w:val="1"/>
                <w:bCs w:val="1"/>
                <w:color w:val="auto"/>
                <w:w w:val="86"/>
              </w:rPr>
              <w:t>Securities registered pursuant to Section 12(g) of the Act:</w:t>
            </w:r>
          </w:p>
        </w:tc>
      </w:tr>
      <w:tr>
        <w:trPr>
          <w:trHeight w:val="180"/>
        </w:trPr>
        <w:tc>
          <w:tcPr>
            <w:tcW w:w="3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jc w:val="center"/>
              <w:ind w:left="213"/>
              <w:spacing w:after="0"/>
              <w:rPr>
                <w:sz w:val="20"/>
                <w:szCs w:val="20"/>
                <w:color w:val="auto"/>
              </w:rPr>
            </w:pPr>
            <w:r>
              <w:rPr>
                <w:rFonts w:ascii="Arial" w:cs="Arial" w:eastAsia="Arial" w:hAnsi="Arial"/>
                <w:sz w:val="13"/>
                <w:szCs w:val="13"/>
                <w:b w:val="1"/>
                <w:bCs w:val="1"/>
                <w:color w:val="auto"/>
                <w:w w:val="86"/>
              </w:rPr>
              <w:t>None</w:t>
            </w:r>
          </w:p>
        </w:tc>
        <w:tc>
          <w:tcPr>
            <w:tcW w:w="34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226"/>
        </w:trPr>
        <w:tc>
          <w:tcPr>
            <w:tcW w:w="6540" w:type="dxa"/>
            <w:vAlign w:val="bottom"/>
            <w:gridSpan w:val="4"/>
          </w:tcPr>
          <w:p>
            <w:pPr>
              <w:ind w:left="40"/>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p>
        </w:tc>
        <w:tc>
          <w:tcPr>
            <w:tcW w:w="4340" w:type="dxa"/>
            <w:vAlign w:val="bottom"/>
          </w:tcPr>
          <w:p>
            <w:pPr>
              <w:ind w:left="40"/>
              <w:spacing w:after="0"/>
              <w:rPr>
                <w:sz w:val="20"/>
                <w:szCs w:val="20"/>
                <w:color w:val="auto"/>
              </w:rPr>
            </w:pPr>
            <w:r>
              <w:rPr>
                <w:rFonts w:ascii="Arial" w:cs="Arial" w:eastAsia="Arial" w:hAnsi="Arial"/>
                <w:sz w:val="13"/>
                <w:szCs w:val="13"/>
                <w:color w:val="auto"/>
              </w:rPr>
              <w:t>No x</w:t>
            </w:r>
          </w:p>
        </w:tc>
      </w:tr>
      <w:tr>
        <w:trPr>
          <w:trHeight w:val="212"/>
        </w:trPr>
        <w:tc>
          <w:tcPr>
            <w:tcW w:w="6540" w:type="dxa"/>
            <w:vAlign w:val="bottom"/>
            <w:gridSpan w:val="4"/>
          </w:tcPr>
          <w:p>
            <w:pPr>
              <w:ind w:left="40"/>
              <w:spacing w:after="0" w:line="150" w:lineRule="exact"/>
              <w:rPr>
                <w:sz w:val="20"/>
                <w:szCs w:val="20"/>
                <w:color w:val="auto"/>
              </w:rPr>
            </w:pPr>
            <w:r>
              <w:rPr>
                <w:rFonts w:ascii="Arial" w:cs="Arial" w:eastAsia="Arial" w:hAnsi="Arial"/>
                <w:sz w:val="13"/>
                <w:szCs w:val="13"/>
                <w:color w:val="auto"/>
                <w:w w:val="89"/>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89"/>
              </w:rPr>
              <w:t>☐</w:t>
            </w:r>
          </w:p>
        </w:tc>
        <w:tc>
          <w:tcPr>
            <w:tcW w:w="4340" w:type="dxa"/>
            <w:vAlign w:val="bottom"/>
          </w:tcPr>
          <w:p>
            <w:pPr>
              <w:ind w:left="120"/>
              <w:spacing w:after="0"/>
              <w:rPr>
                <w:sz w:val="20"/>
                <w:szCs w:val="20"/>
                <w:color w:val="auto"/>
              </w:rPr>
            </w:pPr>
            <w:r>
              <w:rPr>
                <w:rFonts w:ascii="Arial" w:cs="Arial" w:eastAsia="Arial" w:hAnsi="Arial"/>
                <w:sz w:val="13"/>
                <w:szCs w:val="13"/>
                <w:color w:val="auto"/>
              </w:rPr>
              <w:t>No x</w:t>
            </w:r>
          </w:p>
        </w:tc>
      </w:tr>
    </w:tbl>
    <w:p>
      <w:pPr>
        <w:spacing w:after="0" w:line="26" w:lineRule="exact"/>
        <w:rPr>
          <w:sz w:val="24"/>
          <w:szCs w:val="24"/>
          <w:color w:val="auto"/>
        </w:rPr>
      </w:pPr>
    </w:p>
    <w:p>
      <w:pPr>
        <w:jc w:val="both"/>
        <w:ind w:firstLine="255"/>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7" w:lineRule="exact"/>
        <w:rPr>
          <w:sz w:val="24"/>
          <w:szCs w:val="24"/>
          <w:color w:val="auto"/>
        </w:rPr>
      </w:pPr>
    </w:p>
    <w:p>
      <w:pPr>
        <w:jc w:val="both"/>
        <w:ind w:firstLine="255"/>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37" w:lineRule="exact"/>
        <w:rPr>
          <w:sz w:val="24"/>
          <w:szCs w:val="24"/>
          <w:color w:val="auto"/>
        </w:rPr>
      </w:pPr>
    </w:p>
    <w:p>
      <w:pPr>
        <w:ind w:right="380" w:firstLine="255"/>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1240" w:type="dxa"/>
            <w:vAlign w:val="bottom"/>
          </w:tcPr>
          <w:p>
            <w:pPr>
              <w:spacing w:after="0"/>
              <w:rPr>
                <w:sz w:val="20"/>
                <w:szCs w:val="20"/>
                <w:color w:val="auto"/>
              </w:rPr>
            </w:pPr>
            <w:r>
              <w:rPr>
                <w:rFonts w:ascii="Arial" w:cs="Arial" w:eastAsia="Arial" w:hAnsi="Arial"/>
                <w:sz w:val="13"/>
                <w:szCs w:val="13"/>
                <w:color w:val="auto"/>
                <w:w w:val="94"/>
              </w:rPr>
              <w:t>Large accelerated filer</w:t>
            </w:r>
          </w:p>
        </w:tc>
        <w:tc>
          <w:tcPr>
            <w:tcW w:w="20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ind w:left="1820"/>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20"/>
              <w:spacing w:after="0"/>
              <w:rPr>
                <w:sz w:val="20"/>
                <w:szCs w:val="20"/>
                <w:color w:val="auto"/>
              </w:rPr>
            </w:pPr>
            <w:r>
              <w:rPr>
                <w:rFonts w:ascii="Arial" w:cs="Arial" w:eastAsia="Arial" w:hAnsi="Arial"/>
                <w:sz w:val="13"/>
                <w:szCs w:val="13"/>
                <w:color w:val="auto"/>
              </w:rPr>
              <w:t>x</w:t>
            </w:r>
          </w:p>
        </w:tc>
      </w:tr>
      <w:tr>
        <w:trPr>
          <w:trHeight w:val="170"/>
        </w:trPr>
        <w:tc>
          <w:tcPr>
            <w:tcW w:w="1240" w:type="dxa"/>
            <w:vAlign w:val="bottom"/>
          </w:tcPr>
          <w:p>
            <w:pPr>
              <w:spacing w:after="0"/>
              <w:rPr>
                <w:sz w:val="20"/>
                <w:szCs w:val="20"/>
                <w:color w:val="auto"/>
              </w:rPr>
            </w:pPr>
            <w:r>
              <w:rPr>
                <w:rFonts w:ascii="Arial" w:cs="Arial" w:eastAsia="Arial" w:hAnsi="Arial"/>
                <w:sz w:val="13"/>
                <w:szCs w:val="13"/>
                <w:color w:val="auto"/>
              </w:rPr>
              <w:t>Non-accelerated filer</w:t>
            </w:r>
          </w:p>
        </w:tc>
        <w:tc>
          <w:tcPr>
            <w:tcW w:w="20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3340" w:type="dxa"/>
            <w:vAlign w:val="bottom"/>
          </w:tcPr>
          <w:p>
            <w:pPr>
              <w:ind w:left="1820"/>
              <w:spacing w:after="0"/>
              <w:rPr>
                <w:sz w:val="20"/>
                <w:szCs w:val="20"/>
                <w:color w:val="auto"/>
              </w:rPr>
            </w:pPr>
            <w:r>
              <w:rPr>
                <w:rFonts w:ascii="Arial" w:cs="Arial" w:eastAsia="Arial" w:hAnsi="Arial"/>
                <w:sz w:val="13"/>
                <w:szCs w:val="13"/>
                <w:color w:val="auto"/>
                <w:w w:val="96"/>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340" w:type="dxa"/>
            <w:vAlign w:val="bottom"/>
          </w:tcPr>
          <w:p>
            <w:pPr>
              <w:ind w:left="1820"/>
              <w:spacing w:after="0"/>
              <w:rPr>
                <w:sz w:val="20"/>
                <w:szCs w:val="20"/>
                <w:color w:val="auto"/>
              </w:rPr>
            </w:pPr>
            <w:r>
              <w:rPr>
                <w:rFonts w:ascii="Arial" w:cs="Arial" w:eastAsia="Arial" w:hAnsi="Arial"/>
                <w:sz w:val="13"/>
                <w:szCs w:val="13"/>
                <w:color w:val="auto"/>
                <w:w w:val="96"/>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8" w:lineRule="exact"/>
        <w:rPr>
          <w:sz w:val="24"/>
          <w:szCs w:val="24"/>
          <w:color w:val="auto"/>
        </w:rPr>
      </w:pPr>
    </w:p>
    <w:p>
      <w:pPr>
        <w:ind w:right="80" w:firstLine="255"/>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380" w:firstLine="255"/>
        <w:spacing w:after="0" w:line="241"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x</w:t>
      </w:r>
    </w:p>
    <w:p>
      <w:pPr>
        <w:spacing w:after="0" w:line="114" w:lineRule="exact"/>
        <w:rPr>
          <w:sz w:val="24"/>
          <w:szCs w:val="24"/>
          <w:color w:val="auto"/>
        </w:rPr>
      </w:pPr>
    </w:p>
    <w:p>
      <w:pPr>
        <w:ind w:right="220" w:firstLine="255"/>
        <w:spacing w:after="0"/>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15" w:lineRule="exact"/>
        <w:rPr>
          <w:sz w:val="24"/>
          <w:szCs w:val="24"/>
          <w:color w:val="auto"/>
        </w:rPr>
      </w:pPr>
    </w:p>
    <w:p>
      <w:pPr>
        <w:ind w:right="320" w:firstLine="255"/>
        <w:spacing w:after="0" w:line="257" w:lineRule="auto"/>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§240.10D-1(b).o</w:t>
      </w:r>
    </w:p>
    <w:p>
      <w:pPr>
        <w:spacing w:after="0" w:line="90" w:lineRule="exact"/>
        <w:rPr>
          <w:sz w:val="24"/>
          <w:szCs w:val="24"/>
          <w:color w:val="auto"/>
        </w:rPr>
      </w:pPr>
    </w:p>
    <w:p>
      <w:pPr>
        <w:ind w:left="260"/>
        <w:spacing w:after="0" w:line="150" w:lineRule="exact"/>
        <w:tabs>
          <w:tab w:leader="none" w:pos="602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No x</w:t>
      </w:r>
    </w:p>
    <w:p>
      <w:pPr>
        <w:spacing w:after="0" w:line="77" w:lineRule="exact"/>
        <w:rPr>
          <w:sz w:val="24"/>
          <w:szCs w:val="24"/>
          <w:color w:val="auto"/>
        </w:rPr>
      </w:pPr>
    </w:p>
    <w:p>
      <w:pPr>
        <w:jc w:val="both"/>
        <w:ind w:firstLine="255"/>
        <w:spacing w:after="0" w:line="256" w:lineRule="auto"/>
        <w:rPr>
          <w:sz w:val="20"/>
          <w:szCs w:val="20"/>
          <w:color w:val="auto"/>
        </w:rPr>
      </w:pPr>
      <w:r>
        <w:rPr>
          <w:rFonts w:ascii="Arial" w:cs="Arial" w:eastAsia="Arial" w:hAnsi="Arial"/>
          <w:sz w:val="13"/>
          <w:szCs w:val="13"/>
          <w:color w:val="auto"/>
        </w:rPr>
        <w:t>The aggregate market value of the voting common stock held by non-affiliates of the registrant, based on the closing price of the registrant’s common stock on June 30, 2022, as reported by The Nasdaq Global Select Market, was approximately $152.9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42" w:lineRule="exact"/>
        <w:rPr>
          <w:sz w:val="24"/>
          <w:szCs w:val="24"/>
          <w:color w:val="auto"/>
        </w:rPr>
      </w:pPr>
    </w:p>
    <w:p>
      <w:pPr>
        <w:ind w:left="260"/>
        <w:spacing w:after="0"/>
        <w:rPr>
          <w:sz w:val="20"/>
          <w:szCs w:val="20"/>
          <w:color w:val="auto"/>
        </w:rPr>
      </w:pPr>
      <w:r>
        <w:rPr>
          <w:rFonts w:ascii="Arial" w:cs="Arial" w:eastAsia="Arial" w:hAnsi="Arial"/>
          <w:sz w:val="13"/>
          <w:szCs w:val="13"/>
          <w:color w:val="auto"/>
        </w:rPr>
        <w:t>The number of shares of the registrant’s common stock outstanding as of February 24, 2023 was 108,476,337.</w:t>
      </w:r>
    </w:p>
    <w:p>
      <w:pPr>
        <w:spacing w:after="0" w:line="122"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35" w:lineRule="exact"/>
        <w:rPr>
          <w:sz w:val="24"/>
          <w:szCs w:val="24"/>
          <w:color w:val="auto"/>
        </w:rPr>
      </w:pPr>
    </w:p>
    <w:p>
      <w:pPr>
        <w:jc w:val="both"/>
        <w:ind w:firstLine="255"/>
        <w:spacing w:after="0" w:line="274" w:lineRule="auto"/>
        <w:rPr>
          <w:sz w:val="20"/>
          <w:szCs w:val="20"/>
          <w:color w:val="auto"/>
        </w:rPr>
      </w:pPr>
      <w:r>
        <w:rPr>
          <w:rFonts w:ascii="Arial" w:cs="Arial" w:eastAsia="Arial" w:hAnsi="Arial"/>
          <w:sz w:val="13"/>
          <w:szCs w:val="13"/>
          <w:color w:val="auto"/>
        </w:rPr>
        <w:t>Portions of the registrant’s definitive proxy statement for the 2023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408305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3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9760" w:type="dxa"/>
            <w:vAlign w:val="bottom"/>
          </w:tcPr>
          <w:p>
            <w:pPr>
              <w:ind w:left="3960"/>
              <w:spacing w:after="0"/>
              <w:rPr>
                <w:sz w:val="20"/>
                <w:szCs w:val="20"/>
                <w:color w:val="auto"/>
              </w:rPr>
            </w:pPr>
            <w:r>
              <w:rPr>
                <w:rFonts w:ascii="Arial" w:cs="Arial" w:eastAsia="Arial" w:hAnsi="Arial"/>
                <w:sz w:val="14"/>
                <w:szCs w:val="14"/>
                <w:b w:val="1"/>
                <w:bCs w:val="1"/>
                <w:color w:val="auto"/>
              </w:rPr>
              <w:t>TABLE OF CONTENTS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9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Page</w:t>
            </w: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PART I</w:t>
            </w:r>
          </w:p>
        </w:tc>
        <w:tc>
          <w:tcPr>
            <w:tcW w:w="97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w:t>
            </w:r>
          </w:p>
        </w:tc>
        <w:tc>
          <w:tcPr>
            <w:tcW w:w="9760" w:type="dxa"/>
            <w:vAlign w:val="bottom"/>
          </w:tcPr>
          <w:p>
            <w:pPr>
              <w:ind w:left="20"/>
              <w:spacing w:after="0"/>
              <w:rPr>
                <w:sz w:val="20"/>
                <w:szCs w:val="20"/>
                <w:color w:val="auto"/>
              </w:rPr>
            </w:pPr>
            <w:r>
              <w:rPr>
                <w:rFonts w:ascii="Arial" w:cs="Arial" w:eastAsia="Arial" w:hAnsi="Arial"/>
                <w:sz w:val="14"/>
                <w:szCs w:val="14"/>
                <w:color w:val="0000FF"/>
              </w:rPr>
              <w:t>Business</w:t>
            </w:r>
          </w:p>
        </w:tc>
        <w:tc>
          <w:tcPr>
            <w:tcW w:w="580" w:type="dxa"/>
            <w:vAlign w:val="bottom"/>
          </w:tcPr>
          <w:p>
            <w:pPr>
              <w:jc w:val="right"/>
              <w:spacing w:after="0"/>
              <w:rPr>
                <w:sz w:val="20"/>
                <w:szCs w:val="20"/>
                <w:color w:val="auto"/>
              </w:rPr>
            </w:pPr>
            <w:r>
              <w:rPr>
                <w:rFonts w:ascii="Arial" w:cs="Arial" w:eastAsia="Arial" w:hAnsi="Arial"/>
                <w:sz w:val="14"/>
                <w:szCs w:val="14"/>
                <w:color w:val="0000FF"/>
              </w:rPr>
              <w:t>5</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1A.</w:t>
            </w:r>
          </w:p>
        </w:tc>
        <w:tc>
          <w:tcPr>
            <w:tcW w:w="9760" w:type="dxa"/>
            <w:vAlign w:val="bottom"/>
          </w:tcPr>
          <w:p>
            <w:pPr>
              <w:ind w:left="20"/>
              <w:spacing w:after="0"/>
              <w:rPr>
                <w:sz w:val="20"/>
                <w:szCs w:val="20"/>
                <w:color w:val="auto"/>
              </w:rPr>
            </w:pPr>
            <w:r>
              <w:rPr>
                <w:rFonts w:ascii="Arial" w:cs="Arial" w:eastAsia="Arial" w:hAnsi="Arial"/>
                <w:sz w:val="14"/>
                <w:szCs w:val="14"/>
                <w:color w:val="0000FF"/>
              </w:rPr>
              <w:t>Risk Factors</w:t>
            </w:r>
          </w:p>
        </w:tc>
        <w:tc>
          <w:tcPr>
            <w:tcW w:w="580" w:type="dxa"/>
            <w:vAlign w:val="bottom"/>
          </w:tcPr>
          <w:p>
            <w:pPr>
              <w:jc w:val="right"/>
              <w:spacing w:after="0"/>
              <w:rPr>
                <w:sz w:val="20"/>
                <w:szCs w:val="20"/>
                <w:color w:val="auto"/>
              </w:rPr>
            </w:pPr>
            <w:r>
              <w:rPr>
                <w:rFonts w:ascii="Arial" w:cs="Arial" w:eastAsia="Arial" w:hAnsi="Arial"/>
                <w:sz w:val="14"/>
                <w:szCs w:val="14"/>
                <w:color w:val="0000FF"/>
              </w:rPr>
              <w:t>12</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1B.</w:t>
            </w:r>
          </w:p>
        </w:tc>
        <w:tc>
          <w:tcPr>
            <w:tcW w:w="9760" w:type="dxa"/>
            <w:vAlign w:val="bottom"/>
          </w:tcPr>
          <w:p>
            <w:pPr>
              <w:ind w:left="20"/>
              <w:spacing w:after="0"/>
              <w:rPr>
                <w:sz w:val="20"/>
                <w:szCs w:val="20"/>
                <w:color w:val="auto"/>
              </w:rPr>
            </w:pPr>
            <w:r>
              <w:rPr>
                <w:rFonts w:ascii="Arial" w:cs="Arial" w:eastAsia="Arial" w:hAnsi="Arial"/>
                <w:sz w:val="14"/>
                <w:szCs w:val="14"/>
                <w:color w:val="0000FF"/>
              </w:rPr>
              <w:t>Unresolved Staff Comments</w:t>
            </w:r>
          </w:p>
        </w:tc>
        <w:tc>
          <w:tcPr>
            <w:tcW w:w="580" w:type="dxa"/>
            <w:vAlign w:val="bottom"/>
          </w:tcPr>
          <w:p>
            <w:pPr>
              <w:jc w:val="right"/>
              <w:spacing w:after="0"/>
              <w:rPr>
                <w:sz w:val="20"/>
                <w:szCs w:val="20"/>
                <w:color w:val="auto"/>
              </w:rPr>
            </w:pPr>
            <w:r>
              <w:rPr>
                <w:rFonts w:ascii="Arial" w:cs="Arial" w:eastAsia="Arial" w:hAnsi="Arial"/>
                <w:sz w:val="14"/>
                <w:szCs w:val="14"/>
                <w:color w:val="0000FF"/>
              </w:rPr>
              <w:t>37</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2.</w:t>
            </w:r>
          </w:p>
        </w:tc>
        <w:tc>
          <w:tcPr>
            <w:tcW w:w="9760" w:type="dxa"/>
            <w:vAlign w:val="bottom"/>
          </w:tcPr>
          <w:p>
            <w:pPr>
              <w:ind w:left="20"/>
              <w:spacing w:after="0"/>
              <w:rPr>
                <w:sz w:val="20"/>
                <w:szCs w:val="20"/>
                <w:color w:val="auto"/>
              </w:rPr>
            </w:pPr>
            <w:r>
              <w:rPr>
                <w:rFonts w:ascii="Arial" w:cs="Arial" w:eastAsia="Arial" w:hAnsi="Arial"/>
                <w:sz w:val="14"/>
                <w:szCs w:val="14"/>
                <w:color w:val="0000FF"/>
              </w:rPr>
              <w:t>Properties</w:t>
            </w:r>
          </w:p>
        </w:tc>
        <w:tc>
          <w:tcPr>
            <w:tcW w:w="580" w:type="dxa"/>
            <w:vAlign w:val="bottom"/>
          </w:tcPr>
          <w:p>
            <w:pPr>
              <w:jc w:val="right"/>
              <w:spacing w:after="0"/>
              <w:rPr>
                <w:sz w:val="20"/>
                <w:szCs w:val="20"/>
                <w:color w:val="auto"/>
              </w:rPr>
            </w:pPr>
            <w:r>
              <w:rPr>
                <w:rFonts w:ascii="Arial" w:cs="Arial" w:eastAsia="Arial" w:hAnsi="Arial"/>
                <w:sz w:val="14"/>
                <w:szCs w:val="14"/>
                <w:color w:val="0000FF"/>
              </w:rPr>
              <w:t>37</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3.</w:t>
            </w:r>
          </w:p>
        </w:tc>
        <w:tc>
          <w:tcPr>
            <w:tcW w:w="9760" w:type="dxa"/>
            <w:vAlign w:val="bottom"/>
          </w:tcPr>
          <w:p>
            <w:pPr>
              <w:ind w:left="20"/>
              <w:spacing w:after="0"/>
              <w:rPr>
                <w:sz w:val="20"/>
                <w:szCs w:val="20"/>
                <w:color w:val="auto"/>
              </w:rPr>
            </w:pPr>
            <w:r>
              <w:rPr>
                <w:rFonts w:ascii="Arial" w:cs="Arial" w:eastAsia="Arial" w:hAnsi="Arial"/>
                <w:sz w:val="14"/>
                <w:szCs w:val="14"/>
                <w:color w:val="0000FF"/>
              </w:rPr>
              <w:t>Legal Proceedings</w:t>
            </w:r>
          </w:p>
        </w:tc>
        <w:tc>
          <w:tcPr>
            <w:tcW w:w="580" w:type="dxa"/>
            <w:vAlign w:val="bottom"/>
          </w:tcPr>
          <w:p>
            <w:pPr>
              <w:jc w:val="right"/>
              <w:spacing w:after="0"/>
              <w:rPr>
                <w:sz w:val="20"/>
                <w:szCs w:val="20"/>
                <w:color w:val="auto"/>
              </w:rPr>
            </w:pPr>
            <w:r>
              <w:rPr>
                <w:rFonts w:ascii="Arial" w:cs="Arial" w:eastAsia="Arial" w:hAnsi="Arial"/>
                <w:sz w:val="14"/>
                <w:szCs w:val="14"/>
                <w:color w:val="0000FF"/>
              </w:rPr>
              <w:t>37</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4.</w:t>
            </w:r>
          </w:p>
        </w:tc>
        <w:tc>
          <w:tcPr>
            <w:tcW w:w="9760" w:type="dxa"/>
            <w:vAlign w:val="bottom"/>
          </w:tcPr>
          <w:p>
            <w:pPr>
              <w:ind w:left="20"/>
              <w:spacing w:after="0"/>
              <w:rPr>
                <w:sz w:val="20"/>
                <w:szCs w:val="20"/>
                <w:color w:val="auto"/>
              </w:rPr>
            </w:pPr>
            <w:r>
              <w:rPr>
                <w:rFonts w:ascii="Arial" w:cs="Arial" w:eastAsia="Arial" w:hAnsi="Arial"/>
                <w:sz w:val="14"/>
                <w:szCs w:val="14"/>
                <w:color w:val="0000FF"/>
              </w:rPr>
              <w:t>Mine Safety Disclosures</w:t>
            </w:r>
          </w:p>
        </w:tc>
        <w:tc>
          <w:tcPr>
            <w:tcW w:w="580" w:type="dxa"/>
            <w:vAlign w:val="bottom"/>
          </w:tcPr>
          <w:p>
            <w:pPr>
              <w:jc w:val="right"/>
              <w:spacing w:after="0"/>
              <w:rPr>
                <w:sz w:val="20"/>
                <w:szCs w:val="20"/>
                <w:color w:val="auto"/>
              </w:rPr>
            </w:pPr>
            <w:r>
              <w:rPr>
                <w:rFonts w:ascii="Arial" w:cs="Arial" w:eastAsia="Arial" w:hAnsi="Arial"/>
                <w:sz w:val="14"/>
                <w:szCs w:val="14"/>
                <w:color w:val="0000FF"/>
              </w:rPr>
              <w:t>37</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PART II</w:t>
            </w:r>
          </w:p>
        </w:tc>
        <w:tc>
          <w:tcPr>
            <w:tcW w:w="9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5.</w:t>
            </w:r>
          </w:p>
        </w:tc>
        <w:tc>
          <w:tcPr>
            <w:tcW w:w="9760" w:type="dxa"/>
            <w:vAlign w:val="bottom"/>
          </w:tcPr>
          <w:p>
            <w:pPr>
              <w:ind w:left="2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580" w:type="dxa"/>
            <w:vAlign w:val="bottom"/>
          </w:tcPr>
          <w:p>
            <w:pPr>
              <w:jc w:val="right"/>
              <w:spacing w:after="0"/>
              <w:rPr>
                <w:sz w:val="20"/>
                <w:szCs w:val="20"/>
                <w:color w:val="auto"/>
              </w:rPr>
            </w:pPr>
            <w:r>
              <w:rPr>
                <w:rFonts w:ascii="Arial" w:cs="Arial" w:eastAsia="Arial" w:hAnsi="Arial"/>
                <w:sz w:val="14"/>
                <w:szCs w:val="14"/>
                <w:color w:val="0000FF"/>
              </w:rPr>
              <w:t>38</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6.</w:t>
            </w:r>
          </w:p>
        </w:tc>
        <w:tc>
          <w:tcPr>
            <w:tcW w:w="9760" w:type="dxa"/>
            <w:vAlign w:val="bottom"/>
          </w:tcPr>
          <w:p>
            <w:pPr>
              <w:ind w:left="20"/>
              <w:spacing w:after="0"/>
              <w:rPr>
                <w:sz w:val="20"/>
                <w:szCs w:val="20"/>
                <w:color w:val="auto"/>
              </w:rPr>
            </w:pPr>
            <w:r>
              <w:rPr>
                <w:rFonts w:ascii="Arial" w:cs="Arial" w:eastAsia="Arial" w:hAnsi="Arial"/>
                <w:sz w:val="14"/>
                <w:szCs w:val="14"/>
                <w:color w:val="0000FF"/>
              </w:rPr>
              <w:t>Reserved</w:t>
            </w:r>
          </w:p>
        </w:tc>
        <w:tc>
          <w:tcPr>
            <w:tcW w:w="580" w:type="dxa"/>
            <w:vAlign w:val="bottom"/>
          </w:tcPr>
          <w:p>
            <w:pPr>
              <w:jc w:val="right"/>
              <w:spacing w:after="0"/>
              <w:rPr>
                <w:sz w:val="20"/>
                <w:szCs w:val="20"/>
                <w:color w:val="auto"/>
              </w:rPr>
            </w:pPr>
            <w:r>
              <w:rPr>
                <w:rFonts w:ascii="Arial" w:cs="Arial" w:eastAsia="Arial" w:hAnsi="Arial"/>
                <w:sz w:val="14"/>
                <w:szCs w:val="14"/>
                <w:color w:val="0000FF"/>
              </w:rPr>
              <w:t>38</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7.</w:t>
            </w:r>
          </w:p>
        </w:tc>
        <w:tc>
          <w:tcPr>
            <w:tcW w:w="9760" w:type="dxa"/>
            <w:vAlign w:val="bottom"/>
          </w:tcPr>
          <w:p>
            <w:pPr>
              <w:ind w:left="2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4"/>
                <w:szCs w:val="14"/>
                <w:color w:val="0000FF"/>
              </w:rPr>
              <w:t>39</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7A.</w:t>
            </w:r>
          </w:p>
        </w:tc>
        <w:tc>
          <w:tcPr>
            <w:tcW w:w="9760" w:type="dxa"/>
            <w:vAlign w:val="bottom"/>
          </w:tcPr>
          <w:p>
            <w:pPr>
              <w:ind w:left="20"/>
              <w:spacing w:after="0"/>
              <w:rPr>
                <w:sz w:val="20"/>
                <w:szCs w:val="20"/>
                <w:color w:val="auto"/>
              </w:rPr>
            </w:pPr>
            <w:r>
              <w:rPr>
                <w:rFonts w:ascii="Arial" w:cs="Arial" w:eastAsia="Arial" w:hAnsi="Arial"/>
                <w:sz w:val="14"/>
                <w:szCs w:val="14"/>
                <w:color w:val="0000FF"/>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4"/>
                <w:szCs w:val="14"/>
                <w:color w:val="0000FF"/>
              </w:rPr>
              <w:t>50</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8.</w:t>
            </w:r>
          </w:p>
        </w:tc>
        <w:tc>
          <w:tcPr>
            <w:tcW w:w="9760" w:type="dxa"/>
            <w:vAlign w:val="bottom"/>
          </w:tcPr>
          <w:p>
            <w:pPr>
              <w:ind w:left="20"/>
              <w:spacing w:after="0"/>
              <w:rPr>
                <w:sz w:val="20"/>
                <w:szCs w:val="20"/>
                <w:color w:val="auto"/>
              </w:rPr>
            </w:pPr>
            <w:r>
              <w:rPr>
                <w:rFonts w:ascii="Arial" w:cs="Arial" w:eastAsia="Arial" w:hAnsi="Arial"/>
                <w:sz w:val="14"/>
                <w:szCs w:val="14"/>
                <w:color w:val="0000FF"/>
              </w:rPr>
              <w:t>Financial Statements and Supplementary Data</w:t>
            </w:r>
          </w:p>
        </w:tc>
        <w:tc>
          <w:tcPr>
            <w:tcW w:w="580" w:type="dxa"/>
            <w:vAlign w:val="bottom"/>
          </w:tcPr>
          <w:p>
            <w:pPr>
              <w:jc w:val="right"/>
              <w:spacing w:after="0"/>
              <w:rPr>
                <w:sz w:val="20"/>
                <w:szCs w:val="20"/>
                <w:color w:val="auto"/>
              </w:rPr>
            </w:pPr>
            <w:r>
              <w:rPr>
                <w:rFonts w:ascii="Arial" w:cs="Arial" w:eastAsia="Arial" w:hAnsi="Arial"/>
                <w:sz w:val="14"/>
                <w:szCs w:val="14"/>
                <w:color w:val="0000FF"/>
              </w:rPr>
              <w:t>51</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9.</w:t>
            </w:r>
          </w:p>
        </w:tc>
        <w:tc>
          <w:tcPr>
            <w:tcW w:w="9760" w:type="dxa"/>
            <w:vAlign w:val="bottom"/>
          </w:tcPr>
          <w:p>
            <w:pPr>
              <w:ind w:left="2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14"/>
                <w:szCs w:val="14"/>
                <w:color w:val="0000FF"/>
              </w:rPr>
              <w:t>51</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9A.</w:t>
            </w:r>
          </w:p>
        </w:tc>
        <w:tc>
          <w:tcPr>
            <w:tcW w:w="9760" w:type="dxa"/>
            <w:vAlign w:val="bottom"/>
          </w:tcPr>
          <w:p>
            <w:pPr>
              <w:ind w:left="20"/>
              <w:spacing w:after="0"/>
              <w:rPr>
                <w:sz w:val="20"/>
                <w:szCs w:val="20"/>
                <w:color w:val="auto"/>
              </w:rPr>
            </w:pPr>
            <w:r>
              <w:rPr>
                <w:rFonts w:ascii="Arial" w:cs="Arial" w:eastAsia="Arial" w:hAnsi="Arial"/>
                <w:sz w:val="14"/>
                <w:szCs w:val="14"/>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4"/>
                <w:szCs w:val="14"/>
                <w:color w:val="0000FF"/>
              </w:rPr>
              <w:t>51</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9B.</w:t>
            </w:r>
          </w:p>
        </w:tc>
        <w:tc>
          <w:tcPr>
            <w:tcW w:w="9760" w:type="dxa"/>
            <w:vAlign w:val="bottom"/>
          </w:tcPr>
          <w:p>
            <w:pPr>
              <w:ind w:left="20"/>
              <w:spacing w:after="0"/>
              <w:rPr>
                <w:sz w:val="20"/>
                <w:szCs w:val="20"/>
                <w:color w:val="auto"/>
              </w:rPr>
            </w:pPr>
            <w:r>
              <w:rPr>
                <w:rFonts w:ascii="Arial" w:cs="Arial" w:eastAsia="Arial" w:hAnsi="Arial"/>
                <w:sz w:val="14"/>
                <w:szCs w:val="14"/>
                <w:color w:val="0000FF"/>
              </w:rPr>
              <w:t>Other Information</w:t>
            </w:r>
          </w:p>
        </w:tc>
        <w:tc>
          <w:tcPr>
            <w:tcW w:w="580" w:type="dxa"/>
            <w:vAlign w:val="bottom"/>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9"/>
                <w:szCs w:val="19"/>
                <w:color w:val="auto"/>
              </w:rPr>
            </w:pPr>
          </w:p>
        </w:tc>
      </w:tr>
      <w:tr>
        <w:trPr>
          <w:trHeight w:val="180"/>
        </w:trPr>
        <w:tc>
          <w:tcPr>
            <w:tcW w:w="920" w:type="dxa"/>
            <w:vAlign w:val="bottom"/>
          </w:tcPr>
          <w:p>
            <w:pPr>
              <w:ind w:left="20"/>
              <w:spacing w:after="0"/>
              <w:rPr>
                <w:sz w:val="20"/>
                <w:szCs w:val="20"/>
                <w:color w:val="auto"/>
              </w:rPr>
            </w:pPr>
            <w:r>
              <w:rPr>
                <w:rFonts w:ascii="Arial" w:cs="Arial" w:eastAsia="Arial" w:hAnsi="Arial"/>
                <w:sz w:val="14"/>
                <w:szCs w:val="14"/>
                <w:color w:val="auto"/>
              </w:rPr>
              <w:t>Item 9C.</w:t>
            </w:r>
          </w:p>
        </w:tc>
        <w:tc>
          <w:tcPr>
            <w:tcW w:w="9760" w:type="dxa"/>
            <w:vAlign w:val="bottom"/>
          </w:tcPr>
          <w:p>
            <w:pPr>
              <w:ind w:left="2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580" w:type="dxa"/>
            <w:vAlign w:val="bottom"/>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5"/>
                <w:szCs w:val="15"/>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PART III</w:t>
            </w:r>
          </w:p>
        </w:tc>
        <w:tc>
          <w:tcPr>
            <w:tcW w:w="9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10.</w:t>
            </w:r>
          </w:p>
        </w:tc>
        <w:tc>
          <w:tcPr>
            <w:tcW w:w="9760" w:type="dxa"/>
            <w:vAlign w:val="bottom"/>
          </w:tcPr>
          <w:p>
            <w:pPr>
              <w:ind w:left="20"/>
              <w:spacing w:after="0"/>
              <w:rPr>
                <w:sz w:val="20"/>
                <w:szCs w:val="20"/>
                <w:color w:val="auto"/>
              </w:rPr>
            </w:pPr>
            <w:r>
              <w:rPr>
                <w:rFonts w:ascii="Arial" w:cs="Arial" w:eastAsia="Arial" w:hAnsi="Arial"/>
                <w:sz w:val="14"/>
                <w:szCs w:val="14"/>
                <w:color w:val="0000FF"/>
              </w:rPr>
              <w:t>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11.</w:t>
            </w:r>
          </w:p>
        </w:tc>
        <w:tc>
          <w:tcPr>
            <w:tcW w:w="9760" w:type="dxa"/>
            <w:vAlign w:val="bottom"/>
          </w:tcPr>
          <w:p>
            <w:pPr>
              <w:ind w:left="20"/>
              <w:spacing w:after="0"/>
              <w:rPr>
                <w:sz w:val="20"/>
                <w:szCs w:val="20"/>
                <w:color w:val="auto"/>
              </w:rPr>
            </w:pPr>
            <w:r>
              <w:rPr>
                <w:rFonts w:ascii="Arial" w:cs="Arial" w:eastAsia="Arial" w:hAnsi="Arial"/>
                <w:sz w:val="14"/>
                <w:szCs w:val="14"/>
                <w:color w:val="0000FF"/>
              </w:rPr>
              <w:t>Executive Compensation</w:t>
            </w: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12.</w:t>
            </w:r>
          </w:p>
        </w:tc>
        <w:tc>
          <w:tcPr>
            <w:tcW w:w="9760" w:type="dxa"/>
            <w:vAlign w:val="bottom"/>
          </w:tcPr>
          <w:p>
            <w:pPr>
              <w:ind w:left="2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13.</w:t>
            </w:r>
          </w:p>
        </w:tc>
        <w:tc>
          <w:tcPr>
            <w:tcW w:w="9760" w:type="dxa"/>
            <w:vAlign w:val="bottom"/>
          </w:tcPr>
          <w:p>
            <w:pPr>
              <w:ind w:left="2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14.</w:t>
            </w:r>
          </w:p>
        </w:tc>
        <w:tc>
          <w:tcPr>
            <w:tcW w:w="9760" w:type="dxa"/>
            <w:vAlign w:val="bottom"/>
          </w:tcPr>
          <w:p>
            <w:pPr>
              <w:ind w:left="20"/>
              <w:spacing w:after="0"/>
              <w:rPr>
                <w:sz w:val="20"/>
                <w:szCs w:val="20"/>
                <w:color w:val="auto"/>
              </w:rPr>
            </w:pPr>
            <w:r>
              <w:rPr>
                <w:rFonts w:ascii="Arial" w:cs="Arial" w:eastAsia="Arial" w:hAnsi="Arial"/>
                <w:sz w:val="14"/>
                <w:szCs w:val="14"/>
                <w:color w:val="0000FF"/>
              </w:rPr>
              <w:t>Principal Accountant Fees and Services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92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6"/>
                <w:szCs w:val="16"/>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PART IV</w:t>
            </w:r>
          </w:p>
        </w:tc>
        <w:tc>
          <w:tcPr>
            <w:tcW w:w="9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15.</w:t>
            </w:r>
          </w:p>
        </w:tc>
        <w:tc>
          <w:tcPr>
            <w:tcW w:w="9760" w:type="dxa"/>
            <w:vAlign w:val="bottom"/>
          </w:tcPr>
          <w:p>
            <w:pPr>
              <w:ind w:left="20"/>
              <w:spacing w:after="0"/>
              <w:rPr>
                <w:sz w:val="20"/>
                <w:szCs w:val="20"/>
                <w:color w:val="auto"/>
              </w:rPr>
            </w:pPr>
            <w:r>
              <w:rPr>
                <w:rFonts w:ascii="Arial" w:cs="Arial" w:eastAsia="Arial" w:hAnsi="Arial"/>
                <w:sz w:val="14"/>
                <w:szCs w:val="14"/>
                <w:color w:val="0000FF"/>
              </w:rPr>
              <w:t>Exhibit and Financial Statement Schedules</w:t>
            </w:r>
          </w:p>
        </w:tc>
        <w:tc>
          <w:tcPr>
            <w:tcW w:w="580" w:type="dxa"/>
            <w:vAlign w:val="bottom"/>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4"/>
                <w:szCs w:val="14"/>
                <w:color w:val="auto"/>
              </w:rPr>
              <w:t>Item 16.</w:t>
            </w:r>
          </w:p>
        </w:tc>
        <w:tc>
          <w:tcPr>
            <w:tcW w:w="9760" w:type="dxa"/>
            <w:vAlign w:val="bottom"/>
          </w:tcPr>
          <w:p>
            <w:pPr>
              <w:ind w:left="20"/>
              <w:spacing w:after="0"/>
              <w:rPr>
                <w:sz w:val="20"/>
                <w:szCs w:val="20"/>
                <w:color w:val="auto"/>
              </w:rPr>
            </w:pPr>
            <w:r>
              <w:rPr>
                <w:rFonts w:ascii="Arial" w:cs="Arial" w:eastAsia="Arial" w:hAnsi="Arial"/>
                <w:sz w:val="14"/>
                <w:szCs w:val="14"/>
                <w:color w:val="0000FF"/>
              </w:rPr>
              <w:t>Form 10-K Summary</w:t>
            </w:r>
          </w:p>
        </w:tc>
        <w:tc>
          <w:tcPr>
            <w:tcW w:w="580" w:type="dxa"/>
            <w:vAlign w:val="bottom"/>
          </w:tcPr>
          <w:p>
            <w:pPr>
              <w:jc w:val="right"/>
              <w:spacing w:after="0"/>
              <w:rPr>
                <w:sz w:val="20"/>
                <w:szCs w:val="20"/>
                <w:color w:val="auto"/>
              </w:rPr>
            </w:pPr>
            <w:r>
              <w:rPr>
                <w:rFonts w:ascii="Arial" w:cs="Arial" w:eastAsia="Arial" w:hAnsi="Arial"/>
                <w:sz w:val="14"/>
                <w:szCs w:val="14"/>
                <w:color w:val="0000FF"/>
              </w:rPr>
              <w:t>56</w:t>
            </w:r>
          </w:p>
        </w:tc>
        <w:tc>
          <w:tcPr>
            <w:tcW w:w="20" w:type="dxa"/>
            <w:vAlign w:val="bottom"/>
          </w:tcPr>
          <w:p>
            <w:pPr>
              <w:spacing w:after="0"/>
              <w:rPr>
                <w:sz w:val="19"/>
                <w:szCs w:val="19"/>
                <w:color w:val="auto"/>
              </w:rPr>
            </w:pPr>
          </w:p>
        </w:tc>
      </w:tr>
      <w:tr>
        <w:trPr>
          <w:trHeight w:val="382"/>
        </w:trPr>
        <w:tc>
          <w:tcPr>
            <w:tcW w:w="920" w:type="dxa"/>
            <w:vAlign w:val="bottom"/>
          </w:tcPr>
          <w:p>
            <w:pPr>
              <w:ind w:left="20"/>
              <w:spacing w:after="0"/>
              <w:rPr>
                <w:sz w:val="20"/>
                <w:szCs w:val="20"/>
                <w:color w:val="auto"/>
              </w:rPr>
            </w:pPr>
            <w:r>
              <w:rPr>
                <w:rFonts w:ascii="Arial" w:cs="Arial" w:eastAsia="Arial" w:hAnsi="Arial"/>
                <w:sz w:val="14"/>
                <w:szCs w:val="14"/>
                <w:color w:val="0000FF"/>
                <w:w w:val="96"/>
              </w:rPr>
              <w:t>SIGNATURES</w:t>
            </w:r>
          </w:p>
        </w:tc>
        <w:tc>
          <w:tcPr>
            <w:tcW w:w="9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0000FF"/>
              </w:rPr>
              <w:t>57</w:t>
            </w:r>
          </w:p>
        </w:tc>
        <w:tc>
          <w:tcPr>
            <w:tcW w:w="20" w:type="dxa"/>
            <w:vAlign w:val="bottom"/>
          </w:tcPr>
          <w:p>
            <w:pPr>
              <w:spacing w:after="0"/>
              <w:rPr>
                <w:sz w:val="24"/>
                <w:szCs w:val="24"/>
                <w:color w:val="auto"/>
              </w:rPr>
            </w:pPr>
          </w:p>
        </w:tc>
      </w:tr>
      <w:tr>
        <w:trPr>
          <w:trHeight w:val="223"/>
        </w:trPr>
        <w:tc>
          <w:tcPr>
            <w:tcW w:w="10680" w:type="dxa"/>
            <w:vAlign w:val="bottom"/>
            <w:gridSpan w:val="2"/>
          </w:tcPr>
          <w:p>
            <w:pPr>
              <w:ind w:left="20"/>
              <w:spacing w:after="0"/>
              <w:rPr>
                <w:sz w:val="20"/>
                <w:szCs w:val="20"/>
                <w:color w:val="auto"/>
              </w:rPr>
            </w:pPr>
            <w:r>
              <w:rPr>
                <w:rFonts w:ascii="Arial" w:cs="Arial" w:eastAsia="Arial" w:hAnsi="Arial"/>
                <w:sz w:val="14"/>
                <w:szCs w:val="14"/>
                <w:color w:val="0000FF"/>
              </w:rPr>
              <w:t>INDEX TO CONSOLIDATED FINANCIAL STATEMENTS</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0000FF"/>
              </w:rPr>
              <w:t>F-1</w:t>
            </w:r>
          </w:p>
        </w:tc>
      </w:tr>
      <w:tr>
        <w:trPr>
          <w:trHeight w:val="766"/>
        </w:trPr>
        <w:tc>
          <w:tcPr>
            <w:tcW w:w="92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Forward-Looking Statements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89" w:lineRule="exact"/>
        <w:rPr>
          <w:sz w:val="20"/>
          <w:szCs w:val="20"/>
          <w:color w:val="auto"/>
        </w:rPr>
      </w:pPr>
    </w:p>
    <w:p>
      <w:pPr>
        <w:ind w:left="520" w:right="50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compete in the market for wireless broadband data access products, wireless modem products, and asset management, monitoring, telematics, vehicle tracking and fleet management products;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introduce new products and services successfully;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meet the price and performance standards of the evolving 5G New Radio (“5G NR”) products and technologies;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expand our customer reach/reduce customer concentration;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grow the Internet of Things (“IoT”) and mobile portfolio outside of North America;</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grow our Ctrack/asset tracking solutions within North America;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a small number of customers for a substantial portion of our revenues;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make scheduled payments on or to refinance our indebtedness, including our convertible notes obligations;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introduce and sell new products that comply with current and evolving industry standards and government regulations;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maintain strategic relationships to expand into new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properly manage the growth of our business to avoid significant strains on our management and operations and disruptions to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 parties to manufacture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contract manufacturers’ ability to secure necessary supply to build our devices;</w:t>
      </w:r>
    </w:p>
    <w:p>
      <w:pPr>
        <w:spacing w:after="0" w:line="131" w:lineRule="exact"/>
        <w:rPr>
          <w:rFonts w:ascii="Arial" w:cs="Arial" w:eastAsia="Arial" w:hAnsi="Arial"/>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increases in costs, disruption of supply or the shortage of semiconductors or other key components of our products;</w:t>
      </w:r>
    </w:p>
    <w:p>
      <w:pPr>
        <w:spacing w:after="0" w:line="117" w:lineRule="exact"/>
        <w:rPr>
          <w:rFonts w:ascii="Arial" w:cs="Arial" w:eastAsia="Arial" w:hAnsi="Arial"/>
          <w:sz w:val="17"/>
          <w:szCs w:val="17"/>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mitigate the impact of tariffs or other government-imposed sanctions;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accurately forecast customer demand and order the manufacture and timely delivery of sufficient product quantities;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sole source suppliers for some products and devices used in our solutions;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continuing impact of uncertain global economic conditions on the demand for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geopolitical instability on our business, including the current conflict between Russia and Ukraine;</w:t>
      </w:r>
    </w:p>
    <w:p>
      <w:pPr>
        <w:spacing w:after="0" w:line="125" w:lineRule="exact"/>
        <w:rPr>
          <w:rFonts w:ascii="Arial" w:cs="Arial" w:eastAsia="Arial" w:hAnsi="Arial"/>
          <w:sz w:val="14"/>
          <w:szCs w:val="14"/>
          <w:color w:val="auto"/>
        </w:rPr>
      </w:pPr>
    </w:p>
    <w:p>
      <w:pPr>
        <w:ind w:left="520" w:right="16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emergence of global public health emergencies, such as the outbreak of the 2019 novel coronavirus (2019-nCoV), known as “COVID-19”, which could extend lead times in our supply chain and lengthen sales cycles with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495935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8" w:right="339" w:bottom="1440" w:gutter="0" w:footer="0" w:header="0"/>
        </w:sectPr>
      </w:pPr>
    </w:p>
    <w:bookmarkStart w:id="3" w:name="page4"/>
    <w:bookmarkEnd w:id="3"/>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direct and indirect effects of COVID-19 on our employees, customers and supply chain and the economy and financial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high rates of inflation and rising interest rates;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be cost competitive while meeting time-to-market requirements for our customers;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meet the product performance needs of our customers in wireless broadband data access in industrial IoT (“IIoT”)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demand for fleet, vehicle and asset management software-as-a-service (“SaaS”) telematics solutions;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wireless telecommunication operators delivering acceptable wireless services;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outcome of any pending or future litigation, including intellectual property litigation;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infringement claims with respect to intellectual property contained in our solutions;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continued ability to license necessary third-party technology for the development and sale of our solutions;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introduction of new products that could contain errors or defects;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conducting business abroad, including foreign currency risks;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pace of 5G wireless network rollouts globally and their adoption by customers;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make focused investments in research and development;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hire, retain and manage additional qualified personnel to maintain and expand our business.</w:t>
      </w:r>
    </w:p>
    <w:p>
      <w:pPr>
        <w:spacing w:after="0" w:line="13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w:t>
      </w:r>
    </w:p>
    <w:p>
      <w:pPr>
        <w:spacing w:after="0" w:line="129" w:lineRule="exact"/>
        <w:rPr>
          <w:sz w:val="20"/>
          <w:szCs w:val="20"/>
          <w:color w:val="auto"/>
        </w:rPr>
      </w:pPr>
    </w:p>
    <w:p>
      <w:pPr>
        <w:ind w:right="220"/>
        <w:spacing w:after="0" w:line="321" w:lineRule="auto"/>
        <w:rPr>
          <w:sz w:val="20"/>
          <w:szCs w:val="20"/>
          <w:color w:val="auto"/>
        </w:rPr>
      </w:pPr>
      <w:r>
        <w:rPr>
          <w:rFonts w:ascii="Arial" w:cs="Arial" w:eastAsia="Arial" w:hAnsi="Arial"/>
          <w:sz w:val="13"/>
          <w:szCs w:val="13"/>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61"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0" w:lineRule="exact"/>
        <w:rPr>
          <w:sz w:val="20"/>
          <w:szCs w:val="20"/>
          <w:color w:val="auto"/>
        </w:rPr>
      </w:pPr>
    </w:p>
    <w:p>
      <w:pPr>
        <w:ind w:right="100" w:firstLine="318"/>
        <w:spacing w:after="0" w:line="246" w:lineRule="auto"/>
        <w:rPr>
          <w:sz w:val="20"/>
          <w:szCs w:val="20"/>
          <w:color w:val="auto"/>
        </w:rPr>
      </w:pPr>
      <w:r>
        <w:rPr>
          <w:rFonts w:ascii="Arial" w:cs="Arial" w:eastAsia="Arial" w:hAnsi="Arial"/>
          <w:sz w:val="14"/>
          <w:szCs w:val="14"/>
          <w:color w:val="353740"/>
        </w:rPr>
        <w:t>Inseego Corp. is a leader in the design and development of cloud-managed 5G wireless wide area network (WWAN) and intelligent edge solution. Our portfolio is comprised of secure, high-performance, cloud-managed fixed and mobile WWAN modems, routers, and gateways; enterprise networking software-defined edge (“SD EDGE”) solutions powered by our 5G WWAN portfolio that secures and prioritizes corporate network traffic; and intelligent edge and telematics solutions with built-in artificial intelligence (“AI”) technology, created to improve business outcomes. All of these products and solutions are designed and developed in the U.S. and are used in mission-critical applications requiring the highest levels of security and zero unscheduled downtime. These solutions support business applications such as enterprise networking, software-defined wide area network (“SD-WAN”) failover management, asset tracking, edge computing and artificial intelligence, fleet management, and other services.</w:t>
      </w:r>
    </w:p>
    <w:p>
      <w:pPr>
        <w:spacing w:after="0" w:line="113"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Inseego has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enterprise solutions, Inseego has been advancing technology and driving industry transformations for over 30 years. It is this proven expertise, commitment to quality, obsession with innovation and relentless focus on execution that makes us a preferred global partner of service providers, distributors, value-added resellers, system integrators, and enterprises worldwide.</w:t>
      </w:r>
    </w:p>
    <w:p>
      <w:pPr>
        <w:spacing w:after="0" w:line="101" w:lineRule="exact"/>
        <w:rPr>
          <w:sz w:val="20"/>
          <w:szCs w:val="20"/>
          <w:color w:val="auto"/>
        </w:rPr>
      </w:pPr>
    </w:p>
    <w:p>
      <w:pPr>
        <w:ind w:right="220" w:firstLine="318"/>
        <w:spacing w:after="0" w:line="288" w:lineRule="auto"/>
        <w:rPr>
          <w:sz w:val="20"/>
          <w:szCs w:val="20"/>
          <w:color w:val="auto"/>
        </w:rPr>
      </w:pPr>
      <w:r>
        <w:rPr>
          <w:rFonts w:ascii="Arial" w:cs="Arial" w:eastAsia="Arial" w:hAnsi="Arial"/>
          <w:sz w:val="13"/>
          <w:szCs w:val="13"/>
          <w:color w:val="auto"/>
        </w:rPr>
        <w:t>Inseego Corp. is a Delaware corporation formed in 2016 as the successor to Novatel Wireless, Inc., a Delaware corporation formed in 1996, resulting from an internal reorganization that was completed in November 2016. Our principal executive office as well as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Trends</w:t>
      </w:r>
    </w:p>
    <w:p>
      <w:pPr>
        <w:spacing w:after="0" w:line="129" w:lineRule="exact"/>
        <w:rPr>
          <w:sz w:val="20"/>
          <w:szCs w:val="20"/>
          <w:color w:val="auto"/>
        </w:rPr>
      </w:pPr>
    </w:p>
    <w:p>
      <w:pPr>
        <w:ind w:right="60" w:firstLine="318"/>
        <w:spacing w:after="0" w:line="259" w:lineRule="auto"/>
        <w:rPr>
          <w:sz w:val="20"/>
          <w:szCs w:val="20"/>
          <w:color w:val="auto"/>
        </w:rPr>
      </w:pPr>
      <w:r>
        <w:rPr>
          <w:rFonts w:ascii="Arial" w:cs="Arial" w:eastAsia="Arial" w:hAnsi="Arial"/>
          <w:sz w:val="14"/>
          <w:szCs w:val="14"/>
          <w:color w:val="auto"/>
        </w:rPr>
        <w:t>For over two decades, the mobile industry has experienced tremendous advancements and growth.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traditional wireless.</w:t>
      </w:r>
    </w:p>
    <w:p>
      <w:pPr>
        <w:spacing w:after="0" w:line="94" w:lineRule="exact"/>
        <w:rPr>
          <w:sz w:val="20"/>
          <w:szCs w:val="20"/>
          <w:color w:val="auto"/>
        </w:rPr>
      </w:pPr>
    </w:p>
    <w:p>
      <w:pPr>
        <w:ind w:right="360" w:firstLine="318"/>
        <w:spacing w:after="0" w:line="288" w:lineRule="auto"/>
        <w:rPr>
          <w:sz w:val="20"/>
          <w:szCs w:val="20"/>
          <w:color w:val="auto"/>
        </w:rPr>
      </w:pPr>
      <w:r>
        <w:rPr>
          <w:rFonts w:ascii="Arial" w:cs="Arial" w:eastAsia="Arial" w:hAnsi="Arial"/>
          <w:sz w:val="13"/>
          <w:szCs w:val="13"/>
          <w:color w:val="auto"/>
        </w:rPr>
        <w:t>We are working with leading global service providers and enterprises in the mobile and 5G fixed wireless access (“FWA”) ecosystems to further develop, commercialize and accelerate the availability of 5G-based solutions, which represent the next generation of mobile technology. 5G enables intelligent connectivity and is a catalyst for innovation and acceleration of the fourth industrial revolution across a wide range of vertical markets, including manufacturing, agriculture, utilities, industrial automation, retail, education, government, and healthcare.</w:t>
      </w:r>
    </w:p>
    <w:p>
      <w:pPr>
        <w:spacing w:after="0" w:line="77"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5G addresses the constraints of 4G LTE technology with wider spectrum bandwidths, multi-gigabit speeds, and ultra-reliable low latency, in addition to other advancements. As the fifth-generation wireless broadband technology, 5G is based on the Release 15 standard defined by the Generation Partnership Project (“3GPP”), an international consortium responsible for the development of mobile standards. The key operating ranges for the 5G spectrum globally are in the sub-6 GHz (below 6 GHz), and millimeter wave (28 GHz and 39 GHz) bands, with speed offerings greater than 1 Gigabit (“Gb”) per second and sub-millisecond latency, providing better coverage and signaling efficiency.</w:t>
      </w:r>
    </w:p>
    <w:p>
      <w:pPr>
        <w:spacing w:after="0" w:line="112" w:lineRule="exact"/>
        <w:rPr>
          <w:sz w:val="20"/>
          <w:szCs w:val="20"/>
          <w:color w:val="auto"/>
        </w:rPr>
      </w:pPr>
    </w:p>
    <w:p>
      <w:pPr>
        <w:ind w:right="200" w:firstLine="318"/>
        <w:spacing w:after="0" w:line="251" w:lineRule="auto"/>
        <w:rPr>
          <w:sz w:val="20"/>
          <w:szCs w:val="20"/>
          <w:color w:val="auto"/>
        </w:rPr>
      </w:pPr>
      <w:r>
        <w:rPr>
          <w:rFonts w:ascii="Arial" w:cs="Arial" w:eastAsia="Arial" w:hAnsi="Arial"/>
          <w:sz w:val="14"/>
          <w:szCs w:val="14"/>
          <w:color w:val="auto"/>
        </w:rPr>
        <w:t>The technological advancements of 5G technology, combined with many of the innovations developed for 4G LTE, provide a scalable and adaptable solution for a variety of use cases, which enable the creation of new industries and services, such as autonomous vehicles, telemedicine, live ultra-high-definition video streaming, cloud gaming, edge computing, and countless industrial applications such as augmented reality and robotics for smart manufacturing.</w:t>
      </w:r>
    </w:p>
    <w:p>
      <w:pPr>
        <w:spacing w:after="0" w:line="110" w:lineRule="exact"/>
        <w:rPr>
          <w:sz w:val="20"/>
          <w:szCs w:val="20"/>
          <w:color w:val="auto"/>
        </w:rPr>
      </w:pPr>
    </w:p>
    <w:p>
      <w:pPr>
        <w:ind w:firstLine="318"/>
        <w:spacing w:after="0" w:line="268" w:lineRule="auto"/>
        <w:rPr>
          <w:sz w:val="20"/>
          <w:szCs w:val="20"/>
          <w:color w:val="auto"/>
        </w:rPr>
      </w:pPr>
      <w:r>
        <w:rPr>
          <w:rFonts w:ascii="Arial" w:cs="Arial" w:eastAsia="Arial" w:hAnsi="Arial"/>
          <w:sz w:val="13"/>
          <w:szCs w:val="13"/>
          <w:color w:val="auto"/>
        </w:rPr>
        <w:t xml:space="preserve">The development of these new services and applications results in a growing demand for high-speed data, increased capacity, and low latency requirements which are key factors contributing to the accelerated growth and roll-out of 5G networks. 4G LTE is expected to continue to operate alongside 5G as a major part of the wireless ecosystem. Based on industry reports, such as the Global System for Mobile Communications Association (“GSMA”) Intelligence’s report </w:t>
      </w:r>
      <w:r>
        <w:rPr>
          <w:rFonts w:ascii="Arial" w:cs="Arial" w:eastAsia="Arial" w:hAnsi="Arial"/>
          <w:sz w:val="13"/>
          <w:szCs w:val="13"/>
          <w:i w:val="1"/>
          <w:iCs w:val="1"/>
          <w:color w:val="auto"/>
        </w:rPr>
        <w:t>The Mobile Economy</w:t>
      </w:r>
      <w:r>
        <w:rPr>
          <w:rFonts w:ascii="Arial" w:cs="Arial" w:eastAsia="Arial" w:hAnsi="Arial"/>
          <w:sz w:val="13"/>
          <w:szCs w:val="13"/>
          <w:color w:val="auto"/>
        </w:rPr>
        <w:t xml:space="preserve">, and the biannual Ericsson </w:t>
      </w:r>
      <w:r>
        <w:rPr>
          <w:rFonts w:ascii="Arial" w:cs="Arial" w:eastAsia="Arial" w:hAnsi="Arial"/>
          <w:sz w:val="13"/>
          <w:szCs w:val="13"/>
          <w:i w:val="1"/>
          <w:iCs w:val="1"/>
          <w:color w:val="auto"/>
        </w:rPr>
        <w:t>Mobility Report</w:t>
      </w:r>
      <w:r>
        <w:rPr>
          <w:rFonts w:ascii="Arial" w:cs="Arial" w:eastAsia="Arial" w:hAnsi="Arial"/>
          <w:sz w:val="13"/>
          <w:szCs w:val="13"/>
          <w:color w:val="auto"/>
        </w:rPr>
        <w:t xml:space="preserve"> we believe that 4G and 5G networks will coexist and remain complementary for many years. This means that operators will be able to service a significant share of the data traffic on 4G networks, leaving 5G with the dual remit of absorbing overflow capacity and underpinning consumer and enterprise services that require higher speeds and/or lower latency. As such, most 5G devices are expected to include multimode support for 4G and Wi-Fi, enabling service continuity where 5G has yet to be deployed and simultaneous connectivity across 4G and Wi-Fi</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ind w:right="180"/>
        <w:spacing w:after="0" w:line="259" w:lineRule="auto"/>
        <w:rPr>
          <w:sz w:val="20"/>
          <w:szCs w:val="20"/>
          <w:color w:val="auto"/>
        </w:rPr>
      </w:pPr>
      <w:r>
        <w:rPr>
          <w:rFonts w:ascii="Arial" w:cs="Arial" w:eastAsia="Arial" w:hAnsi="Arial"/>
          <w:sz w:val="14"/>
          <w:szCs w:val="14"/>
          <w:color w:val="auto"/>
        </w:rPr>
        <w:t>technologies, while also allowing mobile operators to utilize current 5G network deployments. At the same time, 4G is expected to continue to evolve in parallel with the development of 5G and become fundamental to many of the key 5G technologies, such as support for unlicensed spectrum, gigabit LTE user data rates (currently available from Inseego) and cellular IoT with connectivity designed to meet the needs of ultra-low-power and low-cost applications.</w:t>
      </w:r>
    </w:p>
    <w:p>
      <w:pPr>
        <w:spacing w:after="0" w:line="84" w:lineRule="exact"/>
        <w:rPr>
          <w:sz w:val="20"/>
          <w:szCs w:val="20"/>
          <w:color w:val="auto"/>
        </w:rPr>
      </w:pPr>
    </w:p>
    <w:p>
      <w:pPr>
        <w:ind w:right="60" w:firstLine="318"/>
        <w:spacing w:after="0" w:line="267" w:lineRule="auto"/>
        <w:rPr>
          <w:sz w:val="20"/>
          <w:szCs w:val="20"/>
          <w:color w:val="auto"/>
        </w:rPr>
      </w:pPr>
      <w:r>
        <w:rPr>
          <w:rFonts w:ascii="Arial" w:cs="Arial" w:eastAsia="Arial" w:hAnsi="Arial"/>
          <w:sz w:val="13"/>
          <w:szCs w:val="13"/>
          <w:color w:val="auto"/>
        </w:rPr>
        <w:t>Further, based on reports from analyst firms including GSMA Intelligence and IoT Analytics, we expect that the number of IoT connections could grow to 27 billion by 2025, of which cellular-based IoT connections could reach 4 billion. By 2025, global 4G connections will reach just under 55% of total connections. Meanwhile, 5G migration is gaining pace. According to Ericsson’s Mobility Report, November 2022 Edition, the rise of 5G has outpaced 4G within the first years of deployment. By the end of 2028, over five billion 5G subscriptions are forecast globally, which would account for 55 percent of all mobile subscriptions. 5G subscription uptake has been faster than that of 4G, following the launch of 4G in 2009, with 5G expected to reach one billion subscriptions two years sooner than with the 4G launch. 4G is now declining rapidly in many markets and is expected to fall behind 5G in terms of adoption for the first time in 2023.</w:t>
      </w:r>
    </w:p>
    <w:p>
      <w:pPr>
        <w:spacing w:after="0" w:line="102"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Based on reports, we believe that 5G will bring a number of enhanced benefits not available using 4G networks, including providing networks with massive numbers of IoT devices and wireless edge technologies with differing speed, bandwidth and quality of service demands for use cases including manufacturing, augmented and virtual reality, and video AI, and networking. We are increasingly diversifying our business as this 5G opportunity comes into realization and our addressable market expands.</w:t>
      </w:r>
    </w:p>
    <w:p>
      <w:pPr>
        <w:spacing w:after="0" w:line="110" w:lineRule="exact"/>
        <w:rPr>
          <w:sz w:val="20"/>
          <w:szCs w:val="20"/>
          <w:color w:val="auto"/>
        </w:rPr>
      </w:pPr>
    </w:p>
    <w:p>
      <w:pPr>
        <w:ind w:firstLine="318"/>
        <w:spacing w:after="0" w:line="246" w:lineRule="auto"/>
        <w:rPr>
          <w:sz w:val="20"/>
          <w:szCs w:val="20"/>
          <w:color w:val="auto"/>
        </w:rPr>
      </w:pPr>
      <w:r>
        <w:rPr>
          <w:rFonts w:ascii="Arial" w:cs="Arial" w:eastAsia="Arial" w:hAnsi="Arial"/>
          <w:sz w:val="14"/>
          <w:szCs w:val="14"/>
          <w:color w:val="auto"/>
        </w:rPr>
        <w:t>The adoption of 5G and the cloud continues to grow as companies across a wide range of industries are leveraging digital transformation technologies to increase efficiency, gain better customer insights, facilitate compliance and build new business models. This growth is expanding broadly, and adoption is particularly strong in the telematics and transportation industries and in industrial IoT markets such as smart city infrastructure, utilities, energy management, retail and manufacturing. We are building intelligent edge capabilities by leveraging business models that monetize usage on most major carrier networks. We have developed solutions that address key market needs for asset tracking applications, telematics, SD-WAN failover management, retail, remote work, remote monitoring and various other automation applications. In addition, our cloud solutions can turn the data that our solutions provide into actionable insights for our customers so they can develop new services and create revenue growth.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29" w:lineRule="exact"/>
        <w:rPr>
          <w:sz w:val="20"/>
          <w:szCs w:val="20"/>
          <w:color w:val="auto"/>
        </w:rPr>
      </w:pPr>
    </w:p>
    <w:p>
      <w:pPr>
        <w:ind w:right="100" w:firstLine="318"/>
        <w:spacing w:after="0" w:line="277" w:lineRule="auto"/>
        <w:rPr>
          <w:sz w:val="20"/>
          <w:szCs w:val="20"/>
          <w:color w:val="auto"/>
        </w:rPr>
      </w:pPr>
      <w:r>
        <w:rPr>
          <w:rFonts w:ascii="Arial" w:cs="Arial" w:eastAsia="Arial" w:hAnsi="Arial"/>
          <w:sz w:val="13"/>
          <w:szCs w:val="13"/>
          <w:color w:val="auto"/>
        </w:rPr>
        <w:t>Our objective is to be a leader in high performance 5G fixed, mobile, and IIoT device-to-cloud solutions for large enterprise verticals, service providers and small and medium-sized businesses around the globe. We will meet this objective through innovations we are driving in IIoT, fixed, mobile and SaaS technologies. In furtherance of that objective, we will continue to focus on developing mission critical enterprise applications, such as mobile and fixed broadband, industrial IoT, SD-WAN failover management, asset tracking and fleet management services. Our solutions will be powered by our key innovations in 5G WWAN, purpose-built SaaS platforms for the enterprise and advanced wireless technologies.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key elements of our strategy are to:</w:t>
      </w:r>
    </w:p>
    <w:p>
      <w:pPr>
        <w:spacing w:after="0" w:line="136" w:lineRule="exact"/>
        <w:rPr>
          <w:sz w:val="20"/>
          <w:szCs w:val="20"/>
          <w:color w:val="auto"/>
        </w:rPr>
      </w:pPr>
    </w:p>
    <w:p>
      <w:pPr>
        <w:ind w:left="760" w:right="40" w:hanging="246"/>
        <w:spacing w:after="0" w:line="251" w:lineRule="auto"/>
        <w:tabs>
          <w:tab w:leader="none" w:pos="7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Capitalize on our direct relationships with wireless operators, infrastructure providers, original equipment manufacturers (“OEMs”) and component suppliers. </w:t>
      </w:r>
      <w:r>
        <w:rPr>
          <w:rFonts w:ascii="Arial" w:cs="Arial" w:eastAsia="Arial" w:hAnsi="Arial"/>
          <w:sz w:val="14"/>
          <w:szCs w:val="14"/>
          <w:color w:val="auto"/>
        </w:rPr>
        <w:t>We intend to continue to</w:t>
      </w:r>
      <w:r>
        <w:rPr>
          <w:rFonts w:ascii="Arial" w:cs="Arial" w:eastAsia="Arial" w:hAnsi="Arial"/>
          <w:sz w:val="14"/>
          <w:szCs w:val="14"/>
          <w:i w:val="1"/>
          <w:iCs w:val="1"/>
          <w:color w:val="auto"/>
        </w:rPr>
        <w:t xml:space="preserve"> </w:t>
      </w:r>
      <w:r>
        <w:rPr>
          <w:rFonts w:ascii="Arial" w:cs="Arial" w:eastAsia="Arial" w:hAnsi="Arial"/>
          <w:sz w:val="14"/>
          <w:szCs w:val="14"/>
          <w:color w:val="auto"/>
        </w:rPr>
        <w:t>capitalize on our direct and long-standing relationships with wireless operators, infrastructure providers, OEMs and component suppliers in order to strengthen our worldwide market position, using these long-standing relationships to springboard both the expansion of the 4G LTE and 5G platforms globally, and influence the adoption of our 5G solutions around the world.</w:t>
      </w:r>
    </w:p>
    <w:p>
      <w:pPr>
        <w:spacing w:after="0" w:line="101" w:lineRule="exact"/>
        <w:rPr>
          <w:rFonts w:ascii="Arial" w:cs="Arial" w:eastAsia="Arial" w:hAnsi="Arial"/>
          <w:sz w:val="14"/>
          <w:szCs w:val="14"/>
          <w:i w:val="1"/>
          <w:iCs w:val="1"/>
          <w:color w:val="auto"/>
        </w:rPr>
      </w:pPr>
    </w:p>
    <w:p>
      <w:pPr>
        <w:ind w:left="760" w:right="260" w:hanging="246"/>
        <w:spacing w:after="0" w:line="251"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Expand our 5G WWAN solutions portfolio by leveraging our core mobile technologies and platforms. </w:t>
      </w:r>
      <w:r>
        <w:rPr>
          <w:rFonts w:ascii="Arial" w:cs="Arial" w:eastAsia="Arial" w:hAnsi="Arial"/>
          <w:sz w:val="14"/>
          <w:szCs w:val="14"/>
          <w:color w:val="auto"/>
        </w:rPr>
        <w:t>We intend to expand our 5G WWAN solutions portfolio with 5G device-cloud-managed solutions for the enterprise in North America, Australia, and targeted international markets that include edge devices based on the latest mobile technologies and cloud solutions.</w:t>
      </w:r>
    </w:p>
    <w:p>
      <w:pPr>
        <w:spacing w:after="0" w:line="110" w:lineRule="exact"/>
        <w:rPr>
          <w:rFonts w:ascii="Arial" w:cs="Arial" w:eastAsia="Arial" w:hAnsi="Arial"/>
          <w:sz w:val="14"/>
          <w:szCs w:val="14"/>
          <w:color w:val="auto"/>
        </w:rPr>
      </w:pPr>
    </w:p>
    <w:p>
      <w:pPr>
        <w:ind w:left="760" w:right="320" w:hanging="246"/>
        <w:spacing w:after="0" w:line="265" w:lineRule="auto"/>
        <w:tabs>
          <w:tab w:leader="none" w:pos="7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Aggressively expand our go-to-market offerings through sales and marketing expansion, channel development and strategic partnerships</w:t>
      </w:r>
      <w:r>
        <w:rPr>
          <w:rFonts w:ascii="Arial" w:cs="Arial" w:eastAsia="Arial" w:hAnsi="Arial"/>
          <w:sz w:val="14"/>
          <w:szCs w:val="14"/>
          <w:color w:val="auto"/>
        </w:rPr>
        <w:t>. We intend to expand our go-to-market 5G</w:t>
      </w:r>
      <w:r>
        <w:rPr>
          <w:rFonts w:ascii="Arial" w:cs="Arial" w:eastAsia="Arial" w:hAnsi="Arial"/>
          <w:sz w:val="14"/>
          <w:szCs w:val="14"/>
          <w:i w:val="1"/>
          <w:iCs w:val="1"/>
          <w:color w:val="auto"/>
        </w:rPr>
        <w:t xml:space="preserve"> </w:t>
      </w:r>
      <w:r>
        <w:rPr>
          <w:rFonts w:ascii="Arial" w:cs="Arial" w:eastAsia="Arial" w:hAnsi="Arial"/>
          <w:sz w:val="14"/>
          <w:szCs w:val="14"/>
          <w:color w:val="auto"/>
        </w:rPr>
        <w:t>WWAN cloud-managed offerings in North America, Australia, and targeted international markets.</w:t>
      </w:r>
    </w:p>
    <w:p>
      <w:pPr>
        <w:spacing w:after="0" w:line="90" w:lineRule="exact"/>
        <w:rPr>
          <w:rFonts w:ascii="Arial" w:cs="Arial" w:eastAsia="Arial" w:hAnsi="Arial"/>
          <w:sz w:val="14"/>
          <w:szCs w:val="14"/>
          <w:i w:val="1"/>
          <w:iCs w:val="1"/>
          <w:color w:val="auto"/>
        </w:rPr>
      </w:pPr>
    </w:p>
    <w:p>
      <w:pPr>
        <w:ind w:left="760" w:right="140" w:hanging="246"/>
        <w:spacing w:after="0" w:line="251" w:lineRule="auto"/>
        <w:tabs>
          <w:tab w:leader="none" w:pos="7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Improve SaaS solution penetration</w:t>
      </w:r>
      <w:r>
        <w:rPr>
          <w:rFonts w:ascii="Arial" w:cs="Arial" w:eastAsia="Arial" w:hAnsi="Arial"/>
          <w:sz w:val="14"/>
          <w:szCs w:val="14"/>
          <w:color w:val="auto"/>
        </w:rPr>
        <w:t>. Through our telematics and asset tracking platform solutions, we provide customers in our current target markets throughout Europe, the United</w:t>
      </w:r>
      <w:r>
        <w:rPr>
          <w:rFonts w:ascii="Arial" w:cs="Arial" w:eastAsia="Arial" w:hAnsi="Arial"/>
          <w:sz w:val="14"/>
          <w:szCs w:val="14"/>
          <w:i w:val="1"/>
          <w:iCs w:val="1"/>
          <w:color w:val="auto"/>
        </w:rPr>
        <w:t xml:space="preserve"> </w:t>
      </w:r>
      <w:r>
        <w:rPr>
          <w:rFonts w:ascii="Arial" w:cs="Arial" w:eastAsia="Arial" w:hAnsi="Arial"/>
          <w:sz w:val="14"/>
          <w:szCs w:val="14"/>
          <w:color w:val="auto"/>
        </w:rPr>
        <w:t>Kingdom, Australia and New Zealand with actionable insights and workflow efficiencies with highly secure intelligent device-to-cloud platforms. We also intend to roll out our cloud-based SaaS portfolio with enhancements in the areas of device management and security in our target markets, and we continue to offer the subscription management solution in North America.</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6" w:name="page7"/>
    <w:bookmarkEnd w:id="6"/>
    <w:p>
      <w:pPr>
        <w:ind w:left="760" w:right="20" w:hanging="246"/>
        <w:spacing w:after="0" w:line="251"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Increase the value of our offerings. </w:t>
      </w:r>
      <w:r>
        <w:rPr>
          <w:rFonts w:ascii="Arial" w:cs="Arial" w:eastAsia="Arial" w:hAnsi="Arial"/>
          <w:sz w:val="14"/>
          <w:szCs w:val="14"/>
          <w:color w:val="auto"/>
        </w:rPr>
        <w:t>As we seek to capitalize on potential growth opportunities, we continue to develop cutting edge fixed, mobile and cloud solutions, with specific focus</w:t>
      </w:r>
      <w:r>
        <w:rPr>
          <w:rFonts w:ascii="Arial" w:cs="Arial" w:eastAsia="Arial" w:hAnsi="Arial"/>
          <w:sz w:val="14"/>
          <w:szCs w:val="14"/>
          <w:i w:val="1"/>
          <w:iCs w:val="1"/>
          <w:color w:val="auto"/>
        </w:rPr>
        <w:t xml:space="preserve"> </w:t>
      </w:r>
      <w:r>
        <w:rPr>
          <w:rFonts w:ascii="Arial" w:cs="Arial" w:eastAsia="Arial" w:hAnsi="Arial"/>
          <w:sz w:val="14"/>
          <w:szCs w:val="14"/>
          <w:color w:val="auto"/>
        </w:rPr>
        <w:t>on end-to-end solutions that enable the best connected experiences for our customers. In addition, our complete portfolio of advanced 4G and 5G solutions opens us up to larger worldwide potential markets. Finally, continued investment within both edge devices and cloud platform solutions in predictive analytics, machine learning, and edge intelligence should expand our market opportunities.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Sources of Revenue</w:t>
      </w:r>
    </w:p>
    <w:p>
      <w:pPr>
        <w:spacing w:after="0" w:line="140" w:lineRule="exact"/>
        <w:rPr>
          <w:sz w:val="20"/>
          <w:szCs w:val="20"/>
          <w:color w:val="auto"/>
        </w:rPr>
      </w:pPr>
    </w:p>
    <w:p>
      <w:pPr>
        <w:ind w:right="40" w:firstLine="318"/>
        <w:spacing w:after="0" w:line="292" w:lineRule="auto"/>
        <w:rPr>
          <w:sz w:val="20"/>
          <w:szCs w:val="20"/>
          <w:color w:val="auto"/>
        </w:rPr>
      </w:pPr>
      <w:r>
        <w:rPr>
          <w:rFonts w:ascii="Arial" w:cs="Arial" w:eastAsia="Arial" w:hAnsi="Arial"/>
          <w:sz w:val="12"/>
          <w:szCs w:val="12"/>
          <w:color w:val="auto"/>
        </w:rPr>
        <w:t>We provide intelligent, cloud-managed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79" w:lineRule="exact"/>
        <w:rPr>
          <w:sz w:val="20"/>
          <w:szCs w:val="20"/>
          <w:color w:val="auto"/>
        </w:rPr>
      </w:pPr>
    </w:p>
    <w:p>
      <w:pPr>
        <w:jc w:val="both"/>
        <w:ind w:right="80" w:firstLine="318"/>
        <w:spacing w:after="0" w:line="259" w:lineRule="auto"/>
        <w:rPr>
          <w:sz w:val="20"/>
          <w:szCs w:val="20"/>
          <w:color w:val="auto"/>
        </w:rPr>
      </w:pPr>
      <w:r>
        <w:rPr>
          <w:rFonts w:ascii="Arial" w:cs="Arial" w:eastAsia="Arial" w:hAnsi="Arial"/>
          <w:sz w:val="14"/>
          <w:szCs w:val="14"/>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as well as other international wireless operators, distributors and various companies in other vertical markets and geographies.</w:t>
      </w:r>
    </w:p>
    <w:p>
      <w:pPr>
        <w:spacing w:after="0" w:line="94" w:lineRule="exact"/>
        <w:rPr>
          <w:sz w:val="20"/>
          <w:szCs w:val="20"/>
          <w:color w:val="auto"/>
        </w:rPr>
      </w:pPr>
    </w:p>
    <w:p>
      <w:pPr>
        <w:ind w:right="120" w:firstLine="318"/>
        <w:spacing w:after="0" w:line="251" w:lineRule="auto"/>
        <w:rPr>
          <w:sz w:val="20"/>
          <w:szCs w:val="20"/>
          <w:color w:val="auto"/>
        </w:rPr>
      </w:pPr>
      <w:r>
        <w:rPr>
          <w:rFonts w:ascii="Arial" w:cs="Arial" w:eastAsia="Arial" w:hAnsi="Arial"/>
          <w:sz w:val="14"/>
          <w:szCs w:val="14"/>
          <w:color w:val="auto"/>
        </w:rPr>
        <w:t>We sell our 5G WWAN solutions, integrated telematics and mobile tracking hardware devices through our direct sales force, value-added resellers and through distributors. The customer base for our products is comprised of transportation companies, industrial enterprises, retailers,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provided as part of our integrated SaaS solutions.</w:t>
      </w:r>
    </w:p>
    <w:p>
      <w:pPr>
        <w:spacing w:after="0" w:line="112" w:lineRule="exact"/>
        <w:rPr>
          <w:sz w:val="20"/>
          <w:szCs w:val="20"/>
          <w:color w:val="auto"/>
        </w:rPr>
      </w:pPr>
    </w:p>
    <w:p>
      <w:pPr>
        <w:ind w:right="120" w:firstLine="318"/>
        <w:spacing w:after="0" w:line="248" w:lineRule="auto"/>
        <w:rPr>
          <w:sz w:val="20"/>
          <w:szCs w:val="20"/>
          <w:color w:val="auto"/>
        </w:rPr>
      </w:pPr>
      <w:r>
        <w:rPr>
          <w:rFonts w:ascii="Arial" w:cs="Arial" w:eastAsia="Arial" w:hAnsi="Arial"/>
          <w:sz w:val="14"/>
          <w:szCs w:val="14"/>
          <w:color w:val="auto"/>
        </w:rPr>
        <w:t>We sell SaaS, software and services solutions across multiple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municipalities, healthcare, utilities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02"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the years ended December 31, 2022, 2021 and 2020, our total net revenues were $245.3 million, $262.4 million and $313.8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IoT and Mobile Solutions</w:t>
      </w:r>
    </w:p>
    <w:p>
      <w:pPr>
        <w:spacing w:after="0" w:line="125"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Our 4G and 5G WWAN business focuses on addressing applications for a variety of enterprise verticals. These applications include, among others, smart city infrastructure management, remote monitoring and control, SD-WAN failover and enterprise connectivity. Our Skyus branded wireless gateways, routers and modems serve as connectivity solutions for the rapidly growing and underpenetrated IoT market segments. Worldwide IoT spending is expected to increase at a 20% compound annual growth rate between 2022 and 2027 (as reported by IoT Analytics, 2023). With many enterprise customers using our solutions, we believe that we already have a solid footing in this market. We are continuing to invest and grow our product portfolio to realize the opportunities in the growing IoT market.</w:t>
      </w:r>
    </w:p>
    <w:p>
      <w:pPr>
        <w:spacing w:after="0" w:line="102"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Our 4G and 5G WWAN business has been driving advanced mobile technologies for a multitude of consumer and enterprise applications for over 20 years. In the 2000s, Inseego invented mobile hotspots sold under the MiFi brand. During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7" w:name="page8"/>
    <w:bookmarkEnd w:id="7"/>
    <w:p>
      <w:pPr>
        <w:ind w:right="260"/>
        <w:spacing w:after="0" w:line="265" w:lineRule="auto"/>
        <w:rPr>
          <w:sz w:val="20"/>
          <w:szCs w:val="20"/>
          <w:color w:val="auto"/>
        </w:rPr>
      </w:pPr>
      <w:r>
        <w:rPr>
          <w:rFonts w:ascii="Arial" w:cs="Arial" w:eastAsia="Arial" w:hAnsi="Arial"/>
          <w:sz w:val="14"/>
          <w:szCs w:val="14"/>
          <w:color w:val="auto"/>
        </w:rPr>
        <w:t>2010s, Inseego was a leader in the 4G mobile hotspot market—delivering the highest 4G mobile hotspot performance in the market. In 2019, Inseego developed and produced the world’s first 5G mobile hotspot. In 2022, we launched our fourth generation 5G mobile hotspot with Telstra, Verizon, and T-Mobile.</w:t>
      </w:r>
    </w:p>
    <w:p>
      <w:pPr>
        <w:spacing w:after="0" w:line="101" w:lineRule="exact"/>
        <w:rPr>
          <w:sz w:val="20"/>
          <w:szCs w:val="20"/>
          <w:color w:val="auto"/>
        </w:rPr>
      </w:pPr>
    </w:p>
    <w:p>
      <w:pPr>
        <w:ind w:right="200" w:firstLine="318"/>
        <w:spacing w:after="0" w:line="272" w:lineRule="auto"/>
        <w:rPr>
          <w:sz w:val="20"/>
          <w:szCs w:val="20"/>
          <w:color w:val="auto"/>
        </w:rPr>
      </w:pPr>
      <w:r>
        <w:rPr>
          <w:rFonts w:ascii="Arial" w:cs="Arial" w:eastAsia="Arial" w:hAnsi="Arial"/>
          <w:sz w:val="13"/>
          <w:szCs w:val="13"/>
          <w:color w:val="auto"/>
        </w:rPr>
        <w:t>Our 4G and 5G WWAN business product portfolio consists of intelligent mobile broadband solutions, HD quality VoLTE products, residential 4G gateways and an advanced 5G portfolio of mobile and fixed wireless products. Our mobile broadband solutions, sold under the MiFi brand, are actively used by millions of end users annually to provide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 believe we are strategically well placed to realize the opportunity for 5G and we are focused on developing a comprehensive portfolio of 5G products for fixed and mobile wireless applications.</w:t>
      </w:r>
    </w:p>
    <w:p>
      <w:pPr>
        <w:spacing w:after="0" w:line="87" w:lineRule="exact"/>
        <w:rPr>
          <w:sz w:val="20"/>
          <w:szCs w:val="20"/>
          <w:color w:val="auto"/>
        </w:rPr>
      </w:pPr>
    </w:p>
    <w:p>
      <w:pPr>
        <w:ind w:right="140" w:firstLine="318"/>
        <w:spacing w:after="0" w:line="228" w:lineRule="auto"/>
        <w:rPr>
          <w:sz w:val="20"/>
          <w:szCs w:val="20"/>
          <w:color w:val="auto"/>
        </w:rPr>
      </w:pPr>
      <w:r>
        <w:rPr>
          <w:rFonts w:ascii="Arial" w:cs="Arial" w:eastAsia="Arial" w:hAnsi="Arial"/>
          <w:sz w:val="14"/>
          <w:szCs w:val="14"/>
          <w:color w:val="auto"/>
        </w:rPr>
        <w:t>Our cloud offering includes Inseego Connect for device management, Inseego Subscribe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which helps organizations manage the selection, deployment and spend of their customer’s wireless assets, helping them save money on personnel and telecom expenses and 5G SD EDGE enterprise networking.</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Telematics and Asset Tracking Business Intelligence-Business/Enterprise SaaS Solutions</w:t>
      </w:r>
    </w:p>
    <w:p>
      <w:pPr>
        <w:spacing w:after="0" w:line="125"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Inseego entered the telematics software and services industry through the acquisition of DigiCore Holdings Limited (which was renamed Ctrack Holdings (Pty) Ltd (“Ctrack”) in October 2015). Ctrack was founded in South Africa in 1985, and today Ctrack operations span over 50 countries on six continents. Through a series of global acquisitions and mergers, the Ctrack group broadened its international reach by expanding into the United Kingdom, Europe, and Australia/New Zealand, and using distributors in emerging markets such as Asia.</w:t>
      </w:r>
    </w:p>
    <w:p>
      <w:pPr>
        <w:spacing w:after="0" w:line="77"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 xml:space="preserve">On February 24, 2021, we entered into a Share Purchase Agreement (the “Purchase Agreement”) with an affiliate of Convergence Partners (“Convergence”), an investment management firm in South Africa, to sell our Ctrack business operations in Africa, Pakistan and the Middle East (together, “Ctrack South Africa”), in an all-cash transaction for 528.9 million South African Rand (“ZAR”) (approximately $36.6 million U.S. Dollars). On July 30, 2021, we completed the sale of Ctrack South Africa (the “Ctrack Transaction”). See Part IV Item 15 Note 5. </w:t>
      </w:r>
      <w:r>
        <w:rPr>
          <w:rFonts w:ascii="Arial" w:cs="Arial" w:eastAsia="Arial" w:hAnsi="Arial"/>
          <w:sz w:val="14"/>
          <w:szCs w:val="14"/>
          <w:i w:val="1"/>
          <w:iCs w:val="1"/>
          <w:color w:val="auto"/>
        </w:rPr>
        <w:t>Business Divestiture</w:t>
      </w:r>
      <w:r>
        <w:rPr>
          <w:rFonts w:ascii="Arial" w:cs="Arial" w:eastAsia="Arial" w:hAnsi="Arial"/>
          <w:sz w:val="14"/>
          <w:szCs w:val="14"/>
          <w:color w:val="auto"/>
        </w:rPr>
        <w:t xml:space="preserve"> for additional information about the divestiture of Ctrack South Africa.</w:t>
      </w:r>
    </w:p>
    <w:p>
      <w:pPr>
        <w:spacing w:after="0" w:line="112" w:lineRule="exact"/>
        <w:rPr>
          <w:sz w:val="20"/>
          <w:szCs w:val="20"/>
          <w:color w:val="auto"/>
        </w:rPr>
      </w:pPr>
    </w:p>
    <w:p>
      <w:pPr>
        <w:ind w:right="120" w:firstLine="318"/>
        <w:spacing w:after="0" w:line="307" w:lineRule="auto"/>
        <w:rPr>
          <w:sz w:val="20"/>
          <w:szCs w:val="20"/>
          <w:color w:val="auto"/>
        </w:rPr>
      </w:pPr>
      <w:r>
        <w:rPr>
          <w:rFonts w:ascii="Arial" w:cs="Arial" w:eastAsia="Arial" w:hAnsi="Arial"/>
          <w:sz w:val="12"/>
          <w:szCs w:val="12"/>
          <w:color w:val="auto"/>
        </w:rPr>
        <w:t>Following the Ctrack Transaction, we continue to provide telematics solutions under the Inseego brand in the rest of the world including in Europe, the United Kingdom and Australia. With more than 30 years of experience, we are recognized as a leading global provider of advanced fleet management telematics and asset tracking solutions that add value to a global base of customers. We design, develop and sell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68"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4"/>
          <w:szCs w:val="14"/>
          <w:color w:val="auto"/>
        </w:rPr>
        <w:t>We believe that our continued emphasis on development of next-generation products keeps Inseego telematics ahead of the market, meeting demands for value-added, flexible, feature-rich and cost-effective technology across multiple market verticals. Our solutions, coupled with a proven track record in the successful implementation and support of projects of all sizes worldwide, provide Inseego with a competitive edge with respect to attracting and retaining customers.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2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We engage in a wide variety of sales and marketing activities, driving market leadership and global demand through integrated marketing campaigns. This includes product marketing, corporate communications, brand marketing and demand generation.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29"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The market for our mobile, 5G WWAN and asset tracking/telematics services and solutions is rapidly evolving and highly competitive. It is likely to continue to be affected by new product introductions and industry participants.</w:t>
      </w:r>
    </w:p>
    <w:p>
      <w:pPr>
        <w:spacing w:after="0" w:line="79" w:lineRule="exact"/>
        <w:rPr>
          <w:sz w:val="20"/>
          <w:szCs w:val="20"/>
          <w:color w:val="auto"/>
        </w:rPr>
      </w:pPr>
    </w:p>
    <w:p>
      <w:pPr>
        <w:ind w:right="340" w:firstLine="318"/>
        <w:spacing w:after="0" w:line="304" w:lineRule="auto"/>
        <w:rPr>
          <w:sz w:val="20"/>
          <w:szCs w:val="20"/>
          <w:color w:val="auto"/>
        </w:rPr>
      </w:pPr>
      <w:r>
        <w:rPr>
          <w:rFonts w:ascii="Arial" w:cs="Arial" w:eastAsia="Arial" w:hAnsi="Arial"/>
          <w:sz w:val="13"/>
          <w:szCs w:val="13"/>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products compete with a variety of telematics solutions providers and IoT solutions suppliers. Our current competitors include: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8" w:name="page9"/>
    <w:bookmarkEnd w:id="8"/>
    <w:p>
      <w:pPr>
        <w:ind w:left="760" w:hanging="246"/>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Fleet management SaaS and services providers, such as Lytx, Sierra Wireless, Samsara and Cartrack;</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Fixed wireless, mobile hotspot and wireless data modem providers, such as NETGEAR, Franklin Wireless, WNC, Nokia, TCL, ZTE and Huawei;</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IoT solution providers, such as Cradlepoint, Cisco, and Sierra Wireless;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Customer experience software solutions and services providers, such as Cisco.</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the market for our solutions and services expands, other entrants may seek to compete with us either directly or indirectly.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9" w:lineRule="exact"/>
        <w:rPr>
          <w:sz w:val="20"/>
          <w:szCs w:val="20"/>
          <w:color w:val="auto"/>
        </w:rPr>
      </w:pPr>
    </w:p>
    <w:p>
      <w:pPr>
        <w:jc w:val="both"/>
        <w:ind w:right="140" w:firstLine="318"/>
        <w:spacing w:after="0" w:line="259" w:lineRule="auto"/>
        <w:rPr>
          <w:sz w:val="20"/>
          <w:szCs w:val="20"/>
          <w:color w:val="auto"/>
        </w:rPr>
      </w:pPr>
      <w:r>
        <w:rPr>
          <w:rFonts w:ascii="Arial" w:cs="Arial" w:eastAsia="Arial" w:hAnsi="Arial"/>
          <w:sz w:val="14"/>
          <w:szCs w:val="14"/>
          <w:color w:val="auto"/>
        </w:rPr>
        <w:t>Our research and development efforts are focused on developing innovative fixed and mobile devices, including IoT and advanced gateway solutions in both the 4G LTE and 5G markets, and for device management, cloud enterprise networking, edge computing and telematics solutions and services, while improving the functionality, design and performance of our current products and solutions.</w:t>
      </w:r>
    </w:p>
    <w:p>
      <w:pPr>
        <w:spacing w:after="0" w:line="94" w:lineRule="exact"/>
        <w:rPr>
          <w:sz w:val="20"/>
          <w:szCs w:val="20"/>
          <w:color w:val="auto"/>
        </w:rPr>
      </w:pPr>
    </w:p>
    <w:p>
      <w:pPr>
        <w:ind w:firstLine="318"/>
        <w:spacing w:after="0" w:line="259" w:lineRule="auto"/>
        <w:rPr>
          <w:sz w:val="20"/>
          <w:szCs w:val="20"/>
          <w:color w:val="auto"/>
        </w:rPr>
      </w:pPr>
      <w:r>
        <w:rPr>
          <w:rFonts w:ascii="Arial" w:cs="Arial" w:eastAsia="Arial" w:hAnsi="Arial"/>
          <w:sz w:val="14"/>
          <w:szCs w:val="14"/>
          <w:color w:val="auto"/>
        </w:rPr>
        <w:t>We intend to continue to identify and respond to our customers’ needs by introducing new SaaS, 5G WWAN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94" w:lineRule="exact"/>
        <w:rPr>
          <w:sz w:val="20"/>
          <w:szCs w:val="20"/>
          <w:color w:val="auto"/>
        </w:rPr>
      </w:pPr>
    </w:p>
    <w:p>
      <w:pPr>
        <w:jc w:val="both"/>
        <w:ind w:right="60" w:firstLine="318"/>
        <w:spacing w:after="0" w:line="259" w:lineRule="auto"/>
        <w:rPr>
          <w:sz w:val="20"/>
          <w:szCs w:val="20"/>
          <w:color w:val="auto"/>
        </w:rPr>
      </w:pPr>
      <w:r>
        <w:rPr>
          <w:rFonts w:ascii="Arial" w:cs="Arial" w:eastAsia="Arial" w:hAnsi="Arial"/>
          <w:sz w:val="14"/>
          <w:szCs w:val="14"/>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2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Our solutions rely on and benefit from our portfolio of intellectual property, including patents and trademarks. We currently own 44 patents and have 18 patent applications pending. The patents that we currently own will expire at various times between 2023 and 2041.</w:t>
      </w:r>
    </w:p>
    <w:p>
      <w:pPr>
        <w:spacing w:after="0" w:line="79"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We, along with our subsidiaries, also hold a number of trademarks or registered trademarks including “Inseego”, “Inseego Subscribe”, “Inseego Manage”, “Inseego Secure”, “Inseego Vision”, the Inseego logo, “MiFi”, “MiFi Intelligent Mobile Hotspot”, “Wavemaker” and “Skyus”.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Partners and Customers</w:t>
      </w:r>
    </w:p>
    <w:p>
      <w:pPr>
        <w:spacing w:after="0" w:line="129"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wireless telecom service providers, and value-added resellers and distributors which allows us to offer customers integrated and holistic solutions. Our telematics platform uses leading cellular providers such as Vodafone, Telstra and Optus to ensure the optimal real-time visibility of tracked vehicles and systems, supported by accurate and sophisticated mapping services such as the HERE Open Location Platform.</w:t>
      </w:r>
    </w:p>
    <w:p>
      <w:pPr>
        <w:spacing w:after="0" w:line="101" w:lineRule="exact"/>
        <w:rPr>
          <w:sz w:val="20"/>
          <w:szCs w:val="20"/>
          <w:color w:val="auto"/>
        </w:rPr>
      </w:pPr>
    </w:p>
    <w:p>
      <w:pPr>
        <w:ind w:right="160" w:firstLine="318"/>
        <w:spacing w:after="0" w:line="259" w:lineRule="auto"/>
        <w:rPr>
          <w:sz w:val="20"/>
          <w:szCs w:val="20"/>
          <w:color w:val="auto"/>
        </w:rPr>
      </w:pPr>
      <w:r>
        <w:rPr>
          <w:rFonts w:ascii="Arial" w:cs="Arial" w:eastAsia="Arial" w:hAnsi="Arial"/>
          <w:sz w:val="14"/>
          <w:szCs w:val="14"/>
          <w:color w:val="auto"/>
        </w:rPr>
        <w:t>Customers for our products include transportation companies, industrial companies, governmental agencies, manufacturers, application service providers, system integrators, distributors, and enterprises in various industries, including fleet and vehicle transportation, finance, accounting, legal, insurance, energy and industrial automation, security and safety, medical monitoring and government.</w:t>
      </w:r>
    </w:p>
    <w:p>
      <w:pPr>
        <w:spacing w:after="0" w:line="94" w:lineRule="exact"/>
        <w:rPr>
          <w:sz w:val="20"/>
          <w:szCs w:val="20"/>
          <w:color w:val="auto"/>
        </w:rPr>
      </w:pPr>
    </w:p>
    <w:p>
      <w:pPr>
        <w:jc w:val="both"/>
        <w:ind w:right="140" w:firstLine="318"/>
        <w:spacing w:after="0" w:line="259" w:lineRule="auto"/>
        <w:rPr>
          <w:sz w:val="20"/>
          <w:szCs w:val="20"/>
          <w:color w:val="auto"/>
        </w:rPr>
      </w:pPr>
      <w:r>
        <w:rPr>
          <w:rFonts w:ascii="Arial" w:cs="Arial" w:eastAsia="Arial" w:hAnsi="Arial"/>
          <w:sz w:val="14"/>
          <w:szCs w:val="14"/>
          <w:color w:val="auto"/>
        </w:rPr>
        <w:t>Our telematics customer base is comprised of wireless operators, distributors, OEMs and various companies in other vertical markets. Fleet management customers include global enterprises such as BHP Billiton, Super Group, Mammoet and Australia Post. Our customers for our business connectivity products include EnerNOC, Thermo Fisher Scientific, US Army, Fastenal, T-Mobile and Verizon Wireless, amongst others. Customers for our device management solutions include carriers such as T-Mobile.</w:t>
      </w:r>
    </w:p>
    <w:p>
      <w:pPr>
        <w:spacing w:after="0" w:line="94" w:lineRule="exact"/>
        <w:rPr>
          <w:sz w:val="20"/>
          <w:szCs w:val="20"/>
          <w:color w:val="auto"/>
        </w:rPr>
      </w:pPr>
    </w:p>
    <w:p>
      <w:pPr>
        <w:jc w:val="both"/>
        <w:ind w:right="140" w:firstLine="318"/>
        <w:spacing w:after="0" w:line="281" w:lineRule="auto"/>
        <w:rPr>
          <w:sz w:val="20"/>
          <w:szCs w:val="20"/>
          <w:color w:val="auto"/>
        </w:rPr>
      </w:pPr>
      <w:r>
        <w:rPr>
          <w:rFonts w:ascii="Arial" w:cs="Arial" w:eastAsia="Arial" w:hAnsi="Arial"/>
          <w:sz w:val="14"/>
          <w:szCs w:val="14"/>
          <w:color w:val="auto"/>
        </w:rPr>
        <w:t>A significant portion of our revenue during the year ended December 31, 2022 came from two customers, Verizon and T-Mobile, which together represented approximately 67.3% of our total revenues for the year ended December 31, 2022. It is our intention to continue to diversify our customer base.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Manufacturing and Operations</w:t>
      </w:r>
    </w:p>
    <w:p>
      <w:pPr>
        <w:spacing w:after="0" w:line="129" w:lineRule="exact"/>
        <w:rPr>
          <w:sz w:val="20"/>
          <w:szCs w:val="20"/>
          <w:color w:val="auto"/>
        </w:rPr>
      </w:pPr>
    </w:p>
    <w:p>
      <w:pPr>
        <w:ind w:right="320" w:firstLine="318"/>
        <w:spacing w:after="0" w:line="251" w:lineRule="auto"/>
        <w:rPr>
          <w:sz w:val="20"/>
          <w:szCs w:val="20"/>
          <w:color w:val="auto"/>
        </w:rPr>
      </w:pPr>
      <w:r>
        <w:rPr>
          <w:rFonts w:ascii="Arial" w:cs="Arial" w:eastAsia="Arial" w:hAnsi="Arial"/>
          <w:sz w:val="14"/>
          <w:szCs w:val="14"/>
          <w:color w:val="auto"/>
        </w:rPr>
        <w:t>The hardware used in our solutions is produced by contract manufacturers. Our primary contract manufacturers include Hon Hai Precision Industry Co., Ltd. (“Foxconn”) and Inventec Appliance Corporation (“IAC”), each of whom manufactures our product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outsource our manufacturing in an effort to:</w:t>
      </w:r>
    </w:p>
    <w:p>
      <w:pPr>
        <w:spacing w:after="0" w:line="125" w:lineRule="exact"/>
        <w:rPr>
          <w:sz w:val="20"/>
          <w:szCs w:val="20"/>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focus on our core competencies of design, development and marketing;</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minimize our capital expenditures and lease obligations;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realize manufacturing economies of scale;</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achieve production scalability by adjusting manufacturing volumes to meet changes in demand;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access best-in-class component procurement and manufacturing resources.</w:t>
      </w:r>
    </w:p>
    <w:p>
      <w:pPr>
        <w:spacing w:after="0" w:line="136" w:lineRule="exact"/>
        <w:rPr>
          <w:sz w:val="20"/>
          <w:szCs w:val="20"/>
          <w:color w:val="auto"/>
        </w:rPr>
      </w:pPr>
    </w:p>
    <w:p>
      <w:pPr>
        <w:ind w:right="140" w:firstLine="318"/>
        <w:spacing w:after="0" w:line="265" w:lineRule="auto"/>
        <w:rPr>
          <w:sz w:val="20"/>
          <w:szCs w:val="20"/>
          <w:color w:val="auto"/>
        </w:rPr>
      </w:pPr>
      <w:r>
        <w:rPr>
          <w:rFonts w:ascii="Arial" w:cs="Arial" w:eastAsia="Arial" w:hAnsi="Arial"/>
          <w:sz w:val="14"/>
          <w:szCs w:val="14"/>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40" w:lineRule="exact"/>
        <w:rPr>
          <w:sz w:val="20"/>
          <w:szCs w:val="20"/>
          <w:color w:val="auto"/>
        </w:rPr>
      </w:pPr>
    </w:p>
    <w:p>
      <w:pPr>
        <w:jc w:val="both"/>
        <w:ind w:right="60" w:firstLine="318"/>
        <w:spacing w:after="0" w:line="265" w:lineRule="auto"/>
        <w:rPr>
          <w:sz w:val="20"/>
          <w:szCs w:val="20"/>
          <w:color w:val="auto"/>
        </w:rPr>
      </w:pPr>
      <w:r>
        <w:rPr>
          <w:rFonts w:ascii="Arial" w:cs="Arial" w:eastAsia="Arial" w:hAnsi="Arial"/>
          <w:sz w:val="14"/>
          <w:szCs w:val="14"/>
          <w:color w:val="auto"/>
        </w:rPr>
        <w:t>At December 31, 2022, we had 411 employees of which 391 were full-time employees. We also use the services of consultants and temporary workers from time to time. Our employees are not represented by any collective bargaining unit and we consider our relationship with our employees to be good.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Cybersecurity</w:t>
      </w:r>
    </w:p>
    <w:p>
      <w:pPr>
        <w:spacing w:after="0" w:line="140"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4"/>
          <w:szCs w:val="14"/>
          <w:color w:val="auto"/>
        </w:rPr>
        <w:t>In the normal course of business, we may collect and store personal information and certain sensitive Company information, including proprietary and confidential business information, trade secrets, intellectual property, sensitive third-party information and employee information. To protect this information, our existing cybersecurity policies require monitoring and detection programs, network security measures, encryption of critical data, and security assessment of vendors. We perform cyber-incident simulations and tabletop exercises to help with our overall risk-preparedness. We maintain various protections designed to safeguard against cyberattacks, including firewalls and virus detection software. We have established and test our disaster recovery plan and we protect against business interruption by backing up our major systems. Additionally, we routinely scan our environment for any vulnerabilities, perform penetration testing and engage third parties to assess the effectiveness of our data security practices. Our internal security team makes continuous efforts to prevent and mitigate cyber-attacks. We continue to make significant investments in security and maintain insurance that includes cybersecurity coverage.</w:t>
      </w:r>
    </w:p>
    <w:p>
      <w:pPr>
        <w:spacing w:after="0" w:line="97" w:lineRule="exact"/>
        <w:rPr>
          <w:sz w:val="20"/>
          <w:szCs w:val="20"/>
          <w:color w:val="auto"/>
        </w:rPr>
      </w:pPr>
    </w:p>
    <w:p>
      <w:pPr>
        <w:ind w:right="60" w:firstLine="318"/>
        <w:spacing w:after="0" w:line="251" w:lineRule="auto"/>
        <w:rPr>
          <w:sz w:val="20"/>
          <w:szCs w:val="20"/>
          <w:color w:val="auto"/>
        </w:rPr>
      </w:pPr>
      <w:r>
        <w:rPr>
          <w:rFonts w:ascii="Arial" w:cs="Arial" w:eastAsia="Arial" w:hAnsi="Arial"/>
          <w:sz w:val="14"/>
          <w:szCs w:val="14"/>
          <w:color w:val="auto"/>
        </w:rPr>
        <w:t>Our cybersecurity program is led by our Director of Information Security and Privacy. The program incorporates industry-standard frameworks, policies and practices designed to protect the privacy and security of our sensitive information. Our cybersecurity team provides regular, timely updates to the Board of Directors on information security and cybersecurity matters, as needed. Our Security Council, has oversight responsibility for our data security practices and we believe the committee has the requisite skills and visibility into the design and operation of our data security practices to fulfill this responsibility effectively.</w:t>
      </w:r>
    </w:p>
    <w:p>
      <w:pPr>
        <w:spacing w:after="0" w:line="101"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 for additional information about the risks to our business associated with a breach or compromise to our information technology systems.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36" w:lineRule="exact"/>
        <w:rPr>
          <w:sz w:val="20"/>
          <w:szCs w:val="20"/>
          <w:color w:val="auto"/>
        </w:rPr>
      </w:pPr>
    </w:p>
    <w:p>
      <w:pPr>
        <w:ind w:right="100" w:firstLine="318"/>
        <w:spacing w:after="0" w:line="254" w:lineRule="auto"/>
        <w:rPr>
          <w:sz w:val="20"/>
          <w:szCs w:val="20"/>
          <w:color w:val="auto"/>
        </w:rPr>
      </w:pPr>
      <w:r>
        <w:rPr>
          <w:rFonts w:ascii="Arial" w:cs="Arial" w:eastAsia="Arial" w:hAnsi="Arial"/>
          <w:sz w:val="14"/>
          <w:szCs w:val="14"/>
          <w:b w:val="1"/>
          <w:bCs w:val="1"/>
          <w:color w:val="auto"/>
        </w:rPr>
        <w:t>Our Culture</w:t>
      </w:r>
      <w:r>
        <w:rPr>
          <w:rFonts w:ascii="Arial" w:cs="Arial" w:eastAsia="Arial" w:hAnsi="Arial"/>
          <w:sz w:val="14"/>
          <w:szCs w:val="14"/>
          <w:color w:val="auto"/>
        </w:rPr>
        <w:t>: Culture is critically important to our growth and performance. We are driven by our values of Accountability, Sense of Urgency, Market Driven Innovation, Customer Focus, and</w:t>
      </w:r>
      <w:r>
        <w:rPr>
          <w:rFonts w:ascii="Arial" w:cs="Arial" w:eastAsia="Arial" w:hAnsi="Arial"/>
          <w:sz w:val="14"/>
          <w:szCs w:val="14"/>
          <w:b w:val="1"/>
          <w:bCs w:val="1"/>
          <w:color w:val="auto"/>
        </w:rPr>
        <w:t xml:space="preserve"> </w:t>
      </w:r>
      <w:r>
        <w:rPr>
          <w:rFonts w:ascii="Arial" w:cs="Arial" w:eastAsia="Arial" w:hAnsi="Arial"/>
          <w:sz w:val="14"/>
          <w:szCs w:val="14"/>
          <w:color w:val="auto"/>
        </w:rPr>
        <w:t>Integrity. We are committed to creating a world class employee experience through leadership development, career planning, open two-way communications, total compensation, and positive work environment.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0" w:name="page11"/>
    <w:bookmarkEnd w:id="10"/>
    <w:p>
      <w:pPr>
        <w:ind w:right="120" w:firstLine="318"/>
        <w:spacing w:after="0" w:line="249" w:lineRule="auto"/>
        <w:rPr>
          <w:sz w:val="20"/>
          <w:szCs w:val="20"/>
          <w:color w:val="auto"/>
        </w:rPr>
      </w:pPr>
      <w:r>
        <w:rPr>
          <w:rFonts w:ascii="Arial" w:cs="Arial" w:eastAsia="Arial" w:hAnsi="Arial"/>
          <w:sz w:val="14"/>
          <w:szCs w:val="14"/>
          <w:b w:val="1"/>
          <w:bCs w:val="1"/>
          <w:color w:val="auto"/>
        </w:rPr>
        <w:t>Diversity &amp; Inclusion</w:t>
      </w:r>
      <w:r>
        <w:rPr>
          <w:rFonts w:ascii="Arial" w:cs="Arial" w:eastAsia="Arial" w:hAnsi="Arial"/>
          <w:sz w:val="14"/>
          <w:szCs w:val="14"/>
          <w:color w:val="auto"/>
        </w:rPr>
        <w:t>: Our people are our most important asset. At Inseego, we embrace an inclusive culture because good ideas come from everywhere. Diversity comes in all forms, from</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different backgrounds and experiences to different perspectives and skill sets. It is this diversity that fuels innovation. It is this common passion to innovate that makes Inseego an equal opportunity employer. Inseego does not unlawfully discriminate in any employment decisions, including hiring, compensation, promotion, discipline, or termination on the basis of race, religion, color, national origin, sex, sexual orientation, gender identity, age, protected veteran status or disability. Inseego is also committed to providing reasonable accommodations to qualified individuals with disabilities and individuals with sincerely held religious beliefs and practices.</w:t>
      </w:r>
    </w:p>
    <w:p>
      <w:pPr>
        <w:spacing w:after="0" w:line="109" w:lineRule="exact"/>
        <w:rPr>
          <w:sz w:val="20"/>
          <w:szCs w:val="20"/>
          <w:color w:val="auto"/>
        </w:rPr>
      </w:pPr>
    </w:p>
    <w:p>
      <w:pPr>
        <w:ind w:right="200" w:firstLine="318"/>
        <w:spacing w:after="0" w:line="254" w:lineRule="auto"/>
        <w:rPr>
          <w:sz w:val="20"/>
          <w:szCs w:val="20"/>
          <w:color w:val="auto"/>
        </w:rPr>
      </w:pPr>
      <w:r>
        <w:rPr>
          <w:rFonts w:ascii="Arial" w:cs="Arial" w:eastAsia="Arial" w:hAnsi="Arial"/>
          <w:sz w:val="14"/>
          <w:szCs w:val="14"/>
          <w:b w:val="1"/>
          <w:bCs w:val="1"/>
          <w:color w:val="auto"/>
        </w:rPr>
        <w:t>Talent</w:t>
      </w:r>
      <w:r>
        <w:rPr>
          <w:rFonts w:ascii="Arial" w:cs="Arial" w:eastAsia="Arial" w:hAnsi="Arial"/>
          <w:sz w:val="14"/>
          <w:szCs w:val="14"/>
          <w:color w:val="auto"/>
        </w:rPr>
        <w:t>: We believe that talent is key to our success. Our human capital resources objectives include, as applicable, identifying, recruiting, retaining, incentivizing, and integrating our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and new employees. Our company size and culture allows employees to build and expand their skill set in ways that will enrich their careers. Our goal setting and performance evaluation process enables the company to focus on accelerating development for those who are top performers and strengthening the talent pipeline.</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4"/>
          <w:szCs w:val="14"/>
          <w:b w:val="1"/>
          <w:bCs w:val="1"/>
          <w:color w:val="auto"/>
        </w:rPr>
        <w:t>Work Life Balance</w:t>
      </w:r>
      <w:r>
        <w:rPr>
          <w:rFonts w:ascii="Arial" w:cs="Arial" w:eastAsia="Arial" w:hAnsi="Arial"/>
          <w:sz w:val="14"/>
          <w:szCs w:val="14"/>
          <w:color w:val="auto"/>
        </w:rPr>
        <w:t>: We believe that it is important to provide Work Life Harmony and our practices can vary globally. In the U.S., employees have Friday ‘summer hours’ where two hours in</w:t>
      </w:r>
      <w:r>
        <w:rPr>
          <w:rFonts w:ascii="Arial" w:cs="Arial" w:eastAsia="Arial" w:hAnsi="Arial"/>
          <w:sz w:val="14"/>
          <w:szCs w:val="14"/>
          <w:b w:val="1"/>
          <w:bCs w:val="1"/>
          <w:color w:val="auto"/>
        </w:rPr>
        <w:t xml:space="preserve"> </w:t>
      </w:r>
      <w:r>
        <w:rPr>
          <w:rFonts w:ascii="Arial" w:cs="Arial" w:eastAsia="Arial" w:hAnsi="Arial"/>
          <w:sz w:val="14"/>
          <w:szCs w:val="14"/>
          <w:color w:val="auto"/>
        </w:rPr>
        <w:t>the afternoon are blocked from meetings to ensure that there is “work” and “think” time. This time can be used to catch up on tasks, conduct a review of the past week, and plan for the following week. Inseego has a flexible time off policy that does not limit employee time off to fixed accruals for exempt employees in the U.S. This program gives team members the flexibility to take time off that makes sense for them and frees employees from the confines of traditional accrued time off policies. We also encourage flexibility and balance by embracing remote and hybrid work whenever possible.</w:t>
      </w:r>
    </w:p>
    <w:p>
      <w:pPr>
        <w:spacing w:after="0" w:line="99" w:lineRule="exact"/>
        <w:rPr>
          <w:sz w:val="20"/>
          <w:szCs w:val="20"/>
          <w:color w:val="auto"/>
        </w:rPr>
      </w:pPr>
    </w:p>
    <w:p>
      <w:pPr>
        <w:ind w:right="220" w:firstLine="318"/>
        <w:spacing w:after="0" w:line="309" w:lineRule="auto"/>
        <w:rPr>
          <w:sz w:val="20"/>
          <w:szCs w:val="20"/>
          <w:color w:val="auto"/>
        </w:rPr>
      </w:pPr>
      <w:r>
        <w:rPr>
          <w:rFonts w:ascii="Arial" w:cs="Arial" w:eastAsia="Arial" w:hAnsi="Arial"/>
          <w:sz w:val="12"/>
          <w:szCs w:val="12"/>
          <w:b w:val="1"/>
          <w:bCs w:val="1"/>
          <w:color w:val="auto"/>
        </w:rPr>
        <w:t>Employee Health and Wellness</w:t>
      </w:r>
      <w:r>
        <w:rPr>
          <w:rFonts w:ascii="Arial" w:cs="Arial" w:eastAsia="Arial" w:hAnsi="Arial"/>
          <w:sz w:val="12"/>
          <w:szCs w:val="12"/>
          <w:color w:val="auto"/>
        </w:rPr>
        <w:t>: As the success of our business is fundamentally connected to the well-being of our employees, we are committed to their health, safety and wellness. We</w:t>
      </w:r>
      <w:r>
        <w:rPr>
          <w:rFonts w:ascii="Arial" w:cs="Arial" w:eastAsia="Arial" w:hAnsi="Arial"/>
          <w:sz w:val="12"/>
          <w:szCs w:val="12"/>
          <w:b w:val="1"/>
          <w:bCs w:val="1"/>
          <w:color w:val="auto"/>
        </w:rPr>
        <w:t xml:space="preserve"> </w:t>
      </w:r>
      <w:r>
        <w:rPr>
          <w:rFonts w:ascii="Arial" w:cs="Arial" w:eastAsia="Arial" w:hAnsi="Arial"/>
          <w:sz w:val="12"/>
          <w:szCs w:val="12"/>
          <w:color w:val="auto"/>
        </w:rPr>
        <w:t>provide our employees and their families with access to convenient health and wellness programs. These programs include benefits that provide protection and security to help give our employees peace of mind concerning events that may require time away from work or that may impact their financial well-being. We offer choice where possible so employees can customize their benefits to meet their needs and the needs of their families. We also sponsor various Health &amp; Wellness Initiatives in the U.S. to help employees find ways to create more balance in their lives.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Governmental Regulations</w:t>
      </w:r>
    </w:p>
    <w:p>
      <w:pPr>
        <w:spacing w:after="0" w:line="125" w:lineRule="exact"/>
        <w:rPr>
          <w:sz w:val="20"/>
          <w:szCs w:val="20"/>
          <w:color w:val="auto"/>
        </w:rPr>
      </w:pPr>
    </w:p>
    <w:p>
      <w:pPr>
        <w:ind w:right="240" w:firstLine="318"/>
        <w:spacing w:after="0" w:line="270" w:lineRule="auto"/>
        <w:rPr>
          <w:sz w:val="20"/>
          <w:szCs w:val="20"/>
          <w:color w:val="auto"/>
        </w:rPr>
      </w:pPr>
      <w:r>
        <w:rPr>
          <w:rFonts w:ascii="Arial" w:cs="Arial" w:eastAsia="Arial" w:hAnsi="Arial"/>
          <w:sz w:val="13"/>
          <w:szCs w:val="13"/>
          <w:b w:val="1"/>
          <w:bCs w:val="1"/>
          <w:color w:val="auto"/>
        </w:rPr>
        <w:t>Environmental Laws</w:t>
      </w:r>
      <w:r>
        <w:rPr>
          <w:rFonts w:ascii="Arial" w:cs="Arial" w:eastAsia="Arial" w:hAnsi="Arial"/>
          <w:sz w:val="13"/>
          <w:szCs w:val="13"/>
          <w:color w:val="auto"/>
        </w:rPr>
        <w:t>: Our products and manufacturing process are subject to numerous governmental regulations, which cover both the use of various materials as well as environmental</w:t>
      </w:r>
      <w:r>
        <w:rPr>
          <w:rFonts w:ascii="Arial" w:cs="Arial" w:eastAsia="Arial" w:hAnsi="Arial"/>
          <w:sz w:val="13"/>
          <w:szCs w:val="13"/>
          <w:b w:val="1"/>
          <w:bCs w:val="1"/>
          <w:color w:val="auto"/>
        </w:rPr>
        <w:t xml:space="preserve"> </w:t>
      </w:r>
      <w:r>
        <w:rPr>
          <w:rFonts w:ascii="Arial" w:cs="Arial" w:eastAsia="Arial" w:hAnsi="Arial"/>
          <w:sz w:val="13"/>
          <w:szCs w:val="13"/>
          <w:color w:val="auto"/>
        </w:rPr>
        <w:t>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Other Regulations</w:t>
      </w:r>
      <w:r>
        <w:rPr>
          <w:rFonts w:ascii="Arial" w:cs="Arial" w:eastAsia="Arial" w:hAnsi="Arial"/>
          <w:sz w:val="13"/>
          <w:szCs w:val="13"/>
          <w:color w:val="auto"/>
        </w:rPr>
        <w:t>: As a company with global operations, we are subject to complex foreign and U.S. laws and regulations, including trade regulations, tariffs, import and export regulations,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Website Access to SEC Filings</w:t>
      </w:r>
    </w:p>
    <w:p>
      <w:pPr>
        <w:spacing w:after="0" w:line="129" w:lineRule="exact"/>
        <w:rPr>
          <w:sz w:val="20"/>
          <w:szCs w:val="20"/>
          <w:color w:val="auto"/>
        </w:rPr>
      </w:pPr>
    </w:p>
    <w:p>
      <w:pPr>
        <w:ind w:right="140" w:firstLine="318"/>
        <w:spacing w:after="0" w:line="252" w:lineRule="auto"/>
        <w:rPr>
          <w:sz w:val="20"/>
          <w:szCs w:val="20"/>
          <w:color w:val="auto"/>
        </w:rPr>
      </w:pPr>
      <w:r>
        <w:rPr>
          <w:rFonts w:ascii="Arial" w:cs="Arial" w:eastAsia="Arial" w:hAnsi="Arial"/>
          <w:sz w:val="14"/>
          <w:szCs w:val="14"/>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1" w:name="page12"/>
    <w:bookmarkEnd w:id="11"/>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29" w:lineRule="exact"/>
        <w:rPr>
          <w:sz w:val="20"/>
          <w:szCs w:val="20"/>
          <w:color w:val="auto"/>
        </w:rPr>
      </w:pPr>
    </w:p>
    <w:p>
      <w:pPr>
        <w:ind w:firstLine="318"/>
        <w:spacing w:after="0" w:line="249" w:lineRule="auto"/>
        <w:rPr>
          <w:sz w:val="20"/>
          <w:szCs w:val="20"/>
          <w:color w:val="auto"/>
        </w:rPr>
      </w:pPr>
      <w:r>
        <w:rPr>
          <w:rFonts w:ascii="Arial" w:cs="Arial" w:eastAsia="Arial" w:hAnsi="Arial"/>
          <w:sz w:val="14"/>
          <w:szCs w:val="14"/>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RISK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w:t>
      </w:r>
    </w:p>
    <w:p>
      <w:pPr>
        <w:spacing w:after="0" w:line="119"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quarterly operating results have fluctuated in the past and may fluctuate in the future, which could cause declines or volatility in the price of our common stock.</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have an accumulated deficit and may not be able to achieve or sustain profitability, which may negatively impact our ability to achieve our business objectives.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5G market may take longer to materialize than we expect or, if it does materialize rapidly, we may not be able to meet the development schedule and other customer demands.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plan to position ourselves as a leading provider of industrial IoT products and services to our customer base could subject us to increased costs and related risks and may not achieve the intended results.</w:t>
      </w:r>
    </w:p>
    <w:p>
      <w:pPr>
        <w:spacing w:after="0" w:line="149" w:lineRule="exact"/>
        <w:rPr>
          <w:rFonts w:ascii="Arial" w:cs="Arial" w:eastAsia="Arial" w:hAnsi="Arial"/>
          <w:sz w:val="11"/>
          <w:szCs w:val="11"/>
          <w:color w:val="auto"/>
        </w:rPr>
      </w:pPr>
    </w:p>
    <w:p>
      <w:pPr>
        <w:ind w:left="520" w:right="160" w:hanging="260"/>
        <w:spacing w:after="0" w:line="257"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 assertion by a third party that we are infringing its intellectual property could subject us to costly and time-consuming litigation or expensive licenses and our business could be harmed.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If we are unable to protect our intellectual property and proprietary rights, our competitive position and our business could be harmed.</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future capital needs are uncertain, and we may need to raise additional funds in the future. We may not be able to raise such additional funds on acceptable terms or at all.</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debt service requirements are significant, and we may not have sufficient cash flow from our business to pay our substantial debt.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Corporate Development Activities</w:t>
      </w:r>
    </w:p>
    <w:p>
      <w:pPr>
        <w:spacing w:after="0" w:line="119" w:lineRule="exact"/>
        <w:rPr>
          <w:sz w:val="20"/>
          <w:szCs w:val="20"/>
          <w:color w:val="auto"/>
        </w:rPr>
      </w:pPr>
    </w:p>
    <w:p>
      <w:pPr>
        <w:ind w:left="520" w:right="420" w:hanging="260"/>
        <w:spacing w:after="0" w:line="257"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Following acquisitions and/or divestitures, our reorganized business may not perform as we or the market expects, which could have an adverse effect on the price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Competition</w:t>
      </w:r>
    </w:p>
    <w:p>
      <w:pPr>
        <w:spacing w:after="0" w:line="119"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market for the products and services that we offer is rapidly evolving and highly competitive. We may be unable to compete effectively.</w:t>
      </w:r>
    </w:p>
    <w:p>
      <w:pPr>
        <w:spacing w:after="0" w:line="126" w:lineRule="exact"/>
        <w:rPr>
          <w:rFonts w:ascii="Arial" w:cs="Arial" w:eastAsia="Arial" w:hAnsi="Arial"/>
          <w:sz w:val="13"/>
          <w:szCs w:val="13"/>
          <w:color w:val="auto"/>
        </w:rPr>
      </w:pPr>
    </w:p>
    <w:p>
      <w:pPr>
        <w:ind w:left="520" w:right="20" w:hanging="260"/>
        <w:spacing w:after="0" w:line="257"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93"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Industry consolidation may result in increased competition, which could result in a loss of customers or a reduction in revenue.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Customers and Demand for Our Solutions</w:t>
      </w:r>
    </w:p>
    <w:p>
      <w:pPr>
        <w:spacing w:after="0" w:line="119"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inability to adapt to rapid technological change in our markets could impair our ability to remain competitive and adversely affect our results of operations.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We depend upon Verizon Wireless and T-Mobile for a substantial portion of our revenues, and our business would be negatively affected by an adverse change in our dealings with either of these customers.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12" w:name="page13"/>
    <w:bookmarkEnd w:id="12"/>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not be able to retain and increase sales to our existing customers, which could negatively impact our financial results.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Loss of, or a significant reduction in business from, one or more enterprise or government customers could adversely affect our revenue and profitability.</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Adverse economic conditions or reduced spending on information technology solutions may adversely impact our revenue and profitability.</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marketability of our products may suffer if wireless telecommunications operators do not deliver acceptable wireless services.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Developing, Manufacturing and Delivering Our Solutions</w:t>
      </w:r>
    </w:p>
    <w:p>
      <w:pPr>
        <w:spacing w:after="0" w:line="129"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currently rely on third parties to manufacture and warehouse many of our products, which exposes us to a number of risks and uncertainties outside our control.</w:t>
      </w:r>
    </w:p>
    <w:p>
      <w:pPr>
        <w:spacing w:after="0" w:line="115" w:lineRule="exact"/>
        <w:rPr>
          <w:rFonts w:ascii="Arial" w:cs="Arial" w:eastAsia="Arial" w:hAnsi="Arial"/>
          <w:sz w:val="13"/>
          <w:szCs w:val="13"/>
          <w:color w:val="auto"/>
        </w:rPr>
      </w:pPr>
    </w:p>
    <w:p>
      <w:pPr>
        <w:ind w:left="520" w:right="180" w:hanging="260"/>
        <w:spacing w:after="0" w:line="257"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 disruptions in our transportation network occur or our shipping costs substantially increase, we may be unable to sell or timely deliver our products, and our operating expenses could increase.</w:t>
      </w:r>
    </w:p>
    <w:p>
      <w:pPr>
        <w:spacing w:after="0" w:line="137" w:lineRule="exact"/>
        <w:rPr>
          <w:rFonts w:ascii="Arial" w:cs="Arial" w:eastAsia="Arial" w:hAnsi="Arial"/>
          <w:sz w:val="12"/>
          <w:szCs w:val="12"/>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may be unable to adequately control the costs or maintain adequate supply of components and raw materials associated with our operations.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If we do not effectively manage our sales channel inventory and product mix, we may incur costs associated with excess inventory or lose sales from having too few products.</w:t>
      </w:r>
    </w:p>
    <w:p>
      <w:pPr>
        <w:spacing w:after="0" w:line="115" w:lineRule="exact"/>
        <w:rPr>
          <w:rFonts w:ascii="Arial" w:cs="Arial" w:eastAsia="Arial" w:hAnsi="Arial"/>
          <w:sz w:val="13"/>
          <w:szCs w:val="13"/>
          <w:color w:val="auto"/>
        </w:rPr>
      </w:pPr>
    </w:p>
    <w:p>
      <w:pPr>
        <w:ind w:left="520" w:right="160" w:hanging="260"/>
        <w:spacing w:after="0" w:line="257"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Any significant disruption in service on our websites or in our computer systems could damage our reputation and result in a loss of customers, which would harm our business and operating results.</w:t>
      </w:r>
    </w:p>
    <w:p>
      <w:pPr>
        <w:spacing w:after="0" w:line="137" w:lineRule="exact"/>
        <w:rPr>
          <w:rFonts w:ascii="Arial" w:cs="Arial" w:eastAsia="Arial" w:hAnsi="Arial"/>
          <w:sz w:val="12"/>
          <w:szCs w:val="12"/>
          <w:color w:val="auto"/>
        </w:rPr>
      </w:pPr>
    </w:p>
    <w:p>
      <w:pPr>
        <w:ind w:left="520" w:right="60" w:hanging="260"/>
        <w:spacing w:after="0"/>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114"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Failure to maintain the security of our information and technology networks, including information relating to our customers and employees and access to our asset and fleet management and telemetry solutions, could adversely affect us.</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business may be adversely affected by unfavorable macroeconomic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International Operations</w:t>
      </w:r>
    </w:p>
    <w:p>
      <w:pPr>
        <w:spacing w:after="0" w:line="119"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Due to the global nature of our operations, we are subject to political and economic risks of doing business internationally.</w:t>
      </w:r>
    </w:p>
    <w:p>
      <w:pPr>
        <w:spacing w:after="0" w:line="126" w:lineRule="exact"/>
        <w:rPr>
          <w:rFonts w:ascii="Arial" w:cs="Arial" w:eastAsia="Arial" w:hAnsi="Arial"/>
          <w:sz w:val="13"/>
          <w:szCs w:val="13"/>
          <w:color w:val="auto"/>
        </w:rPr>
      </w:pPr>
    </w:p>
    <w:p>
      <w:pPr>
        <w:ind w:left="520" w:right="160" w:hanging="260"/>
        <w:spacing w:after="0" w:line="257"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Weakness or deterioration in global economic or political conditions in jurisdictions where we have significant foreign operations could have a material adverse effect on our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Regulations, Taxation and Accounting Matters</w:t>
      </w:r>
    </w:p>
    <w:p>
      <w:pPr>
        <w:spacing w:after="0" w:line="129"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 governmental challenge to our transfer pricing policies or practices could impose significant costs on us.</w:t>
      </w:r>
    </w:p>
    <w:p>
      <w:pPr>
        <w:spacing w:after="0" w:line="126" w:lineRule="exact"/>
        <w:rPr>
          <w:rFonts w:ascii="Arial" w:cs="Arial" w:eastAsia="Arial" w:hAnsi="Arial"/>
          <w:sz w:val="13"/>
          <w:szCs w:val="13"/>
          <w:color w:val="auto"/>
        </w:rPr>
      </w:pPr>
    </w:p>
    <w:p>
      <w:pPr>
        <w:ind w:left="520" w:right="380" w:hanging="260"/>
        <w:spacing w:after="0"/>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11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Enhanced United States fiscal, tax and trade restrictions and executive and legislative actions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Owning Our Securities</w:t>
      </w:r>
    </w:p>
    <w:p>
      <w:pPr>
        <w:spacing w:after="0" w:line="119"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share price has been highly volatile in the past and could be highly volatile in the future.</w:t>
      </w:r>
    </w:p>
    <w:p>
      <w:pPr>
        <w:spacing w:after="0" w:line="126" w:lineRule="exact"/>
        <w:rPr>
          <w:rFonts w:ascii="Arial" w:cs="Arial" w:eastAsia="Arial" w:hAnsi="Arial"/>
          <w:sz w:val="13"/>
          <w:szCs w:val="13"/>
          <w:color w:val="auto"/>
        </w:rPr>
      </w:pPr>
    </w:p>
    <w:p>
      <w:pPr>
        <w:ind w:left="520" w:right="80" w:hanging="260"/>
        <w:spacing w:after="0" w:line="257"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Future settlements of any conversion obligations with respect to the 2025 Notes may result in dilution to existing stockholders, lower prevailing market prices for our common stock or require a significant cash outlay.</w:t>
      </w:r>
    </w:p>
    <w:p>
      <w:pPr>
        <w:spacing w:after="0" w:line="10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Ownership of our common stock is concentrated, and as a result, certain stockholders may exercise significant influence over us.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outstanding Series E Preferred Stock or future equity offerings could adversely affect the holders of our common stock in some circumstances.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4"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RISKS RELATED TO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operating results have fluctuated in the past and may fluctuate in the future, which could cause declines or volatility in the price of our common stock.</w:t>
      </w:r>
    </w:p>
    <w:p>
      <w:pPr>
        <w:spacing w:after="0" w:line="136" w:lineRule="exact"/>
        <w:rPr>
          <w:sz w:val="20"/>
          <w:szCs w:val="20"/>
          <w:color w:val="auto"/>
        </w:rPr>
      </w:pPr>
    </w:p>
    <w:p>
      <w:pPr>
        <w:ind w:right="120" w:firstLine="318"/>
        <w:spacing w:after="0" w:line="251" w:lineRule="auto"/>
        <w:rPr>
          <w:sz w:val="20"/>
          <w:szCs w:val="20"/>
          <w:color w:val="auto"/>
        </w:rPr>
      </w:pPr>
      <w:r>
        <w:rPr>
          <w:rFonts w:ascii="Arial" w:cs="Arial" w:eastAsia="Arial" w:hAnsi="Arial"/>
          <w:sz w:val="14"/>
          <w:szCs w:val="14"/>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110" w:lineRule="exact"/>
        <w:rPr>
          <w:sz w:val="20"/>
          <w:szCs w:val="20"/>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new customers and retain existing customers;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accurately forecast revenue and appropriately plan our expenses;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accurately predict changes in customer demand due to matters beyond our control;</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introduce new features, including integration of our existing solutions with third-party software and devices;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actions of our competitors, including consolidation within the industry, pricing changes or the introduction of new services;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effectively manage our growth;</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and retain key employees, given intense competition for qualified personnel;</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successfully manage and realize the anticipated benefits of any future divestitures or acquisitions of businesses, solutions or technologies;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successfully launch new services or solutions or sell existing services or solutions into additional geographies or vertical markets;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and cost of developing or acquiring technologies, services or businesses;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operating costs, and capital expenditures related to the operation, maintenance and expansion of our business;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service outages or security breaches and any related occurrences which could impact our reputation;</w:t>
      </w:r>
    </w:p>
    <w:p>
      <w:pPr>
        <w:spacing w:after="0" w:line="136" w:lineRule="exact"/>
        <w:rPr>
          <w:rFonts w:ascii="Arial" w:cs="Arial" w:eastAsia="Arial" w:hAnsi="Arial"/>
          <w:sz w:val="14"/>
          <w:szCs w:val="14"/>
          <w:color w:val="auto"/>
        </w:rPr>
      </w:pPr>
    </w:p>
    <w:p>
      <w:pPr>
        <w:ind w:left="760" w:right="300" w:hanging="246"/>
        <w:spacing w:after="0" w:line="265"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worldwide economic, industry, and market conditions, including disruptions in financial markets and the deterioration of the underlying economic conditions in some countries, rises in inflation and interest rates, and those conditions specific to Internet usage and online businesses;</w:t>
      </w:r>
    </w:p>
    <w:p>
      <w:pPr>
        <w:spacing w:after="0" w:line="90"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emergence of global public health emergencies, such as the outbreak of COVID-19, which could extend lead times in our supply chain and lengthen sales cycles with our customers;</w:t>
      </w:r>
    </w:p>
    <w:p>
      <w:pPr>
        <w:spacing w:after="0" w:line="159" w:lineRule="exact"/>
        <w:rPr>
          <w:rFonts w:ascii="Arial" w:cs="Arial" w:eastAsia="Arial" w:hAnsi="Arial"/>
          <w:sz w:val="12"/>
          <w:szCs w:val="12"/>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fluctuations in currency exchange rates;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trade protection measures (such as tariffs and duties) and import or export licensing requirements;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associated with defending intellectual property infringement and other claims;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laws and regulations affecting our business;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provision of fleet management solutions or asset management solutions from cellular carrier-controlled or OEM-controlled channels from which Inseego may be excluded.</w:t>
      </w:r>
    </w:p>
    <w:p>
      <w:pPr>
        <w:spacing w:after="0" w:line="137"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an accumulated deficit and may not be able to achieve or sustain profitability, which may negatively impact our ability to achieve our business objectives.</w:t>
      </w:r>
    </w:p>
    <w:p>
      <w:pPr>
        <w:spacing w:after="0" w:line="125"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We have reported net losses in each of the last six fiscal years, and we cannot predict when we will become profitable or if such profitability can be sustained. We expect to continue making significant expenditures to develop and expand our business.</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1" w:right="379" w:bottom="1440" w:gutter="0" w:footer="0" w:header="0"/>
        </w:sectPr>
      </w:pPr>
    </w:p>
    <w:bookmarkStart w:id="14" w:name="page15"/>
    <w:bookmarkEnd w:id="14"/>
    <w:p>
      <w:pPr>
        <w:ind w:right="80"/>
        <w:spacing w:after="0" w:line="288" w:lineRule="auto"/>
        <w:rPr>
          <w:sz w:val="20"/>
          <w:szCs w:val="20"/>
          <w:color w:val="auto"/>
        </w:rPr>
      </w:pPr>
      <w:r>
        <w:rPr>
          <w:rFonts w:ascii="Arial" w:cs="Arial" w:eastAsia="Arial" w:hAnsi="Arial"/>
          <w:sz w:val="13"/>
          <w:szCs w:val="13"/>
          <w:color w:val="auto"/>
        </w:rPr>
        <w:t>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5G market may take longer to materialize than we expect or, if it does materialize rapidly, we may not be able to meet the development schedule and other customer demands.</w:t>
      </w:r>
    </w:p>
    <w:p>
      <w:pPr>
        <w:spacing w:after="0" w:line="126" w:lineRule="exact"/>
        <w:rPr>
          <w:sz w:val="20"/>
          <w:szCs w:val="20"/>
          <w:color w:val="auto"/>
        </w:rPr>
      </w:pPr>
    </w:p>
    <w:p>
      <w:pPr>
        <w:ind w:right="40" w:firstLine="318"/>
        <w:spacing w:after="0" w:line="260" w:lineRule="auto"/>
        <w:rPr>
          <w:sz w:val="20"/>
          <w:szCs w:val="20"/>
          <w:color w:val="auto"/>
        </w:rPr>
      </w:pPr>
      <w:r>
        <w:rPr>
          <w:rFonts w:ascii="Arial" w:cs="Arial" w:eastAsia="Arial" w:hAnsi="Arial"/>
          <w:sz w:val="13"/>
          <w:szCs w:val="13"/>
          <w:color w:val="auto"/>
        </w:rPr>
        <w:t>Growth of the 5G market and its emerging standards, including the newly defined 5G NR standard, is accelerating and we believe that we are at the forefront of this newly emerging standard and already have a solid footing in this growing market. However, this market may not see as much growth as we expect or this growth may take longer to materialize than we expect which could delay important commercial network launches. Even if the market does materialize at the rapid pace that we are expecting, we may have difficulties meeting aggressive timing expectations of our current customers and getting our target products to market on time to meet the demands of our target customers. The 5G market requires us to design routers and antennas that meet certain technical specifications. While we launched our fourth generation mobile hotspot in 2022, we may have difficulties meeting the market and any further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5G market. While we believe that 5G technology will provide expanded use cases and opportunities and that we are strategically placed to realize these opportunities, the development of our products and our portfolio may not prove to be as successful as we expect. Furthermore, we are pursuing 5G opportunities in the United States and abroad. 5G markets outside of the United States will develop at different rates and we will encounter these challenges to varying degrees in different countries. Failure to manage challenges related to 5G markets and opportunities could have a material adverse effect on our financial condition and results of operations.</w:t>
      </w:r>
    </w:p>
    <w:p>
      <w:pPr>
        <w:spacing w:after="0" w:line="11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b w:val="1"/>
          <w:bCs w:val="1"/>
          <w:i w:val="1"/>
          <w:iCs w:val="1"/>
          <w:color w:val="auto"/>
        </w:rPr>
        <w:t>Our plan to position ourselves as a leading provider of industrial IoT products and services to our customer base could subject us to increased costs and related risks and may not achieve the intended results.</w:t>
      </w:r>
    </w:p>
    <w:p>
      <w:pPr>
        <w:spacing w:after="0" w:line="90" w:lineRule="exact"/>
        <w:rPr>
          <w:sz w:val="20"/>
          <w:szCs w:val="20"/>
          <w:color w:val="auto"/>
        </w:rPr>
      </w:pPr>
    </w:p>
    <w:p>
      <w:pPr>
        <w:ind w:firstLine="318"/>
        <w:spacing w:after="0" w:line="268" w:lineRule="auto"/>
        <w:rPr>
          <w:sz w:val="20"/>
          <w:szCs w:val="20"/>
          <w:color w:val="auto"/>
        </w:rPr>
      </w:pPr>
      <w:r>
        <w:rPr>
          <w:rFonts w:ascii="Arial" w:cs="Arial" w:eastAsia="Arial" w:hAnsi="Arial"/>
          <w:sz w:val="13"/>
          <w:szCs w:val="13"/>
          <w:color w:val="auto"/>
        </w:rPr>
        <w:t>Our strategic plan to position ourselves as a leading provider of high value industrial IoT products and services could subject us to unexpected costs and risks. Such activities could subject us to increased operating costs, product liability, regulatory requirements and reputational risks. Our expansion into new and existing markets and implementation of our strategic plan may present competitive and distribution challenges that differ from those of our historical business model.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product markets and implementation of our strategic plan for growth and do not meet the new challenges posed by such expansion and implementation, our future sales growth could be negatively impacted, our operating costs could increase, and our business operations and financial results could be negatively affected. Implementing our plan to position the Company as a leading provider of industrial IoT products and solutions has required, and is expected to continue to require, additional investments by us in both product development and go-to-market resources and additional attention from management, and if not successful, we may not realize the return on our investments as anticipated or our operating results could be adversely affected by slower than expected sales growth or additional costs.</w:t>
      </w:r>
    </w:p>
    <w:p>
      <w:pPr>
        <w:spacing w:after="0" w:line="8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01" w:lineRule="exact"/>
        <w:rPr>
          <w:sz w:val="20"/>
          <w:szCs w:val="20"/>
          <w:color w:val="auto"/>
        </w:rPr>
      </w:pPr>
    </w:p>
    <w:p>
      <w:pPr>
        <w:ind w:right="200" w:firstLine="318"/>
        <w:spacing w:after="0" w:line="295" w:lineRule="auto"/>
        <w:rPr>
          <w:sz w:val="20"/>
          <w:szCs w:val="20"/>
          <w:color w:val="auto"/>
        </w:rPr>
      </w:pPr>
      <w:r>
        <w:rPr>
          <w:rFonts w:ascii="Arial" w:cs="Arial" w:eastAsia="Arial" w:hAnsi="Arial"/>
          <w:sz w:val="12"/>
          <w:szCs w:val="12"/>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international markets.</w:t>
      </w:r>
    </w:p>
    <w:p>
      <w:pPr>
        <w:spacing w:after="0" w:line="86" w:lineRule="exact"/>
        <w:rPr>
          <w:sz w:val="20"/>
          <w:szCs w:val="20"/>
          <w:color w:val="auto"/>
        </w:rPr>
      </w:pPr>
    </w:p>
    <w:p>
      <w:pPr>
        <w:ind w:right="80" w:firstLine="318"/>
        <w:spacing w:after="0" w:line="251" w:lineRule="auto"/>
        <w:rPr>
          <w:sz w:val="20"/>
          <w:szCs w:val="20"/>
          <w:color w:val="auto"/>
        </w:rPr>
      </w:pPr>
      <w:r>
        <w:rPr>
          <w:rFonts w:ascii="Arial" w:cs="Arial" w:eastAsia="Arial" w:hAnsi="Arial"/>
          <w:sz w:val="14"/>
          <w:szCs w:val="14"/>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1" w:right="339" w:bottom="1440" w:gutter="0" w:footer="0" w:header="0"/>
        </w:sectPr>
      </w:pPr>
    </w:p>
    <w:bookmarkStart w:id="15" w:name="page16"/>
    <w:bookmarkEnd w:id="15"/>
    <w:p>
      <w:pPr>
        <w:ind w:right="320" w:firstLine="318"/>
        <w:spacing w:after="0" w:line="265" w:lineRule="auto"/>
        <w:rPr>
          <w:sz w:val="20"/>
          <w:szCs w:val="20"/>
          <w:color w:val="auto"/>
        </w:rPr>
      </w:pPr>
      <w:r>
        <w:rPr>
          <w:rFonts w:ascii="Arial" w:cs="Arial" w:eastAsia="Arial" w:hAnsi="Arial"/>
          <w:sz w:val="14"/>
          <w:szCs w:val="14"/>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148"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101" w:lineRule="exact"/>
        <w:rPr>
          <w:sz w:val="20"/>
          <w:szCs w:val="20"/>
          <w:color w:val="auto"/>
        </w:rPr>
      </w:pPr>
    </w:p>
    <w:p>
      <w:pPr>
        <w:ind w:right="80" w:firstLine="318"/>
        <w:spacing w:after="0" w:line="269" w:lineRule="auto"/>
        <w:rPr>
          <w:sz w:val="20"/>
          <w:szCs w:val="20"/>
          <w:color w:val="auto"/>
        </w:rPr>
      </w:pPr>
      <w:r>
        <w:rPr>
          <w:rFonts w:ascii="Arial" w:cs="Arial" w:eastAsia="Arial" w:hAnsi="Arial"/>
          <w:sz w:val="13"/>
          <w:szCs w:val="13"/>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00" w:lineRule="exact"/>
        <w:rPr>
          <w:sz w:val="20"/>
          <w:szCs w:val="20"/>
          <w:color w:val="auto"/>
        </w:rPr>
      </w:pPr>
    </w:p>
    <w:p>
      <w:pPr>
        <w:ind w:firstLine="318"/>
        <w:spacing w:after="0" w:line="272" w:lineRule="auto"/>
        <w:rPr>
          <w:sz w:val="20"/>
          <w:szCs w:val="20"/>
          <w:color w:val="auto"/>
        </w:rPr>
      </w:pPr>
      <w:r>
        <w:rPr>
          <w:rFonts w:ascii="Arial" w:cs="Arial" w:eastAsia="Arial" w:hAnsi="Arial"/>
          <w:sz w:val="13"/>
          <w:szCs w:val="13"/>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our intellectual property and proprietary rights, our competitive position and our business could be harmed.</w:t>
      </w:r>
    </w:p>
    <w:p>
      <w:pPr>
        <w:spacing w:after="0" w:line="136"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84"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maintain and expand our business if we are not able to hire, retain and manage additional qualified personnel.</w:t>
      </w:r>
    </w:p>
    <w:p>
      <w:pPr>
        <w:spacing w:after="0" w:line="125"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6" w:name="page17"/>
    <w:bookmarkEnd w:id="16"/>
    <w:p>
      <w:pPr>
        <w:ind w:firstLine="318"/>
        <w:spacing w:after="0" w:line="259" w:lineRule="auto"/>
        <w:rPr>
          <w:sz w:val="20"/>
          <w:szCs w:val="20"/>
          <w:color w:val="auto"/>
        </w:rPr>
      </w:pPr>
      <w:r>
        <w:rPr>
          <w:rFonts w:ascii="Arial" w:cs="Arial" w:eastAsia="Arial" w:hAnsi="Arial"/>
          <w:sz w:val="14"/>
          <w:szCs w:val="14"/>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mobile hotspot business is subject to a number of challenges that are difficult to overcome.</w:t>
      </w:r>
    </w:p>
    <w:p>
      <w:pPr>
        <w:spacing w:after="0" w:line="125" w:lineRule="exact"/>
        <w:rPr>
          <w:sz w:val="20"/>
          <w:szCs w:val="20"/>
          <w:color w:val="auto"/>
        </w:rPr>
      </w:pPr>
    </w:p>
    <w:p>
      <w:pPr>
        <w:ind w:right="60" w:firstLine="318"/>
        <w:spacing w:after="0" w:line="269" w:lineRule="auto"/>
        <w:rPr>
          <w:sz w:val="20"/>
          <w:szCs w:val="20"/>
          <w:color w:val="auto"/>
        </w:rPr>
      </w:pPr>
      <w:r>
        <w:rPr>
          <w:rFonts w:ascii="Arial" w:cs="Arial" w:eastAsia="Arial" w:hAnsi="Arial"/>
          <w:sz w:val="13"/>
          <w:szCs w:val="13"/>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WNC, Nokia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 We may not be able to raise such additional funds on acceptable terms or at all.</w:t>
      </w:r>
    </w:p>
    <w:p>
      <w:pPr>
        <w:spacing w:after="0" w:line="137" w:lineRule="exact"/>
        <w:rPr>
          <w:sz w:val="20"/>
          <w:szCs w:val="20"/>
          <w:color w:val="auto"/>
        </w:rPr>
      </w:pPr>
    </w:p>
    <w:p>
      <w:pPr>
        <w:jc w:val="both"/>
        <w:ind w:right="200" w:firstLine="318"/>
        <w:spacing w:after="0" w:line="277" w:lineRule="auto"/>
        <w:rPr>
          <w:sz w:val="20"/>
          <w:szCs w:val="20"/>
          <w:color w:val="auto"/>
        </w:rPr>
      </w:pPr>
      <w:r>
        <w:rPr>
          <w:rFonts w:ascii="Arial" w:cs="Arial" w:eastAsia="Arial" w:hAnsi="Arial"/>
          <w:sz w:val="13"/>
          <w:szCs w:val="13"/>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84"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debt service requirements are significant, and we may not have sufficient cash flow from our business to pay our substantial debt.</w:t>
      </w:r>
    </w:p>
    <w:p>
      <w:pPr>
        <w:spacing w:after="0" w:line="125" w:lineRule="exact"/>
        <w:rPr>
          <w:sz w:val="20"/>
          <w:szCs w:val="20"/>
          <w:color w:val="auto"/>
        </w:rPr>
      </w:pPr>
    </w:p>
    <w:p>
      <w:pPr>
        <w:ind w:right="20" w:firstLine="318"/>
        <w:spacing w:after="0" w:line="252" w:lineRule="auto"/>
        <w:rPr>
          <w:sz w:val="20"/>
          <w:szCs w:val="20"/>
          <w:color w:val="auto"/>
        </w:rPr>
      </w:pPr>
      <w:r>
        <w:rPr>
          <w:rFonts w:ascii="Arial" w:cs="Arial" w:eastAsia="Arial" w:hAnsi="Arial"/>
          <w:sz w:val="14"/>
          <w:szCs w:val="14"/>
          <w:color w:val="auto"/>
        </w:rPr>
        <w:t>During the second quarter of 2020, we issued $180.4 million of 3.25% convertible senior notes due 2025 (the “2025 Notes”) and used a portion of the proceeds to repay our previous term loan in full and retire the 5.5% convertible senior notes due 2022 (the “2022 Notes” formerly referred to as the “Inseego Notes”). The principal amount of 2025 Notes outstanding at December 31, 2022 is $161.9 million. Further, on August 5, 2022, we entered into a Loan and Security Agreement (the “Credit Agreement”) by and among Siena Lending Group LLC, as lender, the borrower parties thereto and the Company, as guarantor, which established a $50 million revolving credit facility (the “Credit Facility”). As of December 31, 2022, the Credit Facility had outstanding borrowings of $7.9 million, gross borrowing base of $15.7 million and availability of $7.8 million.</w:t>
      </w:r>
    </w:p>
    <w:p>
      <w:pPr>
        <w:spacing w:after="0" w:line="99" w:lineRule="exact"/>
        <w:rPr>
          <w:sz w:val="20"/>
          <w:szCs w:val="20"/>
          <w:color w:val="auto"/>
        </w:rPr>
      </w:pPr>
    </w:p>
    <w:p>
      <w:pPr>
        <w:ind w:right="60" w:firstLine="318"/>
        <w:spacing w:after="0" w:line="249" w:lineRule="auto"/>
        <w:rPr>
          <w:sz w:val="20"/>
          <w:szCs w:val="20"/>
          <w:color w:val="auto"/>
        </w:rPr>
      </w:pPr>
      <w:r>
        <w:rPr>
          <w:rFonts w:ascii="Arial" w:cs="Arial" w:eastAsia="Arial" w:hAnsi="Arial"/>
          <w:sz w:val="14"/>
          <w:szCs w:val="14"/>
          <w:color w:val="auto"/>
        </w:rPr>
        <w:t>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01"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b w:val="1"/>
          <w:bCs w:val="1"/>
          <w:i w:val="1"/>
          <w:iCs w:val="1"/>
          <w:color w:val="auto"/>
        </w:rPr>
        <w:t>We are required to comply with certain financial and other covenants under our Credit Agreement and, if we fail to meet those covenants or otherwise suffer a default thereunder, our lender may accelerate the payment of such obligations.</w:t>
      </w:r>
    </w:p>
    <w:p>
      <w:pPr>
        <w:spacing w:after="0" w:line="164" w:lineRule="exact"/>
        <w:rPr>
          <w:sz w:val="20"/>
          <w:szCs w:val="20"/>
          <w:color w:val="auto"/>
        </w:rPr>
      </w:pPr>
    </w:p>
    <w:p>
      <w:pPr>
        <w:ind w:right="40" w:firstLine="318"/>
        <w:spacing w:after="0" w:line="248" w:lineRule="auto"/>
        <w:rPr>
          <w:sz w:val="20"/>
          <w:szCs w:val="20"/>
          <w:color w:val="auto"/>
        </w:rPr>
      </w:pPr>
      <w:r>
        <w:rPr>
          <w:rFonts w:ascii="Arial" w:cs="Arial" w:eastAsia="Arial" w:hAnsi="Arial"/>
          <w:sz w:val="14"/>
          <w:szCs w:val="14"/>
          <w:color w:val="auto"/>
        </w:rPr>
        <w:t>The Credit Agreement contains various covenants, restrictions and events of default. Among other things, these provisions require us to maintain a certain level of consolidated liquidity and impose certain limits on our ability to engage in certain activities. The restrictions in the Credit Agreement impose operating and financial restrictions on us and may limit our ability to compete effectively, take advantage of new business opportunities or take other actions that may be in our, or our shareholders’, best interests. Further, various risks and uncertainties may impact our ability to comply with our obligations under the Credit Agreement. Our obligations under the Credit Agreement are secured by a continuing security interest in all property (other than certain excluded collateral) of the Company and each of the borrower parties.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1" w:right="339" w:bottom="1440" w:gutter="0" w:footer="0" w:header="0"/>
        </w:sectPr>
      </w:pPr>
    </w:p>
    <w:bookmarkStart w:id="17" w:name="page18"/>
    <w:bookmarkEnd w:id="17"/>
    <w:p>
      <w:pPr>
        <w:jc w:val="both"/>
        <w:ind w:right="20" w:firstLine="318"/>
        <w:spacing w:after="0" w:line="288" w:lineRule="auto"/>
        <w:rPr>
          <w:sz w:val="20"/>
          <w:szCs w:val="20"/>
          <w:color w:val="auto"/>
        </w:rPr>
      </w:pPr>
      <w:r>
        <w:rPr>
          <w:rFonts w:ascii="Arial" w:cs="Arial" w:eastAsia="Arial" w:hAnsi="Arial"/>
          <w:sz w:val="13"/>
          <w:szCs w:val="13"/>
          <w:color w:val="auto"/>
        </w:rPr>
        <w:t>Our inability to comply with any of the provisions of the Credit Agreement could result in a default under it. If such a default occurs, the lender may elect to (a) terminate all or any portion of its commitments without prior notice, (b) demand payment in full of all or any portion of our obligations under the Credit Facility, along with an early payment/termination premium and (c) demand that the letters of credit be cash collateralized. The occurrence of any of these events could have a material adverse effect on our business, financial condition, results of operations and liquidity.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Uncertainties relating to recent changes in our management team may adversely affect our operations.</w:t>
      </w:r>
    </w:p>
    <w:p>
      <w:pPr>
        <w:spacing w:after="0" w:line="125" w:lineRule="exact"/>
        <w:rPr>
          <w:sz w:val="20"/>
          <w:szCs w:val="20"/>
          <w:color w:val="auto"/>
        </w:rPr>
      </w:pPr>
    </w:p>
    <w:p>
      <w:pPr>
        <w:ind w:right="80" w:firstLine="318"/>
        <w:spacing w:after="0" w:line="251" w:lineRule="auto"/>
        <w:rPr>
          <w:sz w:val="20"/>
          <w:szCs w:val="20"/>
          <w:color w:val="auto"/>
        </w:rPr>
      </w:pPr>
      <w:r>
        <w:rPr>
          <w:rFonts w:ascii="Arial" w:cs="Arial" w:eastAsia="Arial" w:hAnsi="Arial"/>
          <w:sz w:val="14"/>
          <w:szCs w:val="14"/>
          <w:color w:val="auto"/>
        </w:rPr>
        <w:t>Over the last three years, we have experienced significant turnover and additions to our senior management. While we are currently engaged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 could result in operational and administrative inefficiencies and added costs, which could adversely impact our results of operations, stock price and customer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CORPORATE DEVELOPMENT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do not properly manage the development of our business, we may experience significant strains on our management and operations and disruptions in our business.</w:t>
      </w:r>
    </w:p>
    <w:p>
      <w:pPr>
        <w:spacing w:after="0" w:line="137" w:lineRule="exact"/>
        <w:rPr>
          <w:sz w:val="20"/>
          <w:szCs w:val="20"/>
          <w:color w:val="auto"/>
        </w:rPr>
      </w:pPr>
    </w:p>
    <w:p>
      <w:pPr>
        <w:ind w:right="120" w:firstLine="318"/>
        <w:spacing w:after="0" w:line="277" w:lineRule="auto"/>
        <w:rPr>
          <w:sz w:val="20"/>
          <w:szCs w:val="20"/>
          <w:color w:val="auto"/>
        </w:rPr>
      </w:pPr>
      <w:r>
        <w:rPr>
          <w:rFonts w:ascii="Arial" w:cs="Arial" w:eastAsia="Arial" w:hAnsi="Arial"/>
          <w:sz w:val="13"/>
          <w:szCs w:val="13"/>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95"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b w:val="1"/>
          <w:bCs w:val="1"/>
          <w:i w:val="1"/>
          <w:iCs w:val="1"/>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90"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112" w:lineRule="exact"/>
        <w:rPr>
          <w:sz w:val="20"/>
          <w:szCs w:val="20"/>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use a substantial portion of our available cash;</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incur substantial debt, which may not be available to us on favorable terms and may adversely affect our liquidity;</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issue equity or equity-based securities that would dilute the percentage ownership of existing stockholders;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assume contingent liabilities;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take substantial charges in connection with acquired assets.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Acquired businesses may have liabilities or adverse operating issues that we fail to discover through due diligence prior to the acquisition, such as:</w:t>
      </w:r>
    </w:p>
    <w:p>
      <w:pPr>
        <w:spacing w:after="0" w:line="136" w:lineRule="exact"/>
        <w:rPr>
          <w:sz w:val="20"/>
          <w:szCs w:val="20"/>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by previous management to comply with applicable laws or regulations;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inaccurate representations;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unfulfilled contractual obligations to customers or vendors.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Following acquisitions and/or divestitures, our reorganized business may not perform as we or the market expects, which could have an adverse effect on the price of our common stock.</w:t>
      </w:r>
    </w:p>
    <w:p>
      <w:pPr>
        <w:spacing w:after="0" w:line="148"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The reorganized company resulting from any acquisitions and/or divestitures we pursue and consummate may not perform as we or the market expect. Risks associated with such acquisitions and divestitures, including the Ctrack Transaction, include the following:</w:t>
      </w:r>
    </w:p>
    <w:p>
      <w:pPr>
        <w:spacing w:after="0" w:line="79" w:lineRule="exact"/>
        <w:rPr>
          <w:sz w:val="20"/>
          <w:szCs w:val="20"/>
          <w:color w:val="auto"/>
        </w:rPr>
      </w:pPr>
    </w:p>
    <w:p>
      <w:pPr>
        <w:ind w:left="760" w:right="120" w:hanging="246"/>
        <w:spacing w:after="0" w:line="265"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integrating new business acquisitions and divesting existing lines of business is a difficult, expensive and time-consuming process and will divert management’s attention from existing operations, and the failure to successfully manage such transitions could adversely affect our financial condition and results of operations;</w:t>
      </w:r>
    </w:p>
    <w:p>
      <w:pPr>
        <w:spacing w:after="0" w:line="100" w:lineRule="exact"/>
        <w:rPr>
          <w:rFonts w:ascii="Arial" w:cs="Arial" w:eastAsia="Arial" w:hAnsi="Arial"/>
          <w:sz w:val="14"/>
          <w:szCs w:val="14"/>
          <w:color w:val="auto"/>
        </w:rPr>
      </w:pPr>
    </w:p>
    <w:p>
      <w:pPr>
        <w:ind w:left="760" w:right="120" w:hanging="246"/>
        <w:spacing w:after="0" w:line="349" w:lineRule="auto"/>
        <w:tabs>
          <w:tab w:leader="none" w:pos="756"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acquisitions and divestitures may change the nature of the business in which we have historically operated, including entering markets in which we have limited or no prior experience, and if we are not able to effectively adjust to such changes in the fundamental nature of our business, our financial condition and results of operations may be adversely affected;</w:t>
      </w:r>
    </w:p>
    <w:p>
      <w:pPr>
        <w:spacing w:after="0" w:line="44" w:lineRule="exact"/>
        <w:rPr>
          <w:rFonts w:ascii="Arial" w:cs="Arial" w:eastAsia="Arial" w:hAnsi="Arial"/>
          <w:sz w:val="12"/>
          <w:szCs w:val="12"/>
          <w:color w:val="auto"/>
        </w:rPr>
      </w:pPr>
    </w:p>
    <w:p>
      <w:pPr>
        <w:ind w:left="760" w:right="56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assumptions with respect to future revenue, growth rates, expense rates and synergies resulting from acquisitions and/or divestitures may prove to be inaccurate, which may adversely affect the price of our common stock;</w:t>
      </w:r>
    </w:p>
    <w:p>
      <w:pPr>
        <w:spacing w:after="0" w:line="79" w:lineRule="exact"/>
        <w:rPr>
          <w:rFonts w:ascii="Arial" w:cs="Arial" w:eastAsia="Arial" w:hAnsi="Arial"/>
          <w:sz w:val="14"/>
          <w:szCs w:val="14"/>
          <w:color w:val="auto"/>
        </w:rPr>
      </w:pPr>
    </w:p>
    <w:p>
      <w:pPr>
        <w:ind w:left="760" w:right="340" w:hanging="246"/>
        <w:spacing w:after="0" w:line="265"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spacing w:after="0" w:line="100" w:lineRule="exact"/>
        <w:rPr>
          <w:rFonts w:ascii="Arial" w:cs="Arial" w:eastAsia="Arial" w:hAnsi="Arial"/>
          <w:sz w:val="14"/>
          <w:szCs w:val="14"/>
          <w:color w:val="auto"/>
        </w:rPr>
      </w:pPr>
    </w:p>
    <w:p>
      <w:pPr>
        <w:ind w:left="760" w:right="300" w:hanging="246"/>
        <w:spacing w:after="0" w:line="265"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relationships with third parties, including key vendors and customers, may be affected by changes in our business resulting from these acquisitions and divestitures, and any adverse changes in these third party relationships could adversely affect our business, financial condition and results of operations; and</w:t>
      </w:r>
    </w:p>
    <w:p>
      <w:pPr>
        <w:spacing w:after="0" w:line="90" w:lineRule="exact"/>
        <w:rPr>
          <w:rFonts w:ascii="Arial" w:cs="Arial" w:eastAsia="Arial" w:hAnsi="Arial"/>
          <w:sz w:val="14"/>
          <w:szCs w:val="14"/>
          <w:color w:val="auto"/>
        </w:rPr>
      </w:pPr>
    </w:p>
    <w:p>
      <w:pPr>
        <w:ind w:left="760" w:hanging="246"/>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price of our common stock may be affected by factors different from those that affected the price of our common stock prior to such acquisitions and/or divestitures.</w:t>
      </w:r>
    </w:p>
    <w:p>
      <w:pPr>
        <w:spacing w:after="0" w:line="136" w:lineRule="exact"/>
        <w:rPr>
          <w:sz w:val="20"/>
          <w:szCs w:val="20"/>
          <w:color w:val="auto"/>
        </w:rPr>
      </w:pPr>
    </w:p>
    <w:p>
      <w:pPr>
        <w:ind w:right="80" w:firstLine="318"/>
        <w:spacing w:after="0" w:line="265" w:lineRule="auto"/>
        <w:rPr>
          <w:sz w:val="20"/>
          <w:szCs w:val="20"/>
          <w:color w:val="auto"/>
        </w:rPr>
      </w:pPr>
      <w:r>
        <w:rPr>
          <w:rFonts w:ascii="Arial" w:cs="Arial" w:eastAsia="Arial" w:hAnsi="Arial"/>
          <w:sz w:val="14"/>
          <w:szCs w:val="14"/>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goodwill and acquired intangible assets become impaired, we may be required to record a significant charge to earnings.</w:t>
      </w:r>
    </w:p>
    <w:p>
      <w:pPr>
        <w:spacing w:after="0" w:line="136" w:lineRule="exact"/>
        <w:rPr>
          <w:sz w:val="20"/>
          <w:szCs w:val="20"/>
          <w:color w:val="auto"/>
        </w:rPr>
      </w:pPr>
    </w:p>
    <w:p>
      <w:pPr>
        <w:ind w:firstLine="318"/>
        <w:spacing w:after="0" w:line="265" w:lineRule="auto"/>
        <w:rPr>
          <w:sz w:val="20"/>
          <w:szCs w:val="20"/>
          <w:color w:val="auto"/>
        </w:rPr>
      </w:pPr>
      <w:r>
        <w:rPr>
          <w:rFonts w:ascii="Arial" w:cs="Arial" w:eastAsia="Arial" w:hAnsi="Arial"/>
          <w:sz w:val="14"/>
          <w:szCs w:val="14"/>
          <w:color w:val="auto"/>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spacing w:after="0" w:line="90" w:lineRule="exact"/>
        <w:rPr>
          <w:sz w:val="20"/>
          <w:szCs w:val="20"/>
          <w:color w:val="auto"/>
        </w:rPr>
      </w:pPr>
    </w:p>
    <w:p>
      <w:pPr>
        <w:ind w:right="40" w:firstLine="318"/>
        <w:spacing w:after="0" w:line="269" w:lineRule="auto"/>
        <w:rPr>
          <w:sz w:val="20"/>
          <w:szCs w:val="20"/>
          <w:color w:val="auto"/>
        </w:rPr>
      </w:pPr>
      <w:r>
        <w:rPr>
          <w:rFonts w:ascii="Arial" w:cs="Arial" w:eastAsia="Arial" w:hAnsi="Arial"/>
          <w:sz w:val="13"/>
          <w:szCs w:val="13"/>
          <w:color w:val="auto"/>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COMPETITION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for the products and services that we offer is rapidly evolving and highly competitive. We may be unable to compete effectively.</w:t>
      </w:r>
    </w:p>
    <w:p>
      <w:pPr>
        <w:spacing w:after="0" w:line="136" w:lineRule="exact"/>
        <w:rPr>
          <w:sz w:val="20"/>
          <w:szCs w:val="20"/>
          <w:color w:val="auto"/>
        </w:rPr>
      </w:pPr>
    </w:p>
    <w:p>
      <w:pPr>
        <w:jc w:val="both"/>
        <w:ind w:right="360" w:firstLine="318"/>
        <w:spacing w:after="0" w:line="251" w:lineRule="auto"/>
        <w:rPr>
          <w:sz w:val="20"/>
          <w:szCs w:val="20"/>
          <w:color w:val="auto"/>
        </w:rPr>
      </w:pPr>
      <w:r>
        <w:rPr>
          <w:rFonts w:ascii="Arial" w:cs="Arial" w:eastAsia="Arial" w:hAnsi="Arial"/>
          <w:sz w:val="14"/>
          <w:szCs w:val="14"/>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9" w:name="page20"/>
    <w:bookmarkEnd w:id="19"/>
    <w:p>
      <w:pPr>
        <w:ind w:right="160"/>
        <w:spacing w:after="0" w:line="265" w:lineRule="auto"/>
        <w:rPr>
          <w:sz w:val="20"/>
          <w:szCs w:val="20"/>
          <w:color w:val="auto"/>
        </w:rPr>
      </w:pPr>
      <w:r>
        <w:rPr>
          <w:rFonts w:ascii="Arial" w:cs="Arial" w:eastAsia="Arial" w:hAnsi="Arial"/>
          <w:sz w:val="14"/>
          <w:szCs w:val="14"/>
          <w:color w:val="auto"/>
        </w:rPr>
        <w:t>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01" w:lineRule="exact"/>
        <w:rPr>
          <w:sz w:val="20"/>
          <w:szCs w:val="20"/>
          <w:color w:val="auto"/>
        </w:rPr>
      </w:pPr>
    </w:p>
    <w:p>
      <w:pPr>
        <w:ind w:right="100" w:firstLine="318"/>
        <w:spacing w:after="0" w:line="247" w:lineRule="auto"/>
        <w:rPr>
          <w:sz w:val="20"/>
          <w:szCs w:val="20"/>
          <w:color w:val="auto"/>
        </w:rPr>
      </w:pPr>
      <w:r>
        <w:rPr>
          <w:rFonts w:ascii="Arial" w:cs="Arial" w:eastAsia="Arial" w:hAnsi="Arial"/>
          <w:sz w:val="14"/>
          <w:szCs w:val="14"/>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03" w:lineRule="exact"/>
        <w:rPr>
          <w:sz w:val="20"/>
          <w:szCs w:val="20"/>
          <w:color w:val="auto"/>
        </w:rPr>
      </w:pPr>
    </w:p>
    <w:p>
      <w:pPr>
        <w:ind w:right="260" w:firstLine="318"/>
        <w:spacing w:after="0" w:line="265" w:lineRule="auto"/>
        <w:rPr>
          <w:sz w:val="20"/>
          <w:szCs w:val="20"/>
          <w:color w:val="auto"/>
        </w:rPr>
      </w:pPr>
      <w:r>
        <w:rPr>
          <w:rFonts w:ascii="Arial" w:cs="Arial" w:eastAsia="Arial" w:hAnsi="Arial"/>
          <w:sz w:val="14"/>
          <w:szCs w:val="14"/>
          <w:color w:val="auto"/>
        </w:rPr>
        <w:t>Our products compete with a variety of solutions, including other wireless modems and mobile hotspots, wireless handsets, wireless handheld computing devices, IoT wireless solutions and enterprise software solutions. Our current competitors include:</w:t>
      </w:r>
    </w:p>
    <w:p>
      <w:pPr>
        <w:spacing w:after="0" w:line="101"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fleet management SaaS and services providers, such as Verizon Connect, Masternaut, MiX Telematics and Cartrack;</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mobile hotspot providers, such as NETGEAR, Franklin Wireless, Sierra Wireless, Nokia, TCL, ZTE and Huawei;</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IoT solution providers, such as Cradlepoint and Sierra Wireless; and</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customer experience software solutions and services providers, such as Amdocs.</w:t>
      </w:r>
    </w:p>
    <w:p>
      <w:pPr>
        <w:spacing w:after="0" w:line="125" w:lineRule="exact"/>
        <w:rPr>
          <w:sz w:val="20"/>
          <w:szCs w:val="20"/>
          <w:color w:val="auto"/>
        </w:rPr>
      </w:pPr>
    </w:p>
    <w:p>
      <w:pPr>
        <w:ind w:right="60" w:firstLine="318"/>
        <w:spacing w:after="0" w:line="248" w:lineRule="auto"/>
        <w:rPr>
          <w:sz w:val="20"/>
          <w:szCs w:val="20"/>
          <w:color w:val="auto"/>
        </w:rPr>
      </w:pPr>
      <w:r>
        <w:rPr>
          <w:rFonts w:ascii="Arial" w:cs="Arial" w:eastAsia="Arial" w:hAnsi="Arial"/>
          <w:sz w:val="14"/>
          <w:szCs w:val="14"/>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5G fixed wireless access gateway business is subject to a number of challenges that will be difficult to overcome.</w:t>
      </w:r>
    </w:p>
    <w:p>
      <w:pPr>
        <w:spacing w:after="0" w:line="125" w:lineRule="exact"/>
        <w:rPr>
          <w:sz w:val="20"/>
          <w:szCs w:val="20"/>
          <w:color w:val="auto"/>
        </w:rPr>
      </w:pPr>
    </w:p>
    <w:p>
      <w:pPr>
        <w:ind w:right="180" w:firstLine="318"/>
        <w:spacing w:after="0" w:line="259" w:lineRule="auto"/>
        <w:rPr>
          <w:sz w:val="20"/>
          <w:szCs w:val="20"/>
          <w:color w:val="auto"/>
        </w:rPr>
      </w:pPr>
      <w:r>
        <w:rPr>
          <w:rFonts w:ascii="Arial" w:cs="Arial" w:eastAsia="Arial" w:hAnsi="Arial"/>
          <w:sz w:val="14"/>
          <w:szCs w:val="14"/>
          <w:color w:val="auto"/>
        </w:rPr>
        <w:t>The developing market for FWA devices is very competitive. In addition to other challenges, our fixed wireless access gateway products compete against similar products offered by mature companies, including Samsung, Ericsson, Nokia and Wistron NeWeb Corporation. Failure to manage these challenges, or failure of our fixed wireless access business to grow to become successful and profitable, could have a material adverse effect on our financial condition and results of operations.</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101" w:lineRule="exact"/>
        <w:rPr>
          <w:sz w:val="20"/>
          <w:szCs w:val="20"/>
          <w:color w:val="auto"/>
        </w:rPr>
      </w:pPr>
    </w:p>
    <w:p>
      <w:pPr>
        <w:ind w:firstLine="318"/>
        <w:spacing w:after="0" w:line="243" w:lineRule="auto"/>
        <w:rPr>
          <w:sz w:val="20"/>
          <w:szCs w:val="20"/>
          <w:color w:val="auto"/>
        </w:rPr>
      </w:pPr>
      <w:r>
        <w:rPr>
          <w:rFonts w:ascii="Arial" w:cs="Arial" w:eastAsia="Arial" w:hAnsi="Arial"/>
          <w:sz w:val="14"/>
          <w:szCs w:val="14"/>
          <w:color w:val="auto"/>
        </w:rPr>
        <w:t>The market for asset management and fleet management solutions and the markets for telemetry and tracking solutions are all highly fragmented, consisting of a large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GPS-based mapping, tracking and turn-by-turn directions that could be expanded or further developed to more directly compete with our fleet management solutions. In addition, wireless carriers, such as Verizon Wireless,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in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Industry consolidation may result in increased competition, which could result in a loss of customers or a reduction in revenue.</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OUR CUSTOMERS AND DEMAND FOR OUR SOLUTIONS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inability to adapt to rapid technological change in our markets could impair our ability to remain competitive and adversely affect our results of operations.</w:t>
      </w:r>
    </w:p>
    <w:p>
      <w:pPr>
        <w:spacing w:after="0" w:line="136" w:lineRule="exact"/>
        <w:rPr>
          <w:sz w:val="20"/>
          <w:szCs w:val="20"/>
          <w:color w:val="auto"/>
        </w:rPr>
      </w:pPr>
    </w:p>
    <w:p>
      <w:pPr>
        <w:ind w:right="120" w:firstLine="318"/>
        <w:spacing w:after="0" w:line="272" w:lineRule="auto"/>
        <w:rPr>
          <w:sz w:val="20"/>
          <w:szCs w:val="20"/>
          <w:color w:val="auto"/>
        </w:rPr>
      </w:pPr>
      <w:r>
        <w:rPr>
          <w:rFonts w:ascii="Arial" w:cs="Arial" w:eastAsia="Arial" w:hAnsi="Arial"/>
          <w:sz w:val="13"/>
          <w:szCs w:val="13"/>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develop and maintain strategic relationships, we may not be able to penetrate new markets.</w:t>
      </w:r>
    </w:p>
    <w:p>
      <w:pPr>
        <w:spacing w:after="0" w:line="136" w:lineRule="exact"/>
        <w:rPr>
          <w:sz w:val="20"/>
          <w:szCs w:val="20"/>
          <w:color w:val="auto"/>
        </w:rPr>
      </w:pPr>
    </w:p>
    <w:p>
      <w:pPr>
        <w:ind w:right="20" w:firstLine="318"/>
        <w:spacing w:after="0" w:line="248" w:lineRule="auto"/>
        <w:rPr>
          <w:sz w:val="20"/>
          <w:szCs w:val="20"/>
          <w:color w:val="auto"/>
        </w:rPr>
      </w:pPr>
      <w:r>
        <w:rPr>
          <w:rFonts w:ascii="Arial" w:cs="Arial" w:eastAsia="Arial" w:hAnsi="Arial"/>
          <w:sz w:val="14"/>
          <w:szCs w:val="14"/>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0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We depend upon Verizon Wireless and T-Mobile for a substantial portion of our revenues, and our business would be negatively affected by an adverse change in our dealings with either of these customers.</w:t>
      </w:r>
    </w:p>
    <w:p>
      <w:pPr>
        <w:spacing w:after="0" w:line="79" w:lineRule="exact"/>
        <w:rPr>
          <w:sz w:val="20"/>
          <w:szCs w:val="20"/>
          <w:color w:val="auto"/>
        </w:rPr>
      </w:pPr>
    </w:p>
    <w:p>
      <w:pPr>
        <w:ind w:right="40" w:firstLine="318"/>
        <w:spacing w:after="0" w:line="248" w:lineRule="auto"/>
        <w:rPr>
          <w:sz w:val="20"/>
          <w:szCs w:val="20"/>
          <w:color w:val="auto"/>
        </w:rPr>
      </w:pPr>
      <w:r>
        <w:rPr>
          <w:rFonts w:ascii="Arial" w:cs="Arial" w:eastAsia="Arial" w:hAnsi="Arial"/>
          <w:sz w:val="14"/>
          <w:szCs w:val="14"/>
          <w:color w:val="auto"/>
        </w:rPr>
        <w:t>As a result of the significant revenues associated with our MiFi business, sales to Verizon Wireless and T-Mobile collectively accounted for 67%, 70% and 55% of our consolidated net revenues for each of the years ended December 31, 2022, 2021 and 2020, respectively. While we have accelerated our engagements with prospective new MiFi customers and continue to focus on growing revenue in other parts of our business, we expect that Verizon Wireless and T-Mobile will continue to account for a substantial portion of our net revenues, and any impairment of our relationship with Verizon Wireless or T-Mobile would adversely affect our business. Additionally, any change in the forecasted or actual product sell-through of Verizon Wireless or T-Mobile could have a detrimental impact on our revenue, bottom line and cash position.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retain and increase sales to our existing customers, which could negatively impact our financial results.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generally seek to license our software and enterprise solutions pursuant to customer agreements with multi-year terms and subscriptions. However, our customers have no obligation to</w:t>
      </w:r>
    </w:p>
    <w:p>
      <w:pPr>
        <w:spacing w:after="0" w:line="22"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8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1" w:name="page22"/>
    <w:bookmarkEnd w:id="21"/>
    <w:p>
      <w:pPr>
        <w:ind w:right="120"/>
        <w:spacing w:after="0" w:line="272" w:lineRule="auto"/>
        <w:rPr>
          <w:sz w:val="20"/>
          <w:szCs w:val="20"/>
          <w:color w:val="auto"/>
        </w:rPr>
      </w:pPr>
      <w:r>
        <w:rPr>
          <w:rFonts w:ascii="Arial" w:cs="Arial" w:eastAsia="Arial" w:hAnsi="Arial"/>
          <w:sz w:val="13"/>
          <w:szCs w:val="13"/>
          <w:color w:val="auto"/>
        </w:rPr>
        <w:t>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97"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Another part of our growth strategy is to sell additional subscriptions to existing customers as their fleet sizes or asset 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or a significant reduction in business from, one or more enterprise or government customers could adversely affect our revenue and profitability.</w:t>
      </w:r>
    </w:p>
    <w:p>
      <w:pPr>
        <w:spacing w:after="0" w:line="125"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economic conditions or reduced spending on information technology solutions may adversely impact our revenue and profitability.</w:t>
      </w:r>
    </w:p>
    <w:p>
      <w:pPr>
        <w:spacing w:after="0" w:line="125"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marketability of our products may suffer if wireless telecommunications operators do not deliver acceptable wireless services.</w:t>
      </w:r>
    </w:p>
    <w:p>
      <w:pPr>
        <w:spacing w:after="0" w:line="136" w:lineRule="exact"/>
        <w:rPr>
          <w:sz w:val="20"/>
          <w:szCs w:val="20"/>
          <w:color w:val="auto"/>
        </w:rPr>
      </w:pPr>
    </w:p>
    <w:p>
      <w:pPr>
        <w:ind w:firstLine="318"/>
        <w:spacing w:after="0" w:line="272" w:lineRule="auto"/>
        <w:rPr>
          <w:sz w:val="20"/>
          <w:szCs w:val="20"/>
          <w:color w:val="auto"/>
        </w:rPr>
      </w:pPr>
      <w:r>
        <w:rPr>
          <w:rFonts w:ascii="Arial" w:cs="Arial" w:eastAsia="Arial" w:hAnsi="Arial"/>
          <w:sz w:val="13"/>
          <w:szCs w:val="13"/>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practices of insurance companies in the markets in which we provide our solutions could materially and adversely affect demand for products and services.</w:t>
      </w:r>
    </w:p>
    <w:p>
      <w:pPr>
        <w:spacing w:after="0" w:line="136" w:lineRule="exact"/>
        <w:rPr>
          <w:sz w:val="20"/>
          <w:szCs w:val="20"/>
          <w:color w:val="auto"/>
        </w:rPr>
      </w:pPr>
    </w:p>
    <w:p>
      <w:pPr>
        <w:ind w:right="80" w:firstLine="318"/>
        <w:spacing w:after="0" w:line="287" w:lineRule="auto"/>
        <w:rPr>
          <w:sz w:val="20"/>
          <w:szCs w:val="20"/>
          <w:color w:val="auto"/>
        </w:rPr>
      </w:pPr>
      <w:r>
        <w:rPr>
          <w:rFonts w:ascii="Arial" w:cs="Arial" w:eastAsia="Arial" w:hAnsi="Arial"/>
          <w:sz w:val="12"/>
          <w:szCs w:val="12"/>
          <w:color w:val="auto"/>
        </w:rPr>
        <w:t>We depend in part on the practices of insurance companies in some of our markets to support demand for certain of our products and services. In certain markets, these practices include: (i) accepting mobile asset location technologies such as ours as a preferred security product; (ii) providing premium discounts for using location and recovery products and services such as ours; and/or</w:t>
      </w:r>
    </w:p>
    <w:p>
      <w:pPr>
        <w:ind w:right="80" w:firstLine="5"/>
        <w:spacing w:after="0" w:line="263" w:lineRule="auto"/>
        <w:tabs>
          <w:tab w:leader="none" w:pos="2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mandating the use of our products and services, or similar products and services, for certain vehicles. If any of these policies or practices change, revenues from sale of our products and services could decline, which would materially and adversely affect our business,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Reduction in regulation in certain markets may adversely impact demand for certain of our solutions by reducing the necessity for, or desirability of, our solutions.</w:t>
      </w:r>
    </w:p>
    <w:p>
      <w:pPr>
        <w:spacing w:after="0" w:line="125" w:lineRule="exact"/>
        <w:rPr>
          <w:sz w:val="20"/>
          <w:szCs w:val="20"/>
          <w:color w:val="auto"/>
        </w:rPr>
      </w:pPr>
    </w:p>
    <w:p>
      <w:pPr>
        <w:ind w:right="60" w:firstLine="318"/>
        <w:spacing w:after="0" w:line="321" w:lineRule="auto"/>
        <w:rPr>
          <w:sz w:val="20"/>
          <w:szCs w:val="20"/>
          <w:color w:val="auto"/>
        </w:rPr>
      </w:pPr>
      <w:r>
        <w:rPr>
          <w:rFonts w:ascii="Arial" w:cs="Arial" w:eastAsia="Arial" w:hAnsi="Arial"/>
          <w:sz w:val="13"/>
          <w:szCs w:val="13"/>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1" w:right="339" w:bottom="1440" w:gutter="0" w:footer="0" w:header="0"/>
        </w:sectPr>
      </w:pPr>
    </w:p>
    <w:bookmarkStart w:id="22" w:name="page23"/>
    <w:bookmarkEnd w:id="22"/>
    <w:p>
      <w:pPr>
        <w:ind w:right="120"/>
        <w:spacing w:after="0" w:line="265" w:lineRule="auto"/>
        <w:rPr>
          <w:sz w:val="20"/>
          <w:szCs w:val="20"/>
          <w:color w:val="auto"/>
        </w:rPr>
      </w:pPr>
      <w:r>
        <w:rPr>
          <w:rFonts w:ascii="Arial" w:cs="Arial" w:eastAsia="Arial" w:hAnsi="Arial"/>
          <w:sz w:val="14"/>
          <w:szCs w:val="14"/>
          <w:color w:val="auto"/>
        </w:rPr>
        <w:t>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DEVELOPING, MANUFACTURING AND DELIVERING OUR SOLUTIONS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rely on third parties to manufacture and warehouse many of our products, which exposes us to a number of risks and uncertainties outside our control.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currently outsource the manufacturing of many of our products to companies including Foxconn and AsiaTelco Technologies Co. If one of these third-party manufacturers were to</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are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91" w:lineRule="exact"/>
        <w:rPr>
          <w:sz w:val="20"/>
          <w:szCs w:val="20"/>
          <w:color w:val="auto"/>
        </w:rPr>
      </w:pPr>
    </w:p>
    <w:p>
      <w:pPr>
        <w:ind w:right="400" w:firstLine="318"/>
        <w:spacing w:after="0" w:line="265" w:lineRule="auto"/>
        <w:rPr>
          <w:sz w:val="20"/>
          <w:szCs w:val="20"/>
          <w:color w:val="auto"/>
        </w:rPr>
      </w:pPr>
      <w:r>
        <w:rPr>
          <w:rFonts w:ascii="Arial" w:cs="Arial" w:eastAsia="Arial" w:hAnsi="Arial"/>
          <w:sz w:val="14"/>
          <w:szCs w:val="14"/>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90" w:lineRule="exact"/>
        <w:rPr>
          <w:sz w:val="20"/>
          <w:szCs w:val="20"/>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unexpected increases in manufacturing costs;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interruptions in shipments if a third-party manufacturer is unable to complete production in a timely manner;</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control quality of finished products;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control delivery schedules;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control production levels and to meet minimum volume commitments to our customers;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control manufacturing yield;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maintain adequate manufacturing capacity; and</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secure adequate volumes of acceptable components at suitable prices or in a timely manner.</w:t>
      </w:r>
    </w:p>
    <w:p>
      <w:pPr>
        <w:spacing w:after="0" w:line="125"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84"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79" w:lineRule="exact"/>
        <w:rPr>
          <w:sz w:val="20"/>
          <w:szCs w:val="20"/>
          <w:color w:val="auto"/>
        </w:rPr>
      </w:pPr>
    </w:p>
    <w:p>
      <w:pPr>
        <w:ind w:right="60" w:firstLine="318"/>
        <w:spacing w:after="0" w:line="248" w:lineRule="auto"/>
        <w:rPr>
          <w:sz w:val="20"/>
          <w:szCs w:val="20"/>
          <w:color w:val="auto"/>
        </w:rPr>
      </w:pPr>
      <w:r>
        <w:rPr>
          <w:rFonts w:ascii="Arial" w:cs="Arial" w:eastAsia="Arial" w:hAnsi="Arial"/>
          <w:sz w:val="14"/>
          <w:szCs w:val="14"/>
          <w:color w:val="auto"/>
        </w:rPr>
        <w:t>Our services use hardware and software from various third parties, some of which are procured from single suppliers. For example our MiFi mobile hotspots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1" w:right="359" w:bottom="1440" w:gutter="0" w:footer="0" w:header="0"/>
        </w:sectPr>
      </w:pPr>
    </w:p>
    <w:bookmarkStart w:id="23" w:name="page24"/>
    <w:bookmarkEnd w:id="23"/>
    <w:p>
      <w:pPr>
        <w:ind w:right="80"/>
        <w:spacing w:after="0" w:line="265" w:lineRule="auto"/>
        <w:rPr>
          <w:sz w:val="20"/>
          <w:szCs w:val="20"/>
          <w:color w:val="auto"/>
        </w:rPr>
      </w:pPr>
      <w:r>
        <w:rPr>
          <w:rFonts w:ascii="Arial" w:cs="Arial" w:eastAsia="Arial" w:hAnsi="Arial"/>
          <w:sz w:val="14"/>
          <w:szCs w:val="14"/>
          <w:color w:val="auto"/>
        </w:rPr>
        <w:t>to meet particular revenue expectations. Moreover, even if we timely locate a substitute part or product, but its price materially exceeds the original cost of the component or product, then our results of operations could be adversely affected.</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90" w:lineRule="exact"/>
        <w:rPr>
          <w:sz w:val="20"/>
          <w:szCs w:val="20"/>
          <w:color w:val="auto"/>
        </w:rPr>
      </w:pPr>
    </w:p>
    <w:p>
      <w:pPr>
        <w:ind w:firstLine="318"/>
        <w:spacing w:after="0" w:line="252" w:lineRule="auto"/>
        <w:rPr>
          <w:sz w:val="20"/>
          <w:szCs w:val="20"/>
          <w:color w:val="auto"/>
        </w:rPr>
      </w:pPr>
      <w:r>
        <w:rPr>
          <w:rFonts w:ascii="Arial" w:cs="Arial" w:eastAsia="Arial" w:hAnsi="Arial"/>
          <w:sz w:val="14"/>
          <w:szCs w:val="14"/>
          <w:color w:val="auto"/>
        </w:rPr>
        <w:t>Our corporate offices are located in San Diego, California near major earthquake faults and fire zones.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adversely affected by unfavorable macroeconomic conditions</w:t>
      </w:r>
    </w:p>
    <w:p>
      <w:pPr>
        <w:spacing w:after="0" w:line="125" w:lineRule="exact"/>
        <w:rPr>
          <w:sz w:val="20"/>
          <w:szCs w:val="20"/>
          <w:color w:val="auto"/>
        </w:rPr>
      </w:pPr>
    </w:p>
    <w:p>
      <w:pPr>
        <w:ind w:right="40" w:firstLine="318"/>
        <w:spacing w:after="0" w:line="268" w:lineRule="auto"/>
        <w:rPr>
          <w:sz w:val="20"/>
          <w:szCs w:val="20"/>
          <w:color w:val="auto"/>
        </w:rPr>
      </w:pPr>
      <w:r>
        <w:rPr>
          <w:rFonts w:ascii="Arial" w:cs="Arial" w:eastAsia="Arial" w:hAnsi="Arial"/>
          <w:sz w:val="13"/>
          <w:szCs w:val="13"/>
          <w:color w:val="auto"/>
        </w:rPr>
        <w:t>Our business, our results of operations and our financial condition could be adversely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financial markets and the global economy may also be adversely affected by the current or anticipated impact of military conflict, including the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w:t>
      </w:r>
    </w:p>
    <w:p>
      <w:pPr>
        <w:spacing w:after="0" w:line="142"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In addition, these macroeconomic factors could affect the ability of our current or potential future third-party manufacturers or sole source suppliers to remain in business, or otherwise maintain our manufacturing or supply demands, which could result in potential supply chain disruptions. This, along with any of the foregoing factors, could impact our financial conditions, results of operations and cash flows. We cannot anticipate all of the ways in which the current and future economic climate and financial market conditions could adversely impact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risks arising from epidemic diseases, such as the recent COVID-19 pandemic.</w:t>
      </w:r>
    </w:p>
    <w:p>
      <w:pPr>
        <w:spacing w:after="0" w:line="115" w:lineRule="exact"/>
        <w:rPr>
          <w:sz w:val="20"/>
          <w:szCs w:val="20"/>
          <w:color w:val="auto"/>
        </w:rPr>
      </w:pPr>
    </w:p>
    <w:p>
      <w:pPr>
        <w:ind w:right="60" w:firstLine="318"/>
        <w:spacing w:after="0" w:line="295" w:lineRule="auto"/>
        <w:rPr>
          <w:sz w:val="20"/>
          <w:szCs w:val="20"/>
          <w:color w:val="auto"/>
        </w:rPr>
      </w:pPr>
      <w:r>
        <w:rPr>
          <w:rFonts w:ascii="Arial" w:cs="Arial" w:eastAsia="Arial" w:hAnsi="Arial"/>
          <w:sz w:val="12"/>
          <w:szCs w:val="12"/>
          <w:color w:val="auto"/>
        </w:rPr>
        <w:t>The COVID-19 pandemic continues to impact worldwide economic activity. A pandemic, including COVID-19 or other public health epidemic, poses the risk that we or our employees, manufacturers, suppliers and other partners may be prevented from conducting business activities for an indefinite period of time, including due to spread of the disease within these groups or due to shutdowns that may be requested or mandated by governmental authorities. The COVID-19 pandemic and mitigation measures have also had an adverse impact on global economic conditions which could have an adverse effect on our business and financial condition. The extent to which the COVID-19 pandemic, or any other outbreak of an epidemic disease, impacts our results will depend on future developments that are highly uncertain and cannot be predicted, including new information that may emerge concerning the severity of the virus and the actions to contain its impact.</w:t>
      </w:r>
    </w:p>
    <w:p>
      <w:pPr>
        <w:spacing w:after="0" w:line="86" w:lineRule="exact"/>
        <w:rPr>
          <w:sz w:val="20"/>
          <w:szCs w:val="20"/>
          <w:color w:val="auto"/>
        </w:rPr>
      </w:pPr>
    </w:p>
    <w:p>
      <w:pPr>
        <w:ind w:right="80" w:firstLine="318"/>
        <w:spacing w:after="0" w:line="251" w:lineRule="auto"/>
        <w:rPr>
          <w:sz w:val="20"/>
          <w:szCs w:val="20"/>
          <w:color w:val="auto"/>
        </w:rPr>
      </w:pPr>
      <w:r>
        <w:rPr>
          <w:rFonts w:ascii="Arial" w:cs="Arial" w:eastAsia="Arial" w:hAnsi="Arial"/>
          <w:sz w:val="14"/>
          <w:szCs w:val="14"/>
          <w:color w:val="auto"/>
        </w:rPr>
        <w:t>Prolonged impacts of COVID-19 could result in delays in payment by customers, the speed of regulatory approvals such as Federal Communications Commission (FCC) and other licenses that are needed for releases of new products, and delays in new 5G network rollouts. Accordingly, recent growth in our business particularly during the onset of the COVID-19 pandemic, may not continue into the future, and you should not rely on our revenue or key business metrics for any previous quarterly or annual period as an indication of our revenue, revenue growth, key business metrics, or key business metrics growth in future periods.</w:t>
      </w:r>
    </w:p>
    <w:p>
      <w:pPr>
        <w:spacing w:after="0" w:line="101" w:lineRule="exact"/>
        <w:rPr>
          <w:sz w:val="20"/>
          <w:szCs w:val="20"/>
          <w:color w:val="auto"/>
        </w:rPr>
      </w:pPr>
    </w:p>
    <w:p>
      <w:pPr>
        <w:ind w:right="20" w:firstLine="318"/>
        <w:spacing w:after="0" w:line="252" w:lineRule="auto"/>
        <w:rPr>
          <w:sz w:val="20"/>
          <w:szCs w:val="20"/>
          <w:color w:val="auto"/>
        </w:rPr>
      </w:pPr>
      <w:r>
        <w:rPr>
          <w:rFonts w:ascii="Arial" w:cs="Arial" w:eastAsia="Arial" w:hAnsi="Arial"/>
          <w:sz w:val="14"/>
          <w:szCs w:val="14"/>
          <w:color w:val="auto"/>
        </w:rPr>
        <w:t>Supply chain disruptions due to factory shutdowns and logistics congestion have improved considerably over the past year. Lead times for raw material have also improved from their peak during the pandemic. While freight costs have declined considerably from their peak during the pandemic, they still remain elevated compared to pre-pandemic levels. Direct labor costs have increased as a result of inflation over the past year, and we do not expect to see a decline from current levels. As restrictions in China have been relaxed, we are experiencing more predictability in the flow of raw material from suppliers there. Should COVID-19 re-emerge in China or other geographies where raw material is sourced and restrictions reimposed, this could result in delays or disruptions in the supply of our products and could impact our ability to meet customer demand. If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4" w:name="page25"/>
    <w:bookmarkEnd w:id="24"/>
    <w:p>
      <w:pPr>
        <w:ind w:right="160"/>
        <w:spacing w:after="0" w:line="265" w:lineRule="auto"/>
        <w:rPr>
          <w:sz w:val="20"/>
          <w:szCs w:val="20"/>
          <w:color w:val="auto"/>
        </w:rPr>
      </w:pPr>
      <w:r>
        <w:rPr>
          <w:rFonts w:ascii="Arial" w:cs="Arial" w:eastAsia="Arial" w:hAnsi="Arial"/>
          <w:sz w:val="14"/>
          <w:szCs w:val="14"/>
          <w:color w:val="auto"/>
        </w:rPr>
        <w:t>we are not able to implement alternatives or other mitigations with respect to suppliers that may have potential delivery impacts due to COVID-19, our sales and financial results could be adversely impacted.</w:t>
      </w:r>
    </w:p>
    <w:p>
      <w:pPr>
        <w:spacing w:after="0" w:line="101"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continuing effects of COVID-19 have increased competition for qualified personnel in the industries in which we operate. Additionally, changes we make to our current and future work environments may not meet the needs or expectations of our employees or may be perceived as less favorable compared to other companies’ policies, which could negatively impact our ability to hire and retain qualified personnel.</w:t>
      </w:r>
    </w:p>
    <w:p>
      <w:pPr>
        <w:spacing w:after="0" w:line="110" w:lineRule="exact"/>
        <w:rPr>
          <w:sz w:val="20"/>
          <w:szCs w:val="20"/>
          <w:color w:val="auto"/>
        </w:rPr>
      </w:pPr>
    </w:p>
    <w:p>
      <w:pPr>
        <w:ind w:right="80" w:firstLine="318"/>
        <w:spacing w:after="0" w:line="265" w:lineRule="auto"/>
        <w:rPr>
          <w:sz w:val="20"/>
          <w:szCs w:val="20"/>
          <w:color w:val="auto"/>
        </w:rPr>
      </w:pPr>
      <w:r>
        <w:rPr>
          <w:rFonts w:ascii="Arial" w:cs="Arial" w:eastAsia="Arial" w:hAnsi="Arial"/>
          <w:sz w:val="14"/>
          <w:szCs w:val="14"/>
          <w:color w:val="auto"/>
        </w:rPr>
        <w:t>Further, to the extent the COVID-19 pandemic or any other outbreak of an epidemic disease adversely affects our business and financial results, it may also have the effect of heightening many of the other risks described in this section.</w:t>
      </w:r>
    </w:p>
    <w:p>
      <w:pPr>
        <w:spacing w:after="0" w:line="90"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b w:val="1"/>
          <w:bCs w:val="1"/>
          <w:i w:val="1"/>
          <w:iCs w:val="1"/>
          <w:color w:val="auto"/>
        </w:rPr>
        <w:t>If disruptions in our transportation network occur or our shipping costs substantially increase, we may be unable to sell or timely deliver our products, and our operating expenses could increase.</w:t>
      </w:r>
    </w:p>
    <w:p>
      <w:pPr>
        <w:spacing w:after="0" w:line="79" w:lineRule="exact"/>
        <w:rPr>
          <w:sz w:val="20"/>
          <w:szCs w:val="20"/>
          <w:color w:val="auto"/>
        </w:rPr>
      </w:pPr>
    </w:p>
    <w:p>
      <w:pPr>
        <w:ind w:right="320" w:firstLine="318"/>
        <w:spacing w:after="0" w:line="313" w:lineRule="auto"/>
        <w:rPr>
          <w:sz w:val="20"/>
          <w:szCs w:val="20"/>
          <w:color w:val="auto"/>
        </w:rPr>
      </w:pPr>
      <w:r>
        <w:rPr>
          <w:rFonts w:ascii="Arial" w:cs="Arial" w:eastAsia="Arial" w:hAnsi="Arial"/>
          <w:sz w:val="12"/>
          <w:szCs w:val="12"/>
          <w:color w:val="auto"/>
        </w:rPr>
        <w:t>We are highly dependent upon the transportation systems we use to ship our products, including surface and air freight. Our attempts to closely match our inventory levels to our product demand intensify the need for our transportation systems to function effectively and without delay. For example, the outbreak of the COVID-19 pandemic has led to significant limitations on the</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availability of key transportation resources and an increase in the cost of air and ocean freight. These developments negatively impact our profitability as we seek to transport an increased number of products from manufacturing locations in Asia to other markets around the world as quickly as possible.</w:t>
      </w:r>
    </w:p>
    <w:p>
      <w:pPr>
        <w:spacing w:after="0" w:line="90" w:lineRule="exact"/>
        <w:rPr>
          <w:sz w:val="20"/>
          <w:szCs w:val="20"/>
          <w:color w:val="auto"/>
        </w:rPr>
      </w:pPr>
    </w:p>
    <w:p>
      <w:pPr>
        <w:ind w:right="20" w:firstLine="318"/>
        <w:spacing w:after="0" w:line="268" w:lineRule="auto"/>
        <w:rPr>
          <w:sz w:val="20"/>
          <w:szCs w:val="20"/>
          <w:color w:val="auto"/>
        </w:rPr>
      </w:pPr>
      <w:r>
        <w:rPr>
          <w:rFonts w:ascii="Arial" w:cs="Arial" w:eastAsia="Arial" w:hAnsi="Arial"/>
          <w:sz w:val="13"/>
          <w:szCs w:val="13"/>
          <w:color w:val="auto"/>
        </w:rPr>
        <w:t>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in the ports of Los Angeles or Long Beach, California, could significantly disrupt our business. Additionally, our 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 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adequately control the costs or maintain adequate supply of components and raw materials associated with our operations.</w:t>
      </w:r>
    </w:p>
    <w:p>
      <w:pPr>
        <w:spacing w:after="0" w:line="136" w:lineRule="exact"/>
        <w:rPr>
          <w:sz w:val="20"/>
          <w:szCs w:val="20"/>
          <w:color w:val="auto"/>
        </w:rPr>
      </w:pPr>
    </w:p>
    <w:p>
      <w:pPr>
        <w:ind w:right="140" w:firstLine="318"/>
        <w:spacing w:after="0" w:line="307" w:lineRule="auto"/>
        <w:rPr>
          <w:sz w:val="20"/>
          <w:szCs w:val="20"/>
          <w:color w:val="auto"/>
        </w:rPr>
      </w:pPr>
      <w:r>
        <w:rPr>
          <w:rFonts w:ascii="Arial" w:cs="Arial" w:eastAsia="Arial" w:hAnsi="Arial"/>
          <w:sz w:val="12"/>
          <w:szCs w:val="12"/>
          <w:color w:val="auto"/>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spacing w:after="0" w:line="68" w:lineRule="exact"/>
        <w:rPr>
          <w:sz w:val="20"/>
          <w:szCs w:val="20"/>
          <w:color w:val="auto"/>
        </w:rPr>
      </w:pPr>
    </w:p>
    <w:p>
      <w:pPr>
        <w:jc w:val="both"/>
        <w:ind w:right="360" w:firstLine="318"/>
        <w:spacing w:after="0" w:line="259" w:lineRule="auto"/>
        <w:rPr>
          <w:sz w:val="20"/>
          <w:szCs w:val="20"/>
          <w:color w:val="auto"/>
        </w:rPr>
      </w:pPr>
      <w:r>
        <w:rPr>
          <w:rFonts w:ascii="Arial" w:cs="Arial" w:eastAsia="Arial" w:hAnsi="Arial"/>
          <w:sz w:val="14"/>
          <w:szCs w:val="14"/>
          <w:color w:val="auto"/>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spacing w:after="0" w:line="94" w:lineRule="exact"/>
        <w:rPr>
          <w:sz w:val="20"/>
          <w:szCs w:val="20"/>
          <w:color w:val="auto"/>
        </w:rPr>
      </w:pPr>
    </w:p>
    <w:p>
      <w:pPr>
        <w:ind w:right="120" w:firstLine="318"/>
        <w:spacing w:after="0" w:line="259" w:lineRule="auto"/>
        <w:rPr>
          <w:sz w:val="20"/>
          <w:szCs w:val="20"/>
          <w:color w:val="auto"/>
        </w:rPr>
      </w:pPr>
      <w:r>
        <w:rPr>
          <w:rFonts w:ascii="Arial" w:cs="Arial" w:eastAsia="Arial" w:hAnsi="Arial"/>
          <w:sz w:val="14"/>
          <w:szCs w:val="14"/>
          <w:color w:val="auto"/>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do not effectively manage our sales channel inventory and product mix, we may incur costs associated with excess inventory, or lose sales from having too few products.</w:t>
      </w:r>
    </w:p>
    <w:p>
      <w:pPr>
        <w:spacing w:after="0" w:line="137" w:lineRule="exact"/>
        <w:rPr>
          <w:sz w:val="20"/>
          <w:szCs w:val="20"/>
          <w:color w:val="auto"/>
        </w:rPr>
      </w:pPr>
    </w:p>
    <w:p>
      <w:pPr>
        <w:ind w:right="100" w:firstLine="318"/>
        <w:spacing w:after="0" w:line="355" w:lineRule="auto"/>
        <w:rPr>
          <w:sz w:val="20"/>
          <w:szCs w:val="20"/>
          <w:color w:val="auto"/>
        </w:rPr>
      </w:pPr>
      <w:r>
        <w:rPr>
          <w:rFonts w:ascii="Arial" w:cs="Arial" w:eastAsia="Arial" w:hAnsi="Arial"/>
          <w:sz w:val="13"/>
          <w:szCs w:val="13"/>
          <w:color w:val="auto"/>
        </w:rPr>
        <w:t>If we are unable to properly monitor and manage our sales channel inventory and maintain an appropriate level and mix of products with our distributors and within our sales channels, we may incur increased and unexpected costs associated with this inventory. We determine production levels based on our forecasts of demand for our products. Actual demand for our products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5" w:name="page26"/>
    <w:bookmarkEnd w:id="25"/>
    <w:p>
      <w:pPr>
        <w:ind w:right="80"/>
        <w:spacing w:after="0" w:line="272" w:lineRule="auto"/>
        <w:rPr>
          <w:sz w:val="20"/>
          <w:szCs w:val="20"/>
          <w:color w:val="auto"/>
        </w:rPr>
      </w:pPr>
      <w:r>
        <w:rPr>
          <w:rFonts w:ascii="Arial" w:cs="Arial" w:eastAsia="Arial" w:hAnsi="Arial"/>
          <w:sz w:val="13"/>
          <w:szCs w:val="13"/>
          <w:color w:val="auto"/>
        </w:rPr>
        <w:t>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product replacement or recall costs could adversely affect our business and financial performance.</w:t>
      </w:r>
    </w:p>
    <w:p>
      <w:pPr>
        <w:spacing w:after="0" w:line="125" w:lineRule="exact"/>
        <w:rPr>
          <w:sz w:val="20"/>
          <w:szCs w:val="20"/>
          <w:color w:val="auto"/>
        </w:rPr>
      </w:pPr>
    </w:p>
    <w:p>
      <w:pPr>
        <w:ind w:right="80" w:firstLine="318"/>
        <w:spacing w:after="0" w:line="249" w:lineRule="auto"/>
        <w:rPr>
          <w:sz w:val="20"/>
          <w:szCs w:val="20"/>
          <w:color w:val="auto"/>
        </w:rPr>
      </w:pPr>
      <w:r>
        <w:rPr>
          <w:rFonts w:ascii="Arial" w:cs="Arial" w:eastAsia="Arial" w:hAnsi="Arial"/>
          <w:sz w:val="14"/>
          <w:szCs w:val="14"/>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10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101" w:lineRule="exact"/>
        <w:rPr>
          <w:sz w:val="20"/>
          <w:szCs w:val="20"/>
          <w:color w:val="auto"/>
        </w:rPr>
      </w:pPr>
    </w:p>
    <w:p>
      <w:pPr>
        <w:ind w:right="60" w:firstLine="318"/>
        <w:spacing w:after="0" w:line="248" w:lineRule="auto"/>
        <w:rPr>
          <w:sz w:val="20"/>
          <w:szCs w:val="20"/>
          <w:color w:val="auto"/>
        </w:rPr>
      </w:pPr>
      <w:r>
        <w:rPr>
          <w:rFonts w:ascii="Arial" w:cs="Arial" w:eastAsia="Arial" w:hAnsi="Arial"/>
          <w:sz w:val="14"/>
          <w:szCs w:val="14"/>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0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79" w:lineRule="exact"/>
        <w:rPr>
          <w:sz w:val="20"/>
          <w:szCs w:val="20"/>
          <w:color w:val="auto"/>
        </w:rPr>
      </w:pPr>
    </w:p>
    <w:p>
      <w:pPr>
        <w:ind w:right="180" w:firstLine="318"/>
        <w:spacing w:after="0" w:line="248" w:lineRule="auto"/>
        <w:rPr>
          <w:sz w:val="20"/>
          <w:szCs w:val="20"/>
          <w:color w:val="auto"/>
        </w:rPr>
      </w:pPr>
      <w:r>
        <w:rPr>
          <w:rFonts w:ascii="Arial" w:cs="Arial" w:eastAsia="Arial" w:hAnsi="Arial"/>
          <w:sz w:val="14"/>
          <w:szCs w:val="14"/>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12"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90"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Although we warrant that our software will be free of defects for various periods of time, our software platform and its underlying infrastructure are inherently complex and may contain</w:t>
      </w:r>
    </w:p>
    <w:p>
      <w:pPr>
        <w:spacing w:after="0" w:line="31"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9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6" w:name="page27"/>
    <w:bookmarkEnd w:id="26"/>
    <w:p>
      <w:pPr>
        <w:ind w:firstLine="318"/>
        <w:spacing w:after="0" w:line="249" w:lineRule="auto"/>
        <w:rPr>
          <w:sz w:val="20"/>
          <w:szCs w:val="20"/>
          <w:color w:val="auto"/>
        </w:rPr>
      </w:pPr>
      <w:r>
        <w:rPr>
          <w:rFonts w:ascii="Arial" w:cs="Arial" w:eastAsia="Arial" w:hAnsi="Arial"/>
          <w:sz w:val="14"/>
          <w:szCs w:val="14"/>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solutions rely on cellular and GPS networks and any disruption, failure or increase in costs could impede our profitability and harm our financial results.</w:t>
      </w:r>
    </w:p>
    <w:p>
      <w:pPr>
        <w:spacing w:after="0" w:line="125" w:lineRule="exact"/>
        <w:rPr>
          <w:sz w:val="20"/>
          <w:szCs w:val="20"/>
          <w:color w:val="auto"/>
        </w:rPr>
      </w:pPr>
    </w:p>
    <w:p>
      <w:pPr>
        <w:ind w:right="40" w:firstLine="318"/>
        <w:spacing w:after="0" w:line="252" w:lineRule="auto"/>
        <w:rPr>
          <w:sz w:val="20"/>
          <w:szCs w:val="20"/>
          <w:color w:val="auto"/>
        </w:rPr>
      </w:pPr>
      <w:r>
        <w:rPr>
          <w:rFonts w:ascii="Arial" w:cs="Arial" w:eastAsia="Arial" w:hAnsi="Arial"/>
          <w:sz w:val="14"/>
          <w:szCs w:val="14"/>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99" w:lineRule="exact"/>
        <w:rPr>
          <w:sz w:val="20"/>
          <w:szCs w:val="20"/>
          <w:color w:val="auto"/>
        </w:rPr>
      </w:pPr>
    </w:p>
    <w:p>
      <w:pPr>
        <w:ind w:right="140" w:firstLine="318"/>
        <w:spacing w:after="0" w:line="265" w:lineRule="auto"/>
        <w:rPr>
          <w:sz w:val="20"/>
          <w:szCs w:val="20"/>
          <w:color w:val="auto"/>
        </w:rPr>
      </w:pPr>
      <w:r>
        <w:rPr>
          <w:rFonts w:ascii="Arial" w:cs="Arial" w:eastAsia="Arial" w:hAnsi="Arial"/>
          <w:sz w:val="14"/>
          <w:szCs w:val="14"/>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101"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90" w:lineRule="exact"/>
        <w:rPr>
          <w:sz w:val="20"/>
          <w:szCs w:val="20"/>
          <w:color w:val="auto"/>
        </w:rPr>
      </w:pPr>
    </w:p>
    <w:p>
      <w:pPr>
        <w:ind w:right="20" w:firstLine="318"/>
        <w:spacing w:after="0" w:line="269" w:lineRule="auto"/>
        <w:rPr>
          <w:sz w:val="20"/>
          <w:szCs w:val="20"/>
          <w:color w:val="auto"/>
        </w:rPr>
      </w:pPr>
      <w:r>
        <w:rPr>
          <w:rFonts w:ascii="Arial" w:cs="Arial" w:eastAsia="Arial" w:hAnsi="Arial"/>
          <w:sz w:val="13"/>
          <w:szCs w:val="13"/>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100" w:lineRule="exact"/>
        <w:rPr>
          <w:sz w:val="20"/>
          <w:szCs w:val="20"/>
          <w:color w:val="auto"/>
        </w:rPr>
      </w:pPr>
    </w:p>
    <w:p>
      <w:pPr>
        <w:ind w:firstLine="318"/>
        <w:spacing w:after="0" w:line="268" w:lineRule="auto"/>
        <w:rPr>
          <w:sz w:val="20"/>
          <w:szCs w:val="20"/>
          <w:color w:val="auto"/>
        </w:rPr>
      </w:pPr>
      <w:r>
        <w:rPr>
          <w:rFonts w:ascii="Arial" w:cs="Arial" w:eastAsia="Arial" w:hAnsi="Arial"/>
          <w:sz w:val="13"/>
          <w:szCs w:val="13"/>
          <w:color w:val="auto"/>
        </w:rPr>
        <w:t>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10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90" w:lineRule="exact"/>
        <w:rPr>
          <w:sz w:val="20"/>
          <w:szCs w:val="20"/>
          <w:color w:val="auto"/>
        </w:rPr>
      </w:pPr>
    </w:p>
    <w:p>
      <w:pPr>
        <w:ind w:right="160" w:firstLine="318"/>
        <w:spacing w:after="0" w:line="251" w:lineRule="auto"/>
        <w:rPr>
          <w:sz w:val="20"/>
          <w:szCs w:val="20"/>
          <w:color w:val="auto"/>
        </w:rPr>
      </w:pPr>
      <w:r>
        <w:rPr>
          <w:rFonts w:ascii="Arial" w:cs="Arial" w:eastAsia="Arial" w:hAnsi="Arial"/>
          <w:sz w:val="14"/>
          <w:szCs w:val="14"/>
          <w:color w:val="auto"/>
        </w:rPr>
        <w:t>Certain of our customer agreements currently, and may in the future, provide minimum service level commitments regarding items such as system availability,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4"/>
          <w:szCs w:val="14"/>
          <w:i w:val="1"/>
          <w:iCs w:val="1"/>
          <w:color w:val="auto"/>
        </w:rPr>
        <w: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4"/>
          <w:szCs w:val="14"/>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94" w:lineRule="exact"/>
        <w:rPr>
          <w:sz w:val="20"/>
          <w:szCs w:val="20"/>
          <w:color w:val="auto"/>
        </w:rPr>
      </w:pPr>
    </w:p>
    <w:p>
      <w:pPr>
        <w:ind w:firstLine="318"/>
        <w:spacing w:after="0" w:line="298" w:lineRule="auto"/>
        <w:rPr>
          <w:sz w:val="20"/>
          <w:szCs w:val="20"/>
          <w:color w:val="auto"/>
        </w:rPr>
      </w:pPr>
      <w:r>
        <w:rPr>
          <w:rFonts w:ascii="Arial" w:cs="Arial" w:eastAsia="Arial" w:hAnsi="Arial"/>
          <w:sz w:val="12"/>
          <w:szCs w:val="12"/>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75" w:lineRule="exact"/>
        <w:rPr>
          <w:sz w:val="20"/>
          <w:szCs w:val="20"/>
          <w:color w:val="auto"/>
        </w:rPr>
      </w:pPr>
    </w:p>
    <w:p>
      <w:pPr>
        <w:ind w:firstLine="318"/>
        <w:spacing w:after="0" w:line="259" w:lineRule="auto"/>
        <w:rPr>
          <w:sz w:val="20"/>
          <w:szCs w:val="20"/>
          <w:color w:val="auto"/>
        </w:rPr>
      </w:pPr>
      <w:r>
        <w:rPr>
          <w:rFonts w:ascii="Arial" w:cs="Arial" w:eastAsia="Arial" w:hAnsi="Arial"/>
          <w:sz w:val="14"/>
          <w:szCs w:val="14"/>
          <w:color w:val="auto"/>
        </w:rPr>
        <w:t>As cyber-attacks become more sophisticated, the need to develop our infrastructure to secure our business and customer data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3"/>
          <w:szCs w:val="13"/>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 A security breach also exposes us to litigation and legal risks, including regulatory actions by state and federal governmental authorities and non-U.S. authorities. We may not have adequate insurance coverages for a cybersecurity breach or may realize increased insurance premiums as a result of a security breach. Ultimately, a security breach exposes us to potential reputational harm among our customers and investors, along with uncertain damages to our competitiveness, stock price, and long-term shareholder value.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INTERNATIONAL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the global nature of our operations, we are subject to political and economic risks of doing business internationally.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International revenue represents a significant percentage of our worldwide revenue. The risks inherent in global operations include:</w:t>
      </w:r>
    </w:p>
    <w:p>
      <w:pPr>
        <w:spacing w:after="0" w:line="136" w:lineRule="exact"/>
        <w:rPr>
          <w:sz w:val="20"/>
          <w:szCs w:val="20"/>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difficulty managing sales, product development and logistics and support across continents;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limitations on ownership or participation in local enterprises;</w:t>
      </w:r>
    </w:p>
    <w:p>
      <w:pPr>
        <w:spacing w:after="0" w:line="125" w:lineRule="exact"/>
        <w:rPr>
          <w:rFonts w:ascii="Arial" w:cs="Arial" w:eastAsia="Arial" w:hAnsi="Arial"/>
          <w:sz w:val="14"/>
          <w:szCs w:val="14"/>
          <w:color w:val="auto"/>
        </w:rPr>
      </w:pPr>
    </w:p>
    <w:p>
      <w:pPr>
        <w:ind w:left="760" w:right="24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79" w:lineRule="exact"/>
        <w:rPr>
          <w:rFonts w:ascii="Arial" w:cs="Arial" w:eastAsia="Arial" w:hAnsi="Arial"/>
          <w:sz w:val="14"/>
          <w:szCs w:val="14"/>
          <w:color w:val="auto"/>
        </w:rPr>
      </w:pPr>
    </w:p>
    <w:p>
      <w:pPr>
        <w:ind w:left="760" w:right="440" w:hanging="246"/>
        <w:spacing w:after="0" w:line="265"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increased expense to comply with U.S. laws that apply to foreign operations, including the U.S. Foreign Corrupt Practices Act (the “FCPA”) and Office of Foreign Assets Control regulations;</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compliance with, and potentially adverse tax consequences of, foreign tax regimes;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fluctuations in currency exchange rates, currency exchange controls, price controls and limitations on repatriation of earnings;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transportation delays and interruptions;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local labor laws;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local economic conditions;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8" w:name="page29"/>
    <w:bookmarkEnd w:id="28"/>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political, social and economic instability and disruptions;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acts of terrorism and other security concerns;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escalation or continuation of armed conflict, hostilities or economic sanctions between countries or regions, including the current conflict between Russia and Ukraine;</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government embargoes or foreign trade restrictions such as tariffs, duties, taxes or other controls;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import and export controls;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increased product development costs due to differences among countries’ safety regulations and radio frequency allocation schemes and standards;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longer warranty terms and broader product warranty requirements;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increased expense related to localization of products and development of foreign language marketing and sales materials;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longer sales cycles;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longer accounts receivable payment cycles and difficulty in collecting accounts receivable in foreign countries;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increased financial accounting and reporting burdens and complexities;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workforce reorganizations in various locations;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restrictive employment regulations;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difficulties in staffing and managing multi-national operations;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difficulties and increased expense in implementing corporate policies and controls;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international intellectual property laws, which may be more restrictive or offer lower levels of protection than U.S. law;</w:t>
      </w:r>
    </w:p>
    <w:p>
      <w:pPr>
        <w:spacing w:after="0" w:line="125" w:lineRule="exact"/>
        <w:rPr>
          <w:rFonts w:ascii="Arial" w:cs="Arial" w:eastAsia="Arial" w:hAnsi="Arial"/>
          <w:sz w:val="14"/>
          <w:szCs w:val="14"/>
          <w:color w:val="auto"/>
        </w:rPr>
      </w:pPr>
    </w:p>
    <w:p>
      <w:pPr>
        <w:ind w:left="760" w:right="20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limitations on our ability to enforce legal rights and remedies.</w:t>
      </w:r>
    </w:p>
    <w:p>
      <w:pPr>
        <w:spacing w:after="0" w:line="125"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If we are unable to successfully manage these and other risks associated with managing and expanding our international business, the risks could have a material adverse effect on our business, results of operations or financial condition.</w:t>
      </w:r>
    </w:p>
    <w:p>
      <w:pPr>
        <w:spacing w:after="0" w:line="79"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101"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As a result of weak or deteriorating economic conditions globally, or in certain jurisdictions where we have significant foreign operations,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02"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79" w:lineRule="exact"/>
        <w:rPr>
          <w:sz w:val="20"/>
          <w:szCs w:val="20"/>
          <w:color w:val="auto"/>
        </w:rPr>
      </w:pPr>
    </w:p>
    <w:p>
      <w:pPr>
        <w:ind w:right="500" w:firstLine="318"/>
        <w:spacing w:after="0" w:line="265" w:lineRule="auto"/>
        <w:rPr>
          <w:sz w:val="20"/>
          <w:szCs w:val="20"/>
          <w:color w:val="auto"/>
        </w:rPr>
      </w:pPr>
      <w:r>
        <w:rPr>
          <w:rFonts w:ascii="Arial" w:cs="Arial" w:eastAsia="Arial" w:hAnsi="Arial"/>
          <w:sz w:val="14"/>
          <w:szCs w:val="14"/>
          <w:color w:val="auto"/>
        </w:rPr>
        <w:t>We sell to customers throughout the world and we currently have operations and activities in Europe, China and other Asian countries. The political risks associated with the our global operations include:</w:t>
      </w:r>
    </w:p>
    <w:p>
      <w:pPr>
        <w:spacing w:after="0" w:line="101" w:lineRule="exact"/>
        <w:rPr>
          <w:sz w:val="20"/>
          <w:szCs w:val="20"/>
          <w:color w:val="auto"/>
        </w:rPr>
      </w:pPr>
    </w:p>
    <w:p>
      <w:pPr>
        <w:ind w:left="760" w:right="460" w:hanging="246"/>
        <w:spacing w:after="0" w:line="265"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1" w:right="379" w:bottom="1440" w:gutter="0" w:footer="0" w:header="0"/>
        </w:sectPr>
      </w:pPr>
    </w:p>
    <w:bookmarkStart w:id="29" w:name="page30"/>
    <w:bookmarkEnd w:id="29"/>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political instability, civil unrest, expropriation, nationalization of properties by a government, imposition of sanctions and changes to import or export regulations and fees;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conflicts, territorial disputes, war or terrorist activities;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major public health issues, such as an outbreak of a pandemic or epidemic, which could cause disruptions in our operations or workforce, or the supply of products;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difficulties enforcing intellectual property and contractual rights in certain jurisdictions.</w:t>
      </w:r>
    </w:p>
    <w:p>
      <w:pPr>
        <w:spacing w:after="0" w:line="125"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foreign currency exchange rates could adversely affect our results of operations.</w:t>
      </w:r>
    </w:p>
    <w:p>
      <w:pPr>
        <w:spacing w:after="0" w:line="125" w:lineRule="exact"/>
        <w:rPr>
          <w:sz w:val="20"/>
          <w:szCs w:val="20"/>
          <w:color w:val="auto"/>
        </w:rPr>
      </w:pPr>
    </w:p>
    <w:p>
      <w:pPr>
        <w:ind w:right="420" w:firstLine="318"/>
        <w:spacing w:after="0" w:line="251" w:lineRule="auto"/>
        <w:rPr>
          <w:sz w:val="20"/>
          <w:szCs w:val="20"/>
          <w:color w:val="auto"/>
        </w:rPr>
      </w:pPr>
      <w:r>
        <w:rPr>
          <w:rFonts w:ascii="Arial" w:cs="Arial" w:eastAsia="Arial" w:hAnsi="Arial"/>
          <w:sz w:val="14"/>
          <w:szCs w:val="14"/>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Fluctuations in the value of foreign currencies will create greater uncertainty in our revenues and can significantly and adversely affect our operating results.</w:t>
      </w:r>
    </w:p>
    <w:p>
      <w:pPr>
        <w:spacing w:after="0" w:line="112" w:lineRule="exact"/>
        <w:rPr>
          <w:sz w:val="20"/>
          <w:szCs w:val="20"/>
          <w:color w:val="auto"/>
        </w:rPr>
      </w:pPr>
    </w:p>
    <w:p>
      <w:pPr>
        <w:ind w:right="40" w:firstLine="318"/>
        <w:spacing w:after="0" w:line="299" w:lineRule="auto"/>
        <w:rPr>
          <w:sz w:val="20"/>
          <w:szCs w:val="20"/>
          <w:color w:val="auto"/>
        </w:rPr>
      </w:pPr>
      <w:r>
        <w:rPr>
          <w:rFonts w:ascii="Arial" w:cs="Arial" w:eastAsia="Arial" w:hAnsi="Arial"/>
          <w:sz w:val="12"/>
          <w:szCs w:val="12"/>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Unionization efforts in certain countries in which we operate could materially increase our costs or limit our flexibility.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Efforts may be made from time to time to unionize portions of our global workforce. In addition, we may be subject to strikes or work stoppages and other labor disruptions in the future.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Unionization efforts, collective bargaining agreements or work stoppages could materially increase our costs, reduce our net revenues or limit our operational flexibility.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RELATED TO REGULATIONS, TAXATION AND ACCOUNTING MATTERS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substantial international operations may increase our exposure to potential liability under anti-corruption, trade protection, tax and other laws and regulations.</w:t>
      </w:r>
    </w:p>
    <w:p>
      <w:pPr>
        <w:spacing w:after="0" w:line="125"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01" w:lineRule="exact"/>
        <w:rPr>
          <w:sz w:val="20"/>
          <w:szCs w:val="20"/>
          <w:color w:val="auto"/>
        </w:rPr>
      </w:pPr>
    </w:p>
    <w:p>
      <w:pPr>
        <w:ind w:right="140" w:firstLine="318"/>
        <w:spacing w:after="0" w:line="259" w:lineRule="auto"/>
        <w:rPr>
          <w:sz w:val="20"/>
          <w:szCs w:val="20"/>
          <w:color w:val="auto"/>
        </w:rPr>
      </w:pPr>
      <w:r>
        <w:rPr>
          <w:rFonts w:ascii="Arial" w:cs="Arial" w:eastAsia="Arial" w:hAnsi="Arial"/>
          <w:sz w:val="14"/>
          <w:szCs w:val="14"/>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94"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79"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0" w:name="page31"/>
    <w:bookmarkEnd w:id="30"/>
    <w:p>
      <w:pPr>
        <w:ind w:right="320"/>
        <w:spacing w:after="0" w:line="265" w:lineRule="auto"/>
        <w:rPr>
          <w:sz w:val="20"/>
          <w:szCs w:val="20"/>
          <w:color w:val="auto"/>
        </w:rPr>
      </w:pPr>
      <w:r>
        <w:rPr>
          <w:rFonts w:ascii="Arial" w:cs="Arial" w:eastAsia="Arial" w:hAnsi="Arial"/>
          <w:sz w:val="14"/>
          <w:szCs w:val="14"/>
          <w:color w:val="auto"/>
        </w:rPr>
        <w:t>operating results. Regulatory restrictions could impair our access to technologies needed to improve our solutions and may also limit or reduce the demand for our solutions outside of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governmental challenge to our transfer pricing policies or practices could impose significant costs on us.</w:t>
      </w:r>
    </w:p>
    <w:p>
      <w:pPr>
        <w:spacing w:after="0" w:line="125" w:lineRule="exact"/>
        <w:rPr>
          <w:sz w:val="20"/>
          <w:szCs w:val="20"/>
          <w:color w:val="auto"/>
        </w:rPr>
      </w:pPr>
    </w:p>
    <w:p>
      <w:pPr>
        <w:ind w:right="160" w:firstLine="318"/>
        <w:spacing w:after="0" w:line="259" w:lineRule="auto"/>
        <w:rPr>
          <w:sz w:val="20"/>
          <w:szCs w:val="20"/>
          <w:color w:val="auto"/>
        </w:rPr>
      </w:pPr>
      <w:r>
        <w:rPr>
          <w:rFonts w:ascii="Arial" w:cs="Arial" w:eastAsia="Arial" w:hAnsi="Arial"/>
          <w:sz w:val="14"/>
          <w:szCs w:val="14"/>
          <w:color w:val="auto"/>
        </w:rPr>
        <w:t>Our company has intercompany transactions with our subsidiaries and consequently closely monitors the appropriateness of our transfer pricing policies and compliance therewith. The global transfer pricing environment, including with respect to operational and reporting requirements, is continuously evolving and subject to input from multiple sources and jurisdictions. These complexities require management to closely monitor new developments, which it does.</w:t>
      </w:r>
    </w:p>
    <w:p>
      <w:pPr>
        <w:spacing w:after="0" w:line="9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auto"/>
        </w:rPr>
        <w:t>Many countries routinely examine transfer pricing policies of taxpayers subject to their jurisdiction, and authorities challenge transfer pricing policies aggressively where there is potential non-compliance and impose interest and penalties where non-compliance is determined. Although the documentation of and support for our transfer pricing policies has not been the subject of a governmental proceeding beyond examination to date, there can be no assurance that a governmental authority will not challenge these policies more aggressively in the future or, if challenged, that we will prevail. We could suffer costs related to one or more challenges to our transfer pricing policies.</w:t>
      </w:r>
    </w:p>
    <w:p>
      <w:pPr>
        <w:spacing w:after="0" w:line="10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Our products and solutions enable us to collect, manage and store a wide range of data related to vehicle tracking and fleet management such as vehicle location and fuel usage, speed and</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In addition, the California Consumer Privacy Act, which took effect on January 1, 2020, provides new data privacy rights for California consumers, including the right to know what personal information is being collected about them and how it is being used. We market our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90" w:lineRule="exact"/>
        <w:rPr>
          <w:sz w:val="20"/>
          <w:szCs w:val="20"/>
          <w:color w:val="auto"/>
        </w:rPr>
      </w:pPr>
    </w:p>
    <w:p>
      <w:pPr>
        <w:ind w:right="380" w:firstLine="318"/>
        <w:spacing w:after="0" w:line="252" w:lineRule="auto"/>
        <w:rPr>
          <w:sz w:val="20"/>
          <w:szCs w:val="20"/>
          <w:color w:val="auto"/>
        </w:rPr>
      </w:pPr>
      <w:r>
        <w:rPr>
          <w:rFonts w:ascii="Arial" w:cs="Arial" w:eastAsia="Arial" w:hAnsi="Arial"/>
          <w:sz w:val="14"/>
          <w:szCs w:val="14"/>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99" w:lineRule="exact"/>
        <w:rPr>
          <w:sz w:val="20"/>
          <w:szCs w:val="20"/>
          <w:color w:val="auto"/>
        </w:rPr>
      </w:pPr>
    </w:p>
    <w:p>
      <w:pPr>
        <w:ind w:right="120" w:firstLine="318"/>
        <w:spacing w:after="0" w:line="277" w:lineRule="auto"/>
        <w:rPr>
          <w:sz w:val="20"/>
          <w:szCs w:val="20"/>
          <w:color w:val="auto"/>
        </w:rPr>
      </w:pPr>
      <w:r>
        <w:rPr>
          <w:rFonts w:ascii="Arial" w:cs="Arial" w:eastAsia="Arial" w:hAnsi="Arial"/>
          <w:sz w:val="13"/>
          <w:szCs w:val="13"/>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84" w:lineRule="exact"/>
        <w:rPr>
          <w:sz w:val="20"/>
          <w:szCs w:val="20"/>
          <w:color w:val="auto"/>
        </w:rPr>
      </w:pPr>
    </w:p>
    <w:p>
      <w:pPr>
        <w:ind w:right="100" w:firstLine="318"/>
        <w:spacing w:after="0" w:line="272" w:lineRule="auto"/>
        <w:rPr>
          <w:sz w:val="20"/>
          <w:szCs w:val="20"/>
          <w:color w:val="auto"/>
        </w:rPr>
      </w:pPr>
      <w:r>
        <w:rPr>
          <w:rFonts w:ascii="Arial" w:cs="Arial" w:eastAsia="Arial" w:hAnsi="Arial"/>
          <w:sz w:val="13"/>
          <w:szCs w:val="13"/>
          <w:color w:val="auto"/>
        </w:rPr>
        <w:t>Our solutions and products enable us to collect, manage and store a wide range of data related to fleet management such as mobile asset location and fuel usage, speed and mileage.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The European Union and the United Kingdom have adopted legislation (including directives, national laws and regulations) that increase or change the requirements governing data collection, use, storage and disclosure of personal data in these jurisdictions. The current European Union legislation related to data protection is the GDPR, which came into effect on May 25, 2018. We have updated and will continue to evaluate our group data protection and security policies, charters, and procedures to assist in maintaining data privacy and data security in line with international practices.</w:t>
      </w:r>
    </w:p>
    <w:p>
      <w:pPr>
        <w:spacing w:after="0" w:line="87" w:lineRule="exact"/>
        <w:rPr>
          <w:sz w:val="20"/>
          <w:szCs w:val="20"/>
          <w:color w:val="auto"/>
        </w:rPr>
      </w:pPr>
    </w:p>
    <w:p>
      <w:pPr>
        <w:ind w:right="160" w:firstLine="318"/>
        <w:spacing w:after="0" w:line="259" w:lineRule="auto"/>
        <w:rPr>
          <w:sz w:val="20"/>
          <w:szCs w:val="20"/>
          <w:color w:val="auto"/>
        </w:rPr>
      </w:pPr>
      <w:r>
        <w:rPr>
          <w:rFonts w:ascii="Arial" w:cs="Arial" w:eastAsia="Arial" w:hAnsi="Arial"/>
          <w:sz w:val="14"/>
          <w:szCs w:val="14"/>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1" w:name="page32"/>
    <w:bookmarkEnd w:id="31"/>
    <w:p>
      <w:pPr>
        <w:ind w:right="80" w:firstLine="318"/>
        <w:spacing w:after="0" w:line="248" w:lineRule="auto"/>
        <w:rPr>
          <w:sz w:val="20"/>
          <w:szCs w:val="20"/>
          <w:color w:val="auto"/>
        </w:rPr>
      </w:pPr>
      <w:r>
        <w:rPr>
          <w:rFonts w:ascii="Arial" w:cs="Arial" w:eastAsia="Arial" w:hAnsi="Arial"/>
          <w:sz w:val="14"/>
          <w:szCs w:val="14"/>
          <w:color w:val="auto"/>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Enhanced United States fiscal, tax and trade restrictions and executive and legislative actions could adversely affect our business, financial condition, and results of operations.</w:t>
      </w:r>
    </w:p>
    <w:p>
      <w:pPr>
        <w:spacing w:after="0" w:line="137" w:lineRule="exact"/>
        <w:rPr>
          <w:sz w:val="20"/>
          <w:szCs w:val="20"/>
          <w:color w:val="auto"/>
        </w:rPr>
      </w:pPr>
    </w:p>
    <w:p>
      <w:pPr>
        <w:ind w:firstLine="318"/>
        <w:spacing w:after="0" w:line="267" w:lineRule="auto"/>
        <w:rPr>
          <w:sz w:val="20"/>
          <w:szCs w:val="20"/>
          <w:color w:val="auto"/>
        </w:rPr>
      </w:pPr>
      <w:r>
        <w:rPr>
          <w:rFonts w:ascii="Arial" w:cs="Arial" w:eastAsia="Arial" w:hAnsi="Arial"/>
          <w:sz w:val="13"/>
          <w:szCs w:val="13"/>
          <w:color w:val="auto"/>
        </w:rPr>
        <w:t>There is currently significant uncertainty about the future relationship between the United States and various other countries, most significantly China, with respect to trade policies, treaties, tariffs and taxes. The current and former U.S. administrations have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that increased to 25% in May 2019. The current U.S. administration has kept the tariffs in place, however trade negotiations between the U.S. and China continue and there is a possibility that certain product exclusions from the tariffs may be reinstated at some point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02"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our move out of mainland China has been completed in prior years.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84" w:lineRule="exact"/>
        <w:rPr>
          <w:sz w:val="20"/>
          <w:szCs w:val="20"/>
          <w:color w:val="auto"/>
        </w:rPr>
      </w:pPr>
    </w:p>
    <w:p>
      <w:pPr>
        <w:ind w:right="120" w:firstLine="318"/>
        <w:spacing w:after="0" w:line="259" w:lineRule="auto"/>
        <w:rPr>
          <w:sz w:val="20"/>
          <w:szCs w:val="20"/>
          <w:color w:val="auto"/>
        </w:rPr>
      </w:pPr>
      <w:r>
        <w:rPr>
          <w:rFonts w:ascii="Arial" w:cs="Arial" w:eastAsia="Arial" w:hAnsi="Arial"/>
          <w:sz w:val="14"/>
          <w:szCs w:val="14"/>
          <w:color w:val="auto"/>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spacing w:after="0" w:line="94"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In August 2022, the Inflation Reduction Act of 2022 was signed into law which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the Treasury and we cannot predict how this legislation or any future changes in tax laws might affect us or purchasers of our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136" w:lineRule="exact"/>
        <w:rPr>
          <w:sz w:val="20"/>
          <w:szCs w:val="20"/>
          <w:color w:val="auto"/>
        </w:rPr>
      </w:pPr>
    </w:p>
    <w:p>
      <w:pPr>
        <w:ind w:right="80" w:firstLine="318"/>
        <w:spacing w:after="0" w:line="248" w:lineRule="auto"/>
        <w:rPr>
          <w:sz w:val="20"/>
          <w:szCs w:val="20"/>
          <w:color w:val="auto"/>
        </w:rPr>
      </w:pPr>
      <w:r>
        <w:rPr>
          <w:rFonts w:ascii="Arial" w:cs="Arial" w:eastAsia="Arial" w:hAnsi="Arial"/>
          <w:sz w:val="14"/>
          <w:szCs w:val="14"/>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102" w:lineRule="exact"/>
        <w:rPr>
          <w:sz w:val="20"/>
          <w:szCs w:val="20"/>
          <w:color w:val="auto"/>
        </w:rPr>
      </w:pPr>
    </w:p>
    <w:p>
      <w:pPr>
        <w:ind w:right="760" w:firstLine="318"/>
        <w:spacing w:after="0" w:line="281" w:lineRule="auto"/>
        <w:rPr>
          <w:sz w:val="20"/>
          <w:szCs w:val="20"/>
          <w:color w:val="auto"/>
        </w:rPr>
      </w:pPr>
      <w:r>
        <w:rPr>
          <w:rFonts w:ascii="Arial" w:cs="Arial" w:eastAsia="Arial" w:hAnsi="Arial"/>
          <w:sz w:val="14"/>
          <w:szCs w:val="14"/>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color w:val="auto"/>
        </w:rPr>
        <w:t>RISKS RELATED TO OWNING OUR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has been highly volatile in the past and could be highly volatile in the future.</w:t>
      </w:r>
    </w:p>
    <w:p>
      <w:pPr>
        <w:spacing w:after="0" w:line="136"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spacing w:after="0" w:line="84" w:lineRule="exact"/>
        <w:rPr>
          <w:sz w:val="20"/>
          <w:szCs w:val="20"/>
          <w:color w:val="auto"/>
        </w:rPr>
      </w:pPr>
    </w:p>
    <w:p>
      <w:pPr>
        <w:ind w:right="140" w:firstLine="318"/>
        <w:spacing w:after="0" w:line="259" w:lineRule="auto"/>
        <w:rPr>
          <w:sz w:val="20"/>
          <w:szCs w:val="20"/>
          <w:color w:val="auto"/>
        </w:rPr>
      </w:pPr>
      <w:r>
        <w:rPr>
          <w:rFonts w:ascii="Arial" w:cs="Arial" w:eastAsia="Arial" w:hAnsi="Arial"/>
          <w:sz w:val="14"/>
          <w:szCs w:val="14"/>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Failure to meet the continued listing requirements of The NASDAQ Global Select Market, could result in delisting of our common stock, which in turn would negatively affect the price of our common stock and limit investors’ ability to trade in our common stock.</w:t>
      </w:r>
    </w:p>
    <w:p>
      <w:pPr>
        <w:spacing w:after="0" w:line="101" w:lineRule="exact"/>
        <w:rPr>
          <w:sz w:val="20"/>
          <w:szCs w:val="20"/>
          <w:color w:val="auto"/>
        </w:rPr>
      </w:pPr>
    </w:p>
    <w:p>
      <w:pPr>
        <w:jc w:val="both"/>
        <w:ind w:right="160" w:firstLine="318"/>
        <w:spacing w:after="0" w:line="279" w:lineRule="auto"/>
        <w:rPr>
          <w:sz w:val="20"/>
          <w:szCs w:val="20"/>
          <w:color w:val="auto"/>
        </w:rPr>
      </w:pPr>
      <w:r>
        <w:rPr>
          <w:rFonts w:ascii="Arial" w:cs="Arial" w:eastAsia="Arial" w:hAnsi="Arial"/>
          <w:sz w:val="13"/>
          <w:szCs w:val="13"/>
          <w:color w:val="auto"/>
        </w:rPr>
        <w:t>Our common stock trades on The NASDAQ Global Select Market. The standards for continued listing on The NASDAQ Global Select Market include, among other things, that the minimum closing bid price for the listed securities not fall below $1.00 for a period in excess of thirty consecutive business days. During the months of December 2022, January 2023 and February 2023, our common stock periodically traded at levels below $1.00 per share, but never for thirty consecutive days. At February 24, 2023, the closing bid price of our common stock was $0.88.</w:t>
      </w:r>
    </w:p>
    <w:p>
      <w:pPr>
        <w:spacing w:after="0" w:line="94"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If the closing bid price of our common stock were to fail to meet the minimum closing bid price requirement, or if we otherwise fail to meet any other applicable requirements of The NASDAQ Global Select Market and we are unable to regain compliance, there may be a determination to delist our common stock. Such a delisting would likely have a negative effect on the price of our common stock and would impair your ability to sell or purchase our common stock when you wish to do so. If our common stock is delisted from The NASDAQ Global Select Market, we could face significant material adverse consequences, including:</w:t>
      </w:r>
    </w:p>
    <w:p>
      <w:pPr>
        <w:spacing w:after="0" w:line="101" w:lineRule="exact"/>
        <w:rPr>
          <w:sz w:val="20"/>
          <w:szCs w:val="20"/>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limited availability of market quotations for our common stock;</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reduced liquidity with respect to our common stock;</w:t>
      </w:r>
    </w:p>
    <w:p>
      <w:pPr>
        <w:spacing w:after="0" w:line="136" w:lineRule="exact"/>
        <w:rPr>
          <w:rFonts w:ascii="Arial" w:cs="Arial" w:eastAsia="Arial" w:hAnsi="Arial"/>
          <w:sz w:val="14"/>
          <w:szCs w:val="14"/>
          <w:color w:val="auto"/>
        </w:rPr>
      </w:pPr>
    </w:p>
    <w:p>
      <w:pPr>
        <w:ind w:left="760" w:right="480" w:hanging="246"/>
        <w:spacing w:after="0" w:line="265"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determination that our shares of common stock are a “penny stock” which would require broker-dealers trading in our common stock to adhere to more stringent rules, possibly resulting in a reduced level of trading activity in the secondary trading market for our common stock;</w:t>
      </w:r>
    </w:p>
    <w:p>
      <w:pPr>
        <w:spacing w:after="0" w:line="90"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limited amount of news and analyst coverage for our company; and</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limited ability to issue additional securities or obtain additional financing in the future.</w:t>
      </w:r>
    </w:p>
    <w:p>
      <w:pPr>
        <w:spacing w:after="0" w:line="125" w:lineRule="exact"/>
        <w:rPr>
          <w:sz w:val="20"/>
          <w:szCs w:val="20"/>
          <w:color w:val="auto"/>
        </w:rPr>
      </w:pPr>
    </w:p>
    <w:p>
      <w:pPr>
        <w:jc w:val="both"/>
        <w:ind w:right="200" w:firstLine="318"/>
        <w:spacing w:after="0" w:line="259" w:lineRule="auto"/>
        <w:rPr>
          <w:sz w:val="20"/>
          <w:szCs w:val="20"/>
          <w:color w:val="auto"/>
        </w:rPr>
      </w:pPr>
      <w:r>
        <w:rPr>
          <w:rFonts w:ascii="Arial" w:cs="Arial" w:eastAsia="Arial" w:hAnsi="Arial"/>
          <w:sz w:val="14"/>
          <w:szCs w:val="14"/>
          <w:color w:val="auto"/>
        </w:rPr>
        <w:t>In the event of a delisting notification, we anticipate that we would take actions to restore our compliance with the requirements for continued listing on The NASDAQ Global Select Market, such as stabilize our market price, improve the liquidity of our common stock, prevent our common stock from dropping below such exchange’s minimum bid price requirement, or prevent future non-compliance with such exchange’s listing requirements, but there is no guarantee that our actions would be successful.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 December 31, 2022, the Company had U.S. federal net operating loss carryforwards (“NOLs”) related to tax years 2020 and prior of approximately $417.2 million. Approximately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$110.0 million of these NOLs have no expiration date. The remainder began to expire in 2023, unless previously utilized. Some of these NOLs may be limited by either past or future changes in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control events. The Company had California NOLs at December 31, 2022 of approximately $62.0 million, which begin to expire in 2028, unless previously utilized, and foreign NOLs for its active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foreign subsidiaries of approximately $22.7 million, which generally have no expiration date. At December 31, 2022, the Company had federal research and development tax credit carryforwards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approximately $15.9 million, which begin to expire in 2026, unless previously utilized, and California research and development tax credit carryforwards of approximately $17.4 million, which have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no expiration date. It is possible that we will not generate taxable income in time to use these NOLs before their expiration and additional NOLs will expire unused.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3" w:name="page34"/>
    <w:bookmarkEnd w:id="33"/>
    <w:p>
      <w:pPr>
        <w:ind w:right="20" w:firstLine="318"/>
        <w:spacing w:after="0" w:line="268" w:lineRule="auto"/>
        <w:rPr>
          <w:sz w:val="20"/>
          <w:szCs w:val="20"/>
          <w:color w:val="auto"/>
        </w:rPr>
      </w:pPr>
      <w:r>
        <w:rPr>
          <w:rFonts w:ascii="Arial" w:cs="Arial" w:eastAsia="Arial" w:hAnsi="Arial"/>
          <w:sz w:val="13"/>
          <w:szCs w:val="13"/>
          <w:color w:val="auto"/>
        </w:rPr>
        <w:t>Under legislative changes made in December 2017, as modified by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or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stock may be vulnerable to manipulation, including through short sales.</w:t>
      </w:r>
    </w:p>
    <w:p>
      <w:pPr>
        <w:spacing w:after="0" w:line="125" w:lineRule="exact"/>
        <w:rPr>
          <w:sz w:val="20"/>
          <w:szCs w:val="20"/>
          <w:color w:val="auto"/>
        </w:rPr>
      </w:pPr>
    </w:p>
    <w:p>
      <w:pPr>
        <w:ind w:right="20" w:firstLine="318"/>
        <w:spacing w:after="0" w:line="248" w:lineRule="auto"/>
        <w:rPr>
          <w:sz w:val="20"/>
          <w:szCs w:val="20"/>
          <w:color w:val="auto"/>
        </w:rPr>
      </w:pPr>
      <w:r>
        <w:rPr>
          <w:rFonts w:ascii="Arial" w:cs="Arial" w:eastAsia="Arial" w:hAnsi="Arial"/>
          <w:sz w:val="14"/>
          <w:szCs w:val="14"/>
          <w:color w:val="auto"/>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 Authority (“FINRA”). Short sales are transactions in which a market participant sells a security that it does not own. To complete the transaction, the 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spacing w:after="0" w:line="101" w:lineRule="exact"/>
        <w:rPr>
          <w:sz w:val="20"/>
          <w:szCs w:val="20"/>
          <w:color w:val="auto"/>
        </w:rPr>
      </w:pPr>
    </w:p>
    <w:p>
      <w:pPr>
        <w:ind w:firstLine="318"/>
        <w:spacing w:after="0" w:line="249" w:lineRule="auto"/>
        <w:rPr>
          <w:sz w:val="20"/>
          <w:szCs w:val="20"/>
          <w:color w:val="auto"/>
        </w:rPr>
      </w:pPr>
      <w:r>
        <w:rPr>
          <w:rFonts w:ascii="Arial" w:cs="Arial" w:eastAsia="Arial" w:hAnsi="Arial"/>
          <w:sz w:val="14"/>
          <w:szCs w:val="14"/>
          <w:color w:val="auto"/>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spacing w:after="0" w:line="10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Future settlements of any conversion obligations with respect to the 2025 Notes may result in dilution to existing stockholders, lower prevailing market prices for our common stock or require a significant cash outlay.</w:t>
      </w:r>
    </w:p>
    <w:p>
      <w:pPr>
        <w:spacing w:after="0" w:line="101" w:lineRule="exact"/>
        <w:rPr>
          <w:sz w:val="20"/>
          <w:szCs w:val="20"/>
          <w:color w:val="auto"/>
        </w:rPr>
      </w:pPr>
    </w:p>
    <w:p>
      <w:pPr>
        <w:ind w:right="20" w:firstLine="318"/>
        <w:spacing w:after="0" w:line="244" w:lineRule="auto"/>
        <w:rPr>
          <w:sz w:val="20"/>
          <w:szCs w:val="20"/>
          <w:color w:val="auto"/>
        </w:rPr>
      </w:pPr>
      <w:r>
        <w:rPr>
          <w:rFonts w:ascii="Arial" w:cs="Arial" w:eastAsia="Arial" w:hAnsi="Arial"/>
          <w:sz w:val="14"/>
          <w:szCs w:val="14"/>
          <w:color w:val="auto"/>
        </w:rPr>
        <w:t>The 2025 Notes are currently convertible at the option of the holders at any time until close of business on the business day immediately preceding the maturity date. The 2025 Notes are convertible into shares of the Company’s common stock at a conversion rate of 79.2896 shares of common stock per $1,000 principal amount of 2025 Notes (which is equivalent to an initial conversion price of $12.61 per share of common stock). The conversion rate is subject to adjustment if certain events occur, but in no event will the conversion rate exceed 95.1474 shares of common stock per $1,000 principal amount of 2025 Notes (which is equivalent to a conversion price of $10.51 per share of common stock). Holders of the 2025 Notes who convert may also be entitled to receive, under certain circumstances, an interest make-whole payment payable in, at our election, either cash or shares of common stock. Approximately $18.5 million of 2025 Notes have been converted as of December 31, 2022. If additional holders of the 2025 Notes elect to convert their 2025 Notes into common stock, or if we elect to settle any interest make-whole payments due upon conversion of the 2025 Notes with shares of common stock, this may cause significant dilution to our existing stockholders. Any sales in the public market of the common stock issued upon such conversion could adversely affect prevailing market prices of our common stock. If we do elect to settle any interest make-whole payments due upon conversion of the 2025 Notes with cash, such payments could adversely affect our liquidity.</w:t>
      </w:r>
    </w:p>
    <w:p>
      <w:pPr>
        <w:spacing w:after="0" w:line="108"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Certain provisions in the indenture governing the 2025 Notes (as amended or supplemented, the “Indenture”) could make it more difficult or more expensive for a third party to acquire us and could delay or prevent an otherwise beneficial takeover or takeover attempt. For example, if a takeover would constitute a fundamental change (as defined in the Indenture), holders of the 2025 Notes will have the right to require us to repurchase their notes in cash. In addition, if a takeover constitutes a make-whole fundamental change, we may be required to increase the conversion rate for holders who convert their 2025 Notes in connection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4" w:name="page35"/>
    <w:bookmarkEnd w:id="34"/>
    <w:p>
      <w:pPr>
        <w:ind w:right="60"/>
        <w:spacing w:after="0" w:line="270" w:lineRule="auto"/>
        <w:rPr>
          <w:sz w:val="20"/>
          <w:szCs w:val="20"/>
          <w:color w:val="auto"/>
        </w:rPr>
      </w:pPr>
      <w:r>
        <w:rPr>
          <w:rFonts w:ascii="Arial" w:cs="Arial" w:eastAsia="Arial" w:hAnsi="Arial"/>
          <w:sz w:val="14"/>
          <w:szCs w:val="14"/>
          <w:color w:val="auto"/>
        </w:rPr>
        <w:t>with such takeover. In either case, and in other cases, our obligations under the 2025 Notes and the related Indenture could increase the cost of acquiring us or otherwise discourage a third party from acquiring us</w:t>
      </w:r>
      <w:r>
        <w:rPr>
          <w:rFonts w:ascii="Arial" w:cs="Arial" w:eastAsia="Arial" w:hAnsi="Arial"/>
          <w:sz w:val="16"/>
          <w:szCs w:val="16"/>
          <w:color w:val="008080"/>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Ownership of our common stock is concentrated, and as a result, certain stockholders may exercise significant influence over us.</w:t>
      </w:r>
    </w:p>
    <w:p>
      <w:pPr>
        <w:spacing w:after="0" w:line="125" w:lineRule="exact"/>
        <w:rPr>
          <w:sz w:val="20"/>
          <w:szCs w:val="20"/>
          <w:color w:val="auto"/>
        </w:rPr>
      </w:pPr>
    </w:p>
    <w:p>
      <w:pPr>
        <w:ind w:firstLine="318"/>
        <w:spacing w:after="0" w:line="249" w:lineRule="auto"/>
        <w:rPr>
          <w:sz w:val="20"/>
          <w:szCs w:val="20"/>
          <w:color w:val="auto"/>
        </w:rPr>
      </w:pPr>
      <w:r>
        <w:rPr>
          <w:rFonts w:ascii="Arial" w:cs="Arial" w:eastAsia="Arial" w:hAnsi="Arial"/>
          <w:sz w:val="14"/>
          <w:szCs w:val="14"/>
          <w:color w:val="auto"/>
        </w:rPr>
        <w:t>As of December 31, 2022, North Sound Trading, L.P. and Golden Harbor Ltd. (together the “Investors”) and their affiliates own an aggregate of approximately 31.1% of the outstanding shares of our common stock. The Investors and their affiliates also hold approximately $80.4 million of the 2025 Notes (49.7% of the outstanding principal amount). The Indenture relating to the 2025 Notes includes a Section 382 conversion blocker that may prevent the Investors from converting their 2025 Notes unless they receive the prior written approval of our Board of Directors. Assuming the conversion of the 2025 Notes owned by the Investors and their affiliates and the exercise of the warrants also owned by the Investors and their affiliates, the Investors and their affiliates would own approximately 31.4% of the outstanding shares of our common stock. As a result, the Investors have the ability to significantly influence the outcome of any matter submitted for the vote of the holders of our common stock.</w:t>
      </w:r>
    </w:p>
    <w:p>
      <w:pPr>
        <w:spacing w:after="0" w:line="10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101" w:lineRule="exact"/>
        <w:rPr>
          <w:sz w:val="20"/>
          <w:szCs w:val="20"/>
          <w:color w:val="auto"/>
        </w:rPr>
      </w:pPr>
    </w:p>
    <w:p>
      <w:pPr>
        <w:ind w:right="100" w:firstLine="318"/>
        <w:spacing w:after="0" w:line="249" w:lineRule="auto"/>
        <w:rPr>
          <w:sz w:val="20"/>
          <w:szCs w:val="20"/>
          <w:color w:val="auto"/>
        </w:rPr>
      </w:pPr>
      <w:r>
        <w:rPr>
          <w:rFonts w:ascii="Arial" w:cs="Arial" w:eastAsia="Arial" w:hAnsi="Arial"/>
          <w:sz w:val="14"/>
          <w:szCs w:val="14"/>
          <w:color w:val="auto"/>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outstanding Series E Preferred Stock or future equity offerings could adversely affect the holders of our common stock in some circumstances.</w:t>
      </w:r>
    </w:p>
    <w:p>
      <w:pPr>
        <w:spacing w:after="0" w:line="136" w:lineRule="exact"/>
        <w:rPr>
          <w:sz w:val="20"/>
          <w:szCs w:val="20"/>
          <w:color w:val="auto"/>
        </w:rPr>
      </w:pPr>
    </w:p>
    <w:p>
      <w:pPr>
        <w:ind w:right="60" w:firstLine="318"/>
        <w:spacing w:after="0" w:line="244" w:lineRule="auto"/>
        <w:rPr>
          <w:sz w:val="20"/>
          <w:szCs w:val="20"/>
          <w:color w:val="auto"/>
        </w:rPr>
      </w:pPr>
      <w:r>
        <w:rPr>
          <w:rFonts w:ascii="Arial" w:cs="Arial" w:eastAsia="Arial" w:hAnsi="Arial"/>
          <w:sz w:val="14"/>
          <w:szCs w:val="14"/>
          <w:color w:val="auto"/>
        </w:rPr>
        <w:t xml:space="preserve">As of December 31, 2022, there were 25,000 shares of Series E Fixed-Rate Cumulative Perpetual Preferred Stock, par value $0.001 per share (the “Series E Preferred Stock”) outstanding with an aggregate liquidation preference of $25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in Note 8. </w:t>
      </w:r>
      <w:r>
        <w:rPr>
          <w:rFonts w:ascii="Arial" w:cs="Arial" w:eastAsia="Arial" w:hAnsi="Arial"/>
          <w:sz w:val="14"/>
          <w:szCs w:val="14"/>
          <w:i w:val="1"/>
          <w:iCs w:val="1"/>
          <w:color w:val="auto"/>
        </w:rPr>
        <w:t xml:space="preserve">Preferred Stock and Common Stock </w:t>
      </w:r>
      <w:r>
        <w:rPr>
          <w:rFonts w:ascii="Arial" w:cs="Arial" w:eastAsia="Arial" w:hAnsi="Arial"/>
          <w:sz w:val="14"/>
          <w:szCs w:val="14"/>
          <w:color w:val="auto"/>
        </w:rPr>
        <w:t>in the Notes to the Consolidated Financial Statements) plus (without duplication) any accrued and unpaid dividends. In the future, we may offer additional shares</w:t>
      </w:r>
      <w:r>
        <w:rPr>
          <w:rFonts w:ascii="Arial" w:cs="Arial" w:eastAsia="Arial" w:hAnsi="Arial"/>
          <w:sz w:val="14"/>
          <w:szCs w:val="14"/>
          <w:i w:val="1"/>
          <w:iCs w:val="1"/>
          <w:color w:val="auto"/>
        </w:rPr>
        <w:t xml:space="preserve"> </w:t>
      </w:r>
      <w:r>
        <w:rPr>
          <w:rFonts w:ascii="Arial" w:cs="Arial" w:eastAsia="Arial" w:hAnsi="Arial"/>
          <w:sz w:val="14"/>
          <w:szCs w:val="14"/>
          <w:color w:val="auto"/>
        </w:rPr>
        <w:t>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spacing w:after="0" w:line="11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4" w:lineRule="exact"/>
        <w:rPr>
          <w:sz w:val="20"/>
          <w:szCs w:val="20"/>
          <w:color w:val="auto"/>
        </w:rPr>
      </w:pPr>
    </w:p>
    <w:p>
      <w:pPr>
        <w:ind w:right="180" w:firstLine="318"/>
        <w:spacing w:after="0" w:line="251"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any future earnings for the development, operation and expansion of our business and do not anticipate declaring or paying any cash dividends for the foreseeable future. In addition, the terms of our debt agreements and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restated certificate of incorporation and restated bylaws and Delaware law could prevent a takeover that stockholders consider favorable and could also reduce the market price of our stock.</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5" w:name="page36"/>
    <w:bookmarkEnd w:id="35"/>
    <w:p>
      <w:pPr>
        <w:ind w:right="20" w:firstLine="509"/>
        <w:spacing w:after="0" w:line="238" w:lineRule="auto"/>
        <w:rPr>
          <w:sz w:val="20"/>
          <w:szCs w:val="20"/>
          <w:color w:val="auto"/>
        </w:rPr>
      </w:pPr>
      <w:r>
        <w:rPr>
          <w:rFonts w:ascii="Arial" w:cs="Arial" w:eastAsia="Arial" w:hAnsi="Arial"/>
          <w:sz w:val="14"/>
          <w:szCs w:val="14"/>
          <w:color w:val="auto"/>
        </w:rPr>
        <w:t>Our restated certificate of incorporation and restated bylaws contain provisions that could delay or prevent a change in control of us. These provisions could also make it more difficult for stockholders to elect directors and take other corporate actions. These provisions include: providing for a classified board of directors with staggered, three-year terms; authorizing the board of directors to issue, without stockholder approval, preferred stock with rights senior to those of our common stock; providing that vacancies on our board of directors be filled by appointment by the board of directors; prohibiting stockholder action by written consent; requiring that certain litigation must be brought in Delaware; limiting the persons who may call special meetings of stockholders; and requiring advance notification of stockholder nominations and proposals. In addition, we are subject to Section 203 of the Delaware General Corporation Law which may prohibit large stockholders, in particular those owning fifteen percent or more of our outstanding voting stock, from merging or combining with us for a certain period of time without the consent of our board of directors. These and other provisions in our restated certificate of incorporation and our restated bylaws and under the Delaware General Corporation Law could discourage potential takeover attempts, reduce the price that investors might be willing to pay in the future for shares of our common stock and result in the market price of our common stock being lower than it would be without these provisions.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RISK FACTORS</w:t>
      </w:r>
    </w:p>
    <w:p>
      <w:pPr>
        <w:spacing w:after="0" w:line="136"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90" w:lineRule="exact"/>
        <w:rPr>
          <w:sz w:val="20"/>
          <w:szCs w:val="20"/>
          <w:color w:val="auto"/>
        </w:rPr>
      </w:pPr>
    </w:p>
    <w:p>
      <w:pPr>
        <w:jc w:val="both"/>
        <w:ind w:right="60" w:firstLine="318"/>
        <w:spacing w:after="0" w:line="251"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112"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spacing w:after="0" w:line="90" w:lineRule="exact"/>
        <w:rPr>
          <w:sz w:val="20"/>
          <w:szCs w:val="20"/>
          <w:color w:val="auto"/>
        </w:rPr>
      </w:pPr>
    </w:p>
    <w:p>
      <w:pPr>
        <w:ind w:right="200" w:firstLine="318"/>
        <w:spacing w:after="0" w:line="259" w:lineRule="auto"/>
        <w:rPr>
          <w:sz w:val="20"/>
          <w:szCs w:val="20"/>
          <w:color w:val="auto"/>
        </w:rPr>
      </w:pPr>
      <w:r>
        <w:rPr>
          <w:rFonts w:ascii="Arial" w:cs="Arial" w:eastAsia="Arial" w:hAnsi="Arial"/>
          <w:sz w:val="14"/>
          <w:szCs w:val="14"/>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94"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the accounting estimates we make, and the assumptions on which we rely, in preparing our financial statements prove inaccurate, our actual results may be adversely affected.</w:t>
      </w:r>
    </w:p>
    <w:p>
      <w:pPr>
        <w:spacing w:after="0" w:line="137" w:lineRule="exact"/>
        <w:rPr>
          <w:sz w:val="20"/>
          <w:szCs w:val="20"/>
          <w:color w:val="auto"/>
        </w:rPr>
      </w:pPr>
    </w:p>
    <w:p>
      <w:pPr>
        <w:ind w:firstLine="318"/>
        <w:spacing w:after="0" w:line="245" w:lineRule="auto"/>
        <w:rPr>
          <w:sz w:val="20"/>
          <w:szCs w:val="20"/>
          <w:color w:val="auto"/>
        </w:rPr>
      </w:pPr>
      <w:r>
        <w:rPr>
          <w:rFonts w:ascii="Arial" w:cs="Arial" w:eastAsia="Arial" w:hAnsi="Arial"/>
          <w:sz w:val="14"/>
          <w:szCs w:val="14"/>
          <w:color w:val="auto"/>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changes to the accounting systems or new accounting system implementations may be ineffective or cause delays in our ability to provide timely financial results.</w:t>
      </w:r>
    </w:p>
    <w:p>
      <w:pPr>
        <w:spacing w:after="0" w:line="125" w:lineRule="exact"/>
        <w:rPr>
          <w:sz w:val="20"/>
          <w:szCs w:val="20"/>
          <w:color w:val="auto"/>
        </w:rPr>
      </w:pPr>
    </w:p>
    <w:p>
      <w:pPr>
        <w:ind w:right="40" w:firstLine="318"/>
        <w:spacing w:after="0" w:line="304" w:lineRule="auto"/>
        <w:rPr>
          <w:sz w:val="20"/>
          <w:szCs w:val="20"/>
          <w:color w:val="auto"/>
        </w:rPr>
      </w:pPr>
      <w:r>
        <w:rPr>
          <w:rFonts w:ascii="Arial" w:cs="Arial" w:eastAsia="Arial" w:hAnsi="Arial"/>
          <w:sz w:val="13"/>
          <w:szCs w:val="13"/>
          <w:color w:val="auto"/>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4"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internal controls and could cause a delay in compliance with our reporting obligations, which could adversely affect our business and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59"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We may be exposed to risks related to litigation and administrative proceedings that could materially and adversely affect our business, results of operations and financial condition.</w:t>
      </w:r>
    </w:p>
    <w:p>
      <w:pPr>
        <w:spacing w:after="0" w:line="137" w:lineRule="exact"/>
        <w:rPr>
          <w:sz w:val="20"/>
          <w:szCs w:val="20"/>
          <w:color w:val="auto"/>
        </w:rPr>
      </w:pPr>
    </w:p>
    <w:p>
      <w:pPr>
        <w:ind w:right="40" w:firstLine="318"/>
        <w:spacing w:after="0" w:line="292" w:lineRule="auto"/>
        <w:rPr>
          <w:sz w:val="20"/>
          <w:szCs w:val="20"/>
          <w:color w:val="auto"/>
        </w:rPr>
      </w:pPr>
      <w:r>
        <w:rPr>
          <w:rFonts w:ascii="Arial" w:cs="Arial" w:eastAsia="Arial" w:hAnsi="Arial"/>
          <w:sz w:val="12"/>
          <w:szCs w:val="12"/>
          <w:color w:val="auto"/>
        </w:rPr>
        <w:t>In addition to intellectual property and other claims mentioned above, our business may expose us to litigation and administrative proceedings relating to labor, regulatory, tax proceedings, governmental investigations, tort claims, contractual 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29" w:lineRule="exact"/>
        <w:rPr>
          <w:sz w:val="20"/>
          <w:szCs w:val="20"/>
          <w:color w:val="auto"/>
        </w:rPr>
      </w:pPr>
    </w:p>
    <w:p>
      <w:pPr>
        <w:ind w:right="160" w:firstLine="318"/>
        <w:spacing w:after="0" w:line="252" w:lineRule="auto"/>
        <w:rPr>
          <w:sz w:val="20"/>
          <w:szCs w:val="20"/>
          <w:color w:val="auto"/>
        </w:rPr>
      </w:pPr>
      <w:r>
        <w:rPr>
          <w:rFonts w:ascii="Arial" w:cs="Arial" w:eastAsia="Arial" w:hAnsi="Arial"/>
          <w:sz w:val="14"/>
          <w:szCs w:val="14"/>
          <w:color w:val="auto"/>
        </w:rPr>
        <w:t>Our principal executive office is located in San Diego, California. Our corporate offices are located in San Diego, California where we lease approximately 25,000 square feet under an arrangement that expires in July 2027 and approximately 13,000 square feet under an arrangement that expires in July 2027. We also currently lease approximately 14,000 square feet in Eugene, Oregon under a lease arrangement that expired in January 2023.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29"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See Part IV Item 15 Note 11.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in the accompanying consolidated financial statements for additional disclosure, which is incorporated herein by reference.</w:t>
      </w:r>
    </w:p>
    <w:p>
      <w:pPr>
        <w:spacing w:after="0" w:line="13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1" w:right="359" w:bottom="1440" w:gutter="0" w:footer="0" w:header="0"/>
        </w:sectPr>
      </w:pPr>
    </w:p>
    <w:bookmarkStart w:id="37" w:name="page38"/>
    <w:bookmarkEnd w:id="37"/>
    <w:p>
      <w:pPr>
        <w:ind w:left="538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Data</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Shares of our common stock are currently quoted and traded on The Nasdaq Global Select Market under the symbol “INSG”.</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Stockholders of Record</w:t>
      </w:r>
    </w:p>
    <w:p>
      <w:pPr>
        <w:spacing w:after="0" w:line="129"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 xml:space="preserve">As of </w:t>
      </w:r>
      <w:r>
        <w:rPr>
          <w:rFonts w:ascii="Arial" w:cs="Arial" w:eastAsia="Arial" w:hAnsi="Arial"/>
          <w:sz w:val="12"/>
          <w:szCs w:val="12"/>
          <w:color w:val="auto"/>
        </w:rPr>
        <w:t>February 24, 2023</w:t>
      </w:r>
      <w:r>
        <w:rPr>
          <w:rFonts w:ascii="Arial" w:cs="Arial" w:eastAsia="Arial" w:hAnsi="Arial"/>
          <w:sz w:val="14"/>
          <w:szCs w:val="14"/>
          <w:color w:val="auto"/>
        </w:rPr>
        <w:t>, there were approximately 29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40"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2"/>
          <w:szCs w:val="12"/>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 except as previously disclosed in our Quarterly Reports on Form 10-Q and Current Reports on Form 8-K.</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i w:val="1"/>
          <w:iCs w:val="1"/>
          <w:color w:val="auto"/>
        </w:rPr>
        <w:t>Reserved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9" w:right="419" w:bottom="1440" w:gutter="0" w:footer="0" w:header="0"/>
        </w:sectPr>
      </w:pPr>
    </w:p>
    <w:bookmarkStart w:id="38" w:name="page39"/>
    <w:bookmarkEnd w:id="38"/>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29" w:lineRule="exact"/>
        <w:rPr>
          <w:sz w:val="20"/>
          <w:szCs w:val="20"/>
          <w:color w:val="auto"/>
        </w:rPr>
      </w:pPr>
    </w:p>
    <w:p>
      <w:pPr>
        <w:ind w:right="20" w:firstLine="318"/>
        <w:spacing w:after="0" w:line="249" w:lineRule="auto"/>
        <w:rPr>
          <w:sz w:val="20"/>
          <w:szCs w:val="20"/>
          <w:color w:val="auto"/>
        </w:rPr>
      </w:pPr>
      <w:r>
        <w:rPr>
          <w:rFonts w:ascii="Arial" w:cs="Arial" w:eastAsia="Arial" w:hAnsi="Arial"/>
          <w:sz w:val="14"/>
          <w:szCs w:val="14"/>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0" w:lineRule="exact"/>
        <w:rPr>
          <w:sz w:val="20"/>
          <w:szCs w:val="20"/>
          <w:color w:val="auto"/>
        </w:rPr>
      </w:pPr>
    </w:p>
    <w:p>
      <w:pPr>
        <w:ind w:right="80" w:firstLine="318"/>
        <w:spacing w:after="0" w:line="246" w:lineRule="auto"/>
        <w:rPr>
          <w:sz w:val="20"/>
          <w:szCs w:val="20"/>
          <w:color w:val="auto"/>
        </w:rPr>
      </w:pPr>
      <w:r>
        <w:rPr>
          <w:rFonts w:ascii="Arial" w:cs="Arial" w:eastAsia="Arial" w:hAnsi="Arial"/>
          <w:sz w:val="14"/>
          <w:szCs w:val="14"/>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FWA gateway solutions, 4G and 5G mobile broadband, IIoT applications such as SD-WAN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13"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01" w:lineRule="exact"/>
        <w:rPr>
          <w:sz w:val="20"/>
          <w:szCs w:val="20"/>
          <w:color w:val="auto"/>
        </w:rPr>
      </w:pPr>
    </w:p>
    <w:p>
      <w:pPr>
        <w:ind w:right="100" w:firstLine="318"/>
        <w:spacing w:after="0" w:line="259" w:lineRule="auto"/>
        <w:rPr>
          <w:sz w:val="20"/>
          <w:szCs w:val="20"/>
          <w:color w:val="auto"/>
        </w:rPr>
      </w:pPr>
      <w:r>
        <w:rPr>
          <w:rFonts w:ascii="Arial" w:cs="Arial" w:eastAsia="Arial" w:hAnsi="Arial"/>
          <w:sz w:val="14"/>
          <w:szCs w:val="14"/>
          <w:color w:val="auto"/>
        </w:rPr>
        <w:t>On July 30, 2021, we completed the sale of Ctrack South Africa to an affiliate of Convergence.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Convergence.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Segment Reporting</w:t>
      </w:r>
    </w:p>
    <w:p>
      <w:pPr>
        <w:spacing w:after="0" w:line="129" w:lineRule="exact"/>
        <w:rPr>
          <w:sz w:val="20"/>
          <w:szCs w:val="20"/>
          <w:color w:val="auto"/>
        </w:rPr>
      </w:pPr>
    </w:p>
    <w:p>
      <w:pPr>
        <w:ind w:right="160" w:firstLine="318"/>
        <w:spacing w:after="0" w:line="321" w:lineRule="auto"/>
        <w:rPr>
          <w:sz w:val="20"/>
          <w:szCs w:val="20"/>
          <w:color w:val="auto"/>
        </w:rPr>
      </w:pPr>
      <w:r>
        <w:rPr>
          <w:rFonts w:ascii="Arial" w:cs="Arial" w:eastAsia="Arial" w:hAnsi="Arial"/>
          <w:sz w:val="13"/>
          <w:szCs w:val="13"/>
          <w:color w:val="auto"/>
        </w:rPr>
        <w:t>We operate as one business segment. Our Chief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Which May Influence Future Results of Operations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We believe that our future net revenues will be influenced by a number of factors including:</w:t>
      </w:r>
    </w:p>
    <w:p>
      <w:pPr>
        <w:spacing w:after="0" w:line="136" w:lineRule="exact"/>
        <w:rPr>
          <w:sz w:val="20"/>
          <w:szCs w:val="20"/>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economic environment and related market conditions;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increased competition from other fleet and vehicle telematics solutions, as well as suppliers of emerging devices that contain wireless data access or device management features;</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acceptance of our products by new vertical markets;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growth in the aviation ground vertical;</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rate of change to new products;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deployment of 5G infrastructure equipment;</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adoption of 5G end point products;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competition in the area of 5G technology;</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product pricing; and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9" w:name="page40"/>
    <w:bookmarkEnd w:id="39"/>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technologies.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revenues are also significantly dependent upon the availability of materials and components used in our hardware products.</w:t>
      </w:r>
    </w:p>
    <w:p>
      <w:pPr>
        <w:spacing w:after="0" w:line="136" w:lineRule="exact"/>
        <w:rPr>
          <w:sz w:val="20"/>
          <w:szCs w:val="20"/>
          <w:color w:val="auto"/>
        </w:rPr>
      </w:pPr>
    </w:p>
    <w:p>
      <w:pPr>
        <w:ind w:right="200" w:firstLine="318"/>
        <w:spacing w:after="0" w:line="251" w:lineRule="auto"/>
        <w:rPr>
          <w:sz w:val="20"/>
          <w:szCs w:val="20"/>
          <w:color w:val="auto"/>
        </w:rPr>
      </w:pPr>
      <w:r>
        <w:rPr>
          <w:rFonts w:ascii="Arial" w:cs="Arial" w:eastAsia="Arial" w:hAnsi="Arial"/>
          <w:sz w:val="14"/>
          <w:szCs w:val="14"/>
          <w:color w:val="auto"/>
        </w:rPr>
        <w:t>A number of the products that we invested in and launched in 2021 and 2022 will continue to drive revenue in 2023 as the 5G markets grow. We will supplement our portfolio with strategic additions of both hardware and SaaS offerings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0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i w:val="1"/>
          <w:iCs w:val="1"/>
          <w:color w:val="auto"/>
        </w:rPr>
        <w:t xml:space="preserve">Cost of Net Revenues. </w:t>
      </w:r>
      <w:r>
        <w:rPr>
          <w:rFonts w:ascii="Arial" w:cs="Arial" w:eastAsia="Arial" w:hAnsi="Arial"/>
          <w:sz w:val="14"/>
          <w:szCs w:val="14"/>
          <w:color w:val="auto"/>
        </w:rPr>
        <w:t>Cost of net revenues includes all costs associated with our contract manufacturers, distribution, fulfillment and repair services, delivery of SaaS services, warranty costs,</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Operating Costs and Expenses. </w:t>
      </w:r>
      <w:r>
        <w:rPr>
          <w:rFonts w:ascii="Arial" w:cs="Arial" w:eastAsia="Arial" w:hAnsi="Arial"/>
          <w:sz w:val="14"/>
          <w:szCs w:val="14"/>
          <w:color w:val="auto"/>
        </w:rPr>
        <w:t>Our operating costs consist of three primary categories: research and development, sales and marketing and general and administrative costs.</w:t>
      </w:r>
    </w:p>
    <w:p>
      <w:pPr>
        <w:spacing w:after="0" w:line="136" w:lineRule="exact"/>
        <w:rPr>
          <w:sz w:val="20"/>
          <w:szCs w:val="20"/>
          <w:color w:val="auto"/>
        </w:rPr>
      </w:pPr>
    </w:p>
    <w:p>
      <w:pPr>
        <w:ind w:right="320" w:firstLine="318"/>
        <w:spacing w:after="0" w:line="265" w:lineRule="auto"/>
        <w:rPr>
          <w:sz w:val="20"/>
          <w:szCs w:val="20"/>
          <w:color w:val="auto"/>
        </w:rPr>
      </w:pPr>
      <w:r>
        <w:rPr>
          <w:rFonts w:ascii="Arial" w:cs="Arial" w:eastAsia="Arial" w:hAnsi="Arial"/>
          <w:sz w:val="14"/>
          <w:szCs w:val="14"/>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90" w:lineRule="exact"/>
        <w:rPr>
          <w:sz w:val="20"/>
          <w:szCs w:val="20"/>
          <w:color w:val="auto"/>
        </w:rPr>
      </w:pPr>
    </w:p>
    <w:p>
      <w:pPr>
        <w:ind w:right="40" w:firstLine="318"/>
        <w:spacing w:after="0" w:line="259" w:lineRule="auto"/>
        <w:rPr>
          <w:sz w:val="20"/>
          <w:szCs w:val="20"/>
          <w:color w:val="auto"/>
        </w:rPr>
      </w:pPr>
      <w:r>
        <w:rPr>
          <w:rFonts w:ascii="Arial" w:cs="Arial" w:eastAsia="Arial" w:hAnsi="Arial"/>
          <w:sz w:val="14"/>
          <w:szCs w:val="14"/>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4"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General and administrative expenses include primarily corporate functions such as accounting, human resources, legal, administrative support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12" w:lineRule="exact"/>
        <w:rPr>
          <w:sz w:val="20"/>
          <w:szCs w:val="20"/>
          <w:color w:val="auto"/>
        </w:rPr>
      </w:pPr>
    </w:p>
    <w:p>
      <w:pPr>
        <w:ind w:firstLine="318"/>
        <w:spacing w:after="0" w:line="269" w:lineRule="auto"/>
        <w:rPr>
          <w:sz w:val="20"/>
          <w:szCs w:val="20"/>
          <w:color w:val="auto"/>
        </w:rPr>
      </w:pPr>
      <w:r>
        <w:rPr>
          <w:rFonts w:ascii="Arial" w:cs="Arial" w:eastAsia="Arial" w:hAnsi="Arial"/>
          <w:sz w:val="13"/>
          <w:szCs w:val="13"/>
          <w:i w:val="1"/>
          <w:iCs w:val="1"/>
          <w:color w:val="auto"/>
        </w:rPr>
        <w:t xml:space="preserve">Operating Results. </w:t>
      </w:r>
      <w:r>
        <w:rPr>
          <w:rFonts w:ascii="Arial" w:cs="Arial" w:eastAsia="Arial" w:hAnsi="Arial"/>
          <w:sz w:val="13"/>
          <w:szCs w:val="13"/>
          <w:color w:val="auto"/>
        </w:rPr>
        <w:t>Our results are affected by numerous macroeconomic factors including inflation, consumer spending confidence and global supply chains. The existence of inflation in the</w:t>
      </w:r>
      <w:r>
        <w:rPr>
          <w:rFonts w:ascii="Arial" w:cs="Arial" w:eastAsia="Arial" w:hAnsi="Arial"/>
          <w:sz w:val="13"/>
          <w:szCs w:val="13"/>
          <w:i w:val="1"/>
          <w:iCs w:val="1"/>
          <w:color w:val="auto"/>
        </w:rPr>
        <w:t xml:space="preserve"> </w:t>
      </w:r>
      <w:r>
        <w:rPr>
          <w:rFonts w:ascii="Arial" w:cs="Arial" w:eastAsia="Arial" w:hAnsi="Arial"/>
          <w:sz w:val="13"/>
          <w:szCs w:val="13"/>
          <w:color w:val="auto"/>
        </w:rPr>
        <w:t>U.S. and global economy has resulted in, and may continue to result in, higher interest rates and capital costs, increased costs of labor, fluctuating exchange rates and other similar effects. If the inflation rate continues to increase, it could affect our expenses, especially employee compensation expense. Inflation and related increases in interest rates could also increase our customers' operating costs, which could result in reduced operating budgets. To the extent our products are perceived by customers and potential customers as discretionary, our revenue may be disproportionately affected by delays or reductions in general information technology spending. Such delays or reductions in technology spending are often associated with enhanced budget scrutiny by our customers including additional levels of approvals, cloud optimization efforts and additional time to evaluate and test our products, which can lead to long and unpredictable sales cycles. Such increases have, and may continue to have, a negative impact on the Company’s revenue and profit margins, if the selling prices of products do not increase with the increased costs.</w:t>
      </w:r>
    </w:p>
    <w:p>
      <w:pPr>
        <w:spacing w:after="0" w:line="90"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i w:val="1"/>
          <w:iCs w:val="1"/>
          <w:color w:val="auto"/>
        </w:rPr>
        <w:t xml:space="preserve">Business Strategy. </w:t>
      </w:r>
      <w:r>
        <w:rPr>
          <w:rFonts w:ascii="Arial" w:cs="Arial" w:eastAsia="Arial" w:hAnsi="Arial"/>
          <w:sz w:val="14"/>
          <w:szCs w:val="14"/>
          <w:color w:val="auto"/>
        </w:rPr>
        <w:t>As part of our business strategy, we may review acquisition or divestiture opportunities that we believe would be advantageous or complementary to the development of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1"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 following table sets forth our consolidated statements of operations in dollars (in thousands) and expressed as a percentage of net revenues, derived from the accompanying consolidated financial statements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37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2020</w:t>
            </w:r>
          </w:p>
        </w:tc>
        <w:tc>
          <w:tcPr>
            <w:tcW w:w="780" w:type="dxa"/>
            <w:vAlign w:val="bottom"/>
            <w:tcBorders>
              <w:bottom w:val="single" w:sz="8" w:color="auto"/>
            </w:tcBorders>
          </w:tcPr>
          <w:p>
            <w:pPr>
              <w:spacing w:after="0"/>
              <w:rPr>
                <w:sz w:val="13"/>
                <w:szCs w:val="13"/>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218,401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217,984</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261,169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83.2 %</w:t>
            </w:r>
          </w:p>
        </w:tc>
      </w:tr>
      <w:tr>
        <w:trPr>
          <w:trHeight w:val="168"/>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Enterprise SaaS Solutions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26,922</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11.0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44,415</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52,663</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16.8</w:t>
            </w:r>
          </w:p>
        </w:tc>
      </w:tr>
      <w:tr>
        <w:trPr>
          <w:trHeight w:val="163"/>
        </w:trPr>
        <w:tc>
          <w:tcPr>
            <w:tcW w:w="37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net revenues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245,323</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262,399</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313,832</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w:t>
            </w:r>
          </w:p>
        </w:tc>
      </w:tr>
      <w:tr>
        <w:trPr>
          <w:trHeight w:val="168"/>
        </w:trPr>
        <w:tc>
          <w:tcPr>
            <w:tcW w:w="3780" w:type="dxa"/>
            <w:vAlign w:val="bottom"/>
          </w:tcPr>
          <w:p>
            <w:pPr>
              <w:ind w:left="20"/>
              <w:spacing w:after="0"/>
              <w:rPr>
                <w:sz w:val="20"/>
                <w:szCs w:val="20"/>
                <w:color w:val="auto"/>
              </w:rPr>
            </w:pPr>
            <w:r>
              <w:rPr>
                <w:rFonts w:ascii="Arial" w:cs="Arial" w:eastAsia="Arial" w:hAnsi="Arial"/>
                <w:sz w:val="13"/>
                <w:szCs w:val="13"/>
                <w:color w:val="auto"/>
              </w:rPr>
              <w:t>Cost of net revenues: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166,033</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168,604</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202,421</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64.5</w:t>
            </w:r>
          </w:p>
        </w:tc>
      </w:tr>
      <w:tr>
        <w:trPr>
          <w:trHeight w:val="168"/>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Enterprise SaaS Solutions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12,381</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17,870</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20,568</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6.6</w:t>
            </w:r>
          </w:p>
        </w:tc>
      </w:tr>
      <w:tr>
        <w:trPr>
          <w:trHeight w:val="163"/>
        </w:trPr>
        <w:tc>
          <w:tcPr>
            <w:tcW w:w="37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cost of net revenues</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178,414</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72.7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186,474</w:t>
            </w: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71.1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222,989</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71.1</w:t>
            </w:r>
          </w:p>
        </w:tc>
      </w:tr>
      <w:tr>
        <w:trPr>
          <w:trHeight w:val="158"/>
        </w:trPr>
        <w:tc>
          <w:tcPr>
            <w:tcW w:w="378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Gross profit</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66,909</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75,925</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28.9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90,843</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28.9</w:t>
            </w:r>
          </w:p>
        </w:tc>
      </w:tr>
      <w:tr>
        <w:trPr>
          <w:trHeight w:val="152"/>
        </w:trPr>
        <w:tc>
          <w:tcPr>
            <w:tcW w:w="3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costs and expenses:</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8"/>
        </w:trPr>
        <w:tc>
          <w:tcPr>
            <w:tcW w:w="378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400" w:type="dxa"/>
            <w:vAlign w:val="bottom"/>
          </w:tcPr>
          <w:p>
            <w:pPr>
              <w:spacing w:after="0"/>
              <w:rPr>
                <w:sz w:val="14"/>
                <w:szCs w:val="14"/>
                <w:color w:val="auto"/>
              </w:rPr>
            </w:pPr>
          </w:p>
        </w:tc>
        <w:tc>
          <w:tcPr>
            <w:tcW w:w="1260" w:type="dxa"/>
            <w:vAlign w:val="bottom"/>
          </w:tcPr>
          <w:p>
            <w:pPr>
              <w:jc w:val="right"/>
              <w:ind w:right="477"/>
              <w:spacing w:after="0"/>
              <w:rPr>
                <w:sz w:val="20"/>
                <w:szCs w:val="20"/>
                <w:color w:val="auto"/>
              </w:rPr>
            </w:pPr>
            <w:r>
              <w:rPr>
                <w:rFonts w:ascii="Arial" w:cs="Arial" w:eastAsia="Arial" w:hAnsi="Arial"/>
                <w:sz w:val="13"/>
                <w:szCs w:val="13"/>
                <w:color w:val="auto"/>
              </w:rPr>
              <w:t>59,237</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737"/>
              <w:spacing w:after="0"/>
              <w:rPr>
                <w:sz w:val="20"/>
                <w:szCs w:val="20"/>
                <w:color w:val="auto"/>
              </w:rPr>
            </w:pPr>
            <w:r>
              <w:rPr>
                <w:rFonts w:ascii="Arial" w:cs="Arial" w:eastAsia="Arial" w:hAnsi="Arial"/>
                <w:sz w:val="13"/>
                <w:szCs w:val="13"/>
                <w:color w:val="auto"/>
              </w:rPr>
              <w:t>52,673</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3"/>
                <w:szCs w:val="13"/>
                <w:color w:val="auto"/>
              </w:rPr>
              <w:t>44,953</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14.3</w:t>
            </w: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marketing</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33,488</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38,234</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35,750</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11.4</w:t>
            </w:r>
          </w:p>
        </w:tc>
      </w:tr>
      <w:tr>
        <w:trPr>
          <w:trHeight w:val="168"/>
        </w:trPr>
        <w:tc>
          <w:tcPr>
            <w:tcW w:w="378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400" w:type="dxa"/>
            <w:vAlign w:val="bottom"/>
          </w:tcPr>
          <w:p>
            <w:pPr>
              <w:spacing w:after="0"/>
              <w:rPr>
                <w:sz w:val="14"/>
                <w:szCs w:val="14"/>
                <w:color w:val="auto"/>
              </w:rPr>
            </w:pPr>
          </w:p>
        </w:tc>
        <w:tc>
          <w:tcPr>
            <w:tcW w:w="1260" w:type="dxa"/>
            <w:vAlign w:val="bottom"/>
          </w:tcPr>
          <w:p>
            <w:pPr>
              <w:jc w:val="right"/>
              <w:ind w:right="477"/>
              <w:spacing w:after="0"/>
              <w:rPr>
                <w:sz w:val="20"/>
                <w:szCs w:val="20"/>
                <w:color w:val="auto"/>
              </w:rPr>
            </w:pPr>
            <w:r>
              <w:rPr>
                <w:rFonts w:ascii="Arial" w:cs="Arial" w:eastAsia="Arial" w:hAnsi="Arial"/>
                <w:sz w:val="13"/>
                <w:szCs w:val="13"/>
                <w:color w:val="auto"/>
              </w:rPr>
              <w:t>27,339</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737"/>
              <w:spacing w:after="0"/>
              <w:rPr>
                <w:sz w:val="20"/>
                <w:szCs w:val="20"/>
                <w:color w:val="auto"/>
              </w:rPr>
            </w:pPr>
            <w:r>
              <w:rPr>
                <w:rFonts w:ascii="Arial" w:cs="Arial" w:eastAsia="Arial" w:hAnsi="Arial"/>
                <w:sz w:val="13"/>
                <w:szCs w:val="13"/>
                <w:color w:val="auto"/>
              </w:rPr>
              <w:t>28,250</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3"/>
                <w:szCs w:val="13"/>
                <w:color w:val="auto"/>
              </w:rPr>
              <w:t>30,689</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9.8</w:t>
            </w: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purchased intangible assets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1,749</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rPr>
              <w:t>2,092</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3,175</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w:t>
            </w:r>
          </w:p>
        </w:tc>
      </w:tr>
      <w:tr>
        <w:trPr>
          <w:trHeight w:val="168"/>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Impairment of capitalized software</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3,014</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1,197</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1,410</w:t>
            </w: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0.4</w:t>
            </w:r>
          </w:p>
        </w:tc>
      </w:tr>
      <w:tr>
        <w:trPr>
          <w:trHeight w:val="163"/>
        </w:trPr>
        <w:tc>
          <w:tcPr>
            <w:tcW w:w="37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operating costs and expenses</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124,827</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122,446</w:t>
            </w: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115,977</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37.0</w:t>
            </w:r>
          </w:p>
        </w:tc>
      </w:tr>
      <w:tr>
        <w:trPr>
          <w:trHeight w:val="158"/>
        </w:trPr>
        <w:tc>
          <w:tcPr>
            <w:tcW w:w="3780" w:type="dxa"/>
            <w:vAlign w:val="bottom"/>
          </w:tcPr>
          <w:p>
            <w:pPr>
              <w:ind w:left="20"/>
              <w:spacing w:after="0" w:line="146" w:lineRule="exact"/>
              <w:rPr>
                <w:sz w:val="20"/>
                <w:szCs w:val="20"/>
                <w:color w:val="auto"/>
              </w:rPr>
            </w:pPr>
            <w:r>
              <w:rPr>
                <w:rFonts w:ascii="Arial" w:cs="Arial" w:eastAsia="Arial" w:hAnsi="Arial"/>
                <w:sz w:val="13"/>
                <w:szCs w:val="13"/>
                <w:color w:val="auto"/>
              </w:rPr>
              <w:t>Operating loss</w:t>
            </w:r>
          </w:p>
        </w:tc>
        <w:tc>
          <w:tcPr>
            <w:tcW w:w="400" w:type="dxa"/>
            <w:vAlign w:val="bottom"/>
          </w:tcPr>
          <w:p>
            <w:pPr>
              <w:spacing w:after="0"/>
              <w:rPr>
                <w:sz w:val="13"/>
                <w:szCs w:val="13"/>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color w:val="auto"/>
              </w:rPr>
              <w:t>(57,918)</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717"/>
              <w:spacing w:after="0"/>
              <w:rPr>
                <w:sz w:val="20"/>
                <w:szCs w:val="20"/>
                <w:color w:val="auto"/>
              </w:rPr>
            </w:pPr>
            <w:r>
              <w:rPr>
                <w:rFonts w:ascii="Arial" w:cs="Arial" w:eastAsia="Arial" w:hAnsi="Arial"/>
                <w:sz w:val="13"/>
                <w:szCs w:val="13"/>
                <w:color w:val="auto"/>
              </w:rPr>
              <w:t>(46,521)</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Arial" w:cs="Arial" w:eastAsia="Arial" w:hAnsi="Arial"/>
                <w:sz w:val="13"/>
                <w:szCs w:val="13"/>
                <w:color w:val="auto"/>
              </w:rPr>
              <w:t>(25,134)</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(8.0)</w:t>
            </w:r>
          </w:p>
        </w:tc>
      </w:tr>
      <w:tr>
        <w:trPr>
          <w:trHeight w:val="17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8"/>
        </w:trPr>
        <w:tc>
          <w:tcPr>
            <w:tcW w:w="3780" w:type="dxa"/>
            <w:vAlign w:val="bottom"/>
          </w:tcPr>
          <w:p>
            <w:pPr>
              <w:ind w:left="180"/>
              <w:spacing w:after="0"/>
              <w:rPr>
                <w:sz w:val="20"/>
                <w:szCs w:val="20"/>
                <w:color w:val="auto"/>
              </w:rPr>
            </w:pPr>
            <w:r>
              <w:rPr>
                <w:rFonts w:ascii="Arial" w:cs="Arial" w:eastAsia="Arial" w:hAnsi="Arial"/>
                <w:sz w:val="13"/>
                <w:szCs w:val="13"/>
                <w:color w:val="auto"/>
              </w:rPr>
              <w:t>Gain on sale of Ctrack South Africa</w:t>
            </w:r>
          </w:p>
        </w:tc>
        <w:tc>
          <w:tcPr>
            <w:tcW w:w="400" w:type="dxa"/>
            <w:vAlign w:val="bottom"/>
          </w:tcPr>
          <w:p>
            <w:pPr>
              <w:spacing w:after="0"/>
              <w:rPr>
                <w:sz w:val="14"/>
                <w:szCs w:val="14"/>
                <w:color w:val="auto"/>
              </w:rPr>
            </w:pPr>
          </w:p>
        </w:tc>
        <w:tc>
          <w:tcPr>
            <w:tcW w:w="126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0" w:type="dxa"/>
            <w:vAlign w:val="bottom"/>
          </w:tcPr>
          <w:p>
            <w:pPr>
              <w:jc w:val="right"/>
              <w:ind w:right="737"/>
              <w:spacing w:after="0"/>
              <w:rPr>
                <w:sz w:val="20"/>
                <w:szCs w:val="20"/>
                <w:color w:val="auto"/>
              </w:rPr>
            </w:pPr>
            <w:r>
              <w:rPr>
                <w:rFonts w:ascii="Arial" w:cs="Arial" w:eastAsia="Arial" w:hAnsi="Arial"/>
                <w:sz w:val="13"/>
                <w:szCs w:val="13"/>
                <w:color w:val="auto"/>
              </w:rPr>
              <w:t>5,262</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debt conversion and extinguishment, net</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(450)</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(432)</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(76,354)</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(24.3)</w:t>
            </w:r>
          </w:p>
        </w:tc>
      </w:tr>
      <w:tr>
        <w:trPr>
          <w:trHeight w:val="168"/>
        </w:trPr>
        <w:tc>
          <w:tcPr>
            <w:tcW w:w="378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400" w:type="dxa"/>
            <w:vAlign w:val="bottom"/>
          </w:tcPr>
          <w:p>
            <w:pPr>
              <w:spacing w:after="0"/>
              <w:rPr>
                <w:sz w:val="14"/>
                <w:szCs w:val="14"/>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color w:val="auto"/>
              </w:rPr>
              <w:t>(8,606)</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717"/>
              <w:spacing w:after="0"/>
              <w:rPr>
                <w:sz w:val="20"/>
                <w:szCs w:val="20"/>
                <w:color w:val="auto"/>
              </w:rPr>
            </w:pPr>
            <w:r>
              <w:rPr>
                <w:rFonts w:ascii="Arial" w:cs="Arial" w:eastAsia="Arial" w:hAnsi="Arial"/>
                <w:sz w:val="13"/>
                <w:szCs w:val="13"/>
                <w:color w:val="auto"/>
              </w:rPr>
              <w:t>(6,874)</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Arial" w:cs="Arial" w:eastAsia="Arial" w:hAnsi="Arial"/>
                <w:sz w:val="13"/>
                <w:szCs w:val="13"/>
                <w:color w:val="auto"/>
              </w:rPr>
              <w:t>(9,942)</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(3.5)</w:t>
            </w:r>
          </w:p>
        </w:tc>
      </w:tr>
      <w:tr>
        <w:trPr>
          <w:trHeight w:val="172"/>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(expense) income, net</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rPr>
              <w:t>(1,460)</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845</w:t>
            </w: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992</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0.3</w:t>
            </w:r>
          </w:p>
        </w:tc>
      </w:tr>
      <w:tr>
        <w:trPr>
          <w:trHeight w:val="158"/>
        </w:trPr>
        <w:tc>
          <w:tcPr>
            <w:tcW w:w="3780" w:type="dxa"/>
            <w:vAlign w:val="bottom"/>
          </w:tcPr>
          <w:p>
            <w:pPr>
              <w:ind w:left="20"/>
              <w:spacing w:after="0" w:line="146" w:lineRule="exact"/>
              <w:rPr>
                <w:sz w:val="20"/>
                <w:szCs w:val="20"/>
                <w:color w:val="auto"/>
              </w:rPr>
            </w:pPr>
            <w:r>
              <w:rPr>
                <w:rFonts w:ascii="Arial" w:cs="Arial" w:eastAsia="Arial" w:hAnsi="Arial"/>
                <w:sz w:val="13"/>
                <w:szCs w:val="13"/>
                <w:color w:val="auto"/>
              </w:rPr>
              <w:t>Loss before income taxes</w:t>
            </w:r>
          </w:p>
        </w:tc>
        <w:tc>
          <w:tcPr>
            <w:tcW w:w="400" w:type="dxa"/>
            <w:vAlign w:val="bottom"/>
          </w:tcPr>
          <w:p>
            <w:pPr>
              <w:spacing w:after="0"/>
              <w:rPr>
                <w:sz w:val="13"/>
                <w:szCs w:val="13"/>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color w:val="auto"/>
              </w:rPr>
              <w:t>(68,434)</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717"/>
              <w:spacing w:after="0"/>
              <w:rPr>
                <w:sz w:val="20"/>
                <w:szCs w:val="20"/>
                <w:color w:val="auto"/>
              </w:rPr>
            </w:pPr>
            <w:r>
              <w:rPr>
                <w:rFonts w:ascii="Arial" w:cs="Arial" w:eastAsia="Arial" w:hAnsi="Arial"/>
                <w:sz w:val="13"/>
                <w:szCs w:val="13"/>
                <w:color w:val="auto"/>
              </w:rPr>
              <w:t>(47,720)</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Arial" w:cs="Arial" w:eastAsia="Arial" w:hAnsi="Arial"/>
                <w:sz w:val="13"/>
                <w:szCs w:val="13"/>
                <w:color w:val="auto"/>
              </w:rPr>
              <w:t>(110,438)</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(35.2)</w:t>
            </w:r>
          </w:p>
        </w:tc>
      </w:tr>
      <w:tr>
        <w:trPr>
          <w:trHeight w:val="17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rPr>
              <w:t>(465)</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rPr>
              <w:t>191</w:t>
            </w: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748</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0.2</w:t>
            </w:r>
          </w:p>
        </w:tc>
      </w:tr>
      <w:tr>
        <w:trPr>
          <w:trHeight w:val="158"/>
        </w:trPr>
        <w:tc>
          <w:tcPr>
            <w:tcW w:w="3780" w:type="dxa"/>
            <w:vAlign w:val="bottom"/>
          </w:tcPr>
          <w:p>
            <w:pPr>
              <w:ind w:left="20"/>
              <w:spacing w:after="0" w:line="146" w:lineRule="exact"/>
              <w:rPr>
                <w:sz w:val="20"/>
                <w:szCs w:val="20"/>
                <w:color w:val="auto"/>
              </w:rPr>
            </w:pPr>
            <w:r>
              <w:rPr>
                <w:rFonts w:ascii="Arial" w:cs="Arial" w:eastAsia="Arial" w:hAnsi="Arial"/>
                <w:sz w:val="13"/>
                <w:szCs w:val="13"/>
                <w:color w:val="auto"/>
              </w:rPr>
              <w:t>Net loss</w:t>
            </w:r>
          </w:p>
        </w:tc>
        <w:tc>
          <w:tcPr>
            <w:tcW w:w="400" w:type="dxa"/>
            <w:vAlign w:val="bottom"/>
          </w:tcPr>
          <w:p>
            <w:pPr>
              <w:spacing w:after="0"/>
              <w:rPr>
                <w:sz w:val="13"/>
                <w:szCs w:val="13"/>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color w:val="auto"/>
              </w:rPr>
              <w:t>(67,969)</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717"/>
              <w:spacing w:after="0"/>
              <w:rPr>
                <w:sz w:val="20"/>
                <w:szCs w:val="20"/>
                <w:color w:val="auto"/>
              </w:rPr>
            </w:pPr>
            <w:r>
              <w:rPr>
                <w:rFonts w:ascii="Arial" w:cs="Arial" w:eastAsia="Arial" w:hAnsi="Arial"/>
                <w:sz w:val="13"/>
                <w:szCs w:val="13"/>
                <w:color w:val="auto"/>
              </w:rPr>
              <w:t>(47,911)</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Arial" w:cs="Arial" w:eastAsia="Arial" w:hAnsi="Arial"/>
                <w:sz w:val="13"/>
                <w:szCs w:val="13"/>
                <w:color w:val="auto"/>
              </w:rPr>
              <w:t>(111,186)</w:t>
            </w: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(35.4)</w:t>
            </w:r>
          </w:p>
        </w:tc>
      </w:tr>
      <w:tr>
        <w:trPr>
          <w:trHeight w:val="17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attributable to noncontrolling interests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717"/>
              <w:spacing w:after="0"/>
              <w:rPr>
                <w:sz w:val="20"/>
                <w:szCs w:val="20"/>
                <w:color w:val="auto"/>
              </w:rPr>
            </w:pPr>
            <w:r>
              <w:rPr>
                <w:rFonts w:ascii="Arial" w:cs="Arial" w:eastAsia="Arial" w:hAnsi="Arial"/>
                <w:sz w:val="13"/>
                <w:szCs w:val="13"/>
                <w:color w:val="auto"/>
              </w:rPr>
              <w:t>(214)</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(29)</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0.0</w:t>
            </w:r>
          </w:p>
        </w:tc>
      </w:tr>
      <w:tr>
        <w:trPr>
          <w:trHeight w:val="158"/>
        </w:trPr>
        <w:tc>
          <w:tcPr>
            <w:tcW w:w="3780" w:type="dxa"/>
            <w:vAlign w:val="bottom"/>
          </w:tcPr>
          <w:p>
            <w:pPr>
              <w:ind w:left="20"/>
              <w:spacing w:after="0" w:line="146" w:lineRule="exact"/>
              <w:rPr>
                <w:sz w:val="20"/>
                <w:szCs w:val="20"/>
                <w:color w:val="auto"/>
              </w:rPr>
            </w:pPr>
            <w:r>
              <w:rPr>
                <w:rFonts w:ascii="Arial" w:cs="Arial" w:eastAsia="Arial" w:hAnsi="Arial"/>
                <w:sz w:val="13"/>
                <w:szCs w:val="13"/>
                <w:color w:val="auto"/>
              </w:rPr>
              <w:t>Net loss attributable to Inseego Corp.</w:t>
            </w:r>
          </w:p>
        </w:tc>
        <w:tc>
          <w:tcPr>
            <w:tcW w:w="4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color w:val="auto"/>
              </w:rPr>
              <w:t>(67,969)</w:t>
            </w: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717"/>
              <w:spacing w:after="0"/>
              <w:rPr>
                <w:sz w:val="20"/>
                <w:szCs w:val="20"/>
                <w:color w:val="auto"/>
              </w:rPr>
            </w:pPr>
            <w:r>
              <w:rPr>
                <w:rFonts w:ascii="Arial" w:cs="Arial" w:eastAsia="Arial" w:hAnsi="Arial"/>
                <w:sz w:val="13"/>
                <w:szCs w:val="13"/>
                <w:color w:val="auto"/>
              </w:rPr>
              <w:t>(48,125)</w:t>
            </w:r>
          </w:p>
        </w:tc>
        <w:tc>
          <w:tcPr>
            <w:tcW w:w="5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37"/>
              <w:spacing w:after="0"/>
              <w:rPr>
                <w:sz w:val="20"/>
                <w:szCs w:val="20"/>
                <w:color w:val="auto"/>
              </w:rPr>
            </w:pPr>
            <w:r>
              <w:rPr>
                <w:rFonts w:ascii="Arial" w:cs="Arial" w:eastAsia="Arial" w:hAnsi="Arial"/>
                <w:sz w:val="13"/>
                <w:szCs w:val="13"/>
                <w:color w:val="auto"/>
              </w:rPr>
              <w:t>(111,215)</w:t>
            </w: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(35.4)</w:t>
            </w:r>
          </w:p>
        </w:tc>
      </w:tr>
      <w:tr>
        <w:trPr>
          <w:trHeight w:val="172"/>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Series E preferred stock dividends</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rPr>
              <w:t>(2,736)</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(4,243)</w:t>
            </w: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rPr>
              <w:t>(2,904)</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(90.0)</w:t>
            </w:r>
          </w:p>
        </w:tc>
      </w:tr>
      <w:tr>
        <w:trPr>
          <w:trHeight w:val="158"/>
        </w:trPr>
        <w:tc>
          <w:tcPr>
            <w:tcW w:w="3780" w:type="dxa"/>
            <w:vAlign w:val="bottom"/>
          </w:tcPr>
          <w:p>
            <w:pPr>
              <w:ind w:left="20"/>
              <w:spacing w:after="0"/>
              <w:rPr>
                <w:sz w:val="20"/>
                <w:szCs w:val="20"/>
                <w:color w:val="auto"/>
              </w:rPr>
            </w:pPr>
            <w:r>
              <w:rPr>
                <w:rFonts w:ascii="Arial" w:cs="Arial" w:eastAsia="Arial" w:hAnsi="Arial"/>
                <w:sz w:val="13"/>
                <w:szCs w:val="13"/>
                <w:color w:val="auto"/>
              </w:rPr>
              <w:t>Net loss attributable to common stockholders</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(70,705)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(52,368)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(114,119)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r>
      <w:tr>
        <w:trPr>
          <w:trHeight w:val="20"/>
        </w:trPr>
        <w:tc>
          <w:tcPr>
            <w:tcW w:w="3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Year Ended December 31, 2022 Compared to Year Ended December 31, 2021</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Net revenues</w:t>
      </w:r>
      <w:r>
        <w:rPr>
          <w:rFonts w:ascii="Arial" w:cs="Arial" w:eastAsia="Arial" w:hAnsi="Arial"/>
          <w:sz w:val="14"/>
          <w:szCs w:val="14"/>
          <w:color w:val="auto"/>
        </w:rPr>
        <w:t>. Net revenues for the year ended December 31, 2022 were $245.3 million, a decrease of $17.1 million, or 6.5%, compared to the same period in 2021.</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net revenues by our two product categories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ind w:left="260"/>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Pr>
          <w:p>
            <w:pPr>
              <w:spacing w:after="0"/>
              <w:rPr>
                <w:sz w:val="13"/>
                <w:szCs w:val="13"/>
                <w:color w:val="auto"/>
              </w:rPr>
            </w:pPr>
          </w:p>
        </w:tc>
        <w:tc>
          <w:tcPr>
            <w:tcW w:w="900" w:type="dxa"/>
            <w:vAlign w:val="bottom"/>
            <w:gridSpan w:val="3"/>
          </w:tcPr>
          <w:p>
            <w:pPr>
              <w:ind w:left="38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3"/>
                <w:szCs w:val="13"/>
                <w:color w:val="auto"/>
              </w:rPr>
            </w:pPr>
          </w:p>
        </w:tc>
      </w:tr>
      <w:tr>
        <w:trPr>
          <w:trHeight w:val="157"/>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Product Category</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r>
      <w:tr>
        <w:trPr>
          <w:trHeight w:val="163"/>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217,984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r>
      <w:tr>
        <w:trPr>
          <w:trHeight w:val="168"/>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Enterprise SaaS Solutions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44,415</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(17,493)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(39.4)</w:t>
            </w:r>
          </w:p>
        </w:tc>
      </w:tr>
      <w:tr>
        <w:trPr>
          <w:trHeight w:val="18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245,323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262,399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(17,076)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(6.5)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ind w:left="200" w:firstLine="318"/>
        <w:spacing w:after="0" w:line="251" w:lineRule="auto"/>
        <w:rPr>
          <w:sz w:val="20"/>
          <w:szCs w:val="20"/>
          <w:color w:val="auto"/>
        </w:rPr>
      </w:pPr>
      <w:r>
        <w:rPr>
          <w:rFonts w:ascii="Arial" w:cs="Arial" w:eastAsia="Arial" w:hAnsi="Arial"/>
          <w:sz w:val="14"/>
          <w:szCs w:val="14"/>
          <w:i w:val="1"/>
          <w:iCs w:val="1"/>
          <w:color w:val="auto"/>
        </w:rPr>
        <w:t xml:space="preserve">IoT &amp; Mobile Solutions. </w:t>
      </w:r>
      <w:r>
        <w:rPr>
          <w:rFonts w:ascii="Arial" w:cs="Arial" w:eastAsia="Arial" w:hAnsi="Arial"/>
          <w:sz w:val="14"/>
          <w:szCs w:val="14"/>
          <w:color w:val="auto"/>
        </w:rPr>
        <w:t>The $0.4 million increase in IoT &amp; Mobile Solutions net revenues is primarily due to decreases in our carrier offerings and lower sales of LTE gigabit hotspots as the</w:t>
      </w:r>
      <w:r>
        <w:rPr>
          <w:rFonts w:ascii="Arial" w:cs="Arial" w:eastAsia="Arial" w:hAnsi="Arial"/>
          <w:sz w:val="14"/>
          <w:szCs w:val="14"/>
          <w:i w:val="1"/>
          <w:iCs w:val="1"/>
          <w:color w:val="auto"/>
        </w:rPr>
        <w:t xml:space="preserve"> </w:t>
      </w:r>
      <w:r>
        <w:rPr>
          <w:rFonts w:ascii="Arial" w:cs="Arial" w:eastAsia="Arial" w:hAnsi="Arial"/>
          <w:sz w:val="14"/>
          <w:szCs w:val="14"/>
          <w:color w:val="auto"/>
        </w:rPr>
        <w:t>COVID-19 pandemic demand eased. Sales of our second-generation and fourth generation (launched in later part of 2022) 5G hotspot related to our MiFi business also increased as well as revenues in our Enterprise and Inseego Subscribe businesses due to subscriber growth.</w:t>
      </w:r>
    </w:p>
    <w:p>
      <w:pPr>
        <w:spacing w:after="0" w:line="110" w:lineRule="exact"/>
        <w:rPr>
          <w:sz w:val="20"/>
          <w:szCs w:val="20"/>
          <w:color w:val="auto"/>
        </w:rPr>
      </w:pPr>
    </w:p>
    <w:p>
      <w:pPr>
        <w:ind w:left="200" w:right="20" w:firstLine="318"/>
        <w:spacing w:after="0" w:line="251" w:lineRule="auto"/>
        <w:rPr>
          <w:sz w:val="20"/>
          <w:szCs w:val="20"/>
          <w:color w:val="auto"/>
        </w:rPr>
      </w:pPr>
      <w:r>
        <w:rPr>
          <w:rFonts w:ascii="Arial" w:cs="Arial" w:eastAsia="Arial" w:hAnsi="Arial"/>
          <w:sz w:val="14"/>
          <w:szCs w:val="14"/>
          <w:i w:val="1"/>
          <w:iCs w:val="1"/>
          <w:color w:val="auto"/>
        </w:rPr>
        <w:t xml:space="preserve">Enterprise SaaS Solutions. </w:t>
      </w:r>
      <w:r>
        <w:rPr>
          <w:rFonts w:ascii="Arial" w:cs="Arial" w:eastAsia="Arial" w:hAnsi="Arial"/>
          <w:sz w:val="14"/>
          <w:szCs w:val="14"/>
          <w:color w:val="auto"/>
        </w:rPr>
        <w:t>Enterprise SaaS Solutions net revenues decreased year-over-year as a result of the divestiture of Ctrack South Africa on July 30, 2021. SaaS revenue was no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longer generated in Africa, Pakistan or the Middle East beginning in August 2021. See Part IV Item 15 Note 5. </w:t>
      </w:r>
      <w:r>
        <w:rPr>
          <w:rFonts w:ascii="Arial" w:cs="Arial" w:eastAsia="Arial" w:hAnsi="Arial"/>
          <w:sz w:val="14"/>
          <w:szCs w:val="14"/>
          <w:i w:val="1"/>
          <w:iCs w:val="1"/>
          <w:color w:val="auto"/>
        </w:rPr>
        <w:t>Business Divestiture</w:t>
      </w:r>
      <w:r>
        <w:rPr>
          <w:rFonts w:ascii="Arial" w:cs="Arial" w:eastAsia="Arial" w:hAnsi="Arial"/>
          <w:sz w:val="14"/>
          <w:szCs w:val="14"/>
          <w:color w:val="auto"/>
        </w:rPr>
        <w:t>. Following the divestiture of Ctrack South Africa, we continue to provide telematics solutions in the rest of the world, including in Europe and Australia. The resulting decrease was partially offset by an increase in Enterprise SaaS Solutions net revenue throughout the rest of the world as a result of the lifting of COVID-19 related installation restrictions in place during fiscal 2021.</w:t>
      </w:r>
    </w:p>
    <w:p>
      <w:pPr>
        <w:spacing w:after="0" w:line="101" w:lineRule="exact"/>
        <w:rPr>
          <w:sz w:val="20"/>
          <w:szCs w:val="20"/>
          <w:color w:val="auto"/>
        </w:rPr>
      </w:pPr>
    </w:p>
    <w:p>
      <w:pPr>
        <w:ind w:right="160" w:firstLine="318"/>
        <w:spacing w:after="0" w:line="265" w:lineRule="auto"/>
        <w:rPr>
          <w:sz w:val="20"/>
          <w:szCs w:val="20"/>
          <w:color w:val="auto"/>
        </w:rPr>
      </w:pPr>
      <w:r>
        <w:rPr>
          <w:rFonts w:ascii="Arial" w:cs="Arial" w:eastAsia="Arial" w:hAnsi="Arial"/>
          <w:sz w:val="14"/>
          <w:szCs w:val="14"/>
          <w:b w:val="1"/>
          <w:bCs w:val="1"/>
          <w:i w:val="1"/>
          <w:iCs w:val="1"/>
          <w:color w:val="auto"/>
        </w:rPr>
        <w:t xml:space="preserve">Cost of net revenues. </w:t>
      </w:r>
      <w:r>
        <w:rPr>
          <w:rFonts w:ascii="Arial" w:cs="Arial" w:eastAsia="Arial" w:hAnsi="Arial"/>
          <w:sz w:val="14"/>
          <w:szCs w:val="14"/>
          <w:color w:val="auto"/>
        </w:rPr>
        <w:t>Cost of net revenues for the year ended December 31, 2022 was $178.4 million, or 72.7% of net revenues, compared to $186.5 million, or 71.1% of net revenues,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period in 2021.</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cost of net revenues by our two product categories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Product Category</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Enterprise SaaS Solutions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178,414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186,474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IoT &amp; Mobile Solutions. </w:t>
      </w:r>
      <w:r>
        <w:rPr>
          <w:rFonts w:ascii="Arial" w:cs="Arial" w:eastAsia="Arial" w:hAnsi="Arial"/>
          <w:sz w:val="14"/>
          <w:szCs w:val="14"/>
          <w:color w:val="auto"/>
        </w:rPr>
        <w:t>The decrease in IoT &amp; Mobile Solutions cost of net revenues is primarily a result of lower sales of LTE gigabit hotspots.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Enterprise SaaS Solutions. </w:t>
      </w:r>
      <w:r>
        <w:rPr>
          <w:rFonts w:ascii="Arial" w:cs="Arial" w:eastAsia="Arial" w:hAnsi="Arial"/>
          <w:sz w:val="13"/>
          <w:szCs w:val="13"/>
          <w:color w:val="auto"/>
        </w:rPr>
        <w:t>Enterprise SaaS Solutions cost of net revenues decreased as a result of the divestiture of Ctrack South Africa on July 30, 2021. See Part IV Item 15 Note 5.</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line="12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b w:val="1"/>
          <w:bCs w:val="1"/>
          <w:i w:val="1"/>
          <w:iCs w:val="1"/>
          <w:color w:val="auto"/>
        </w:rPr>
        <w:t xml:space="preserve">Gross profit. </w:t>
      </w:r>
      <w:r>
        <w:rPr>
          <w:rFonts w:ascii="Arial" w:cs="Arial" w:eastAsia="Arial" w:hAnsi="Arial"/>
          <w:sz w:val="14"/>
          <w:szCs w:val="14"/>
          <w:color w:val="auto"/>
        </w:rPr>
        <w:t>Gross profit for the year ended December 31, 2022 was $66.9 million, or a gross margin of 27.3%, compared to $75.9 million, or a gross margin of 28.9%,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2021. The gross margin percentage slightly decreased due to an unfavorable product mix and a decrease in Enterprise SaaS Solutions as a result of the divestiture of Ctrack South Africa which had a higher gross margin, offset by higher Inseego Subscribe revenue and gross margin.</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xml:space="preserve">Operating costs and expenses. </w:t>
      </w:r>
      <w:r>
        <w:rPr>
          <w:rFonts w:ascii="Arial" w:cs="Arial" w:eastAsia="Arial" w:hAnsi="Arial"/>
          <w:sz w:val="14"/>
          <w:szCs w:val="14"/>
          <w:color w:val="auto"/>
        </w:rPr>
        <w:t>The following table summarizes operating costs and expenses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Sales and marketing</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33,488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38,234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7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Amortization of purchased intangible assets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7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Impairment of capitalized software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3,014</w:t>
            </w: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151.8</w:t>
            </w:r>
          </w:p>
        </w:tc>
        <w:tc>
          <w:tcPr>
            <w:tcW w:w="0" w:type="dxa"/>
            <w:vAlign w:val="bottom"/>
          </w:tcPr>
          <w:p>
            <w:pPr>
              <w:spacing w:after="0"/>
              <w:rPr>
                <w:sz w:val="1"/>
                <w:szCs w:val="1"/>
                <w:color w:val="auto"/>
              </w:rPr>
            </w:pPr>
          </w:p>
        </w:tc>
      </w:tr>
      <w:tr>
        <w:trPr>
          <w:trHeight w:val="15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124,827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122,446</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2" w:name="page43"/>
    <w:bookmarkEnd w:id="42"/>
    <w:p>
      <w:pPr>
        <w:jc w:val="both"/>
        <w:ind w:right="100" w:firstLine="318"/>
        <w:spacing w:after="0" w:line="259" w:lineRule="auto"/>
        <w:rPr>
          <w:sz w:val="20"/>
          <w:szCs w:val="20"/>
          <w:color w:val="auto"/>
        </w:rPr>
      </w:pPr>
      <w:r>
        <w:rPr>
          <w:rFonts w:ascii="Arial" w:cs="Arial" w:eastAsia="Arial" w:hAnsi="Arial"/>
          <w:sz w:val="14"/>
          <w:szCs w:val="14"/>
          <w:b w:val="1"/>
          <w:bCs w:val="1"/>
          <w:i w:val="1"/>
          <w:iCs w:val="1"/>
          <w:color w:val="auto"/>
        </w:rPr>
        <w:t xml:space="preserve">Research and development expenses. </w:t>
      </w:r>
      <w:r>
        <w:rPr>
          <w:rFonts w:ascii="Arial" w:cs="Arial" w:eastAsia="Arial" w:hAnsi="Arial"/>
          <w:sz w:val="14"/>
          <w:szCs w:val="14"/>
          <w:color w:val="auto"/>
        </w:rPr>
        <w:t>Research and development expenses for the year ended December 31, 2022 were $59.2 million, or 24.1% of net revenues, compared to $52.7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 of net revenues, for the same period in 2021. The increase was primarily driven by an increase in capitalized project amortization, partially offset by a decrease in consulting services for 2021 efforts towards internal SaaS use projects.</w:t>
      </w:r>
    </w:p>
    <w:p>
      <w:pPr>
        <w:spacing w:after="0" w:line="94" w:lineRule="exact"/>
        <w:rPr>
          <w:sz w:val="20"/>
          <w:szCs w:val="20"/>
          <w:color w:val="auto"/>
        </w:rPr>
      </w:pPr>
    </w:p>
    <w:p>
      <w:pPr>
        <w:ind w:right="120" w:firstLine="318"/>
        <w:spacing w:after="0" w:line="294" w:lineRule="auto"/>
        <w:rPr>
          <w:sz w:val="20"/>
          <w:szCs w:val="20"/>
          <w:color w:val="auto"/>
        </w:rPr>
      </w:pPr>
      <w:r>
        <w:rPr>
          <w:rFonts w:ascii="Arial" w:cs="Arial" w:eastAsia="Arial" w:hAnsi="Arial"/>
          <w:sz w:val="12"/>
          <w:szCs w:val="12"/>
          <w:b w:val="1"/>
          <w:bCs w:val="1"/>
          <w:i w:val="1"/>
          <w:iCs w:val="1"/>
          <w:color w:val="auto"/>
        </w:rPr>
        <w:t xml:space="preserve">Sales and marketing expenses. </w:t>
      </w:r>
      <w:r>
        <w:rPr>
          <w:rFonts w:ascii="Arial" w:cs="Arial" w:eastAsia="Arial" w:hAnsi="Arial"/>
          <w:sz w:val="12"/>
          <w:szCs w:val="12"/>
          <w:color w:val="auto"/>
        </w:rPr>
        <w:t>Sales and marketing expenses for the year ended December 31, 2022 were $33.5 million, or 13.7% of net revenues, compared to $38.2 million, or 14.6% of net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revenues, for the same period in 2021. The decrease in sales and marketing expenses was due to the divestiture of Ctrack South Africa employees on July 30, 2021. See Part IV Item 15. Note 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line="115" w:lineRule="exact"/>
        <w:rPr>
          <w:sz w:val="20"/>
          <w:szCs w:val="20"/>
          <w:color w:val="auto"/>
        </w:rPr>
      </w:pPr>
    </w:p>
    <w:p>
      <w:pPr>
        <w:ind w:right="100" w:firstLine="318"/>
        <w:spacing w:after="0" w:line="277"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for the year ended December 31, 2022 were $27.3 million, or 11.1% of net revenues, compared to $28.3 million,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10.8% of net revenues, for the same period in 2021. The decrease was primarily due to the divestiture of Ctrack South Africa on July 30, 2021. See Part IV Item 15. Note 5. </w:t>
      </w:r>
      <w:r>
        <w:rPr>
          <w:rFonts w:ascii="Arial" w:cs="Arial" w:eastAsia="Arial" w:hAnsi="Arial"/>
          <w:sz w:val="13"/>
          <w:szCs w:val="13"/>
          <w:i w:val="1"/>
          <w:iCs w:val="1"/>
          <w:color w:val="auto"/>
        </w:rPr>
        <w:t>Business Divestiture</w:t>
      </w:r>
      <w:r>
        <w:rPr>
          <w:rFonts w:ascii="Arial" w:cs="Arial" w:eastAsia="Arial" w:hAnsi="Arial"/>
          <w:sz w:val="13"/>
          <w:szCs w:val="13"/>
          <w:color w:val="auto"/>
        </w:rPr>
        <w:t xml:space="preserve"> for more information on the sale of Ctrack South Africa. This decrease was partially offset by the impact of bonus stock award grants and a full year of licenses for our enterprise resource planning (“ERP”) system. See Part IV Item 15. Note 9. </w:t>
      </w:r>
      <w:r>
        <w:rPr>
          <w:rFonts w:ascii="Arial" w:cs="Arial" w:eastAsia="Arial" w:hAnsi="Arial"/>
          <w:sz w:val="13"/>
          <w:szCs w:val="13"/>
          <w:i w:val="1"/>
          <w:iCs w:val="1"/>
          <w:color w:val="auto"/>
        </w:rPr>
        <w:t>Share-based Compensation</w:t>
      </w:r>
      <w:r>
        <w:rPr>
          <w:rFonts w:ascii="Arial" w:cs="Arial" w:eastAsia="Arial" w:hAnsi="Arial"/>
          <w:sz w:val="13"/>
          <w:szCs w:val="13"/>
          <w:color w:val="auto"/>
        </w:rPr>
        <w:t xml:space="preserve"> in the accompanying consolidated financial statements for further information.</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Amortization of purchased intangible assets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amortization of purchased intangible assets for the years ended December 31, 2022 and 2021 was $1.7 million and $2.1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The change was related to the divestiture of Ctrack South Africa for the year ended December 31, 2021.</w:t>
      </w:r>
    </w:p>
    <w:p>
      <w:pPr>
        <w:spacing w:after="0" w:line="115" w:lineRule="exact"/>
        <w:rPr>
          <w:sz w:val="20"/>
          <w:szCs w:val="20"/>
          <w:color w:val="auto"/>
        </w:rPr>
      </w:pPr>
    </w:p>
    <w:p>
      <w:pPr>
        <w:ind w:right="160" w:firstLine="318"/>
        <w:spacing w:after="0" w:line="265" w:lineRule="auto"/>
        <w:rPr>
          <w:sz w:val="20"/>
          <w:szCs w:val="20"/>
          <w:color w:val="auto"/>
        </w:rPr>
      </w:pPr>
      <w:r>
        <w:rPr>
          <w:rFonts w:ascii="Arial" w:cs="Arial" w:eastAsia="Arial" w:hAnsi="Arial"/>
          <w:sz w:val="14"/>
          <w:szCs w:val="14"/>
          <w:b w:val="1"/>
          <w:bCs w:val="1"/>
          <w:i w:val="1"/>
          <w:iCs w:val="1"/>
          <w:color w:val="auto"/>
        </w:rPr>
        <w:t xml:space="preserve">Impairment of capitalized software. </w:t>
      </w:r>
      <w:r>
        <w:rPr>
          <w:rFonts w:ascii="Arial" w:cs="Arial" w:eastAsia="Arial" w:hAnsi="Arial"/>
          <w:sz w:val="14"/>
          <w:szCs w:val="14"/>
          <w:color w:val="auto"/>
        </w:rPr>
        <w:t>For the years ended December 31, 2022 and 2021, we recorded losses of $3.0 million and $1.2 million, respectively, on capitalized software development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related to decreases in sales and dormant projects.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xml:space="preserve">Other income (expense). </w:t>
      </w:r>
      <w:r>
        <w:rPr>
          <w:rFonts w:ascii="Arial" w:cs="Arial" w:eastAsia="Arial" w:hAnsi="Arial"/>
          <w:sz w:val="14"/>
          <w:szCs w:val="14"/>
          <w:color w:val="auto"/>
        </w:rPr>
        <w:t>The following table summarizes other income (expense)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 on sale of Ctrack South Africa</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68"/>
        </w:trPr>
        <w:tc>
          <w:tcPr>
            <w:tcW w:w="6720" w:type="dxa"/>
            <w:vAlign w:val="bottom"/>
            <w:gridSpan w:val="2"/>
          </w:tcPr>
          <w:p>
            <w:pPr>
              <w:ind w:left="20"/>
              <w:spacing w:after="0"/>
              <w:rPr>
                <w:sz w:val="20"/>
                <w:szCs w:val="20"/>
                <w:color w:val="auto"/>
              </w:rPr>
            </w:pPr>
            <w:r>
              <w:rPr>
                <w:rFonts w:ascii="Arial" w:cs="Arial" w:eastAsia="Arial" w:hAnsi="Arial"/>
                <w:sz w:val="13"/>
                <w:szCs w:val="13"/>
                <w:color w:val="auto"/>
              </w:rPr>
              <w:t>Loss on debt conversion and extinguishment, net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(expense) income, net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(272.8)</w:t>
            </w:r>
          </w:p>
        </w:tc>
        <w:tc>
          <w:tcPr>
            <w:tcW w:w="0" w:type="dxa"/>
            <w:vAlign w:val="bottom"/>
          </w:tcPr>
          <w:p>
            <w:pPr>
              <w:spacing w:after="0"/>
              <w:rPr>
                <w:sz w:val="1"/>
                <w:szCs w:val="1"/>
                <w:color w:val="auto"/>
              </w:rPr>
            </w:pPr>
          </w:p>
        </w:tc>
      </w:tr>
      <w:tr>
        <w:trPr>
          <w:trHeight w:val="185"/>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3"/>
                <w:szCs w:val="13"/>
                <w:color w:val="auto"/>
              </w:rPr>
              <w:t>777.1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40" w:firstLine="318"/>
        <w:spacing w:after="0" w:line="271" w:lineRule="auto"/>
        <w:rPr>
          <w:sz w:val="20"/>
          <w:szCs w:val="20"/>
          <w:color w:val="auto"/>
        </w:rPr>
      </w:pPr>
      <w:r>
        <w:rPr>
          <w:rFonts w:ascii="Arial" w:cs="Arial" w:eastAsia="Arial" w:hAnsi="Arial"/>
          <w:sz w:val="14"/>
          <w:szCs w:val="14"/>
          <w:b w:val="1"/>
          <w:bCs w:val="1"/>
          <w:i w:val="1"/>
          <w:iCs w:val="1"/>
          <w:color w:val="auto"/>
        </w:rPr>
        <w:t>Gain on sale of Ctrack South Africa</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Gain on sale of Ctrack South Africa during the year ended December 31, 2021 was $5.3 million, related to the gain recognized on sale of Ctrack South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Africa, while there was no such gain for the same period in fiscal 2022.</w:t>
      </w:r>
    </w:p>
    <w:p>
      <w:pPr>
        <w:spacing w:after="0" w:line="86"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b w:val="1"/>
          <w:bCs w:val="1"/>
          <w:i w:val="1"/>
          <w:iCs w:val="1"/>
          <w:color w:val="auto"/>
        </w:rPr>
        <w:t xml:space="preserve">Loss on debt conversion and extinguishment, net. </w:t>
      </w:r>
      <w:r>
        <w:rPr>
          <w:rFonts w:ascii="Arial" w:cs="Arial" w:eastAsia="Arial" w:hAnsi="Arial"/>
          <w:sz w:val="14"/>
          <w:szCs w:val="14"/>
          <w:color w:val="auto"/>
        </w:rPr>
        <w:t>The loss on debt conversion and extinguishment, net for each of the years ended December 31, 2022 and 2021 was $0.5 million and $0.4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respectively.</w:t>
      </w:r>
    </w:p>
    <w:p>
      <w:pPr>
        <w:spacing w:after="0" w:line="79" w:lineRule="exact"/>
        <w:rPr>
          <w:sz w:val="20"/>
          <w:szCs w:val="20"/>
          <w:color w:val="auto"/>
        </w:rPr>
      </w:pPr>
    </w:p>
    <w:p>
      <w:pPr>
        <w:ind w:right="40" w:firstLine="318"/>
        <w:spacing w:after="0" w:line="265"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for the years ended December 31, 2022 and 2021 was $8.6 million and $6.9 million, respectively. The increase in interest expense was primarily due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an adjustment made to the 2022 Notes.</w:t>
      </w:r>
    </w:p>
    <w:p>
      <w:pPr>
        <w:spacing w:after="0" w:line="101" w:lineRule="exact"/>
        <w:rPr>
          <w:sz w:val="20"/>
          <w:szCs w:val="20"/>
          <w:color w:val="auto"/>
        </w:rPr>
      </w:pPr>
    </w:p>
    <w:p>
      <w:pPr>
        <w:ind w:right="60" w:firstLine="318"/>
        <w:spacing w:after="0" w:line="251" w:lineRule="auto"/>
        <w:rPr>
          <w:sz w:val="20"/>
          <w:szCs w:val="20"/>
          <w:color w:val="auto"/>
        </w:rPr>
      </w:pPr>
      <w:r>
        <w:rPr>
          <w:rFonts w:ascii="Arial" w:cs="Arial" w:eastAsia="Arial" w:hAnsi="Arial"/>
          <w:sz w:val="14"/>
          <w:szCs w:val="14"/>
          <w:b w:val="1"/>
          <w:bCs w:val="1"/>
          <w:i w:val="1"/>
          <w:iCs w:val="1"/>
          <w:color w:val="auto"/>
        </w:rPr>
        <w:t xml:space="preserve">Other (expense) income, net. </w:t>
      </w:r>
      <w:r>
        <w:rPr>
          <w:rFonts w:ascii="Arial" w:cs="Arial" w:eastAsia="Arial" w:hAnsi="Arial"/>
          <w:sz w:val="14"/>
          <w:szCs w:val="14"/>
          <w:color w:val="auto"/>
        </w:rPr>
        <w:t>Other expense, net, for the year ended December 31, 2022 was $1.5 million, which primarily included the fair value adjustment related to our interest make-whole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 on the 2025 Notes as well as foreign currency transaction gains and losses. Other income, net for the same period in 2021 was $0.8 million, which primarily consisted of the fair value adjustment related to our interest make-whole payment on the 2025 Notes as well as foreign currency transaction gains and losses.</w:t>
      </w:r>
    </w:p>
    <w:p>
      <w:pPr>
        <w:spacing w:after="0" w:line="110" w:lineRule="exact"/>
        <w:rPr>
          <w:sz w:val="20"/>
          <w:szCs w:val="20"/>
          <w:color w:val="auto"/>
        </w:rPr>
      </w:pPr>
    </w:p>
    <w:p>
      <w:pPr>
        <w:ind w:right="460" w:firstLine="318"/>
        <w:spacing w:after="0" w:line="265" w:lineRule="auto"/>
        <w:rPr>
          <w:sz w:val="20"/>
          <w:szCs w:val="20"/>
          <w:color w:val="auto"/>
        </w:rPr>
      </w:pPr>
      <w:r>
        <w:rPr>
          <w:rFonts w:ascii="Arial" w:cs="Arial" w:eastAsia="Arial" w:hAnsi="Arial"/>
          <w:sz w:val="14"/>
          <w:szCs w:val="14"/>
          <w:b w:val="1"/>
          <w:bCs w:val="1"/>
          <w:i w:val="1"/>
          <w:iCs w:val="1"/>
          <w:color w:val="auto"/>
        </w:rPr>
        <w:t xml:space="preserve">Income tax provision, net income attributable to noncontrolling interests, and Series E preferred stock dividends and deemed dividends from the preferred stock exchange </w:t>
      </w:r>
      <w:r>
        <w:rPr>
          <w:rFonts w:ascii="Arial" w:cs="Arial" w:eastAsia="Arial" w:hAnsi="Arial"/>
          <w:sz w:val="14"/>
          <w:szCs w:val="14"/>
          <w:color w:val="auto"/>
        </w:rPr>
        <w:t>(dollars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92"/>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1"/>
                <w:szCs w:val="11"/>
                <w:b w:val="1"/>
                <w:bCs w:val="1"/>
                <w:color w:val="auto"/>
                <w:w w:val="92"/>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(343.5)%</w:t>
            </w:r>
          </w:p>
        </w:tc>
        <w:tc>
          <w:tcPr>
            <w:tcW w:w="0" w:type="dxa"/>
            <w:vAlign w:val="bottom"/>
          </w:tcPr>
          <w:p>
            <w:pPr>
              <w:spacing w:after="0"/>
              <w:rPr>
                <w:sz w:val="1"/>
                <w:szCs w:val="1"/>
                <w:color w:val="auto"/>
              </w:rPr>
            </w:pPr>
          </w:p>
        </w:tc>
      </w:tr>
      <w:tr>
        <w:trPr>
          <w:trHeight w:val="168"/>
        </w:trPr>
        <w:tc>
          <w:tcPr>
            <w:tcW w:w="672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24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Series E preferred stock dividends and deemed dividends from the preferred stock exchange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3" w:name="page44"/>
    <w:bookmarkEnd w:id="43"/>
    <w:p>
      <w:pPr>
        <w:ind w:right="20" w:firstLine="318"/>
        <w:spacing w:after="0" w:line="259" w:lineRule="auto"/>
        <w:rPr>
          <w:sz w:val="20"/>
          <w:szCs w:val="20"/>
          <w:color w:val="auto"/>
        </w:rPr>
      </w:pPr>
      <w:r>
        <w:rPr>
          <w:rFonts w:ascii="Arial" w:cs="Arial" w:eastAsia="Arial" w:hAnsi="Arial"/>
          <w:sz w:val="14"/>
          <w:szCs w:val="14"/>
          <w:b w:val="1"/>
          <w:bCs w:val="1"/>
          <w:i w:val="1"/>
          <w:iCs w:val="1"/>
          <w:color w:val="auto"/>
        </w:rPr>
        <w:t xml:space="preserve">Income tax (benefit) provision. </w:t>
      </w:r>
      <w:r>
        <w:rPr>
          <w:rFonts w:ascii="Arial" w:cs="Arial" w:eastAsia="Arial" w:hAnsi="Arial"/>
          <w:sz w:val="14"/>
          <w:szCs w:val="14"/>
          <w:color w:val="auto"/>
        </w:rPr>
        <w:t>Income tax provision for the years ended December 31, 2022 and 2021 was a benefit of $0.5 million and a provision of $0.2 million, respectively, which, in each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case, primarily related to certain of our profitable subsidiaries in foreign jurisdictions. The effective tax rate for the year ended December 31, 2022 is different than the U.S. statutory rate primarily due to a valuation allowance recorded against additional tax assets generated during the year and certain profitable foreign subsidiaries.</w:t>
      </w:r>
    </w:p>
    <w:p>
      <w:pPr>
        <w:spacing w:after="0" w:line="9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4"/>
          <w:szCs w:val="14"/>
          <w:b w:val="1"/>
          <w:bCs w:val="1"/>
          <w:i w:val="1"/>
          <w:iCs w:val="1"/>
          <w:color w:val="auto"/>
        </w:rPr>
        <w:t xml:space="preserve">Net income attributable to noncontrolling interests. </w:t>
      </w:r>
      <w:r>
        <w:rPr>
          <w:rFonts w:ascii="Arial" w:cs="Arial" w:eastAsia="Arial" w:hAnsi="Arial"/>
          <w:sz w:val="14"/>
          <w:szCs w:val="14"/>
          <w:color w:val="auto"/>
        </w:rPr>
        <w:t>For the years ended December 31, 2022 and 2021 there was $0 and $0.2 million, respectively, of net income attributable to noncontrolling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interests. Due to the sale of Ctrack South Africa in 2021, no such non-controlling interest existed in 2022.</w:t>
      </w:r>
    </w:p>
    <w:p>
      <w:pPr>
        <w:spacing w:after="0" w:line="101" w:lineRule="exact"/>
        <w:rPr>
          <w:sz w:val="20"/>
          <w:szCs w:val="20"/>
          <w:color w:val="auto"/>
        </w:rPr>
      </w:pPr>
    </w:p>
    <w:p>
      <w:pPr>
        <w:ind w:right="80" w:firstLine="318"/>
        <w:spacing w:after="0" w:line="251" w:lineRule="auto"/>
        <w:rPr>
          <w:sz w:val="20"/>
          <w:szCs w:val="20"/>
          <w:color w:val="auto"/>
        </w:rPr>
      </w:pPr>
      <w:r>
        <w:rPr>
          <w:rFonts w:ascii="Arial" w:cs="Arial" w:eastAsia="Arial" w:hAnsi="Arial"/>
          <w:sz w:val="14"/>
          <w:szCs w:val="14"/>
          <w:b w:val="1"/>
          <w:bCs w:val="1"/>
          <w:i w:val="1"/>
          <w:iCs w:val="1"/>
          <w:color w:val="auto"/>
        </w:rPr>
        <w:t xml:space="preserve">Series E Preferred Stock dividends and deemed dividend from the preferred stock exchange. </w:t>
      </w:r>
      <w:r>
        <w:rPr>
          <w:rFonts w:ascii="Arial" w:cs="Arial" w:eastAsia="Arial" w:hAnsi="Arial"/>
          <w:sz w:val="14"/>
          <w:szCs w:val="14"/>
          <w:color w:val="auto"/>
        </w:rPr>
        <w:t>During the years ended December 31, 2022 and 2021, we recorded dividends of $2.7 million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$4.2 million, respectively, on our Series E Preferred Stock. The decrease was primarily attributable to the impact of the deemed dividend of $1.1 million as part of the preferred stock exchange in September 2021, resulting in a lower preferred stock dividends accrued through the end of 2022. See Part IV Item 15. Note 8. </w:t>
      </w:r>
      <w:r>
        <w:rPr>
          <w:rFonts w:ascii="Arial" w:cs="Arial" w:eastAsia="Arial" w:hAnsi="Arial"/>
          <w:sz w:val="14"/>
          <w:szCs w:val="14"/>
          <w:i w:val="1"/>
          <w:iCs w:val="1"/>
          <w:color w:val="auto"/>
        </w:rPr>
        <w:t>Preferred Stock and Common Stock</w:t>
      </w:r>
      <w:r>
        <w:rPr>
          <w:rFonts w:ascii="Arial" w:cs="Arial" w:eastAsia="Arial" w:hAnsi="Arial"/>
          <w:sz w:val="14"/>
          <w:szCs w:val="14"/>
          <w:color w:val="auto"/>
        </w:rPr>
        <w:t xml:space="preserve"> in the accompanying consolidated financial statements for further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2021 Compared to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w:t>
      </w:r>
      <w:r>
        <w:rPr>
          <w:rFonts w:ascii="Arial" w:cs="Arial" w:eastAsia="Arial" w:hAnsi="Arial"/>
          <w:sz w:val="14"/>
          <w:szCs w:val="14"/>
          <w:color w:val="auto"/>
        </w:rPr>
        <w:t>. Net revenues for the year ended December 31, 2021 were $262.4 million, a decrease of $51.4 million, or 16.4%, compared to the same period in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net revenues by our two product categories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ind w:left="260"/>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Pr>
          <w:p>
            <w:pPr>
              <w:spacing w:after="0"/>
              <w:rPr>
                <w:sz w:val="13"/>
                <w:szCs w:val="13"/>
                <w:color w:val="auto"/>
              </w:rPr>
            </w:pPr>
          </w:p>
        </w:tc>
        <w:tc>
          <w:tcPr>
            <w:tcW w:w="900" w:type="dxa"/>
            <w:vAlign w:val="bottom"/>
            <w:gridSpan w:val="3"/>
          </w:tcPr>
          <w:p>
            <w:pPr>
              <w:ind w:left="38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3"/>
                <w:szCs w:val="13"/>
                <w:color w:val="auto"/>
              </w:rPr>
            </w:pPr>
          </w:p>
        </w:tc>
      </w:tr>
      <w:tr>
        <w:trPr>
          <w:trHeight w:val="157"/>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Product Category</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r>
      <w:tr>
        <w:trPr>
          <w:trHeight w:val="163"/>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261,169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(43,185)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2"/>
              </w:rPr>
              <w:t>(16.5)%</w:t>
            </w:r>
          </w:p>
        </w:tc>
      </w:tr>
      <w:tr>
        <w:trPr>
          <w:trHeight w:val="168"/>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Enterprise SaaS Solutions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44,415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52,663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(15.7)</w:t>
            </w:r>
          </w:p>
        </w:tc>
      </w:tr>
      <w:tr>
        <w:trPr>
          <w:trHeight w:val="18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313,832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(51,433)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(16.4)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ind w:left="160" w:right="80" w:firstLine="318"/>
        <w:spacing w:after="0" w:line="267" w:lineRule="auto"/>
        <w:rPr>
          <w:sz w:val="20"/>
          <w:szCs w:val="20"/>
          <w:color w:val="auto"/>
        </w:rPr>
      </w:pPr>
      <w:r>
        <w:rPr>
          <w:rFonts w:ascii="Arial" w:cs="Arial" w:eastAsia="Arial" w:hAnsi="Arial"/>
          <w:sz w:val="14"/>
          <w:szCs w:val="14"/>
          <w:i w:val="1"/>
          <w:iCs w:val="1"/>
          <w:color w:val="auto"/>
        </w:rPr>
        <w:t xml:space="preserve">IoT &amp; Mobile Solutions. </w:t>
      </w:r>
      <w:r>
        <w:rPr>
          <w:rFonts w:ascii="Arial" w:cs="Arial" w:eastAsia="Arial" w:hAnsi="Arial"/>
          <w:sz w:val="14"/>
          <w:szCs w:val="14"/>
          <w:color w:val="auto"/>
        </w:rPr>
        <w:t>The decrease in IoT &amp; Mobile Solutions net revenues is primarily due to decreases in our enterprise and carrier offerings, and lower sales of LTE gigabit hotspots as</w:t>
      </w:r>
      <w:r>
        <w:rPr>
          <w:rFonts w:ascii="Arial" w:cs="Arial" w:eastAsia="Arial" w:hAnsi="Arial"/>
          <w:sz w:val="14"/>
          <w:szCs w:val="14"/>
          <w:i w:val="1"/>
          <w:iCs w:val="1"/>
          <w:color w:val="auto"/>
        </w:rPr>
        <w:t xml:space="preserve"> </w:t>
      </w:r>
      <w:r>
        <w:rPr>
          <w:rFonts w:ascii="Arial" w:cs="Arial" w:eastAsia="Arial" w:hAnsi="Arial"/>
          <w:sz w:val="14"/>
          <w:szCs w:val="14"/>
          <w:color w:val="auto"/>
        </w:rPr>
        <w:t>the COVID-19 pandemic demand eased, partially offset by increased sales of our second-generation 5G hotspot related to our MiFi business and increased revenues in our Inseego Subscribe business due to subscriber growth.</w:t>
      </w:r>
    </w:p>
    <w:p>
      <w:pPr>
        <w:spacing w:after="0" w:line="99" w:lineRule="exact"/>
        <w:rPr>
          <w:sz w:val="20"/>
          <w:szCs w:val="20"/>
          <w:color w:val="auto"/>
        </w:rPr>
      </w:pPr>
    </w:p>
    <w:p>
      <w:pPr>
        <w:ind w:left="160" w:right="80" w:firstLine="318"/>
        <w:spacing w:after="0" w:line="262" w:lineRule="auto"/>
        <w:rPr>
          <w:sz w:val="20"/>
          <w:szCs w:val="20"/>
          <w:color w:val="auto"/>
        </w:rPr>
      </w:pPr>
      <w:r>
        <w:rPr>
          <w:rFonts w:ascii="Arial" w:cs="Arial" w:eastAsia="Arial" w:hAnsi="Arial"/>
          <w:sz w:val="14"/>
          <w:szCs w:val="14"/>
          <w:i w:val="1"/>
          <w:iCs w:val="1"/>
          <w:color w:val="auto"/>
        </w:rPr>
        <w:t xml:space="preserve">Enterprise SaaS Solutions. </w:t>
      </w:r>
      <w:r>
        <w:rPr>
          <w:rFonts w:ascii="Arial" w:cs="Arial" w:eastAsia="Arial" w:hAnsi="Arial"/>
          <w:sz w:val="14"/>
          <w:szCs w:val="14"/>
          <w:color w:val="auto"/>
        </w:rPr>
        <w:t>Enterprise SaaS Solutions net revenues decreased year-over-year as a result of the divestiture of Ctrack South Africa as of July 30, 2021. SaaS revenue was no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longer generated in Africa, Pakistan or the Middle East beginning in August 2021. See Part IV Item 15 Note 5. </w:t>
      </w:r>
      <w:r>
        <w:rPr>
          <w:rFonts w:ascii="Arial" w:cs="Arial" w:eastAsia="Arial" w:hAnsi="Arial"/>
          <w:sz w:val="14"/>
          <w:szCs w:val="14"/>
          <w:i w:val="1"/>
          <w:iCs w:val="1"/>
          <w:color w:val="auto"/>
        </w:rPr>
        <w:t>Business Divestiture</w:t>
      </w:r>
      <w:r>
        <w:rPr>
          <w:rFonts w:ascii="Arial" w:cs="Arial" w:eastAsia="Arial" w:hAnsi="Arial"/>
          <w:sz w:val="14"/>
          <w:szCs w:val="14"/>
          <w:color w:val="auto"/>
        </w:rPr>
        <w:t>. Following the divestiture of Ctrack South Africa, we continue to provide telematics solutions in the rest of the world, including in Europe and Australia. The impact of the divestiture was partially offset by an increase in Enterprise SaaS Solutions net revenue throughout the rest of the world as a result of the lifting of COVID-19 related installation restrictions in place during fiscal 2021.</w:t>
      </w:r>
    </w:p>
    <w:p>
      <w:pPr>
        <w:spacing w:after="0" w:line="10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 xml:space="preserve">Cost of net revenues. </w:t>
      </w:r>
      <w:r>
        <w:rPr>
          <w:rFonts w:ascii="Arial" w:cs="Arial" w:eastAsia="Arial" w:hAnsi="Arial"/>
          <w:sz w:val="14"/>
          <w:szCs w:val="14"/>
          <w:color w:val="auto"/>
        </w:rPr>
        <w:t>Cost of net revenues for the year ended December 31, 2021 was $186.5 million, or 71.1% of net revenues, compared to $223.0 million, or 71.1% of net revenues, for the same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in 2020.</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cost of net revenues by our two product categories (dollars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Product Category</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2"/>
              </w:rPr>
              <w:t>(16.7)%</w:t>
            </w:r>
          </w:p>
        </w:tc>
        <w:tc>
          <w:tcPr>
            <w:tcW w:w="0" w:type="dxa"/>
            <w:vAlign w:val="bottom"/>
          </w:tcPr>
          <w:p>
            <w:pPr>
              <w:spacing w:after="0"/>
              <w:rPr>
                <w:sz w:val="1"/>
                <w:szCs w:val="1"/>
                <w:color w:val="auto"/>
              </w:rPr>
            </w:pPr>
          </w:p>
        </w:tc>
      </w:tr>
      <w:tr>
        <w:trPr>
          <w:trHeight w:val="168"/>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Enterprise SaaS Solutions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186,474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222,989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(36,515)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 xml:space="preserve">IoT &amp; Mobile Solutions. </w:t>
      </w:r>
      <w:r>
        <w:rPr>
          <w:rFonts w:ascii="Arial" w:cs="Arial" w:eastAsia="Arial" w:hAnsi="Arial"/>
          <w:sz w:val="14"/>
          <w:szCs w:val="14"/>
          <w:color w:val="auto"/>
        </w:rPr>
        <w:t>The decrease in IoT &amp; Mobile Solutions cost of net revenues is primarily a result of lower sales of LTE gigabit hotspots.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 xml:space="preserve">Enterprise SaaS Solutions. </w:t>
      </w:r>
      <w:r>
        <w:rPr>
          <w:rFonts w:ascii="Arial" w:cs="Arial" w:eastAsia="Arial" w:hAnsi="Arial"/>
          <w:sz w:val="13"/>
          <w:szCs w:val="13"/>
          <w:color w:val="auto"/>
        </w:rPr>
        <w:t>Enterprise SaaS Solutions cost of net revenues decreased as a result of the divestiture of Ctrack South Africa on July 30, 2021. See Part IV Item 15 Note 5.</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line="12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 xml:space="preserve">Gross profit. </w:t>
      </w:r>
      <w:r>
        <w:rPr>
          <w:rFonts w:ascii="Arial" w:cs="Arial" w:eastAsia="Arial" w:hAnsi="Arial"/>
          <w:sz w:val="14"/>
          <w:szCs w:val="14"/>
          <w:color w:val="auto"/>
        </w:rPr>
        <w:t>Gross profit for the year ended December 31, 2021 was $75.9 million, or a gross margin of 28.9%, compared to $90.8 million, or a gross margin of 28.9%, for the same period in 2020.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gross margin percentage remained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4" w:name="page45"/>
    <w:bookmarkEnd w:id="44"/>
    <w:p>
      <w:pPr>
        <w:ind w:right="220"/>
        <w:spacing w:after="0" w:line="281" w:lineRule="auto"/>
        <w:rPr>
          <w:sz w:val="20"/>
          <w:szCs w:val="20"/>
          <w:color w:val="auto"/>
        </w:rPr>
      </w:pPr>
      <w:r>
        <w:rPr>
          <w:rFonts w:ascii="Arial" w:cs="Arial" w:eastAsia="Arial" w:hAnsi="Arial"/>
          <w:sz w:val="14"/>
          <w:szCs w:val="14"/>
          <w:color w:val="auto"/>
        </w:rPr>
        <w:t>stable due to an unfavorable product mix and a decrease in Enterprise SaaS Solutions as a result of the divestiture of Ctrack South Africa which has a higher gross margin, offset by higher Inseego Subscribe revenue.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costs and expenses</w:t>
      </w:r>
      <w:r>
        <w:rPr>
          <w:rFonts w:ascii="Arial" w:cs="Arial" w:eastAsia="Arial" w:hAnsi="Arial"/>
          <w:sz w:val="14"/>
          <w:szCs w:val="14"/>
          <w:color w:val="auto"/>
        </w:rPr>
        <w:t>. The following table summarizes operating costs and expenses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17.2 %</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Sales and marketing</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38,234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35,750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Amortization of purchased intangible assets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2,092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Impairment of capitalized software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8"/>
        </w:trPr>
        <w:tc>
          <w:tcPr>
            <w:tcW w:w="67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122,446</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115,977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year ended December 31, 2021 were $52.7 million, or 20.1% of net revenues, compared to $45.0 million, or 14.3%</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net revenues, for the same period in 2020. The increase was primarily a result of increased staffing, test units, and other development spending related to 5G product programs.</w:t>
      </w:r>
    </w:p>
    <w:p>
      <w:pPr>
        <w:spacing w:after="0" w:line="67"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b w:val="1"/>
          <w:bCs w:val="1"/>
          <w:i w:val="1"/>
          <w:iCs w:val="1"/>
          <w:color w:val="auto"/>
        </w:rPr>
        <w:t xml:space="preserve">Sales and marketing expenses. </w:t>
      </w:r>
      <w:r>
        <w:rPr>
          <w:rFonts w:ascii="Arial" w:cs="Arial" w:eastAsia="Arial" w:hAnsi="Arial"/>
          <w:sz w:val="13"/>
          <w:szCs w:val="13"/>
          <w:color w:val="auto"/>
        </w:rPr>
        <w:t>Sales and marketing expenses for the year ended December 31, 2021 were $38.2 million, or 14.6% of net revenues, compared to $35.8 million, or 11.4% of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revenues, for the same period in 2020. The increase was primarily a result of higher spend on the marketing of our 5G products. The increase in sales and marketing expenses was partially offset by a decrease in payroll costs for Ctrack South Africa employees, given the divestiture that was completed on July 30, 2021. See Part IV Item 15. Note 5. </w:t>
      </w:r>
      <w:r>
        <w:rPr>
          <w:rFonts w:ascii="Arial" w:cs="Arial" w:eastAsia="Arial" w:hAnsi="Arial"/>
          <w:sz w:val="13"/>
          <w:szCs w:val="13"/>
          <w:i w:val="1"/>
          <w:iCs w:val="1"/>
          <w:color w:val="auto"/>
        </w:rPr>
        <w:t>Business Divestiture</w:t>
      </w:r>
      <w:r>
        <w:rPr>
          <w:rFonts w:ascii="Arial" w:cs="Arial" w:eastAsia="Arial" w:hAnsi="Arial"/>
          <w:sz w:val="13"/>
          <w:szCs w:val="13"/>
          <w:color w:val="auto"/>
        </w:rPr>
        <w:t>.</w:t>
      </w:r>
    </w:p>
    <w:p>
      <w:pPr>
        <w:spacing w:after="0" w:line="82" w:lineRule="exact"/>
        <w:rPr>
          <w:sz w:val="20"/>
          <w:szCs w:val="20"/>
          <w:color w:val="auto"/>
        </w:rPr>
      </w:pPr>
    </w:p>
    <w:p>
      <w:pPr>
        <w:jc w:val="both"/>
        <w:ind w:right="80"/>
        <w:spacing w:after="0" w:line="319" w:lineRule="auto"/>
        <w:rPr>
          <w:sz w:val="20"/>
          <w:szCs w:val="20"/>
          <w:color w:val="auto"/>
        </w:rPr>
      </w:pPr>
      <w:r>
        <w:rPr>
          <w:rFonts w:ascii="Arial" w:cs="Arial" w:eastAsia="Arial" w:hAnsi="Arial"/>
          <w:sz w:val="12"/>
          <w:szCs w:val="12"/>
          <w:b w:val="1"/>
          <w:bCs w:val="1"/>
          <w:i w:val="1"/>
          <w:iCs w:val="1"/>
          <w:color w:val="auto"/>
        </w:rPr>
        <w:t xml:space="preserve">General and administrative expenses. </w:t>
      </w:r>
      <w:r>
        <w:rPr>
          <w:rFonts w:ascii="Arial" w:cs="Arial" w:eastAsia="Arial" w:hAnsi="Arial"/>
          <w:sz w:val="12"/>
          <w:szCs w:val="12"/>
          <w:color w:val="auto"/>
        </w:rPr>
        <w:t>General and administrative expenses for the year ended December 31, 2021 were $28.3 million, or 10.8% of net revenues, compared to $30.7 million, or 9.8%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of net revenues, for the same period in 2020. The decrease was primarily due to the decrease in payroll costs for Ctrack South Africa employees, given the divestiture that was completed on July 30, 2021. See Part IV Item 15. Note 5. </w:t>
      </w:r>
      <w:r>
        <w:rPr>
          <w:rFonts w:ascii="Arial" w:cs="Arial" w:eastAsia="Arial" w:hAnsi="Arial"/>
          <w:sz w:val="12"/>
          <w:szCs w:val="12"/>
          <w:i w:val="1"/>
          <w:iCs w:val="1"/>
          <w:color w:val="auto"/>
        </w:rPr>
        <w:t>Business Divestiture</w:t>
      </w:r>
      <w:r>
        <w:rPr>
          <w:rFonts w:ascii="Arial" w:cs="Arial" w:eastAsia="Arial" w:hAnsi="Arial"/>
          <w:sz w:val="12"/>
          <w:szCs w:val="12"/>
          <w:color w:val="auto"/>
        </w:rPr>
        <w:t xml:space="preserve">. The decrease in general and administrative expenses was partially offset by the impact of bonus grants to employees who contributed to the completion of the Ctrack South Africa sale. See Part IV Item 15. Note 9. </w:t>
      </w:r>
      <w:r>
        <w:rPr>
          <w:rFonts w:ascii="Arial" w:cs="Arial" w:eastAsia="Arial" w:hAnsi="Arial"/>
          <w:sz w:val="12"/>
          <w:szCs w:val="12"/>
          <w:i w:val="1"/>
          <w:iCs w:val="1"/>
          <w:color w:val="auto"/>
        </w:rPr>
        <w:t>Share-based Compensation</w:t>
      </w:r>
      <w:r>
        <w:rPr>
          <w:rFonts w:ascii="Arial" w:cs="Arial" w:eastAsia="Arial" w:hAnsi="Arial"/>
          <w:sz w:val="12"/>
          <w:szCs w:val="12"/>
          <w:color w:val="auto"/>
        </w:rPr>
        <w:t xml:space="preserve"> in the accompanying consolidated financial statements for further information.</w:t>
      </w:r>
    </w:p>
    <w:p>
      <w:pPr>
        <w:spacing w:after="0" w:line="69" w:lineRule="exact"/>
        <w:rPr>
          <w:sz w:val="20"/>
          <w:szCs w:val="20"/>
          <w:color w:val="auto"/>
        </w:rPr>
      </w:pPr>
    </w:p>
    <w:p>
      <w:pPr>
        <w:ind w:right="160"/>
        <w:spacing w:after="0" w:line="327" w:lineRule="auto"/>
        <w:rPr>
          <w:sz w:val="20"/>
          <w:szCs w:val="20"/>
          <w:color w:val="auto"/>
        </w:rPr>
      </w:pPr>
      <w:r>
        <w:rPr>
          <w:rFonts w:ascii="Arial" w:cs="Arial" w:eastAsia="Arial" w:hAnsi="Arial"/>
          <w:sz w:val="13"/>
          <w:szCs w:val="13"/>
          <w:b w:val="1"/>
          <w:bCs w:val="1"/>
          <w:i w:val="1"/>
          <w:iCs w:val="1"/>
          <w:color w:val="auto"/>
        </w:rPr>
        <w:t>Amortization of purchased intangible assets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amortization of purchased intangible assets for the years ended December 31, 2021 and 2020 was $2.1 million and $3.2 million, respectively.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was related to the divestiture of Ctrack South Africa as well as certain purchased intangibles becoming fully amortized for the year ended December 31, 2021.</w:t>
      </w:r>
    </w:p>
    <w:p>
      <w:pPr>
        <w:spacing w:after="0" w:line="63"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 xml:space="preserve">Impairment of capitalized software. </w:t>
      </w:r>
      <w:r>
        <w:rPr>
          <w:rFonts w:ascii="Arial" w:cs="Arial" w:eastAsia="Arial" w:hAnsi="Arial"/>
          <w:sz w:val="14"/>
          <w:szCs w:val="14"/>
          <w:color w:val="auto"/>
        </w:rPr>
        <w:t>For the years ended December 31, 2021 and 2020, we recorded losses of $1.2 million and $1.4 million, respectively, on capitalized software development costs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to an internal enterprise resource planning project.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(expense). </w:t>
      </w:r>
      <w:r>
        <w:rPr>
          <w:rFonts w:ascii="Arial" w:cs="Arial" w:eastAsia="Arial" w:hAnsi="Arial"/>
          <w:sz w:val="14"/>
          <w:szCs w:val="14"/>
          <w:color w:val="auto"/>
        </w:rPr>
        <w:t>The following table summarizes other income (expense)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 on sale of Ctrack South Africa</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7"/>
              </w:rPr>
              <w:t>100.0 %</w:t>
            </w:r>
          </w:p>
        </w:tc>
        <w:tc>
          <w:tcPr>
            <w:tcW w:w="0" w:type="dxa"/>
            <w:vAlign w:val="bottom"/>
          </w:tcPr>
          <w:p>
            <w:pPr>
              <w:spacing w:after="0"/>
              <w:rPr>
                <w:sz w:val="1"/>
                <w:szCs w:val="1"/>
                <w:color w:val="auto"/>
              </w:rPr>
            </w:pPr>
          </w:p>
        </w:tc>
      </w:tr>
      <w:tr>
        <w:trPr>
          <w:trHeight w:val="168"/>
        </w:trPr>
        <w:tc>
          <w:tcPr>
            <w:tcW w:w="6720" w:type="dxa"/>
            <w:vAlign w:val="bottom"/>
            <w:gridSpan w:val="2"/>
          </w:tcPr>
          <w:p>
            <w:pPr>
              <w:ind w:left="20"/>
              <w:spacing w:after="0"/>
              <w:rPr>
                <w:sz w:val="20"/>
                <w:szCs w:val="20"/>
                <w:color w:val="auto"/>
              </w:rPr>
            </w:pPr>
            <w:r>
              <w:rPr>
                <w:rFonts w:ascii="Arial" w:cs="Arial" w:eastAsia="Arial" w:hAnsi="Arial"/>
                <w:sz w:val="13"/>
                <w:szCs w:val="13"/>
                <w:color w:val="auto"/>
              </w:rPr>
              <w:t>Loss on debt conversion and extinguishment, net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(76,354)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75,922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7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net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85"/>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(85,304)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84,105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b w:val="1"/>
          <w:bCs w:val="1"/>
          <w:i w:val="1"/>
          <w:iCs w:val="1"/>
          <w:color w:val="auto"/>
        </w:rPr>
        <w:t>Gain on sale of Ctrack South Africa</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Gain on sale of Ctrack South Africa during the year ended December 31, 2021 was $5.3 million, related to the gain recognized on sale of Ctrack South Africa,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while there was no such gain for the same period in fiscal 2020.</w:t>
      </w:r>
    </w:p>
    <w:p>
      <w:pPr>
        <w:spacing w:after="0" w:line="86"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 xml:space="preserve">Loss on debt conversion and extinguishment, net. </w:t>
      </w:r>
      <w:r>
        <w:rPr>
          <w:rFonts w:ascii="Arial" w:cs="Arial" w:eastAsia="Arial" w:hAnsi="Arial"/>
          <w:sz w:val="14"/>
          <w:szCs w:val="14"/>
          <w:color w:val="auto"/>
        </w:rPr>
        <w:t>The loss on debt conversion and extinguishment, net for each of the years ended December 31, 2021 and 2020 was $0.4 million and $76.4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respectively. These amounts represent the loss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on debt conversion of the 2025 Notes during fiscal 2021 and the debt conversion and extinguishment of the 2022 Notes during fiscal 2020, respectively.</w:t>
      </w:r>
    </w:p>
    <w:p>
      <w:pPr>
        <w:spacing w:after="0" w:line="136"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Interest expense, net, for the years ended December 31, 2021 and 2020 was $6.9 million and $9.9 million, respectively. The decrease in interest expense was primarily due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lower interest rate on the 2025 Notes, as compared to the 2022 Notes and our previous term loan, partially offset by the higher principal amount of the 2025 Notes.</w:t>
      </w:r>
    </w:p>
    <w:p>
      <w:pPr>
        <w:spacing w:after="0" w:line="67"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b w:val="1"/>
          <w:bCs w:val="1"/>
          <w:i w:val="1"/>
          <w:iCs w:val="1"/>
          <w:color w:val="auto"/>
        </w:rPr>
        <w:t xml:space="preserve">Other income, net. </w:t>
      </w:r>
      <w:r>
        <w:rPr>
          <w:rFonts w:ascii="Arial" w:cs="Arial" w:eastAsia="Arial" w:hAnsi="Arial"/>
          <w:sz w:val="14"/>
          <w:szCs w:val="14"/>
          <w:color w:val="auto"/>
        </w:rPr>
        <w:t>Other income, net, for the year ended December 31, 2021 was $0.8 million, which primarily included the fair value adjustment related to our interest make-whole payment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Notes as well as foreign currency transaction gains and losses. Other income, net for the same period in 2020 was $1.0 million, which primarily consisted of the fair value adjustment related to our interest make-whole payment on the 2025 Notes as well as foreign currency transaction gains and losses.</w:t>
      </w:r>
    </w:p>
    <w:p>
      <w:pPr>
        <w:spacing w:after="0" w:line="9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 xml:space="preserve">Income tax provision, net income attributable to noncontrolling interests, and Series E preferred stock dividends and deemed dividends from the preferred stock exchange, </w:t>
      </w:r>
      <w:r>
        <w:rPr>
          <w:rFonts w:ascii="Arial" w:cs="Arial" w:eastAsia="Arial" w:hAnsi="Arial"/>
          <w:sz w:val="14"/>
          <w:szCs w:val="14"/>
          <w:color w:val="auto"/>
        </w:rPr>
        <w:t>The following table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summarizes our income tax provision, net income attributable to noncontrolling interests, and Series E preferred stock dividends and deemed dividends from the preferred stock exchange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92"/>
              </w:rPr>
              <w:t>Year 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1"/>
                <w:szCs w:val="11"/>
                <w:b w:val="1"/>
                <w:bCs w:val="1"/>
                <w:color w:val="auto"/>
                <w:w w:val="92"/>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provision</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68"/>
        </w:trPr>
        <w:tc>
          <w:tcPr>
            <w:tcW w:w="672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637.9</w:t>
            </w:r>
          </w:p>
        </w:tc>
        <w:tc>
          <w:tcPr>
            <w:tcW w:w="0" w:type="dxa"/>
            <w:vAlign w:val="bottom"/>
          </w:tcPr>
          <w:p>
            <w:pPr>
              <w:spacing w:after="0"/>
              <w:rPr>
                <w:sz w:val="1"/>
                <w:szCs w:val="1"/>
                <w:color w:val="auto"/>
              </w:rPr>
            </w:pPr>
          </w:p>
        </w:tc>
      </w:tr>
      <w:tr>
        <w:trPr>
          <w:trHeight w:val="172"/>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Series E preferred stock dividends and deemed dividends from the preferred stock exchange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 xml:space="preserve">Income tax provision. </w:t>
      </w:r>
      <w:r>
        <w:rPr>
          <w:rFonts w:ascii="Arial" w:cs="Arial" w:eastAsia="Arial" w:hAnsi="Arial"/>
          <w:sz w:val="14"/>
          <w:szCs w:val="14"/>
          <w:color w:val="auto"/>
        </w:rPr>
        <w:t>Income tax provision for the years ended December 31, 2021 and 2020 was $0.2 million and $0.7 million, respectively, which, in each case, primarily related to certain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profitable subsidiaries in foreign jurisdictions. The effective tax rate for the year ended December 31, 2021 is different than the U.S. statutory rate primarily due to a valuation allowance recorded against additional tax assets generated during the year and certain profitable foreign subsidiaries.</w:t>
      </w:r>
    </w:p>
    <w:p>
      <w:pPr>
        <w:spacing w:after="0" w:line="99" w:lineRule="exact"/>
        <w:rPr>
          <w:sz w:val="20"/>
          <w:szCs w:val="20"/>
          <w:color w:val="auto"/>
        </w:rPr>
      </w:pPr>
    </w:p>
    <w:p>
      <w:pPr>
        <w:ind w:right="680"/>
        <w:spacing w:after="0" w:line="281" w:lineRule="auto"/>
        <w:rPr>
          <w:sz w:val="20"/>
          <w:szCs w:val="20"/>
          <w:color w:val="auto"/>
        </w:rPr>
      </w:pPr>
      <w:r>
        <w:rPr>
          <w:rFonts w:ascii="Arial" w:cs="Arial" w:eastAsia="Arial" w:hAnsi="Arial"/>
          <w:sz w:val="14"/>
          <w:szCs w:val="14"/>
          <w:b w:val="1"/>
          <w:bCs w:val="1"/>
          <w:i w:val="1"/>
          <w:iCs w:val="1"/>
          <w:color w:val="auto"/>
        </w:rPr>
        <w:t xml:space="preserve">Net income attributable to noncontrolling interests. </w:t>
      </w:r>
      <w:r>
        <w:rPr>
          <w:rFonts w:ascii="Arial" w:cs="Arial" w:eastAsia="Arial" w:hAnsi="Arial"/>
          <w:sz w:val="14"/>
          <w:szCs w:val="14"/>
          <w:color w:val="auto"/>
        </w:rPr>
        <w:t>For the years ended December 31, 2021 and 2020 there was $0.2 million and $29 thousand, respectively, of net income attributable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noncontrolling interests.</w:t>
      </w:r>
    </w:p>
    <w:p>
      <w:pPr>
        <w:spacing w:after="0" w:line="90" w:lineRule="exact"/>
        <w:rPr>
          <w:sz w:val="20"/>
          <w:szCs w:val="20"/>
          <w:color w:val="auto"/>
        </w:rPr>
      </w:pPr>
    </w:p>
    <w:p>
      <w:pPr>
        <w:jc w:val="both"/>
        <w:ind w:right="60"/>
        <w:spacing w:after="0" w:line="288" w:lineRule="auto"/>
        <w:rPr>
          <w:sz w:val="20"/>
          <w:szCs w:val="20"/>
          <w:color w:val="auto"/>
        </w:rPr>
      </w:pPr>
      <w:r>
        <w:rPr>
          <w:rFonts w:ascii="Arial" w:cs="Arial" w:eastAsia="Arial" w:hAnsi="Arial"/>
          <w:sz w:val="13"/>
          <w:szCs w:val="13"/>
          <w:b w:val="1"/>
          <w:bCs w:val="1"/>
          <w:i w:val="1"/>
          <w:iCs w:val="1"/>
          <w:color w:val="auto"/>
        </w:rPr>
        <w:t xml:space="preserve">Series E Preferred Stock dividends and deemed dividend from the preferred stock exchange. </w:t>
      </w:r>
      <w:r>
        <w:rPr>
          <w:rFonts w:ascii="Arial" w:cs="Arial" w:eastAsia="Arial" w:hAnsi="Arial"/>
          <w:sz w:val="13"/>
          <w:szCs w:val="13"/>
          <w:color w:val="auto"/>
        </w:rPr>
        <w:t>During the years ended December 31, 2021 and 2020, we recorded dividends of $4.2 million and $2.9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million, respectively, on our Series E Preferred Stock. The increase was primarily attributable to the impact of the deemed dividend of $1.1 million as part of the preferred stock exchange, offset by a decrease in the recurring preferred stock dividends as 10,000 shares of Series E Preferred Stock were extinguished in September 2021, resulting in a lower preferred stock dividends accrued through the end of 2021. See Part IV Item 15. Note 8. </w:t>
      </w:r>
      <w:r>
        <w:rPr>
          <w:rFonts w:ascii="Arial" w:cs="Arial" w:eastAsia="Arial" w:hAnsi="Arial"/>
          <w:sz w:val="13"/>
          <w:szCs w:val="13"/>
          <w:i w:val="1"/>
          <w:iCs w:val="1"/>
          <w:color w:val="auto"/>
        </w:rPr>
        <w:t>Preferred Stock and Common Stock</w:t>
      </w:r>
      <w:r>
        <w:rPr>
          <w:rFonts w:ascii="Arial" w:cs="Arial" w:eastAsia="Arial" w:hAnsi="Arial"/>
          <w:sz w:val="13"/>
          <w:szCs w:val="13"/>
          <w:color w:val="auto"/>
        </w:rPr>
        <w:t xml:space="preserve"> in the accompanying consolidated financial statements for further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jc w:val="both"/>
        <w:ind w:right="20" w:firstLine="318"/>
        <w:spacing w:after="0" w:line="288" w:lineRule="auto"/>
        <w:rPr>
          <w:sz w:val="20"/>
          <w:szCs w:val="20"/>
          <w:color w:val="auto"/>
        </w:rPr>
      </w:pPr>
      <w:r>
        <w:rPr>
          <w:rFonts w:ascii="Arial" w:cs="Arial" w:eastAsia="Arial" w:hAnsi="Arial"/>
          <w:sz w:val="13"/>
          <w:szCs w:val="13"/>
          <w:color w:val="auto"/>
        </w:rPr>
        <w:t>Our principal sources of liquidity are our existing cash and cash equivalents, cash generated from operations and a revolving credit facility as discussed further below. As of December 31, 2022, we had available unrestricted cash and cash equivalents totaling $7.1 million and $6.1 million of availability under the Credit Facility compared with cash and cash equivalents of $46.5 million as of December 31, 2021. As of December 31, 2022, we had working capital of $21.4 million compared to working capital as of December 31, 2021 of $52.8 million.</w:t>
      </w:r>
    </w:p>
    <w:p>
      <w:pPr>
        <w:spacing w:after="0" w:line="77"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On July 30, 2021, we completed the sale of our Ctrack South Africa operations in Africa, Pakistan and the Middle East to an affiliate of Convergence. Initial cash proceeds of $36.6 million were received. Net cash proceeds received were $31.5 million, net of cash divested of $5.0 million. Final cash proceeds were subject to certain post-closing working capital adjustments which totaled $2.6 million, out of which $2.2 million was received on October 29, 2021, and the remaining $0.4 million was offset with our existing accounts payable balance to an affiliate of Convergence, an investment management firm in South Africa.</w:t>
      </w:r>
    </w:p>
    <w:p>
      <w:pPr>
        <w:spacing w:after="0" w:line="112" w:lineRule="exact"/>
        <w:rPr>
          <w:sz w:val="20"/>
          <w:szCs w:val="20"/>
          <w:color w:val="auto"/>
        </w:rPr>
      </w:pPr>
    </w:p>
    <w:p>
      <w:pPr>
        <w:ind w:firstLine="318"/>
        <w:spacing w:after="0" w:line="272" w:lineRule="auto"/>
        <w:rPr>
          <w:sz w:val="20"/>
          <w:szCs w:val="20"/>
          <w:color w:val="auto"/>
        </w:rPr>
      </w:pPr>
      <w:r>
        <w:rPr>
          <w:rFonts w:ascii="Arial" w:cs="Arial" w:eastAsia="Arial" w:hAnsi="Arial"/>
          <w:sz w:val="13"/>
          <w:szCs w:val="13"/>
          <w:color w:val="auto"/>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as filed with the SEC on May 7, 2020 and amended from time to time. In January 2021, we sold 1,516,073 shares of common stock, at an average price of $20.11 per share, for net proceeds of $29.4 million, after deducting underwriter fees and discounts of $0.9 million, and other offering fees, pursuant to the ATM Offering. As of December 31, 2022, there was approximately $9.5 million of cash, before underwriter fees and discounts, that we may generate from the issuance of shares of our common stock pursuant to the ATM Offering.</w:t>
      </w:r>
    </w:p>
    <w:p>
      <w:pPr>
        <w:spacing w:after="0" w:line="87" w:lineRule="exact"/>
        <w:rPr>
          <w:sz w:val="20"/>
          <w:szCs w:val="20"/>
          <w:color w:val="auto"/>
        </w:rPr>
      </w:pPr>
    </w:p>
    <w:p>
      <w:pPr>
        <w:ind w:firstLine="318"/>
        <w:spacing w:after="0" w:line="268" w:lineRule="auto"/>
        <w:rPr>
          <w:sz w:val="20"/>
          <w:szCs w:val="20"/>
          <w:color w:val="auto"/>
        </w:rPr>
      </w:pPr>
      <w:r>
        <w:rPr>
          <w:rFonts w:ascii="Arial" w:cs="Arial" w:eastAsia="Arial" w:hAnsi="Arial"/>
          <w:sz w:val="13"/>
          <w:szCs w:val="13"/>
          <w:color w:val="auto"/>
        </w:rPr>
        <w:t>We have a history of operating and net losses and overall usage of cash from operating and investing activities. We believe that our cash and cash equivalents, anticipated cash flows from operations, and our revolving credit facility will be sufficient to meet our cash flow needs for the next twelve months from the filing date of this report. Our ability to achieve profitable operations and generate positive cash flow is dependent upon achieving a level and mix of revenues adequate to support our evolving cost structure and increasing working capital needs. Our liquidity could be compromised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If events or circumstances occur such that we do not meet our operating plan as expected, we may be required to raise additional capital, reduce planned research and development activities, incur additional restructuring charges or reduce other operating expenses which could have an adverse impact on our ability to achieve our intended business objectives. If additional funds are raised by the issuance of equity securities, Company stockholders could experience dilution of their ownership interests and securities issued may have rights senior to those of the holders of the Company’s common stock. Additionally, we are uncertain of the full extent to which the COVID-19 pandemic may impact our business, operations and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Credit Facility</w:t>
      </w:r>
    </w:p>
    <w:p>
      <w:pPr>
        <w:spacing w:after="0" w:line="136" w:lineRule="exact"/>
        <w:rPr>
          <w:sz w:val="20"/>
          <w:szCs w:val="20"/>
          <w:color w:val="auto"/>
        </w:rPr>
      </w:pPr>
    </w:p>
    <w:p>
      <w:pPr>
        <w:ind w:right="40" w:firstLine="318"/>
        <w:spacing w:after="0" w:line="245" w:lineRule="auto"/>
        <w:rPr>
          <w:sz w:val="20"/>
          <w:szCs w:val="20"/>
          <w:color w:val="auto"/>
        </w:rPr>
      </w:pPr>
      <w:r>
        <w:rPr>
          <w:rFonts w:ascii="Arial" w:cs="Arial" w:eastAsia="Arial" w:hAnsi="Arial"/>
          <w:sz w:val="14"/>
          <w:szCs w:val="14"/>
          <w:color w:val="auto"/>
        </w:rPr>
        <w:t>On August 5, 2022, we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as subsequently amended on February 25, 2023. The Credit Agreement establishes a secured asset-backed revolving credit facility which is comprised of a maximum $50 million revolving credit facility (the “Credit Facility”), with a minimum draw of $4.5 million upon execution of the Credit Agreement. The Credit Facility matures on December 31, 2024. Availability under the Credit Facility is determined monthly by a Borrowing Base (as defined in the Credit Agreement) comprised of a percentage of eligible accounts receivable and eligible inventory of the Borrowers. Outstanding amounts exceeding the borrowing base must be repaid immediately. The Borrowers’ obligations under the Credit Agreement are guaranteed by us. Our obligations under the Credit Agreement are secured by a continuing security interest in all property of each Loan Party, subject to certain Excluded Collateral (as defined in the Credit Agreement).</w:t>
      </w:r>
    </w:p>
    <w:p>
      <w:pPr>
        <w:spacing w:after="0" w:line="107"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7" w:name="page48"/>
    <w:bookmarkEnd w:id="47"/>
    <w:p>
      <w:pPr>
        <w:ind w:right="220" w:firstLine="318"/>
        <w:spacing w:after="0" w:line="251" w:lineRule="auto"/>
        <w:rPr>
          <w:sz w:val="20"/>
          <w:szCs w:val="20"/>
          <w:color w:val="auto"/>
        </w:rPr>
      </w:pPr>
      <w:r>
        <w:rPr>
          <w:rFonts w:ascii="Arial" w:cs="Arial" w:eastAsia="Arial" w:hAnsi="Arial"/>
          <w:sz w:val="14"/>
          <w:szCs w:val="14"/>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 We pay monthly fees of 0.4% per annum on the unused portion of the Credit Facility.</w:t>
      </w:r>
    </w:p>
    <w:p>
      <w:pPr>
        <w:spacing w:after="0" w:line="101" w:lineRule="exact"/>
        <w:rPr>
          <w:sz w:val="20"/>
          <w:szCs w:val="20"/>
          <w:color w:val="auto"/>
        </w:rPr>
      </w:pPr>
    </w:p>
    <w:p>
      <w:pPr>
        <w:ind w:right="60" w:firstLine="318"/>
        <w:spacing w:after="0" w:line="259" w:lineRule="auto"/>
        <w:rPr>
          <w:sz w:val="20"/>
          <w:szCs w:val="20"/>
          <w:color w:val="auto"/>
        </w:rPr>
      </w:pPr>
      <w:r>
        <w:rPr>
          <w:rFonts w:ascii="Arial" w:cs="Arial" w:eastAsia="Arial" w:hAnsi="Arial"/>
          <w:sz w:val="14"/>
          <w:szCs w:val="14"/>
          <w:color w:val="auto"/>
        </w:rPr>
        <w:t>The Credit Agreement contains a financial covenant whereby the Loan Parties shall not permit the consolidated Liquidity (as defined in the Credit Agreement) to be less than $10 million at any time (the “Liquidity Covenant”). The Credit Agreement also contains certain customary covenants, which include, but are not limited to, restrictions on indebtedness, liens, fundamental changes, restricted payments, asset sales, and investments, and places limits on various other payments.</w:t>
      </w:r>
    </w:p>
    <w:p>
      <w:pPr>
        <w:spacing w:after="0" w:line="9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4"/>
          <w:szCs w:val="14"/>
          <w:color w:val="auto"/>
        </w:rPr>
        <w:t>We determined that the term “Eligible Accounts”, as defined in the Credit Agreement would have excluded certain balances used in the determination of eligible collateral upon which our borrowing base is calculated and that exclusion would have resulted in a violation of the liquidity covenant as of December 31, 2022. Accordingly, to clarify this matter and others, the Loan Parties agreed to amend the Credit Agreement, (the “Amended Credit Agreement”) to modify and clarify the definitions of “Eligible Accounts”, “Permitted Indebtedness” and “Eligible Inventory”. The Amended Credit Agreement was entered into on February 25, 2023 with an effective date of December 15, 2022. We were in compliance with the financial covenants in the Amended Credit Agreement as of December 31, 2022.</w:t>
      </w:r>
    </w:p>
    <w:p>
      <w:pPr>
        <w:spacing w:after="0" w:line="99" w:lineRule="exact"/>
        <w:rPr>
          <w:sz w:val="20"/>
          <w:szCs w:val="20"/>
          <w:color w:val="auto"/>
        </w:rPr>
      </w:pPr>
    </w:p>
    <w:p>
      <w:pPr>
        <w:ind w:right="100" w:firstLine="318"/>
        <w:spacing w:after="0" w:line="265" w:lineRule="auto"/>
        <w:rPr>
          <w:sz w:val="20"/>
          <w:szCs w:val="20"/>
          <w:color w:val="auto"/>
        </w:rPr>
      </w:pPr>
      <w:r>
        <w:rPr>
          <w:rFonts w:ascii="Arial" w:cs="Arial" w:eastAsia="Arial" w:hAnsi="Arial"/>
          <w:sz w:val="14"/>
          <w:szCs w:val="14"/>
          <w:color w:val="auto"/>
        </w:rPr>
        <w:t>Upon execution of the Credit Agreement, we paid $1.1 million of debt issuance costs. As of December 31, 2022, we had outstanding borrowings of $7.9 million, gross borrowing base of $15.7 million and availability of $7.8 million.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2025 Notes</w:t>
      </w:r>
    </w:p>
    <w:p>
      <w:pPr>
        <w:spacing w:after="0" w:line="125" w:lineRule="exact"/>
        <w:rPr>
          <w:sz w:val="20"/>
          <w:szCs w:val="20"/>
          <w:color w:val="auto"/>
        </w:rPr>
      </w:pPr>
    </w:p>
    <w:p>
      <w:pPr>
        <w:ind w:right="140" w:firstLine="318"/>
        <w:spacing w:after="0" w:line="265" w:lineRule="auto"/>
        <w:rPr>
          <w:sz w:val="20"/>
          <w:szCs w:val="20"/>
          <w:color w:val="auto"/>
        </w:rPr>
      </w:pPr>
      <w:r>
        <w:rPr>
          <w:rFonts w:ascii="Arial" w:cs="Arial" w:eastAsia="Arial" w:hAnsi="Arial"/>
          <w:sz w:val="14"/>
          <w:szCs w:val="14"/>
          <w:color w:val="auto"/>
        </w:rPr>
        <w:t>On May 12, 2020, we completed a registered public offering of $100.0 million aggregate principal amount of 2025 Notes and issued $80.4 million principal amount of 2025 Notes in privately negotiated exchange agreements that closed concurrently with the registered offering in May 2020.</w:t>
      </w:r>
    </w:p>
    <w:p>
      <w:pPr>
        <w:spacing w:after="0" w:line="101" w:lineRule="exact"/>
        <w:rPr>
          <w:sz w:val="20"/>
          <w:szCs w:val="20"/>
          <w:color w:val="auto"/>
        </w:rPr>
      </w:pPr>
    </w:p>
    <w:p>
      <w:pPr>
        <w:ind w:right="120" w:firstLine="318"/>
        <w:spacing w:after="0" w:line="251" w:lineRule="auto"/>
        <w:rPr>
          <w:sz w:val="20"/>
          <w:szCs w:val="20"/>
          <w:color w:val="auto"/>
        </w:rPr>
      </w:pPr>
      <w:r>
        <w:rPr>
          <w:rFonts w:ascii="Arial" w:cs="Arial" w:eastAsia="Arial" w:hAnsi="Arial"/>
          <w:sz w:val="14"/>
          <w:szCs w:val="14"/>
          <w:color w:val="auto"/>
        </w:rPr>
        <w:t>As of December 31, 2022 and December 31, 2021, $161.9 million in principal amount of the 2025 Notes were outstanding.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Historical Cash Flows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our consolidated statements of cash flows for the periods indicated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3"/>
        </w:trPr>
        <w:tc>
          <w:tcPr>
            <w:tcW w:w="75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w:t>
            </w:r>
          </w:p>
        </w:tc>
      </w:tr>
      <w:tr>
        <w:trPr>
          <w:trHeight w:val="167"/>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operating activities</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(33,289)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20,050</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(13,319)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(34,713)</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42,081</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rates on cash</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w:t>
            </w:r>
          </w:p>
        </w:tc>
      </w:tr>
      <w:tr>
        <w:trPr>
          <w:trHeight w:val="163"/>
        </w:trPr>
        <w:tc>
          <w:tcPr>
            <w:tcW w:w="75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Net (decrease) increase in cash, cash equivalents and restricted cash</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(42,669)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27,941</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49,812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12,074</w:t>
            </w:r>
          </w:p>
        </w:tc>
      </w:tr>
      <w:tr>
        <w:trPr>
          <w:trHeight w:val="18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40,015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25" w:lineRule="exact"/>
        <w:rPr>
          <w:sz w:val="20"/>
          <w:szCs w:val="20"/>
          <w:color w:val="auto"/>
        </w:rPr>
      </w:pPr>
    </w:p>
    <w:p>
      <w:pPr>
        <w:ind w:right="80" w:firstLine="318"/>
        <w:spacing w:after="0" w:line="259" w:lineRule="auto"/>
        <w:rPr>
          <w:sz w:val="20"/>
          <w:szCs w:val="20"/>
          <w:color w:val="auto"/>
        </w:rPr>
      </w:pPr>
      <w:r>
        <w:rPr>
          <w:rFonts w:ascii="Arial" w:cs="Arial" w:eastAsia="Arial" w:hAnsi="Arial"/>
          <w:sz w:val="14"/>
          <w:szCs w:val="14"/>
          <w:color w:val="auto"/>
        </w:rPr>
        <w:t>Net cash used in operating activities for the year ended December 31, 2022 was $33.3 million and reflected a net loss of $68.0 million due to changes in working capital and non-cash fair value adjustment on our derivative instruments, offset by non-cash charges for share-based compensation expense, depreciation and amortization, including the amortization of debt discount and debt issuance costs and capitalized software impairment.</w:t>
      </w:r>
    </w:p>
    <w:p>
      <w:pPr>
        <w:spacing w:after="0" w:line="94" w:lineRule="exact"/>
        <w:rPr>
          <w:sz w:val="20"/>
          <w:szCs w:val="20"/>
          <w:color w:val="auto"/>
        </w:rPr>
      </w:pPr>
    </w:p>
    <w:p>
      <w:pPr>
        <w:ind w:right="180" w:firstLine="318"/>
        <w:spacing w:after="0" w:line="259" w:lineRule="auto"/>
        <w:rPr>
          <w:sz w:val="20"/>
          <w:szCs w:val="20"/>
          <w:color w:val="auto"/>
        </w:rPr>
      </w:pPr>
      <w:r>
        <w:rPr>
          <w:rFonts w:ascii="Arial" w:cs="Arial" w:eastAsia="Arial" w:hAnsi="Arial"/>
          <w:sz w:val="14"/>
          <w:szCs w:val="14"/>
          <w:color w:val="auto"/>
        </w:rPr>
        <w:t>Net cash used in operating activities for the year ended December 31, 2021 was $25.2 million and reflected a net loss of $47.9 million due to changes in working capital, the gain on sale of Ctrack South Africa and a non-cash fair value adjustment on our derivative instruments, offset by non-cash charges for share-based compensation expense, depreciation and amortization, including the amortization of debt discount and debt issuance costs.</w:t>
      </w:r>
    </w:p>
    <w:p>
      <w:pPr>
        <w:spacing w:after="0" w:line="94"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Net cash provided by operating activities for the year ended December 31, 2020 was primarily attributable to non-cash charges for loss on debt extinguishment, depreciation and amortization, including the amortization of debt discount and debt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issuance costs, and share-based compensation expense, offset by the net loss of $111.2 million incurred during the period and changes in working capital.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cash used in investing activities during the year ended December 31, 2022 was $13.3 million compared to $6.1 million provided by investing activities for the year ended December 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2021</w:t>
      </w:r>
      <w:r>
        <w:rPr>
          <w:rFonts w:ascii="Arial" w:cs="Arial" w:eastAsia="Arial" w:hAnsi="Arial"/>
          <w:sz w:val="14"/>
          <w:szCs w:val="14"/>
          <w:b w:val="1"/>
          <w:bCs w:val="1"/>
          <w:i w:val="1"/>
          <w:iCs w:val="1"/>
          <w:color w:val="auto"/>
        </w:rPr>
        <w:t>.</w:t>
      </w:r>
    </w:p>
    <w:p>
      <w:pPr>
        <w:spacing w:after="0" w:line="113" w:lineRule="exact"/>
        <w:rPr>
          <w:sz w:val="20"/>
          <w:szCs w:val="20"/>
          <w:color w:val="auto"/>
        </w:rPr>
      </w:pPr>
    </w:p>
    <w:p>
      <w:pPr>
        <w:ind w:right="480" w:firstLine="318"/>
        <w:spacing w:after="0" w:line="281" w:lineRule="auto"/>
        <w:rPr>
          <w:sz w:val="20"/>
          <w:szCs w:val="20"/>
          <w:color w:val="auto"/>
        </w:rPr>
      </w:pPr>
      <w:r>
        <w:rPr>
          <w:rFonts w:ascii="Arial" w:cs="Arial" w:eastAsia="Arial" w:hAnsi="Arial"/>
          <w:sz w:val="14"/>
          <w:szCs w:val="14"/>
          <w:color w:val="auto"/>
        </w:rPr>
        <w:t>Net cash used in investing activities during the year ended December 31, 2022 was primarily from capitalization of certain costs related to the development of software to be sold in our products, as well as purchases of property, plant and equipment.</w:t>
      </w:r>
    </w:p>
    <w:p>
      <w:pPr>
        <w:spacing w:after="0" w:line="79" w:lineRule="exact"/>
        <w:rPr>
          <w:sz w:val="20"/>
          <w:szCs w:val="20"/>
          <w:color w:val="auto"/>
        </w:rPr>
      </w:pPr>
    </w:p>
    <w:p>
      <w:pPr>
        <w:ind w:firstLine="318"/>
        <w:spacing w:after="0" w:line="304" w:lineRule="auto"/>
        <w:rPr>
          <w:sz w:val="20"/>
          <w:szCs w:val="20"/>
          <w:color w:val="auto"/>
        </w:rPr>
      </w:pPr>
      <w:r>
        <w:rPr>
          <w:rFonts w:ascii="Arial" w:cs="Arial" w:eastAsia="Arial" w:hAnsi="Arial"/>
          <w:sz w:val="13"/>
          <w:szCs w:val="13"/>
          <w:color w:val="auto"/>
        </w:rPr>
        <w:t>Net cash provided by investing activities during the year ended December 31, 2021 was primarily from the proceeds from sale of Ctrack South Africa, partially offset by purchases of intangible assets and capitalization of certain costs related to the development of software to be sold in our products, as well as purchases of property, plant and equipment.</w:t>
      </w:r>
    </w:p>
    <w:p>
      <w:pPr>
        <w:spacing w:after="0" w:line="78"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Net cash used in investing activities during the year ended December 31, 2020 was primarily related to the purchases of property, plant and equipment and capitalization of certain costs related to the development of software to be sold in our products, in large part due to the increase in development in support of 5G products and services as well as certain internally developed software projects.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25" w:lineRule="exact"/>
        <w:rPr>
          <w:sz w:val="20"/>
          <w:szCs w:val="20"/>
          <w:color w:val="auto"/>
        </w:rPr>
      </w:pPr>
    </w:p>
    <w:p>
      <w:pPr>
        <w:ind w:right="100" w:firstLine="318"/>
        <w:spacing w:after="0" w:line="304" w:lineRule="auto"/>
        <w:rPr>
          <w:sz w:val="20"/>
          <w:szCs w:val="20"/>
          <w:color w:val="auto"/>
        </w:rPr>
      </w:pPr>
      <w:r>
        <w:rPr>
          <w:rFonts w:ascii="Arial" w:cs="Arial" w:eastAsia="Arial" w:hAnsi="Arial"/>
          <w:sz w:val="13"/>
          <w:szCs w:val="13"/>
          <w:color w:val="auto"/>
        </w:rPr>
        <w:t>Net cash provided by financing activities during the year ended December 31, 2022 was primarily comprised of $6.8 million of cash inflows (consisting of borrowings of $12.4 million, net of $4.5 million in repayments and $1.1 million in debt issuance costs) related to our Credit Facility, partially offset by $1.6 million in principal payments for finance assets.</w:t>
      </w:r>
    </w:p>
    <w:p>
      <w:pPr>
        <w:spacing w:after="0" w:line="78" w:lineRule="exact"/>
        <w:rPr>
          <w:sz w:val="20"/>
          <w:szCs w:val="20"/>
          <w:color w:val="auto"/>
        </w:rPr>
      </w:pPr>
    </w:p>
    <w:p>
      <w:pPr>
        <w:ind w:firstLine="318"/>
        <w:spacing w:after="0" w:line="265" w:lineRule="auto"/>
        <w:rPr>
          <w:sz w:val="20"/>
          <w:szCs w:val="20"/>
          <w:color w:val="auto"/>
        </w:rPr>
      </w:pPr>
      <w:r>
        <w:rPr>
          <w:rFonts w:ascii="Arial" w:cs="Arial" w:eastAsia="Arial" w:hAnsi="Arial"/>
          <w:sz w:val="14"/>
          <w:szCs w:val="14"/>
          <w:color w:val="auto"/>
        </w:rPr>
        <w:t>Net cash provided by financing activities during the year ended December 31, 2021 was primarily related to net proceeds received from the ATM Offering, stock option exercises and purchases through our employee stock purchase plan, partially offset by principal payments under finance lease arrangements.</w:t>
      </w:r>
    </w:p>
    <w:p>
      <w:pPr>
        <w:spacing w:after="0" w:line="90" w:lineRule="exact"/>
        <w:rPr>
          <w:sz w:val="20"/>
          <w:szCs w:val="20"/>
          <w:color w:val="auto"/>
        </w:rPr>
      </w:pPr>
    </w:p>
    <w:p>
      <w:pPr>
        <w:ind w:right="140" w:firstLine="318"/>
        <w:spacing w:after="0" w:line="251" w:lineRule="auto"/>
        <w:rPr>
          <w:sz w:val="20"/>
          <w:szCs w:val="20"/>
          <w:color w:val="auto"/>
        </w:rPr>
      </w:pPr>
      <w:r>
        <w:rPr>
          <w:rFonts w:ascii="Arial" w:cs="Arial" w:eastAsia="Arial" w:hAnsi="Arial"/>
          <w:sz w:val="14"/>
          <w:szCs w:val="14"/>
          <w:color w:val="auto"/>
        </w:rPr>
        <w:t>Net cash provided by financing activities during the year ended December 31, 2020 was primarily attributable to the proceeds received from the issuance of our 2025 Notes, net of issuance costs, the issuance and sale of Series E Preferred Stock and the exercise of warrants to purchase common stock, as well as proceeds received from stock option exercises and purchases made under the employee stock purchase plan, partially offset by net repayments of bank and overdraft facilities, repurchase of Series E preferred stock, principal payments under our previous term loan, principal payments under finance lease obligations and taxes paid on vested restricted stock units.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29" w:lineRule="exact"/>
        <w:rPr>
          <w:sz w:val="20"/>
          <w:szCs w:val="20"/>
          <w:color w:val="auto"/>
        </w:rPr>
      </w:pPr>
    </w:p>
    <w:p>
      <w:pPr>
        <w:jc w:val="both"/>
        <w:ind w:right="80" w:firstLine="318"/>
        <w:spacing w:after="0" w:line="259" w:lineRule="auto"/>
        <w:rPr>
          <w:sz w:val="20"/>
          <w:szCs w:val="20"/>
          <w:color w:val="auto"/>
        </w:rPr>
      </w:pPr>
      <w:r>
        <w:rPr>
          <w:rFonts w:ascii="Arial" w:cs="Arial" w:eastAsia="Arial" w:hAnsi="Arial"/>
          <w:sz w:val="14"/>
          <w:szCs w:val="14"/>
          <w:color w:val="auto"/>
        </w:rPr>
        <w:t>In order 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2022, our material contractual obligations consisted of the following:</w:t>
      </w:r>
    </w:p>
    <w:p>
      <w:pPr>
        <w:spacing w:after="0" w:line="94"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color w:val="auto"/>
        </w:rPr>
        <w:t xml:space="preserve">$161.9 million in outstanding principal amount of 2025 Notes with required interest payments; see Part IV Item 15 Note 6. </w:t>
      </w:r>
      <w:r>
        <w:rPr>
          <w:rFonts w:ascii="Arial" w:cs="Arial" w:eastAsia="Arial" w:hAnsi="Arial"/>
          <w:sz w:val="14"/>
          <w:szCs w:val="14"/>
          <w:i w:val="1"/>
          <w:iCs w:val="1"/>
          <w:color w:val="auto"/>
        </w:rPr>
        <w:t>Debt</w:t>
      </w:r>
      <w:r>
        <w:rPr>
          <w:rFonts w:ascii="Arial" w:cs="Arial" w:eastAsia="Arial" w:hAnsi="Arial"/>
          <w:sz w:val="14"/>
          <w:szCs w:val="14"/>
          <w:color w:val="auto"/>
        </w:rPr>
        <w:t>;</w:t>
      </w:r>
    </w:p>
    <w:p>
      <w:pPr>
        <w:spacing w:after="0" w:line="125"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color w:val="auto"/>
        </w:rPr>
        <w:t xml:space="preserve">$7.9 million in outstanding borrowings under the Credit Facility; see Part IV Item 15 Note 6. </w:t>
      </w:r>
      <w:r>
        <w:rPr>
          <w:rFonts w:ascii="Arial" w:cs="Arial" w:eastAsia="Arial" w:hAnsi="Arial"/>
          <w:sz w:val="14"/>
          <w:szCs w:val="14"/>
          <w:i w:val="1"/>
          <w:iCs w:val="1"/>
          <w:color w:val="auto"/>
        </w:rPr>
        <w:t>Debt</w:t>
      </w:r>
      <w:r>
        <w:rPr>
          <w:rFonts w:ascii="Arial" w:cs="Arial" w:eastAsia="Arial" w:hAnsi="Arial"/>
          <w:sz w:val="14"/>
          <w:szCs w:val="14"/>
          <w:color w:val="auto"/>
        </w:rPr>
        <w:t>;</w:t>
      </w:r>
    </w:p>
    <w:p>
      <w:pPr>
        <w:spacing w:after="0" w:line="136"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Operating lease liabilities that are included on our consolidated balance sheet; see Part IV Item 15 Note 12. </w:t>
      </w:r>
      <w:r>
        <w:rPr>
          <w:rFonts w:ascii="Arial" w:cs="Arial" w:eastAsia="Arial" w:hAnsi="Arial"/>
          <w:sz w:val="14"/>
          <w:szCs w:val="14"/>
          <w:i w:val="1"/>
          <w:iCs w:val="1"/>
          <w:color w:val="auto"/>
        </w:rPr>
        <w:t>Leases</w:t>
      </w:r>
      <w:r>
        <w:rPr>
          <w:rFonts w:ascii="Arial" w:cs="Arial" w:eastAsia="Arial" w:hAnsi="Arial"/>
          <w:sz w:val="14"/>
          <w:szCs w:val="14"/>
          <w:color w:val="auto"/>
        </w:rPr>
        <w:t>;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i w:val="1"/>
          <w:iCs w:val="1"/>
          <w:color w:val="auto"/>
        </w:rPr>
      </w:pPr>
      <w:r>
        <w:rPr>
          <w:rFonts w:ascii="Arial" w:cs="Arial" w:eastAsia="Arial" w:hAnsi="Arial"/>
          <w:sz w:val="14"/>
          <w:szCs w:val="14"/>
          <w:color w:val="auto"/>
        </w:rPr>
        <w:t xml:space="preserve">other non-cancellable unconditional purchase obligations totaling approximating $77.6 million; see Part IV Item 15 Note 11.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40" w:lineRule="exact"/>
        <w:rPr>
          <w:sz w:val="20"/>
          <w:szCs w:val="20"/>
          <w:color w:val="auto"/>
        </w:rPr>
      </w:pPr>
    </w:p>
    <w:p>
      <w:pPr>
        <w:ind w:right="220" w:firstLine="318"/>
        <w:spacing w:after="0" w:line="349"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1" w:right="37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i w:val="1"/>
          <w:iCs w:val="1"/>
          <w:color w:val="auto"/>
        </w:rPr>
        <w:t>Software Development Costs for External Use</w:t>
      </w:r>
    </w:p>
    <w:p>
      <w:pPr>
        <w:spacing w:after="0" w:line="125"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Software development costs for external use are expensed as incurred until technological feasibility has been established, at which time those costs are capitalized as intangible assets until the software is available for general release to customers.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establishment of technological feasibility and the ongoing assessment for recoverability of capitalized computer software development costs requires considerable judgment by us with</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respect to certain external factors including, but not limited to, technological feasibility, anticipated future gross revenues, estimated economic life and changes in software and hardware technologies.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Capitalized software development costs are comprised primarily of salaries, other direct payroll-related costs and payments to third party vendors.</w:t>
      </w:r>
    </w:p>
    <w:p>
      <w:pPr>
        <w:spacing w:after="0" w:line="115"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Capitalized software development costs are amortized on a straight-line basis over the estimated economic life. Costs incurred to enhance existing software or after the software is available for general release to customers are expensed in the period they are incurred and included in research and development expense in our consolidated statements of operations. The straight-line recognition method approximates the manner in which the expected benefit will be derived. At each balance sheet date, the unamortized capitalized software development costs for external use is compared to the net realizable value of that product by analyzing critical inputs such as expected future lifetime revenue. The amount by which unamortized software costs exceed the net realizable value, if any, is recognized as a charge to amortization expense in the period it is determined.</w:t>
      </w:r>
    </w:p>
    <w:p>
      <w:pPr>
        <w:spacing w:after="0" w:line="108"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 and Embedded Derivative</w:t>
      </w:r>
    </w:p>
    <w:p>
      <w:pPr>
        <w:spacing w:after="0" w:line="136" w:lineRule="exact"/>
        <w:rPr>
          <w:sz w:val="20"/>
          <w:szCs w:val="20"/>
          <w:color w:val="auto"/>
        </w:rPr>
      </w:pPr>
    </w:p>
    <w:p>
      <w:pPr>
        <w:ind w:right="220" w:firstLine="318"/>
        <w:spacing w:after="0" w:line="251" w:lineRule="auto"/>
        <w:rPr>
          <w:sz w:val="20"/>
          <w:szCs w:val="20"/>
          <w:color w:val="auto"/>
        </w:rPr>
      </w:pPr>
      <w:r>
        <w:rPr>
          <w:rFonts w:ascii="Arial" w:cs="Arial" w:eastAsia="Arial" w:hAnsi="Arial"/>
          <w:sz w:val="14"/>
          <w:szCs w:val="14"/>
          <w:color w:val="auto"/>
        </w:rPr>
        <w:t>Our total fixed-rate borrowings under the 2025 Notes as of December 31, 2022 and 2021 were $161.9 million. We record all of our fixed-rate borrowings at amortized cost and therefore, any changes in interest rates do not impact the values that we report for these senior notes on our consolidated financial statements. As of December 31, 2022 and 2021, we had no variable-rate borrowings related to the 2025 Notes.</w:t>
      </w:r>
    </w:p>
    <w:p>
      <w:pPr>
        <w:spacing w:after="0" w:line="110"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 xml:space="preserve">The 2025 Notes include an embedded derivative which was marked to fair value at December 31, 2022 and 2021 of $0.0 million and $0.9 million, respectively.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IV Part 15 Note 4. </w:t>
      </w:r>
      <w:r>
        <w:rPr>
          <w:rFonts w:ascii="Arial" w:cs="Arial" w:eastAsia="Arial" w:hAnsi="Arial"/>
          <w:sz w:val="14"/>
          <w:szCs w:val="14"/>
          <w:i w:val="1"/>
          <w:iCs w:val="1"/>
          <w:color w:val="auto"/>
        </w:rPr>
        <w:t>Fair Value Measurement of Assets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Liabilities </w:t>
      </w:r>
      <w:r>
        <w:rPr>
          <w:rFonts w:ascii="Arial" w:cs="Arial" w:eastAsia="Arial" w:hAnsi="Arial"/>
          <w:sz w:val="14"/>
          <w:szCs w:val="14"/>
          <w:color w:val="auto"/>
        </w:rPr>
        <w:t>and Note 6.</w:t>
      </w:r>
      <w:r>
        <w:rPr>
          <w:rFonts w:ascii="Arial" w:cs="Arial" w:eastAsia="Arial" w:hAnsi="Arial"/>
          <w:sz w:val="14"/>
          <w:szCs w:val="14"/>
          <w:i w:val="1"/>
          <w:iCs w:val="1"/>
          <w:color w:val="auto"/>
        </w:rPr>
        <w:t xml:space="preserve"> Debt </w:t>
      </w:r>
      <w:r>
        <w:rPr>
          <w:rFonts w:ascii="Arial" w:cs="Arial" w:eastAsia="Arial" w:hAnsi="Arial"/>
          <w:sz w:val="14"/>
          <w:szCs w:val="14"/>
          <w:color w:val="auto"/>
        </w:rPr>
        <w:t>in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125"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We are exposed to interest rate risk associated with fluctuations in interest rates on our Credit Facility. As of December 31, 2022, assuming our Credit Facility was fully drawn up to the $15.7 million borrowing base, a 1% increase in interest rates would result in a $0.1 million change in annualized 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3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Inflation has increased during the period covered by this Annual Report on Form 10-K,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Risk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Transaction Risk</w:t>
      </w:r>
    </w:p>
    <w:p>
      <w:pPr>
        <w:spacing w:after="0" w:line="125" w:lineRule="exact"/>
        <w:rPr>
          <w:sz w:val="20"/>
          <w:szCs w:val="20"/>
          <w:color w:val="auto"/>
        </w:rPr>
      </w:pPr>
    </w:p>
    <w:p>
      <w:pPr>
        <w:ind w:right="140" w:firstLine="318"/>
        <w:spacing w:after="0" w:line="251" w:lineRule="auto"/>
        <w:rPr>
          <w:sz w:val="20"/>
          <w:szCs w:val="20"/>
          <w:color w:val="auto"/>
        </w:rPr>
      </w:pPr>
      <w:r>
        <w:rPr>
          <w:rFonts w:ascii="Arial" w:cs="Arial" w:eastAsia="Arial" w:hAnsi="Arial"/>
          <w:sz w:val="14"/>
          <w:szCs w:val="14"/>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12" w:lineRule="exact"/>
        <w:rPr>
          <w:sz w:val="20"/>
          <w:szCs w:val="20"/>
          <w:color w:val="auto"/>
        </w:rPr>
      </w:pPr>
    </w:p>
    <w:p>
      <w:pPr>
        <w:ind w:right="120" w:firstLine="318"/>
        <w:spacing w:after="0" w:line="265" w:lineRule="auto"/>
        <w:rPr>
          <w:sz w:val="20"/>
          <w:szCs w:val="20"/>
          <w:color w:val="auto"/>
        </w:rPr>
      </w:pPr>
      <w:r>
        <w:rPr>
          <w:rFonts w:ascii="Arial" w:cs="Arial" w:eastAsia="Arial" w:hAnsi="Arial"/>
          <w:sz w:val="14"/>
          <w:szCs w:val="14"/>
          <w:color w:val="auto"/>
        </w:rPr>
        <w:t>For the fiscal year ended December 31, 2022, sales denominated in foreign currencies were approximately 17.7% of total revenue. Our expenses are generally denominated in the currencies in which our operations are located, which are primarily 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50" w:name="page51"/>
    <w:bookmarkEnd w:id="50"/>
    <w:p>
      <w:pPr>
        <w:ind w:right="20"/>
        <w:spacing w:after="0" w:line="272" w:lineRule="auto"/>
        <w:rPr>
          <w:sz w:val="20"/>
          <w:szCs w:val="20"/>
          <w:color w:val="auto"/>
        </w:rPr>
      </w:pPr>
      <w:r>
        <w:rPr>
          <w:rFonts w:ascii="Arial" w:cs="Arial" w:eastAsia="Arial" w:hAnsi="Arial"/>
          <w:sz w:val="13"/>
          <w:szCs w:val="13"/>
          <w:color w:val="auto"/>
        </w:rPr>
        <w:t>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British Pound Sterling, Euro, and Australian Dollar (collectively, the “Foreign Functional Currencies”). For the twelve months ended December 31, 2022, a hypothetical 10% change in Foreign Functional Currency exchange rates would have increased or decreased our revenue by approximately $4.3 million. Actual gains and losses in the future may differ materially from the hypothetical gains and losses discussed above based on changes in the timing and amount of foreign currency exchange rate movements. With the completion of Ctrack South Africa divestiture in July 2021, our foreign currency transaction risk is expected to decrease.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 Risk</w:t>
      </w:r>
    </w:p>
    <w:p>
      <w:pPr>
        <w:spacing w:after="0" w:line="125"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 With the completion of the Ctrack South Africa divestiture in July 2021, our foreign currency translation risk is expected to decrease.</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consolidated financial statements and the Reports of Independent Registered Public Accounting Firms appear in Part IV of this report.</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29" w:lineRule="exact"/>
        <w:rPr>
          <w:sz w:val="20"/>
          <w:szCs w:val="20"/>
          <w:color w:val="auto"/>
        </w:rPr>
      </w:pPr>
    </w:p>
    <w:p>
      <w:pPr>
        <w:ind w:right="20" w:firstLine="318"/>
        <w:spacing w:after="0" w:line="322" w:lineRule="auto"/>
        <w:rPr>
          <w:sz w:val="20"/>
          <w:szCs w:val="20"/>
          <w:color w:val="auto"/>
        </w:rPr>
      </w:pPr>
      <w:r>
        <w:rPr>
          <w:rFonts w:ascii="Arial" w:cs="Arial" w:eastAsia="Arial" w:hAnsi="Arial"/>
          <w:sz w:val="12"/>
          <w:szCs w:val="12"/>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60"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2022, the end of the period covered by this report. Based on the foregoing, our principal executive officer and principal financial and accounting officer concluded that our disclosure controls and procedures were effective as of December 31, 2022.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40"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102" w:lineRule="exact"/>
        <w:rPr>
          <w:sz w:val="20"/>
          <w:szCs w:val="20"/>
          <w:color w:val="auto"/>
        </w:rPr>
      </w:pPr>
    </w:p>
    <w:p>
      <w:pPr>
        <w:ind w:right="80" w:firstLine="318"/>
        <w:spacing w:after="0" w:line="251" w:lineRule="auto"/>
        <w:rPr>
          <w:sz w:val="20"/>
          <w:szCs w:val="20"/>
          <w:color w:val="auto"/>
        </w:rPr>
      </w:pPr>
      <w:r>
        <w:rPr>
          <w:rFonts w:ascii="Arial" w:cs="Arial" w:eastAsia="Arial" w:hAnsi="Arial"/>
          <w:sz w:val="14"/>
          <w:szCs w:val="14"/>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Control—Integrated Framework</w:t>
      </w:r>
      <w:r>
        <w:rPr>
          <w:rFonts w:ascii="Arial" w:cs="Arial" w:eastAsia="Arial" w:hAnsi="Arial"/>
          <w:sz w:val="14"/>
          <w:szCs w:val="14"/>
          <w:color w:val="auto"/>
        </w:rPr>
        <w:t>. Based on our evaluation under the framework in</w:t>
      </w:r>
      <w:r>
        <w:rPr>
          <w:rFonts w:ascii="Arial" w:cs="Arial" w:eastAsia="Arial" w:hAnsi="Arial"/>
          <w:sz w:val="14"/>
          <w:szCs w:val="14"/>
          <w:i w:val="1"/>
          <w:iCs w:val="1"/>
          <w:color w:val="auto"/>
        </w:rPr>
        <w:t xml:space="preserve"> Internal Control—Integrated Framework</w:t>
      </w:r>
      <w:r>
        <w:rPr>
          <w:rFonts w:ascii="Arial" w:cs="Arial" w:eastAsia="Arial" w:hAnsi="Arial"/>
          <w:sz w:val="14"/>
          <w:szCs w:val="14"/>
          <w:color w:val="auto"/>
        </w:rPr>
        <w:t>, our management concluded that our internal control over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reporting was effective as of December 31, 2022.</w:t>
      </w:r>
    </w:p>
    <w:p>
      <w:pPr>
        <w:spacing w:after="0" w:line="112" w:lineRule="exact"/>
        <w:rPr>
          <w:sz w:val="20"/>
          <w:szCs w:val="20"/>
          <w:color w:val="auto"/>
        </w:rPr>
      </w:pPr>
    </w:p>
    <w:p>
      <w:pPr>
        <w:ind w:right="200" w:firstLine="318"/>
        <w:spacing w:after="0" w:line="304" w:lineRule="auto"/>
        <w:rPr>
          <w:sz w:val="20"/>
          <w:szCs w:val="20"/>
          <w:color w:val="auto"/>
        </w:rPr>
      </w:pPr>
      <w:r>
        <w:rPr>
          <w:rFonts w:ascii="Arial" w:cs="Arial" w:eastAsia="Arial" w:hAnsi="Arial"/>
          <w:sz w:val="13"/>
          <w:szCs w:val="13"/>
          <w:color w:val="auto"/>
        </w:rPr>
        <w:t>Marcum LLP, the independent registered public accounting firm that audited the consolidated financial statements included in this Annual Report on Form 10-K, has also audited our internal control over financial reporting as of December 31, 2022. Their report on the effectiveness of the Company’s internal control over financial reporting is included below.</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1"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9"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Inseego Corp.</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We have audited Inseego Corp.'s (the “Company”) internal control over financial reporting as of December 31, 2022 based on criteria established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balance sheets as of December 31, 2022 and 2021 and the related consolidated statements of operations, comprehensive loss, stockholders’ deficit, and cash flows and the related notes for each of the three years in the period ended December 31, 2022 of the Company, and our report dated March 2, 2023 expressed an unqualified opinion on those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 xml:space="preserve">/s/ Marcum </w:t>
      </w:r>
      <w:r>
        <w:rPr>
          <w:rFonts w:ascii="Arial" w:cs="Arial" w:eastAsia="Arial" w:hAnsi="Arial"/>
          <w:sz w:val="11"/>
          <w:szCs w:val="11"/>
          <w:color w:val="auto"/>
        </w:rPr>
        <w:t>LLP</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Marcum </w:t>
      </w:r>
      <w:r>
        <w:rPr>
          <w:rFonts w:ascii="Arial" w:cs="Arial" w:eastAsia="Arial" w:hAnsi="Arial"/>
          <w:sz w:val="11"/>
          <w:szCs w:val="11"/>
          <w:color w:val="auto"/>
        </w:rPr>
        <w:t>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March 2, 2023</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9C. </w:t>
      </w:r>
      <w:r>
        <w:rPr>
          <w:rFonts w:ascii="Arial" w:cs="Arial" w:eastAsia="Arial" w:hAnsi="Arial"/>
          <w:sz w:val="14"/>
          <w:szCs w:val="14"/>
          <w:b w:val="1"/>
          <w:bCs w:val="1"/>
          <w:i w:val="1"/>
          <w:iCs w:val="1"/>
          <w:color w:val="auto"/>
        </w:rPr>
        <w:t>Disclosure Regarding Foreign Jurisdictions that Prevent Inspections.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38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61"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10, 11, 12, 13 and 14.</w:t>
      </w:r>
    </w:p>
    <w:p>
      <w:pPr>
        <w:spacing w:after="0" w:line="129"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The information required by Items 10, 11, 12, 13 and 14 is incorporated by reference from the Company’s definitive proxy statement for the 2023 Annual Meeting of Stockholders or an amendment to this report, which the Company intends to file with the SEC within 120 days of the end of the fiscal year end to which this report relates.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 and Financial Statement Schedules</w:t>
      </w:r>
    </w:p>
    <w:p>
      <w:pPr>
        <w:spacing w:after="0" w:line="129" w:lineRule="exact"/>
        <w:rPr>
          <w:sz w:val="20"/>
          <w:szCs w:val="20"/>
          <w:color w:val="auto"/>
        </w:rPr>
      </w:pPr>
    </w:p>
    <w:p>
      <w:pPr>
        <w:ind w:left="760" w:right="20" w:hanging="445"/>
        <w:spacing w:after="0" w:line="281" w:lineRule="auto"/>
        <w:tabs>
          <w:tab w:leader="none" w:pos="740" w:val="left"/>
        </w:tabs>
        <w:rPr>
          <w:sz w:val="20"/>
          <w:szCs w:val="20"/>
          <w:color w:val="auto"/>
        </w:rPr>
      </w:pPr>
      <w:r>
        <w:rPr>
          <w:rFonts w:ascii="Arial" w:cs="Arial" w:eastAsia="Arial" w:hAnsi="Arial"/>
          <w:sz w:val="14"/>
          <w:szCs w:val="14"/>
          <w:color w:val="auto"/>
        </w:rPr>
        <w:t>(a)(1)</w:t>
        <w:tab/>
        <w:t>The Company’s consolidated financial statements and report of the Marcum LLP, Independent Registered Public Accounting Firm, are included in Section IV of this report beginning on page F-1.</w:t>
      </w:r>
    </w:p>
    <w:p>
      <w:pPr>
        <w:spacing w:after="0" w:line="79" w:lineRule="exact"/>
        <w:rPr>
          <w:sz w:val="20"/>
          <w:szCs w:val="20"/>
          <w:color w:val="auto"/>
        </w:rPr>
      </w:pPr>
    </w:p>
    <w:p>
      <w:pPr>
        <w:ind w:left="760" w:right="80" w:hanging="445"/>
        <w:spacing w:after="0" w:line="265" w:lineRule="auto"/>
        <w:tabs>
          <w:tab w:leader="none" w:pos="740" w:val="left"/>
        </w:tabs>
        <w:rPr>
          <w:sz w:val="20"/>
          <w:szCs w:val="20"/>
          <w:color w:val="auto"/>
        </w:rPr>
      </w:pPr>
      <w:r>
        <w:rPr>
          <w:rFonts w:ascii="Arial" w:cs="Arial" w:eastAsia="Arial" w:hAnsi="Arial"/>
          <w:sz w:val="14"/>
          <w:szCs w:val="14"/>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101" w:lineRule="exact"/>
        <w:rPr>
          <w:sz w:val="20"/>
          <w:szCs w:val="20"/>
          <w:color w:val="auto"/>
        </w:rPr>
      </w:pPr>
    </w:p>
    <w:p>
      <w:pPr>
        <w:ind w:left="320"/>
        <w:spacing w:after="0"/>
        <w:tabs>
          <w:tab w:leader="none" w:pos="760" w:val="left"/>
        </w:tabs>
        <w:rPr>
          <w:sz w:val="20"/>
          <w:szCs w:val="20"/>
          <w:color w:val="auto"/>
        </w:rPr>
      </w:pPr>
      <w:r>
        <w:rPr>
          <w:rFonts w:ascii="Arial" w:cs="Arial" w:eastAsia="Arial" w:hAnsi="Arial"/>
          <w:sz w:val="14"/>
          <w:szCs w:val="14"/>
          <w:color w:val="auto"/>
        </w:rPr>
        <w:t>(a)(3)</w:t>
      </w:r>
      <w:r>
        <w:rPr>
          <w:sz w:val="20"/>
          <w:szCs w:val="20"/>
          <w:color w:val="auto"/>
        </w:rPr>
        <w:tab/>
      </w:r>
      <w:r>
        <w:rPr>
          <w:rFonts w:ascii="Arial" w:cs="Arial" w:eastAsia="Arial" w:hAnsi="Arial"/>
          <w:sz w:val="13"/>
          <w:szCs w:val="13"/>
          <w:color w:val="auto"/>
        </w:rPr>
        <w:t>Exhibits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Exhibits are filed as part of, or incorporated by reference into this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Exhibit No.</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20" w:type="dxa"/>
            <w:vAlign w:val="bottom"/>
            <w:tcBorders>
              <w:bottom w:val="single" w:sz="8" w:color="auto"/>
            </w:tcBorders>
            <w:gridSpan w:val="23"/>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r>
      <w:tr>
        <w:trPr>
          <w:trHeight w:val="17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24"/>
          </w:tcPr>
          <w:p>
            <w:pPr>
              <w:spacing w:after="0"/>
              <w:rPr>
                <w:rFonts w:ascii="Arial" w:cs="Arial" w:eastAsia="Arial" w:hAnsi="Arial"/>
                <w:sz w:val="14"/>
                <w:szCs w:val="14"/>
                <w:color w:val="0000FF"/>
                <w:w w:val="96"/>
              </w:rPr>
            </w:pPr>
            <w:hyperlink r:id="rId62">
              <w:r>
                <w:rPr>
                  <w:rFonts w:ascii="Arial" w:cs="Arial" w:eastAsia="Arial" w:hAnsi="Arial"/>
                  <w:sz w:val="14"/>
                  <w:szCs w:val="14"/>
                  <w:color w:val="0000FF"/>
                  <w:w w:val="96"/>
                </w:rPr>
                <w:t>Share Purchase Agreement, dated as of February 24, 2021, by and between Inseego Corp. and Main Street 1816 Proprietary Limited (in the process of being renamed</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380" w:type="dxa"/>
            <w:vAlign w:val="bottom"/>
            <w:tcBorders>
              <w:top w:val="single" w:sz="8" w:color="0000FF"/>
            </w:tcBorders>
            <w:gridSpan w:val="12"/>
          </w:tcPr>
          <w:p>
            <w:pPr>
              <w:spacing w:after="0" w:line="129" w:lineRule="exact"/>
              <w:rPr>
                <w:rFonts w:ascii="Arial" w:cs="Arial" w:eastAsia="Arial" w:hAnsi="Arial"/>
                <w:sz w:val="14"/>
                <w:szCs w:val="14"/>
                <w:color w:val="0000FF"/>
                <w:w w:val="97"/>
              </w:rPr>
            </w:pPr>
            <w:hyperlink r:id="rId62">
              <w:r>
                <w:rPr>
                  <w:rFonts w:ascii="Arial" w:cs="Arial" w:eastAsia="Arial" w:hAnsi="Arial"/>
                  <w:sz w:val="14"/>
                  <w:szCs w:val="14"/>
                  <w:color w:val="0000FF"/>
                  <w:w w:val="97"/>
                </w:rPr>
                <w:t>Convergence CTSA Proprietary Limited)(incorporated by reference to Exhibit 10.1 to the Company’s Current Report on Form 8-K, filed February 25, 2021).</w:t>
              </w:r>
            </w:hyperlink>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8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4"/>
                <w:szCs w:val="14"/>
                <w:color w:val="0000FF"/>
                <w:w w:val="95"/>
              </w:rPr>
            </w:pPr>
            <w:hyperlink r:id="rId63">
              <w:r>
                <w:rPr>
                  <w:rFonts w:ascii="Arial" w:cs="Arial" w:eastAsia="Arial" w:hAnsi="Arial"/>
                  <w:sz w:val="14"/>
                  <w:szCs w:val="14"/>
                  <w:color w:val="0000FF"/>
                  <w:w w:val="95"/>
                </w:rPr>
                <w:t>First Addendum dated March 17, 2021 to the Share Purchase Agreement dated February 24, 2021 between Main Street 1816 Proprietary Limited (in the process of being</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80" w:type="dxa"/>
            <w:vAlign w:val="bottom"/>
            <w:tcBorders>
              <w:top w:val="single" w:sz="8" w:color="0000FF"/>
            </w:tcBorders>
            <w:gridSpan w:val="15"/>
          </w:tcPr>
          <w:p>
            <w:pPr>
              <w:spacing w:after="0" w:line="129" w:lineRule="exact"/>
              <w:rPr>
                <w:rFonts w:ascii="Arial" w:cs="Arial" w:eastAsia="Arial" w:hAnsi="Arial"/>
                <w:sz w:val="14"/>
                <w:szCs w:val="14"/>
                <w:color w:val="0000FF"/>
                <w:w w:val="91"/>
              </w:rPr>
            </w:pPr>
            <w:hyperlink r:id="rId63">
              <w:r>
                <w:rPr>
                  <w:rFonts w:ascii="Arial" w:cs="Arial" w:eastAsia="Arial" w:hAnsi="Arial"/>
                  <w:sz w:val="14"/>
                  <w:szCs w:val="14"/>
                  <w:color w:val="0000FF"/>
                  <w:w w:val="91"/>
                </w:rPr>
                <w:t>renamed Convergence CTSA Proprietary Limited) and Inseego Corp. (incorporated by reference to Exhibit 10.3 to the Company’s Current Report on Form 8-K filed June</w:t>
              </w:r>
            </w:hyperlink>
          </w:p>
        </w:tc>
        <w:tc>
          <w:tcPr>
            <w:tcW w:w="280" w:type="dxa"/>
            <w:vAlign w:val="bottom"/>
            <w:gridSpan w:val="4"/>
          </w:tcPr>
          <w:p>
            <w:pPr>
              <w:jc w:val="right"/>
              <w:ind w:right="20"/>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30,</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63">
              <w:r>
                <w:rPr>
                  <w:rFonts w:ascii="Arial" w:cs="Arial" w:eastAsia="Arial" w:hAnsi="Arial"/>
                  <w:sz w:val="13"/>
                  <w:szCs w:val="13"/>
                  <w:color w:val="0000FF"/>
                  <w:w w:val="92"/>
                </w:rPr>
                <w:t>2021.</w:t>
              </w:r>
              <w:r>
                <w:rPr>
                  <w:rFonts w:ascii="Arial" w:cs="Arial" w:eastAsia="Arial" w:hAnsi="Arial"/>
                  <w:sz w:val="13"/>
                  <w:szCs w:val="13"/>
                  <w:u w:val="single" w:color="auto"/>
                  <w:color w:val="0000FF"/>
                  <w:w w:val="92"/>
                </w:rPr>
                <w:t>)</w:t>
              </w:r>
            </w:hyperlink>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1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4"/>
          </w:tcPr>
          <w:p>
            <w:pPr>
              <w:spacing w:after="0"/>
              <w:rPr>
                <w:rFonts w:ascii="Arial" w:cs="Arial" w:eastAsia="Arial" w:hAnsi="Arial"/>
                <w:sz w:val="14"/>
                <w:szCs w:val="14"/>
                <w:color w:val="0000FF"/>
                <w:w w:val="94"/>
              </w:rPr>
            </w:pPr>
            <w:hyperlink r:id="rId64">
              <w:r>
                <w:rPr>
                  <w:rFonts w:ascii="Arial" w:cs="Arial" w:eastAsia="Arial" w:hAnsi="Arial"/>
                  <w:sz w:val="14"/>
                  <w:szCs w:val="14"/>
                  <w:color w:val="0000FF"/>
                  <w:w w:val="94"/>
                </w:rPr>
                <w:t>Second Addendum dated April 30, 2021 to the Share Purchase Agreement dated February 24, 2021 between Main Street 1816 Proprietary Limited (in the process of being</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29" w:lineRule="exact"/>
              <w:rPr>
                <w:rFonts w:ascii="Arial" w:cs="Arial" w:eastAsia="Arial" w:hAnsi="Arial"/>
                <w:sz w:val="14"/>
                <w:szCs w:val="14"/>
                <w:color w:val="0000FF"/>
                <w:w w:val="92"/>
              </w:rPr>
            </w:pPr>
            <w:hyperlink r:id="rId64">
              <w:r>
                <w:rPr>
                  <w:rFonts w:ascii="Arial" w:cs="Arial" w:eastAsia="Arial" w:hAnsi="Arial"/>
                  <w:sz w:val="14"/>
                  <w:szCs w:val="14"/>
                  <w:color w:val="0000FF"/>
                  <w:w w:val="92"/>
                </w:rPr>
                <w:t>renamed Convergence CTSA Proprietary Limited) and Inseego Corp. (incorporated by reference to Exhibit 10.2 to the Company’s Current Report on Form 8-K filed June</w:t>
              </w:r>
            </w:hyperlink>
          </w:p>
        </w:tc>
        <w:tc>
          <w:tcPr>
            <w:tcW w:w="200" w:type="dxa"/>
            <w:vAlign w:val="bottom"/>
            <w:gridSpan w:val="3"/>
          </w:tcPr>
          <w:p>
            <w:pPr>
              <w:jc w:val="right"/>
              <w:ind w:right="20"/>
              <w:spacing w:after="0" w:line="129" w:lineRule="exact"/>
              <w:rPr>
                <w:rFonts w:ascii="Arial" w:cs="Arial" w:eastAsia="Arial" w:hAnsi="Arial"/>
                <w:sz w:val="14"/>
                <w:szCs w:val="14"/>
                <w:color w:val="0000FF"/>
                <w:w w:val="81"/>
              </w:rPr>
            </w:pPr>
            <w:hyperlink r:id="rId64">
              <w:r>
                <w:rPr>
                  <w:rFonts w:ascii="Arial" w:cs="Arial" w:eastAsia="Arial" w:hAnsi="Arial"/>
                  <w:sz w:val="14"/>
                  <w:szCs w:val="14"/>
                  <w:color w:val="0000FF"/>
                  <w:w w:val="81"/>
                </w:rPr>
                <w:t>30,</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64">
              <w:r>
                <w:rPr>
                  <w:rFonts w:ascii="Arial" w:cs="Arial" w:eastAsia="Arial" w:hAnsi="Arial"/>
                  <w:sz w:val="13"/>
                  <w:szCs w:val="13"/>
                  <w:color w:val="0000FF"/>
                  <w:w w:val="92"/>
                </w:rPr>
                <w:t>2021).</w:t>
              </w:r>
            </w:hyperlink>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1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4"/>
          </w:tcPr>
          <w:p>
            <w:pPr>
              <w:spacing w:after="0"/>
              <w:rPr>
                <w:rFonts w:ascii="Arial" w:cs="Arial" w:eastAsia="Arial" w:hAnsi="Arial"/>
                <w:sz w:val="14"/>
                <w:szCs w:val="14"/>
                <w:color w:val="0000FF"/>
                <w:w w:val="95"/>
              </w:rPr>
            </w:pPr>
            <w:hyperlink r:id="rId65">
              <w:r>
                <w:rPr>
                  <w:rFonts w:ascii="Arial" w:cs="Arial" w:eastAsia="Arial" w:hAnsi="Arial"/>
                  <w:sz w:val="14"/>
                  <w:szCs w:val="14"/>
                  <w:color w:val="0000FF"/>
                  <w:w w:val="95"/>
                </w:rPr>
                <w:t>Third Addendum dated June 30, 2021 to the Share Purchase Agreement dated February 24, 2021 between Main Street 1816 Proprietary Limited (in the process of being</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40" w:type="dxa"/>
            <w:vAlign w:val="bottom"/>
            <w:gridSpan w:val="24"/>
          </w:tcPr>
          <w:p>
            <w:pPr>
              <w:spacing w:after="0" w:line="129" w:lineRule="exact"/>
              <w:rPr>
                <w:rFonts w:ascii="Arial" w:cs="Arial" w:eastAsia="Arial" w:hAnsi="Arial"/>
                <w:sz w:val="14"/>
                <w:szCs w:val="14"/>
                <w:color w:val="0000FF"/>
                <w:w w:val="93"/>
              </w:rPr>
            </w:pPr>
            <w:hyperlink r:id="rId65">
              <w:r>
                <w:rPr>
                  <w:rFonts w:ascii="Arial" w:cs="Arial" w:eastAsia="Arial" w:hAnsi="Arial"/>
                  <w:sz w:val="14"/>
                  <w:szCs w:val="14"/>
                  <w:color w:val="0000FF"/>
                  <w:w w:val="93"/>
                </w:rPr>
                <w:t>renamed Convergence CTSA Proprietary Limited) and Inseego Corp. (incorporated by reference to Exhibit 10.1 to the Company’s Current Report on Form 8-K filed June 30,</w:t>
              </w:r>
            </w:hyperlink>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65">
              <w:r>
                <w:rPr>
                  <w:rFonts w:ascii="Arial" w:cs="Arial" w:eastAsia="Arial" w:hAnsi="Arial"/>
                  <w:sz w:val="13"/>
                  <w:szCs w:val="13"/>
                  <w:color w:val="0000FF"/>
                  <w:w w:val="92"/>
                </w:rPr>
                <w:t>2021.</w:t>
              </w:r>
              <w:r>
                <w:rPr>
                  <w:rFonts w:ascii="Arial" w:cs="Arial" w:eastAsia="Arial" w:hAnsi="Arial"/>
                  <w:sz w:val="13"/>
                  <w:szCs w:val="13"/>
                  <w:u w:val="single" w:color="auto"/>
                  <w:color w:val="0000FF"/>
                  <w:w w:val="92"/>
                </w:rPr>
                <w:t>)</w:t>
              </w:r>
            </w:hyperlink>
          </w:p>
        </w:tc>
        <w:tc>
          <w:tcPr>
            <w:tcW w:w="10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1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4"/>
          </w:tcPr>
          <w:p>
            <w:pPr>
              <w:spacing w:after="0"/>
              <w:rPr>
                <w:rFonts w:ascii="Arial" w:cs="Arial" w:eastAsia="Arial" w:hAnsi="Arial"/>
                <w:sz w:val="14"/>
                <w:szCs w:val="14"/>
                <w:color w:val="0000FF"/>
                <w:w w:val="98"/>
              </w:rPr>
            </w:pPr>
            <w:hyperlink r:id="rId66">
              <w:r>
                <w:rPr>
                  <w:rFonts w:ascii="Arial" w:cs="Arial" w:eastAsia="Arial" w:hAnsi="Arial"/>
                  <w:sz w:val="14"/>
                  <w:szCs w:val="14"/>
                  <w:color w:val="0000FF"/>
                  <w:w w:val="98"/>
                </w:rPr>
                <w:t>Amended and Restated Certificate of Incorporation (incorporated by reference to Exhibit 3.1 to the Company’s Current Report on Form 8-K, filed November 9, 2016).</w:t>
              </w:r>
            </w:hyperlink>
          </w:p>
        </w:tc>
      </w:tr>
      <w:tr>
        <w:trPr>
          <w:trHeight w:val="224"/>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2"/>
              </w:rPr>
            </w:pPr>
            <w:hyperlink r:id="rId67">
              <w:r>
                <w:rPr>
                  <w:rFonts w:ascii="Arial" w:cs="Arial" w:eastAsia="Arial" w:hAnsi="Arial"/>
                  <w:sz w:val="14"/>
                  <w:szCs w:val="14"/>
                  <w:color w:val="0000FF"/>
                  <w:w w:val="92"/>
                </w:rPr>
                <w:t>Amended and Restated Bylaws of Inseego Corp. (incorporated by reference to Exhibit 3.2 to the Company’s Current Report on Form 8-K, filed November 9, 2016).</w:t>
              </w:r>
            </w:hyperlink>
          </w:p>
        </w:tc>
        <w:tc>
          <w:tcPr>
            <w:tcW w:w="140" w:type="dxa"/>
            <w:vAlign w:val="bottom"/>
            <w:tcBorders>
              <w:top w:val="single" w:sz="8" w:color="0000FF"/>
            </w:tcBorders>
            <w:gridSpan w:val="4"/>
          </w:tcPr>
          <w:p>
            <w:pPr>
              <w:spacing w:after="0"/>
              <w:rPr>
                <w:sz w:val="19"/>
                <w:szCs w:val="19"/>
                <w:color w:val="auto"/>
              </w:rPr>
            </w:pPr>
          </w:p>
        </w:tc>
        <w:tc>
          <w:tcPr>
            <w:tcW w:w="600" w:type="dxa"/>
            <w:vAlign w:val="bottom"/>
            <w:gridSpan w:val="11"/>
          </w:tcPr>
          <w:p>
            <w:pPr>
              <w:spacing w:after="0"/>
              <w:rPr>
                <w:sz w:val="19"/>
                <w:szCs w:val="19"/>
                <w:color w:val="auto"/>
              </w:rPr>
            </w:pPr>
          </w:p>
        </w:tc>
      </w:tr>
      <w:tr>
        <w:trPr>
          <w:trHeight w:val="224"/>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24"/>
          </w:tcPr>
          <w:p>
            <w:pPr>
              <w:spacing w:after="0"/>
              <w:rPr>
                <w:rFonts w:ascii="Arial" w:cs="Arial" w:eastAsia="Arial" w:hAnsi="Arial"/>
                <w:sz w:val="14"/>
                <w:szCs w:val="14"/>
                <w:color w:val="0000FF"/>
                <w:w w:val="92"/>
              </w:rPr>
            </w:pPr>
            <w:hyperlink r:id="rId68">
              <w:r>
                <w:rPr>
                  <w:rFonts w:ascii="Arial" w:cs="Arial" w:eastAsia="Arial" w:hAnsi="Arial"/>
                  <w:sz w:val="14"/>
                  <w:szCs w:val="14"/>
                  <w:color w:val="0000FF"/>
                  <w:w w:val="92"/>
                </w:rPr>
                <w:t>Certificate of Designation of Series D Junior Participating Preferred Stock of Inseego Corp. (incorporated by reference to Exhibit 3.1 to the Company’s Current Report on Form</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r:id="rId68">
              <w:r>
                <w:rPr>
                  <w:rFonts w:ascii="Arial" w:cs="Arial" w:eastAsia="Arial" w:hAnsi="Arial"/>
                  <w:sz w:val="14"/>
                  <w:szCs w:val="14"/>
                  <w:color w:val="0000FF"/>
                  <w:w w:val="92"/>
                </w:rPr>
                <w:t>8-K, filed January 22, 2018).</w:t>
              </w:r>
            </w:hyperlink>
          </w:p>
        </w:tc>
        <w:tc>
          <w:tcPr>
            <w:tcW w:w="8320" w:type="dxa"/>
            <w:vAlign w:val="bottom"/>
            <w:tcBorders>
              <w:top w:val="single" w:sz="8" w:color="0000FF"/>
            </w:tcBorders>
            <w:gridSpan w:val="18"/>
          </w:tcPr>
          <w:p>
            <w:pPr>
              <w:spacing w:after="0"/>
              <w:rPr>
                <w:sz w:val="11"/>
                <w:szCs w:val="11"/>
                <w:color w:val="auto"/>
              </w:rPr>
            </w:pPr>
          </w:p>
        </w:tc>
        <w:tc>
          <w:tcPr>
            <w:tcW w:w="80" w:type="dxa"/>
            <w:vAlign w:val="bottom"/>
            <w:gridSpan w:val="2"/>
          </w:tcPr>
          <w:p>
            <w:pPr>
              <w:spacing w:after="0"/>
              <w:rPr>
                <w:sz w:val="11"/>
                <w:szCs w:val="11"/>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4"/>
          </w:tcPr>
          <w:p>
            <w:pPr>
              <w:spacing w:after="0"/>
              <w:rPr>
                <w:rFonts w:ascii="Arial" w:cs="Arial" w:eastAsia="Arial" w:hAnsi="Arial"/>
                <w:sz w:val="14"/>
                <w:szCs w:val="14"/>
                <w:color w:val="0000FF"/>
                <w:w w:val="93"/>
              </w:rPr>
            </w:pPr>
            <w:hyperlink r:id="rId69">
              <w:r>
                <w:rPr>
                  <w:rFonts w:ascii="Arial" w:cs="Arial" w:eastAsia="Arial" w:hAnsi="Arial"/>
                  <w:sz w:val="14"/>
                  <w:szCs w:val="14"/>
                  <w:color w:val="0000FF"/>
                  <w:w w:val="93"/>
                </w:rPr>
                <w:t>Certificate of Designation of Series E Fixed-Rate Cumulative Perpetual Preferred Stock (incorporated by reference to Exhibit 3.1 to the Company’s Current Report on Form 8-</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69">
              <w:r>
                <w:rPr>
                  <w:rFonts w:ascii="Arial" w:cs="Arial" w:eastAsia="Arial" w:hAnsi="Arial"/>
                  <w:sz w:val="14"/>
                  <w:szCs w:val="14"/>
                  <w:color w:val="0000FF"/>
                </w:rPr>
                <w:t>K, filed August 13, 2019).</w:t>
              </w:r>
            </w:hyperlink>
          </w:p>
        </w:tc>
        <w:tc>
          <w:tcPr>
            <w:tcW w:w="4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4"/>
          </w:tcPr>
          <w:p>
            <w:pPr>
              <w:spacing w:after="0"/>
              <w:rPr>
                <w:rFonts w:ascii="Arial" w:cs="Arial" w:eastAsia="Arial" w:hAnsi="Arial"/>
                <w:sz w:val="14"/>
                <w:szCs w:val="14"/>
                <w:color w:val="0000FF"/>
                <w:w w:val="99"/>
              </w:rPr>
            </w:pPr>
            <w:hyperlink r:id="rId70">
              <w:r>
                <w:rPr>
                  <w:rFonts w:ascii="Arial" w:cs="Arial" w:eastAsia="Arial" w:hAnsi="Arial"/>
                  <w:sz w:val="14"/>
                  <w:szCs w:val="14"/>
                  <w:color w:val="0000FF"/>
                  <w:w w:val="99"/>
                </w:rPr>
                <w:t>Certificate of Amendment to Certificate of Designation of Series E Fixed-Rate Cumulative Perpetual Preferred Stock (incorporated by reference to Exhibit 3.1 to the</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2"/>
              </w:rPr>
            </w:pPr>
            <w:hyperlink r:id="rId70">
              <w:r>
                <w:rPr>
                  <w:rFonts w:ascii="Arial" w:cs="Arial" w:eastAsia="Arial" w:hAnsi="Arial"/>
                  <w:sz w:val="14"/>
                  <w:szCs w:val="14"/>
                  <w:color w:val="0000FF"/>
                  <w:w w:val="92"/>
                </w:rPr>
                <w:t>Company’s Current Report on Form 8-K, filed March 10, 2020).</w:t>
              </w:r>
            </w:hyperlink>
          </w:p>
        </w:tc>
        <w:tc>
          <w:tcPr>
            <w:tcW w:w="568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6"/>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60" w:type="dxa"/>
            <w:vAlign w:val="bottom"/>
            <w:tcBorders>
              <w:bottom w:val="single" w:sz="8" w:color="0000FF"/>
            </w:tcBorders>
            <w:gridSpan w:val="11"/>
          </w:tcPr>
          <w:p>
            <w:pPr>
              <w:spacing w:after="0"/>
              <w:rPr>
                <w:rFonts w:ascii="Arial" w:cs="Arial" w:eastAsia="Arial" w:hAnsi="Arial"/>
                <w:sz w:val="14"/>
                <w:szCs w:val="14"/>
                <w:color w:val="0000FF"/>
                <w:w w:val="92"/>
              </w:rPr>
            </w:pPr>
            <w:hyperlink r:id="rId71">
              <w:r>
                <w:rPr>
                  <w:rFonts w:ascii="Arial" w:cs="Arial" w:eastAsia="Arial" w:hAnsi="Arial"/>
                  <w:sz w:val="14"/>
                  <w:szCs w:val="14"/>
                  <w:color w:val="0000FF"/>
                  <w:w w:val="92"/>
                </w:rPr>
                <w:t>Form of Inseego Corp. Common Stock Certificate (incorporated by reference to Exhibit 4.1 to the Company’s Current Report on Form 8-K filed November 9, 2016).</w:t>
              </w:r>
            </w:hyperlink>
          </w:p>
        </w:tc>
        <w:tc>
          <w:tcPr>
            <w:tcW w:w="680" w:type="dxa"/>
            <w:vAlign w:val="bottom"/>
            <w:gridSpan w:val="13"/>
          </w:tcPr>
          <w:p>
            <w:pPr>
              <w:spacing w:after="0"/>
              <w:rPr>
                <w:sz w:val="21"/>
                <w:szCs w:val="2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24"/>
          </w:tcPr>
          <w:p>
            <w:pPr>
              <w:spacing w:after="0"/>
              <w:rPr>
                <w:rFonts w:ascii="Arial" w:cs="Arial" w:eastAsia="Arial" w:hAnsi="Arial"/>
                <w:sz w:val="14"/>
                <w:szCs w:val="14"/>
                <w:color w:val="0000FF"/>
                <w:w w:val="94"/>
              </w:rPr>
            </w:pPr>
            <w:hyperlink r:id="rId72">
              <w:r>
                <w:rPr>
                  <w:rFonts w:ascii="Arial" w:cs="Arial" w:eastAsia="Arial" w:hAnsi="Arial"/>
                  <w:sz w:val="14"/>
                  <w:szCs w:val="14"/>
                  <w:color w:val="0000FF"/>
                  <w:w w:val="94"/>
                </w:rPr>
                <w:t>Description of Equity Securities Registered under Section 12 of the Exchange Act. (incorporated by reference to Exhibit 4.2 to the Company’s Annual Report on Form 10-K</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72">
              <w:r>
                <w:rPr>
                  <w:rFonts w:ascii="Arial" w:cs="Arial" w:eastAsia="Arial" w:hAnsi="Arial"/>
                  <w:sz w:val="14"/>
                  <w:szCs w:val="14"/>
                  <w:color w:val="0000FF"/>
                </w:rPr>
                <w:t>filed on March 1, 2021).</w:t>
              </w:r>
            </w:hyperlink>
          </w:p>
        </w:tc>
        <w:tc>
          <w:tcPr>
            <w:tcW w:w="8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1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24"/>
          </w:tcPr>
          <w:p>
            <w:pPr>
              <w:spacing w:after="0"/>
              <w:rPr>
                <w:rFonts w:ascii="Arial" w:cs="Arial" w:eastAsia="Arial" w:hAnsi="Arial"/>
                <w:sz w:val="14"/>
                <w:szCs w:val="14"/>
                <w:color w:val="0000FF"/>
                <w:w w:val="92"/>
              </w:rPr>
            </w:pPr>
            <w:hyperlink r:id="rId73">
              <w:r>
                <w:rPr>
                  <w:rFonts w:ascii="Arial" w:cs="Arial" w:eastAsia="Arial" w:hAnsi="Arial"/>
                  <w:sz w:val="14"/>
                  <w:szCs w:val="14"/>
                  <w:color w:val="0000FF"/>
                  <w:w w:val="92"/>
                </w:rPr>
                <w:t>Base Indenture, dated May 12, 2020, between Inseego Corp. and Wilmington Trust, National Association, as trustee (incorporated by reference to Exhibit 4.1 to the Company’s</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4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73">
              <w:r>
                <w:rPr>
                  <w:rFonts w:ascii="Arial" w:cs="Arial" w:eastAsia="Arial" w:hAnsi="Arial"/>
                  <w:sz w:val="14"/>
                  <w:szCs w:val="14"/>
                  <w:color w:val="0000FF"/>
                </w:rPr>
                <w:t>Current Report on Form 8-K, filed May 12,</w:t>
              </w:r>
            </w:hyperlink>
          </w:p>
        </w:tc>
        <w:tc>
          <w:tcPr>
            <w:tcW w:w="100" w:type="dxa"/>
            <w:vAlign w:val="bottom"/>
            <w:gridSpan w:val="3"/>
          </w:tcPr>
          <w:p>
            <w:pPr>
              <w:spacing w:after="0"/>
              <w:rPr>
                <w:sz w:val="11"/>
                <w:szCs w:val="11"/>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120" w:type="dxa"/>
            <w:vAlign w:val="bottom"/>
            <w:gridSpan w:val="1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24"/>
          </w:tcPr>
          <w:p>
            <w:pPr>
              <w:spacing w:after="0"/>
              <w:rPr>
                <w:rFonts w:ascii="Arial" w:cs="Arial" w:eastAsia="Arial" w:hAnsi="Arial"/>
                <w:sz w:val="14"/>
                <w:szCs w:val="14"/>
                <w:color w:val="0000FF"/>
                <w:w w:val="93"/>
              </w:rPr>
            </w:pPr>
            <w:hyperlink r:id="rId74">
              <w:r>
                <w:rPr>
                  <w:rFonts w:ascii="Arial" w:cs="Arial" w:eastAsia="Arial" w:hAnsi="Arial"/>
                  <w:sz w:val="14"/>
                  <w:szCs w:val="14"/>
                  <w:color w:val="0000FF"/>
                  <w:w w:val="93"/>
                </w:rPr>
                <w:t>First Supplemental Indenture, dated May 12, 2020, between Inseego Corp. and Wilmington Trust, National Association, as trustee (incorporated by reference to Exhibit 4.2 to</w:t>
              </w:r>
            </w:hyperlink>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74">
              <w:r>
                <w:rPr>
                  <w:rFonts w:ascii="Arial" w:cs="Arial" w:eastAsia="Arial" w:hAnsi="Arial"/>
                  <w:sz w:val="14"/>
                  <w:szCs w:val="14"/>
                  <w:color w:val="0000FF"/>
                </w:rPr>
                <w:t>the Company’s Current Report on Form 8-K, filed May 12, 2020).</w:t>
              </w:r>
            </w:hyperlink>
          </w:p>
        </w:tc>
        <w:tc>
          <w:tcPr>
            <w:tcW w:w="180" w:type="dxa"/>
            <w:vAlign w:val="bottom"/>
            <w:gridSpan w:val="5"/>
          </w:tcPr>
          <w:p>
            <w:pPr>
              <w:spacing w:after="0"/>
              <w:rPr>
                <w:sz w:val="11"/>
                <w:szCs w:val="11"/>
                <w:color w:val="auto"/>
              </w:rPr>
            </w:pPr>
          </w:p>
        </w:tc>
      </w:tr>
      <w:tr>
        <w:trPr>
          <w:trHeight w:val="62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top w:val="single" w:sz="8" w:color="0000FF"/>
            </w:tcBorders>
            <w:gridSpan w:val="7"/>
          </w:tcPr>
          <w:p>
            <w:pPr>
              <w:spacing w:after="0"/>
              <w:rPr>
                <w:sz w:val="24"/>
                <w:szCs w:val="24"/>
                <w:color w:val="auto"/>
              </w:rPr>
            </w:pPr>
          </w:p>
        </w:tc>
        <w:tc>
          <w:tcPr>
            <w:tcW w:w="5160" w:type="dxa"/>
            <w:vAlign w:val="bottom"/>
          </w:tcPr>
          <w:p>
            <w:pPr>
              <w:jc w:val="right"/>
              <w:ind w:right="4349"/>
              <w:spacing w:after="0"/>
              <w:rPr>
                <w:sz w:val="20"/>
                <w:szCs w:val="20"/>
                <w:color w:val="auto"/>
              </w:rPr>
            </w:pPr>
            <w:r>
              <w:rPr>
                <w:rFonts w:ascii="Arial" w:cs="Arial" w:eastAsia="Arial" w:hAnsi="Arial"/>
                <w:sz w:val="14"/>
                <w:szCs w:val="14"/>
                <w:color w:val="auto"/>
              </w:rPr>
              <w:t>54</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4"/>
                <w:szCs w:val="14"/>
                <w:color w:val="auto"/>
              </w:rPr>
            </w:pPr>
          </w:p>
        </w:tc>
        <w:tc>
          <w:tcPr>
            <w:tcW w:w="10040" w:type="dxa"/>
            <w:vAlign w:val="bottom"/>
            <w:gridSpan w:val="36"/>
          </w:tcPr>
          <w:p>
            <w:pPr>
              <w:spacing w:after="0"/>
              <w:rPr>
                <w:sz w:val="20"/>
                <w:szCs w:val="20"/>
                <w:color w:val="auto"/>
              </w:rPr>
            </w:pPr>
            <w:r>
              <w:rPr>
                <w:rFonts w:ascii="Arial" w:cs="Arial" w:eastAsia="Arial" w:hAnsi="Arial"/>
                <w:sz w:val="13"/>
                <w:szCs w:val="13"/>
                <w:b w:val="1"/>
                <w:bCs w:val="1"/>
                <w:color w:val="auto"/>
              </w:rPr>
              <w:t>Description</w:t>
            </w:r>
          </w:p>
        </w:tc>
      </w:tr>
      <w:tr>
        <w:trPr>
          <w:trHeight w:val="141"/>
        </w:trPr>
        <w:tc>
          <w:tcPr>
            <w:tcW w:w="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80" w:type="dxa"/>
            <w:vAlign w:val="bottom"/>
            <w:tcBorders>
              <w:top w:val="single" w:sz="8" w:color="auto"/>
              <w:bottom w:val="single" w:sz="8" w:color="0000FF"/>
            </w:tcBorders>
            <w:gridSpan w:val="19"/>
          </w:tcPr>
          <w:p>
            <w:pPr>
              <w:spacing w:after="0" w:line="141" w:lineRule="exact"/>
              <w:rPr>
                <w:rFonts w:ascii="Arial" w:cs="Arial" w:eastAsia="Arial" w:hAnsi="Arial"/>
                <w:sz w:val="14"/>
                <w:szCs w:val="14"/>
                <w:color w:val="0000FF"/>
                <w:w w:val="92"/>
              </w:rPr>
            </w:pPr>
            <w:hyperlink r:id="rId74">
              <w:r>
                <w:rPr>
                  <w:rFonts w:ascii="Arial" w:cs="Arial" w:eastAsia="Arial" w:hAnsi="Arial"/>
                  <w:sz w:val="14"/>
                  <w:szCs w:val="14"/>
                  <w:color w:val="0000FF"/>
                  <w:w w:val="92"/>
                </w:rPr>
                <w:t>Form of 3.25% convertible senior note due 2025 (incorporated by reference Exhibit 10.5 to the Company’s Quarterly Report on Form 10-Q, filed August 10, 2020).</w:t>
              </w:r>
            </w:hyperlink>
          </w:p>
        </w:tc>
        <w:tc>
          <w:tcPr>
            <w:tcW w:w="740" w:type="dxa"/>
            <w:vAlign w:val="bottom"/>
            <w:tcBorders>
              <w:top w:val="single" w:sz="8" w:color="auto"/>
            </w:tcBorders>
            <w:gridSpan w:val="16"/>
          </w:tcPr>
          <w:p>
            <w:pPr>
              <w:spacing w:after="0"/>
              <w:rPr>
                <w:sz w:val="12"/>
                <w:szCs w:val="12"/>
                <w:color w:val="auto"/>
              </w:rPr>
            </w:pPr>
          </w:p>
        </w:tc>
        <w:tc>
          <w:tcPr>
            <w:tcW w:w="20" w:type="dxa"/>
            <w:vAlign w:val="bottom"/>
          </w:tcPr>
          <w:p>
            <w:pPr>
              <w:spacing w:after="0"/>
              <w:rPr>
                <w:sz w:val="12"/>
                <w:szCs w:val="12"/>
                <w:color w:val="auto"/>
              </w:rPr>
            </w:pPr>
          </w:p>
        </w:tc>
      </w:tr>
      <w:tr>
        <w:trPr>
          <w:trHeight w:val="256"/>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40" w:type="dxa"/>
            <w:vAlign w:val="bottom"/>
            <w:gridSpan w:val="36"/>
          </w:tcPr>
          <w:p>
            <w:pPr>
              <w:spacing w:after="0"/>
              <w:rPr>
                <w:rFonts w:ascii="Arial" w:cs="Arial" w:eastAsia="Arial" w:hAnsi="Arial"/>
                <w:sz w:val="14"/>
                <w:szCs w:val="14"/>
                <w:color w:val="0000FF"/>
                <w:w w:val="99"/>
              </w:rPr>
            </w:pPr>
            <w:hyperlink r:id="rId77">
              <w:r>
                <w:rPr>
                  <w:rFonts w:ascii="Arial" w:cs="Arial" w:eastAsia="Arial" w:hAnsi="Arial"/>
                  <w:sz w:val="14"/>
                  <w:szCs w:val="14"/>
                  <w:color w:val="0000FF"/>
                  <w:w w:val="99"/>
                </w:rPr>
                <w:t>Registration Rights Agreement, dated August 6, 2018, by and among Inseego Corp. and the Investors identified on Exhibit A to the Securities Purchase Agreement</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20" w:type="dxa"/>
            <w:vAlign w:val="bottom"/>
            <w:tcBorders>
              <w:top w:val="single" w:sz="8" w:color="0000FF"/>
              <w:bottom w:val="single" w:sz="8" w:color="0000FF"/>
            </w:tcBorders>
            <w:gridSpan w:val="14"/>
          </w:tcPr>
          <w:p>
            <w:pPr>
              <w:spacing w:after="0" w:line="139" w:lineRule="exact"/>
              <w:rPr>
                <w:rFonts w:ascii="Arial" w:cs="Arial" w:eastAsia="Arial" w:hAnsi="Arial"/>
                <w:sz w:val="14"/>
                <w:szCs w:val="14"/>
                <w:color w:val="0000FF"/>
                <w:w w:val="92"/>
              </w:rPr>
            </w:pPr>
            <w:hyperlink r:id="rId77">
              <w:r>
                <w:rPr>
                  <w:rFonts w:ascii="Arial" w:cs="Arial" w:eastAsia="Arial" w:hAnsi="Arial"/>
                  <w:sz w:val="14"/>
                  <w:szCs w:val="14"/>
                  <w:color w:val="0000FF"/>
                  <w:w w:val="92"/>
                </w:rPr>
                <w:t>(incorporated by reference to Exhibit 4.3 to the Company’s Current Report on Form 8-K, filed August 7, 2018).</w:t>
              </w:r>
            </w:hyperlink>
          </w:p>
        </w:tc>
        <w:tc>
          <w:tcPr>
            <w:tcW w:w="2920" w:type="dxa"/>
            <w:vAlign w:val="bottom"/>
            <w:tcBorders>
              <w:top w:val="single" w:sz="8" w:color="0000FF"/>
            </w:tcBorders>
            <w:gridSpan w:val="4"/>
          </w:tcPr>
          <w:p>
            <w:pPr>
              <w:spacing w:after="0"/>
              <w:rPr>
                <w:sz w:val="12"/>
                <w:szCs w:val="12"/>
                <w:color w:val="auto"/>
              </w:rPr>
            </w:pPr>
          </w:p>
        </w:tc>
        <w:tc>
          <w:tcPr>
            <w:tcW w:w="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09"/>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6"/>
          </w:tcPr>
          <w:p>
            <w:pPr>
              <w:spacing w:after="0"/>
              <w:rPr>
                <w:rFonts w:ascii="Arial" w:cs="Arial" w:eastAsia="Arial" w:hAnsi="Arial"/>
                <w:sz w:val="14"/>
                <w:szCs w:val="14"/>
                <w:color w:val="0000FF"/>
                <w:w w:val="92"/>
              </w:rPr>
            </w:pPr>
            <w:hyperlink r:id="rId78">
              <w:r>
                <w:rPr>
                  <w:rFonts w:ascii="Arial" w:cs="Arial" w:eastAsia="Arial" w:hAnsi="Arial"/>
                  <w:sz w:val="14"/>
                  <w:szCs w:val="14"/>
                  <w:color w:val="0000FF"/>
                  <w:w w:val="92"/>
                </w:rPr>
                <w:t>Amended and Restated Inseego Corp. 2000 Employee Stock Purchase Plan (incorporated by reference to Exhibit 10.2 to the Registrant’s Current Report on Form 8-K (File No.</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w w:val="92"/>
              </w:rPr>
            </w:pPr>
            <w:hyperlink r:id="rId78">
              <w:r>
                <w:rPr>
                  <w:rFonts w:ascii="Arial" w:cs="Arial" w:eastAsia="Arial" w:hAnsi="Arial"/>
                  <w:sz w:val="14"/>
                  <w:szCs w:val="14"/>
                  <w:color w:val="0000FF"/>
                  <w:w w:val="92"/>
                </w:rPr>
                <w:t>001-38358), filed on August 9, 2022).</w:t>
              </w:r>
            </w:hyperlink>
          </w:p>
        </w:tc>
        <w:tc>
          <w:tcPr>
            <w:tcW w:w="782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sz w:val="20"/>
                <w:szCs w:val="20"/>
                <w:color w:val="auto"/>
              </w:rPr>
            </w:pPr>
            <w:r>
              <w:rPr>
                <w:rFonts w:ascii="Arial" w:cs="Arial" w:eastAsia="Arial" w:hAnsi="Arial"/>
                <w:sz w:val="14"/>
                <w:szCs w:val="14"/>
                <w:color w:val="0000FF"/>
              </w:rPr>
              <w:t>Change in Control Agreement dated September 25, 2017 between Inseego Corp. and Ashish Sharma.</w:t>
            </w: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17"/>
          </w:tcPr>
          <w:p>
            <w:pPr>
              <w:spacing w:after="0"/>
              <w:rPr>
                <w:rFonts w:ascii="Arial" w:cs="Arial" w:eastAsia="Arial" w:hAnsi="Arial"/>
                <w:sz w:val="14"/>
                <w:szCs w:val="14"/>
                <w:color w:val="0000FF"/>
                <w:w w:val="93"/>
              </w:rPr>
            </w:pPr>
            <w:hyperlink r:id="rId79">
              <w:r>
                <w:rPr>
                  <w:rFonts w:ascii="Arial" w:cs="Arial" w:eastAsia="Arial" w:hAnsi="Arial"/>
                  <w:sz w:val="14"/>
                  <w:szCs w:val="14"/>
                  <w:color w:val="0000FF"/>
                  <w:w w:val="93"/>
                </w:rPr>
                <w:t>Form of Indemnification (incorporated by reference to Exhibit 10.3 to the Company’s Current Report on Form 8-K, filed August 21, 2017).</w:t>
              </w:r>
            </w:hyperlink>
          </w:p>
        </w:tc>
        <w:tc>
          <w:tcPr>
            <w:tcW w:w="2140" w:type="dxa"/>
            <w:vAlign w:val="bottom"/>
            <w:gridSpan w:val="19"/>
          </w:tcPr>
          <w:p>
            <w:pPr>
              <w:spacing w:after="0"/>
              <w:rPr>
                <w:sz w:val="17"/>
                <w:szCs w:val="17"/>
                <w:color w:val="auto"/>
              </w:rPr>
            </w:pPr>
          </w:p>
        </w:tc>
      </w:tr>
      <w:tr>
        <w:trPr>
          <w:trHeight w:val="224"/>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36"/>
          </w:tcPr>
          <w:p>
            <w:pPr>
              <w:spacing w:after="0"/>
              <w:rPr>
                <w:rFonts w:ascii="Arial" w:cs="Arial" w:eastAsia="Arial" w:hAnsi="Arial"/>
                <w:sz w:val="14"/>
                <w:szCs w:val="14"/>
                <w:color w:val="0000FF"/>
                <w:w w:val="93"/>
              </w:rPr>
            </w:pPr>
            <w:hyperlink r:id="rId80">
              <w:r>
                <w:rPr>
                  <w:rFonts w:ascii="Arial" w:cs="Arial" w:eastAsia="Arial" w:hAnsi="Arial"/>
                  <w:sz w:val="14"/>
                  <w:szCs w:val="14"/>
                  <w:color w:val="0000FF"/>
                  <w:w w:val="93"/>
                </w:rPr>
                <w:t>Transition Agreement, dated March 1, 2022, between Inseego Corp. and Dan Mondor (incorporated by reference to Exhibit 10.7 to the Company’s Quarterly Report on Form</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3"/>
              </w:rPr>
            </w:pPr>
            <w:hyperlink r:id="rId80">
              <w:r>
                <w:rPr>
                  <w:rFonts w:ascii="Arial" w:cs="Arial" w:eastAsia="Arial" w:hAnsi="Arial"/>
                  <w:sz w:val="14"/>
                  <w:szCs w:val="14"/>
                  <w:color w:val="0000FF"/>
                  <w:w w:val="93"/>
                </w:rPr>
                <w:t>10-Q, filed May 4, 2022).</w:t>
              </w:r>
            </w:hyperlink>
          </w:p>
        </w:tc>
        <w:tc>
          <w:tcPr>
            <w:tcW w:w="83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6"/>
              </w:rPr>
            </w:pPr>
            <w:hyperlink r:id="rId81">
              <w:r>
                <w:rPr>
                  <w:rFonts w:ascii="Arial" w:cs="Arial" w:eastAsia="Arial" w:hAnsi="Arial"/>
                  <w:sz w:val="14"/>
                  <w:szCs w:val="14"/>
                  <w:color w:val="0000FF"/>
                  <w:w w:val="96"/>
                </w:rPr>
                <w:t>Inseego Corp. 2015 Incentive Compensation Plan (incorporated by reference to Exhibit 10.26 to the Company’s Annual Report on Form 10-K, filed on March 16, 2018).</w:t>
              </w:r>
            </w:hyperlink>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6"/>
          </w:tcPr>
          <w:p>
            <w:pPr>
              <w:spacing w:after="0"/>
              <w:rPr>
                <w:rFonts w:ascii="Arial" w:cs="Arial" w:eastAsia="Arial" w:hAnsi="Arial"/>
                <w:sz w:val="14"/>
                <w:szCs w:val="14"/>
                <w:color w:val="0000FF"/>
                <w:w w:val="95"/>
              </w:rPr>
            </w:pPr>
            <w:hyperlink r:id="rId82">
              <w:r>
                <w:rPr>
                  <w:rFonts w:ascii="Arial" w:cs="Arial" w:eastAsia="Arial" w:hAnsi="Arial"/>
                  <w:sz w:val="14"/>
                  <w:szCs w:val="14"/>
                  <w:color w:val="0000FF"/>
                  <w:w w:val="95"/>
                </w:rPr>
                <w:t>Form of Nonstatutory Stock Option Agreement under the Inseego Corp. 2015 Incentive Compensation Plan (incorporated by reference to Exhibit 10.27 to the Company’s</w:t>
              </w:r>
            </w:hyperlink>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82">
              <w:r>
                <w:rPr>
                  <w:rFonts w:ascii="Arial" w:cs="Arial" w:eastAsia="Arial" w:hAnsi="Arial"/>
                  <w:sz w:val="13"/>
                  <w:szCs w:val="13"/>
                  <w:color w:val="0000FF"/>
                </w:rPr>
                <w:t>Annual Report on Form 10-K, filed on March 16, 2018).</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7"/>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3"/>
              </w:rPr>
            </w:pPr>
            <w:hyperlink r:id="rId83">
              <w:r>
                <w:rPr>
                  <w:rFonts w:ascii="Arial" w:cs="Arial" w:eastAsia="Arial" w:hAnsi="Arial"/>
                  <w:sz w:val="14"/>
                  <w:szCs w:val="14"/>
                  <w:color w:val="0000FF"/>
                  <w:w w:val="93"/>
                </w:rPr>
                <w:t>Amended Inseego Corp. 2018 Omnibus Incentive Compensation Plan (incorporated by reference to Exhibit 10.1 to the Registrant’s Current Report on Form 8-K (File No. 001-</w:t>
              </w:r>
            </w:hyperlink>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83">
              <w:r>
                <w:rPr>
                  <w:rFonts w:ascii="Arial" w:cs="Arial" w:eastAsia="Arial" w:hAnsi="Arial"/>
                  <w:sz w:val="13"/>
                  <w:szCs w:val="13"/>
                  <w:color w:val="0000FF"/>
                  <w:w w:val="99"/>
                </w:rPr>
                <w:t>38358)</w:t>
              </w:r>
              <w:r>
                <w:rPr>
                  <w:rFonts w:ascii="Arial" w:cs="Arial" w:eastAsia="Arial" w:hAnsi="Arial"/>
                  <w:sz w:val="13"/>
                  <w:szCs w:val="13"/>
                  <w:u w:val="single" w:color="auto"/>
                  <w:color w:val="0000FF"/>
                  <w:w w:val="99"/>
                </w:rPr>
                <w:t>,</w:t>
              </w:r>
              <w:r>
                <w:rPr>
                  <w:rFonts w:ascii="Arial" w:cs="Arial" w:eastAsia="Arial" w:hAnsi="Arial"/>
                  <w:sz w:val="13"/>
                  <w:szCs w:val="13"/>
                  <w:color w:val="0000FF"/>
                  <w:w w:val="99"/>
                </w:rPr>
                <w:t xml:space="preserve"> filed on August 9, 2022).</w:t>
              </w:r>
            </w:hyperlink>
          </w:p>
        </w:tc>
        <w:tc>
          <w:tcPr>
            <w:tcW w:w="8060" w:type="dxa"/>
            <w:vAlign w:val="bottom"/>
            <w:tcBorders>
              <w:top w:val="single" w:sz="8" w:color="0000FF"/>
            </w:tcBorders>
            <w:gridSpan w:val="28"/>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7"/>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3"/>
              </w:rPr>
            </w:pPr>
            <w:hyperlink r:id="rId84">
              <w:r>
                <w:rPr>
                  <w:rFonts w:ascii="Arial" w:cs="Arial" w:eastAsia="Arial" w:hAnsi="Arial"/>
                  <w:sz w:val="14"/>
                  <w:szCs w:val="14"/>
                  <w:color w:val="0000FF"/>
                  <w:w w:val="93"/>
                </w:rPr>
                <w:t>Securities Purchase Agreement, dated August 6, 2018, by and among Inseego Corp. and the Investors identified on Exhibit A thereto (incorporated by reference to Exhibit 4.1</w:t>
              </w:r>
            </w:hyperlink>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84">
              <w:r>
                <w:rPr>
                  <w:rFonts w:ascii="Arial" w:cs="Arial" w:eastAsia="Arial" w:hAnsi="Arial"/>
                  <w:sz w:val="13"/>
                  <w:szCs w:val="13"/>
                  <w:color w:val="0000FF"/>
                  <w:w w:val="99"/>
                </w:rPr>
                <w:t>to the Company’s Current Report on Form 8-K, filed August 7, 2018).</w:t>
              </w:r>
            </w:hyperlink>
          </w:p>
        </w:tc>
        <w:tc>
          <w:tcPr>
            <w:tcW w:w="59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7"/>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0"/>
              </w:rPr>
            </w:pPr>
            <w:hyperlink r:id="rId85">
              <w:r>
                <w:rPr>
                  <w:rFonts w:ascii="Arial" w:cs="Arial" w:eastAsia="Arial" w:hAnsi="Arial"/>
                  <w:sz w:val="14"/>
                  <w:szCs w:val="14"/>
                  <w:color w:val="0000FF"/>
                  <w:w w:val="90"/>
                </w:rPr>
                <w:t>Assignment and License Agreement, dated as of February 24, 2021, by and between Inseego Corp. and certain entities that will be acquired by Purchaser in the Sale Transaction</w:t>
              </w:r>
            </w:hyperlink>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34"/>
          </w:tcPr>
          <w:p>
            <w:pPr>
              <w:spacing w:after="0" w:line="118" w:lineRule="exact"/>
              <w:rPr>
                <w:rFonts w:ascii="Arial" w:cs="Arial" w:eastAsia="Arial" w:hAnsi="Arial"/>
                <w:sz w:val="13"/>
                <w:szCs w:val="13"/>
                <w:color w:val="0000FF"/>
              </w:rPr>
            </w:pPr>
            <w:hyperlink r:id="rId85">
              <w:r>
                <w:rPr>
                  <w:rFonts w:ascii="Arial" w:cs="Arial" w:eastAsia="Arial" w:hAnsi="Arial"/>
                  <w:sz w:val="13"/>
                  <w:szCs w:val="13"/>
                  <w:color w:val="0000FF"/>
                </w:rPr>
                <w:t>(incorporated by reference to Exhibit 10.2 to the Company’s Current Report on Form 8-K, filed February 25, 2021).</w:t>
              </w:r>
            </w:hyperlink>
          </w:p>
        </w:tc>
        <w:tc>
          <w:tcPr>
            <w:tcW w:w="40" w:type="dxa"/>
            <w:vAlign w:val="bottom"/>
            <w:gridSpan w:val="2"/>
          </w:tcPr>
          <w:p>
            <w:pPr>
              <w:spacing w:after="0"/>
              <w:rPr>
                <w:sz w:val="10"/>
                <w:szCs w:val="10"/>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2"/>
              </w:rPr>
            </w:pPr>
            <w:hyperlink r:id="rId86">
              <w:r>
                <w:rPr>
                  <w:rFonts w:ascii="Arial" w:cs="Arial" w:eastAsia="Arial" w:hAnsi="Arial"/>
                  <w:sz w:val="14"/>
                  <w:szCs w:val="14"/>
                  <w:color w:val="0000FF"/>
                  <w:w w:val="92"/>
                </w:rPr>
                <w:t>Transitional Services Agreement, dated as of February 24, 2021, by and between Inseego Corp. and certain entities that will be acquired by Purchaser in the Sale Transaction</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4"/>
          </w:tcPr>
          <w:p>
            <w:pPr>
              <w:spacing w:after="0" w:line="139" w:lineRule="exact"/>
              <w:rPr>
                <w:rFonts w:ascii="Arial" w:cs="Arial" w:eastAsia="Arial" w:hAnsi="Arial"/>
                <w:sz w:val="14"/>
                <w:szCs w:val="14"/>
                <w:color w:val="0000FF"/>
              </w:rPr>
            </w:pPr>
            <w:hyperlink r:id="rId86">
              <w:r>
                <w:rPr>
                  <w:rFonts w:ascii="Arial" w:cs="Arial" w:eastAsia="Arial" w:hAnsi="Arial"/>
                  <w:sz w:val="14"/>
                  <w:szCs w:val="14"/>
                  <w:color w:val="0000FF"/>
                </w:rPr>
                <w:t>(incorporated by reference to Exhibit 10.3 to the Company’s Current Report on Form 8-K, filed February 25,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rFonts w:ascii="Arial" w:cs="Arial" w:eastAsia="Arial" w:hAnsi="Arial"/>
                <w:sz w:val="14"/>
                <w:szCs w:val="14"/>
                <w:color w:val="0000FF"/>
                <w:w w:val="93"/>
              </w:rPr>
            </w:pPr>
            <w:hyperlink r:id="rId87">
              <w:r>
                <w:rPr>
                  <w:rFonts w:ascii="Arial" w:cs="Arial" w:eastAsia="Arial" w:hAnsi="Arial"/>
                  <w:sz w:val="14"/>
                  <w:szCs w:val="14"/>
                  <w:color w:val="0000FF"/>
                  <w:w w:val="93"/>
                </w:rPr>
                <w:t>Trademark Agreement, dated as of February 24, 2021, by and between Inseego Corp. Ctrack Holdings (Pty) Limited, and certain entities that will be acquired by Purchaser in</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8"/>
          </w:tcPr>
          <w:p>
            <w:pPr>
              <w:spacing w:after="0" w:line="139" w:lineRule="exact"/>
              <w:rPr>
                <w:rFonts w:ascii="Arial" w:cs="Arial" w:eastAsia="Arial" w:hAnsi="Arial"/>
                <w:sz w:val="14"/>
                <w:szCs w:val="14"/>
                <w:color w:val="0000FF"/>
              </w:rPr>
            </w:pPr>
            <w:hyperlink r:id="rId87">
              <w:r>
                <w:rPr>
                  <w:rFonts w:ascii="Arial" w:cs="Arial" w:eastAsia="Arial" w:hAnsi="Arial"/>
                  <w:sz w:val="14"/>
                  <w:szCs w:val="14"/>
                  <w:color w:val="0000FF"/>
                </w:rPr>
                <w:t>the Sale Transaction (incorporated by reference to Exhibit 10.5 to the Company’s Current Report on Form 8-K, filed February 25,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5"/>
              </w:rPr>
            </w:pPr>
            <w:hyperlink r:id="rId88">
              <w:r>
                <w:rPr>
                  <w:rFonts w:ascii="Arial" w:cs="Arial" w:eastAsia="Arial" w:hAnsi="Arial"/>
                  <w:sz w:val="14"/>
                  <w:szCs w:val="14"/>
                  <w:color w:val="0000FF"/>
                  <w:w w:val="95"/>
                </w:rPr>
                <w:t>Equity Distribution Agreement, dated as of January 25, 2021, by and between Inseego Corp. and Canaccord Genuity LLC (incorporated by reference to Exhibit 10.1 to the</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3"/>
          </w:tcPr>
          <w:p>
            <w:pPr>
              <w:spacing w:after="0" w:line="139" w:lineRule="exact"/>
              <w:rPr>
                <w:rFonts w:ascii="Arial" w:cs="Arial" w:eastAsia="Arial" w:hAnsi="Arial"/>
                <w:sz w:val="14"/>
                <w:szCs w:val="14"/>
                <w:color w:val="0000FF"/>
              </w:rPr>
            </w:pPr>
            <w:hyperlink r:id="rId88">
              <w:r>
                <w:rPr>
                  <w:rFonts w:ascii="Arial" w:cs="Arial" w:eastAsia="Arial" w:hAnsi="Arial"/>
                  <w:sz w:val="14"/>
                  <w:szCs w:val="14"/>
                  <w:color w:val="0000FF"/>
                </w:rPr>
                <w:t>Company’s Current Report on Form 8-K, filed January 26, 2021).</w:t>
              </w:r>
            </w:hyperlink>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8"/>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1"/>
              </w:rPr>
            </w:pPr>
            <w:hyperlink r:id="rId89">
              <w:r>
                <w:rPr>
                  <w:rFonts w:ascii="Arial" w:cs="Arial" w:eastAsia="Arial" w:hAnsi="Arial"/>
                  <w:sz w:val="14"/>
                  <w:szCs w:val="14"/>
                  <w:color w:val="0000FF"/>
                  <w:w w:val="91"/>
                </w:rPr>
                <w:t>Amended and Restated Change in Control and Severance Agreement, dated June 7, 2021, by and between the Company and Dan Mondor (incorporated by reference to Exhibit</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1"/>
          </w:tcPr>
          <w:p>
            <w:pPr>
              <w:spacing w:after="0" w:line="139" w:lineRule="exact"/>
              <w:rPr>
                <w:rFonts w:ascii="Arial" w:cs="Arial" w:eastAsia="Arial" w:hAnsi="Arial"/>
                <w:sz w:val="14"/>
                <w:szCs w:val="14"/>
                <w:color w:val="0000FF"/>
                <w:w w:val="91"/>
              </w:rPr>
            </w:pPr>
            <w:hyperlink r:id="rId89">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w:t>
              </w:r>
              <w:r>
                <w:rPr>
                  <w:rFonts w:ascii="Arial" w:cs="Arial" w:eastAsia="Arial" w:hAnsi="Arial"/>
                  <w:sz w:val="14"/>
                  <w:szCs w:val="14"/>
                  <w:color w:val="0000FF"/>
                  <w:w w:val="91"/>
                </w:rPr>
                <w:t xml:space="preserve"> to the Company’s Current Report on Form 8-K, filed June 10, 2021).</w:t>
              </w:r>
            </w:hyperlink>
          </w:p>
        </w:tc>
        <w:tc>
          <w:tcPr>
            <w:tcW w:w="5760" w:type="dxa"/>
            <w:vAlign w:val="bottom"/>
            <w:tcBorders>
              <w:top w:val="single" w:sz="8" w:color="0000FF"/>
            </w:tcBorders>
            <w:gridSpan w:val="20"/>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8"/>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3"/>
              </w:rPr>
            </w:pPr>
            <w:hyperlink r:id="rId90">
              <w:r>
                <w:rPr>
                  <w:rFonts w:ascii="Arial" w:cs="Arial" w:eastAsia="Arial" w:hAnsi="Arial"/>
                  <w:sz w:val="14"/>
                  <w:szCs w:val="14"/>
                  <w:color w:val="0000FF"/>
                  <w:w w:val="93"/>
                </w:rPr>
                <w:t>Offer Letter dated October 13, 2021 between Inseego Corp. and Robert G. Barbieri. (incorporated by reference to Exhibit 10.1 to the Company’s Current on Form 8-K/A, filed</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0"/>
          </w:tcPr>
          <w:p>
            <w:pPr>
              <w:spacing w:after="0" w:line="139" w:lineRule="exact"/>
              <w:rPr>
                <w:rFonts w:ascii="Arial" w:cs="Arial" w:eastAsia="Arial" w:hAnsi="Arial"/>
                <w:sz w:val="14"/>
                <w:szCs w:val="14"/>
                <w:color w:val="0000FF"/>
              </w:rPr>
            </w:pPr>
            <w:hyperlink r:id="rId90">
              <w:r>
                <w:rPr>
                  <w:rFonts w:ascii="Arial" w:cs="Arial" w:eastAsia="Arial" w:hAnsi="Arial"/>
                  <w:sz w:val="14"/>
                  <w:szCs w:val="14"/>
                  <w:color w:val="0000FF"/>
                </w:rPr>
                <w:t>October 26, 2021).</w:t>
              </w:r>
            </w:hyperlink>
          </w:p>
        </w:tc>
        <w:tc>
          <w:tcPr>
            <w:tcW w:w="120" w:type="dxa"/>
            <w:vAlign w:val="bottom"/>
            <w:gridSpan w:val="6"/>
          </w:tcPr>
          <w:p>
            <w:pPr>
              <w:spacing w:after="0"/>
              <w:rPr>
                <w:sz w:val="12"/>
                <w:szCs w:val="12"/>
                <w:color w:val="auto"/>
              </w:rPr>
            </w:pP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8"/>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3"/>
              </w:rPr>
            </w:pPr>
            <w:hyperlink r:id="rId91">
              <w:r>
                <w:rPr>
                  <w:rFonts w:ascii="Arial" w:cs="Arial" w:eastAsia="Arial" w:hAnsi="Arial"/>
                  <w:sz w:val="14"/>
                  <w:szCs w:val="14"/>
                  <w:color w:val="0000FF"/>
                  <w:w w:val="93"/>
                </w:rPr>
                <w:t>Form of Inducement Stock Option Agreement, by and between Inseego Corp. and Robert G. Barbieri (incorporated by reference to Exhibit 10.2 to the Company’s Current on</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3"/>
              </w:rPr>
            </w:pPr>
            <w:hyperlink r:id="rId91">
              <w:r>
                <w:rPr>
                  <w:rFonts w:ascii="Arial" w:cs="Arial" w:eastAsia="Arial" w:hAnsi="Arial"/>
                  <w:sz w:val="14"/>
                  <w:szCs w:val="14"/>
                  <w:color w:val="0000FF"/>
                  <w:w w:val="93"/>
                </w:rPr>
                <w:t>Form 8-K/A, filed October 26, 2021).</w:t>
              </w:r>
            </w:hyperlink>
          </w:p>
        </w:tc>
        <w:tc>
          <w:tcPr>
            <w:tcW w:w="770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8"/>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3"/>
              </w:rPr>
            </w:pPr>
            <w:hyperlink r:id="rId92">
              <w:r>
                <w:rPr>
                  <w:rFonts w:ascii="Arial" w:cs="Arial" w:eastAsia="Arial" w:hAnsi="Arial"/>
                  <w:sz w:val="14"/>
                  <w:szCs w:val="14"/>
                  <w:color w:val="0000FF"/>
                  <w:w w:val="93"/>
                </w:rPr>
                <w:t>Change in Control Agreement dated October 25, 2021 between Inseego Corp. and Robert G. Barbieri (incorporated by reference to Exhibit 10.3 to the Company’s Current on</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3"/>
              </w:rPr>
            </w:pPr>
            <w:hyperlink r:id="rId92">
              <w:r>
                <w:rPr>
                  <w:rFonts w:ascii="Arial" w:cs="Arial" w:eastAsia="Arial" w:hAnsi="Arial"/>
                  <w:sz w:val="14"/>
                  <w:szCs w:val="14"/>
                  <w:color w:val="0000FF"/>
                  <w:w w:val="93"/>
                </w:rPr>
                <w:t>Form 8-K/A, filed October 26, 2021).</w:t>
              </w:r>
            </w:hyperlink>
          </w:p>
        </w:tc>
        <w:tc>
          <w:tcPr>
            <w:tcW w:w="7720" w:type="dxa"/>
            <w:vAlign w:val="bottom"/>
            <w:tcBorders>
              <w:top w:val="single" w:sz="8" w:color="0000FF"/>
            </w:tcBorders>
            <w:gridSpan w:val="22"/>
          </w:tcPr>
          <w:p>
            <w:pPr>
              <w:spacing w:after="0"/>
              <w:rPr>
                <w:sz w:val="12"/>
                <w:szCs w:val="12"/>
                <w:color w:val="auto"/>
              </w:rPr>
            </w:pPr>
          </w:p>
        </w:tc>
        <w:tc>
          <w:tcPr>
            <w:tcW w:w="180" w:type="dxa"/>
            <w:vAlign w:val="bottom"/>
            <w:gridSpan w:val="9"/>
          </w:tcPr>
          <w:p>
            <w:pPr>
              <w:spacing w:after="0"/>
              <w:rPr>
                <w:sz w:val="12"/>
                <w:szCs w:val="12"/>
                <w:color w:val="auto"/>
              </w:rPr>
            </w:pPr>
          </w:p>
        </w:tc>
      </w:tr>
      <w:tr>
        <w:trPr>
          <w:trHeight w:val="245"/>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6"/>
          </w:tcPr>
          <w:p>
            <w:pPr>
              <w:spacing w:after="0"/>
              <w:rPr>
                <w:rFonts w:ascii="Arial" w:cs="Arial" w:eastAsia="Arial" w:hAnsi="Arial"/>
                <w:sz w:val="14"/>
                <w:szCs w:val="14"/>
                <w:color w:val="0000FF"/>
                <w:w w:val="97"/>
              </w:rPr>
            </w:pPr>
            <w:hyperlink r:id="rId93">
              <w:r>
                <w:rPr>
                  <w:rFonts w:ascii="Arial" w:cs="Arial" w:eastAsia="Arial" w:hAnsi="Arial"/>
                  <w:sz w:val="14"/>
                  <w:szCs w:val="14"/>
                  <w:color w:val="0000FF"/>
                  <w:w w:val="97"/>
                </w:rPr>
                <w:t>Loan and Security Agreement, dated as of August 5, 2022, among Siena Lending Group LLC (as Lender), Inseego Wireless, Inc., and Inseego North America LLC (as</w:t>
              </w:r>
            </w:hyperlink>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7"/>
          </w:tcPr>
          <w:p>
            <w:pPr>
              <w:spacing w:after="0" w:line="139" w:lineRule="exact"/>
              <w:rPr>
                <w:rFonts w:ascii="Arial" w:cs="Arial" w:eastAsia="Arial" w:hAnsi="Arial"/>
                <w:sz w:val="14"/>
                <w:szCs w:val="14"/>
                <w:color w:val="0000FF"/>
                <w:w w:val="90"/>
              </w:rPr>
            </w:pPr>
            <w:hyperlink r:id="rId93">
              <w:r>
                <w:rPr>
                  <w:rFonts w:ascii="Arial" w:cs="Arial" w:eastAsia="Arial" w:hAnsi="Arial"/>
                  <w:sz w:val="14"/>
                  <w:szCs w:val="14"/>
                  <w:color w:val="0000FF"/>
                  <w:w w:val="90"/>
                </w:rPr>
                <w:t>Borrowers), and Inseego Corp. (as Guarantor).</w:t>
              </w:r>
            </w:hyperlink>
          </w:p>
        </w:tc>
        <w:tc>
          <w:tcPr>
            <w:tcW w:w="6800" w:type="dxa"/>
            <w:vAlign w:val="bottom"/>
            <w:tcBorders>
              <w:top w:val="single" w:sz="8" w:color="0000FF"/>
            </w:tcBorders>
            <w:gridSpan w:val="13"/>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15"/>
          </w:tcPr>
          <w:p>
            <w:pPr>
              <w:spacing w:after="0"/>
              <w:rPr>
                <w:sz w:val="12"/>
                <w:szCs w:val="12"/>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6"/>
          </w:tcPr>
          <w:p>
            <w:pPr>
              <w:spacing w:after="0"/>
              <w:rPr>
                <w:sz w:val="20"/>
                <w:szCs w:val="20"/>
                <w:color w:val="auto"/>
              </w:rPr>
            </w:pPr>
            <w:r>
              <w:rPr>
                <w:rFonts w:ascii="Arial" w:cs="Arial" w:eastAsia="Arial" w:hAnsi="Arial"/>
                <w:sz w:val="14"/>
                <w:szCs w:val="14"/>
                <w:color w:val="0000FF"/>
                <w:w w:val="96"/>
              </w:rPr>
              <w:t>First Amendment, dated as of December 15, 2022, to Loan and Security Agreement, dated as of August 5, 2022, among Siena Lending Group LLC (as Lender), Inseego</w:t>
            </w:r>
          </w:p>
        </w:tc>
      </w:tr>
      <w:tr>
        <w:trPr>
          <w:trHeight w:val="13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1"/>
          </w:tcPr>
          <w:p>
            <w:pPr>
              <w:spacing w:after="0" w:line="139" w:lineRule="exact"/>
              <w:rPr>
                <w:sz w:val="20"/>
                <w:szCs w:val="20"/>
                <w:color w:val="auto"/>
              </w:rPr>
            </w:pPr>
            <w:r>
              <w:rPr>
                <w:rFonts w:ascii="Arial" w:cs="Arial" w:eastAsia="Arial" w:hAnsi="Arial"/>
                <w:sz w:val="14"/>
                <w:szCs w:val="14"/>
                <w:color w:val="0000FF"/>
              </w:rPr>
              <w:t>Wireless, Inc., and Inseego North America LLC (as Borrowers), and Inseego Corp. (as Guarantor).</w:t>
            </w:r>
          </w:p>
        </w:tc>
        <w:tc>
          <w:tcPr>
            <w:tcW w:w="480" w:type="dxa"/>
            <w:vAlign w:val="bottom"/>
            <w:gridSpan w:val="15"/>
          </w:tcPr>
          <w:p>
            <w:pPr>
              <w:spacing w:after="0"/>
              <w:rPr>
                <w:sz w:val="12"/>
                <w:szCs w:val="12"/>
                <w:color w:val="auto"/>
              </w:rPr>
            </w:pPr>
          </w:p>
        </w:tc>
      </w:tr>
      <w:tr>
        <w:trPr>
          <w:trHeight w:val="213"/>
        </w:trPr>
        <w:tc>
          <w:tcPr>
            <w:tcW w:w="1120" w:type="dxa"/>
            <w:vAlign w:val="bottom"/>
            <w:gridSpan w:val="2"/>
          </w:tcPr>
          <w:p>
            <w:pPr>
              <w:jc w:val="center"/>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0"/>
              </w:rPr>
              <w:t>Subsidiaries of Inseego Corp.</w:t>
            </w:r>
          </w:p>
        </w:tc>
        <w:tc>
          <w:tcPr>
            <w:tcW w:w="3900" w:type="dxa"/>
            <w:vAlign w:val="bottom"/>
            <w:tcBorders>
              <w:top w:val="single" w:sz="8" w:color="0000FF"/>
            </w:tcBorders>
            <w:gridSpan w:val="9"/>
          </w:tcPr>
          <w:p>
            <w:pPr>
              <w:spacing w:after="0"/>
              <w:rPr>
                <w:sz w:val="18"/>
                <w:szCs w:val="18"/>
                <w:color w:val="auto"/>
              </w:rPr>
            </w:pPr>
          </w:p>
        </w:tc>
        <w:tc>
          <w:tcPr>
            <w:tcW w:w="4460" w:type="dxa"/>
            <w:vAlign w:val="bottom"/>
            <w:gridSpan w:val="24"/>
          </w:tcPr>
          <w:p>
            <w:pPr>
              <w:spacing w:after="0"/>
              <w:rPr>
                <w:sz w:val="18"/>
                <w:szCs w:val="18"/>
                <w:color w:val="auto"/>
              </w:rPr>
            </w:pPr>
          </w:p>
        </w:tc>
      </w:tr>
      <w:tr>
        <w:trPr>
          <w:trHeight w:val="62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13"/>
          </w:tcPr>
          <w:p>
            <w:pPr>
              <w:jc w:val="right"/>
              <w:ind w:right="1100"/>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168"/>
        </w:trPr>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Exhibit No.</w:t>
            </w:r>
          </w:p>
        </w:tc>
        <w:tc>
          <w:tcPr>
            <w:tcW w:w="20" w:type="dxa"/>
            <w:vAlign w:val="bottom"/>
          </w:tcPr>
          <w:p>
            <w:pPr>
              <w:spacing w:after="0"/>
              <w:rPr>
                <w:sz w:val="14"/>
                <w:szCs w:val="14"/>
                <w:color w:val="auto"/>
              </w:rPr>
            </w:pPr>
          </w:p>
        </w:tc>
        <w:tc>
          <w:tcPr>
            <w:tcW w:w="10000" w:type="dxa"/>
            <w:vAlign w:val="bottom"/>
            <w:gridSpan w:val="6"/>
          </w:tcPr>
          <w:p>
            <w:pPr>
              <w:spacing w:after="0"/>
              <w:rPr>
                <w:sz w:val="20"/>
                <w:szCs w:val="20"/>
                <w:color w:val="auto"/>
              </w:rPr>
            </w:pPr>
            <w:r>
              <w:rPr>
                <w:rFonts w:ascii="Arial" w:cs="Arial" w:eastAsia="Arial" w:hAnsi="Arial"/>
                <w:sz w:val="13"/>
                <w:szCs w:val="13"/>
                <w:b w:val="1"/>
                <w:bCs w:val="1"/>
                <w:color w:val="auto"/>
              </w:rPr>
              <w:t>Description</w:t>
            </w:r>
          </w:p>
        </w:tc>
      </w:tr>
      <w:tr>
        <w:trPr>
          <w:trHeight w:val="173"/>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6"/>
          </w:tcPr>
          <w:p>
            <w:pPr>
              <w:spacing w:after="0"/>
              <w:rPr>
                <w:sz w:val="20"/>
                <w:szCs w:val="20"/>
                <w:color w:val="auto"/>
              </w:rPr>
            </w:pPr>
            <w:r>
              <w:rPr>
                <w:rFonts w:ascii="Arial" w:cs="Arial" w:eastAsia="Arial" w:hAnsi="Arial"/>
                <w:sz w:val="14"/>
                <w:szCs w:val="14"/>
                <w:color w:val="0000FF"/>
              </w:rPr>
              <w:t>Consent of Independent Registered Public Accounting Firm (Marcum LLP).</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4"/>
        </w:trPr>
        <w:tc>
          <w:tcPr>
            <w:tcW w:w="1100" w:type="dxa"/>
            <w:vAlign w:val="bottom"/>
          </w:tcPr>
          <w:p>
            <w:pPr>
              <w:jc w:val="center"/>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0000FF"/>
              </w:rPr>
              <w:t>Certification of our Principal Executive Officer adopted pursuant to Section 302 of the Sarbanes-Oxley Act of 2002.</w:t>
            </w:r>
          </w:p>
        </w:tc>
      </w:tr>
      <w:tr>
        <w:trPr>
          <w:trHeight w:val="224"/>
        </w:trPr>
        <w:tc>
          <w:tcPr>
            <w:tcW w:w="1100" w:type="dxa"/>
            <w:vAlign w:val="bottom"/>
          </w:tcPr>
          <w:p>
            <w:pPr>
              <w:jc w:val="center"/>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8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w w:val="93"/>
              </w:rPr>
              <w:t>Certification of our Principal Financial Officer adopted pursuant to Section 302 of the Sarbanes-Oxley Act of 2002.</w:t>
            </w:r>
          </w:p>
        </w:tc>
        <w:tc>
          <w:tcPr>
            <w:tcW w:w="3420" w:type="dxa"/>
            <w:vAlign w:val="bottom"/>
            <w:gridSpan w:val="3"/>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4"/>
        </w:trPr>
        <w:tc>
          <w:tcPr>
            <w:tcW w:w="1100" w:type="dxa"/>
            <w:vAlign w:val="bottom"/>
          </w:tcPr>
          <w:p>
            <w:pPr>
              <w:jc w:val="center"/>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0000FF"/>
              </w:rPr>
              <w:t>Certification of Principal Executive Officer pursuant to 18 U.S.C. Section 1350, as adopted pursuant to Section 906 of the Sarbanes-Oxley Act of 2002.</w:t>
            </w:r>
          </w:p>
        </w:tc>
      </w:tr>
      <w:tr>
        <w:trPr>
          <w:trHeight w:val="224"/>
        </w:trPr>
        <w:tc>
          <w:tcPr>
            <w:tcW w:w="1100" w:type="dxa"/>
            <w:vAlign w:val="bottom"/>
          </w:tcPr>
          <w:p>
            <w:pPr>
              <w:jc w:val="center"/>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8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w w:val="92"/>
              </w:rPr>
              <w:t>Certification of Principal Financial Officer pursuant to 18 U.S.C. Section 1350, as adopted pursuant to Section 906 of the Sarbanes-Oxley Act of 2002.</w:t>
            </w:r>
          </w:p>
        </w:tc>
        <w:tc>
          <w:tcPr>
            <w:tcW w:w="1420" w:type="dxa"/>
            <w:vAlign w:val="bottom"/>
          </w:tcPr>
          <w:p>
            <w:pPr>
              <w:spacing w:after="0"/>
              <w:rPr>
                <w:sz w:val="19"/>
                <w:szCs w:val="19"/>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40" w:type="dxa"/>
            <w:vAlign w:val="bottom"/>
            <w:gridSpan w:val="4"/>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55"/>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22"/>
                <w:szCs w:val="22"/>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w w:val="93"/>
              </w:rPr>
              <w:t>Inline XBRL Instance Document - the instance document does not appear in the Interactive Data File because its XBRL tags are embedded within the Inline XBRL document.</w:t>
            </w:r>
          </w:p>
        </w:tc>
      </w:tr>
      <w:tr>
        <w:trPr>
          <w:trHeight w:val="24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4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4"/>
        </w:trPr>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101.PRE</w:t>
            </w:r>
          </w:p>
        </w:tc>
        <w:tc>
          <w:tcPr>
            <w:tcW w:w="2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86"/>
        </w:trPr>
        <w:tc>
          <w:tcPr>
            <w:tcW w:w="1100" w:type="dxa"/>
            <w:vAlign w:val="bottom"/>
          </w:tcPr>
          <w:p>
            <w:pPr>
              <w:jc w:val="center"/>
              <w:spacing w:after="0"/>
              <w:rPr>
                <w:sz w:val="20"/>
                <w:szCs w:val="20"/>
                <w:color w:val="auto"/>
              </w:rPr>
            </w:pPr>
            <w:r>
              <w:rPr>
                <w:rFonts w:ascii="Arial" w:cs="Arial" w:eastAsia="Arial" w:hAnsi="Arial"/>
                <w:sz w:val="14"/>
                <w:szCs w:val="14"/>
                <w:color w:val="auto"/>
                <w:w w:val="85"/>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ind w:left="1260" w:hanging="718"/>
        <w:spacing w:after="0"/>
        <w:tabs>
          <w:tab w:leader="none" w:pos="1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Management contract, compensatory plan or arrangement</w:t>
      </w:r>
    </w:p>
    <w:p>
      <w:pPr>
        <w:spacing w:after="0" w:line="41" w:lineRule="exact"/>
        <w:rPr>
          <w:sz w:val="20"/>
          <w:szCs w:val="20"/>
          <w:color w:val="auto"/>
        </w:rPr>
      </w:pPr>
    </w:p>
    <w:p>
      <w:pPr>
        <w:ind w:left="1260" w:hanging="753"/>
        <w:spacing w:after="0"/>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74" w:lineRule="exact"/>
        <w:rPr>
          <w:rFonts w:ascii="Arial" w:cs="Arial" w:eastAsia="Arial" w:hAnsi="Arial"/>
          <w:sz w:val="14"/>
          <w:szCs w:val="14"/>
          <w:color w:val="auto"/>
        </w:rPr>
      </w:pPr>
    </w:p>
    <w:p>
      <w:pPr>
        <w:ind w:left="720" w:hanging="206"/>
        <w:spacing w:after="0"/>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See Item 15(a)(3) above.</w:t>
      </w:r>
    </w:p>
    <w:p>
      <w:pPr>
        <w:spacing w:after="0" w:line="157" w:lineRule="exact"/>
        <w:rPr>
          <w:rFonts w:ascii="Arial" w:cs="Arial" w:eastAsia="Arial" w:hAnsi="Arial"/>
          <w:sz w:val="14"/>
          <w:szCs w:val="14"/>
          <w:color w:val="auto"/>
        </w:rPr>
      </w:pPr>
    </w:p>
    <w:p>
      <w:pPr>
        <w:ind w:left="720" w:hanging="206"/>
        <w:spacing w:after="0"/>
        <w:tabs>
          <w:tab w:leader="none" w:pos="7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See Item 15(a)(2) above.</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17" w:lineRule="exact"/>
        <w:rPr>
          <w:sz w:val="20"/>
          <w:szCs w:val="20"/>
          <w:color w:val="auto"/>
        </w:rPr>
      </w:pPr>
    </w:p>
    <w:p>
      <w:pPr>
        <w:ind w:left="20"/>
        <w:spacing w:after="0"/>
        <w:tabs>
          <w:tab w:leader="none" w:pos="6580" w:val="left"/>
        </w:tabs>
        <w:rPr>
          <w:sz w:val="20"/>
          <w:szCs w:val="20"/>
          <w:color w:val="auto"/>
        </w:rPr>
      </w:pPr>
      <w:r>
        <w:rPr>
          <w:rFonts w:ascii="Arial" w:cs="Arial" w:eastAsia="Arial" w:hAnsi="Arial"/>
          <w:sz w:val="14"/>
          <w:szCs w:val="14"/>
          <w:color w:val="auto"/>
        </w:rPr>
        <w:t>Date: March 2, 2023</w:t>
      </w:r>
      <w:r>
        <w:rPr>
          <w:sz w:val="20"/>
          <w:szCs w:val="20"/>
          <w:color w:val="auto"/>
        </w:rPr>
        <w:tab/>
      </w:r>
      <w:r>
        <w:rPr>
          <w:rFonts w:ascii="Arial" w:cs="Arial" w:eastAsia="Arial" w:hAnsi="Arial"/>
          <w:sz w:val="12"/>
          <w:szCs w:val="12"/>
          <w:color w:val="auto"/>
        </w:rPr>
        <w:t>INSEEGO CORP.</w:t>
      </w:r>
    </w:p>
    <w:p>
      <w:pPr>
        <w:spacing w:after="0" w:line="62" w:lineRule="exact"/>
        <w:rPr>
          <w:sz w:val="20"/>
          <w:szCs w:val="20"/>
          <w:color w:val="auto"/>
        </w:rPr>
      </w:pPr>
    </w:p>
    <w:p>
      <w:pPr>
        <w:ind w:left="6600"/>
        <w:spacing w:after="0"/>
        <w:tabs>
          <w:tab w:leader="none" w:pos="8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12065</wp:posOffset>
            </wp:positionV>
            <wp:extent cx="250634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2506345" cy="698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1"/>
          <w:szCs w:val="11"/>
          <w:b w:val="1"/>
          <w:bCs w:val="1"/>
          <w:color w:val="auto"/>
        </w:rPr>
        <w:t>Ashish Sharma</w:t>
      </w:r>
    </w:p>
    <w:p>
      <w:pPr>
        <w:spacing w:after="0" w:line="33" w:lineRule="exact"/>
        <w:rPr>
          <w:sz w:val="20"/>
          <w:szCs w:val="20"/>
          <w:color w:val="auto"/>
        </w:rPr>
      </w:pPr>
    </w:p>
    <w:p>
      <w:pPr>
        <w:ind w:left="8540"/>
        <w:spacing w:after="0"/>
        <w:rPr>
          <w:sz w:val="20"/>
          <w:szCs w:val="20"/>
          <w:color w:val="auto"/>
        </w:rPr>
      </w:pPr>
      <w:r>
        <w:rPr>
          <w:rFonts w:ascii="Arial" w:cs="Arial" w:eastAsia="Arial" w:hAnsi="Arial"/>
          <w:sz w:val="11"/>
          <w:szCs w:val="11"/>
          <w:b w:val="1"/>
          <w:bCs w:val="1"/>
          <w:color w:val="auto"/>
        </w:rPr>
        <w:t>Chief Executive Officer</w:t>
      </w:r>
    </w:p>
    <w:p>
      <w:pPr>
        <w:spacing w:after="0" w:line="2" w:lineRule="exact"/>
        <w:rPr>
          <w:sz w:val="20"/>
          <w:szCs w:val="20"/>
          <w:color w:val="auto"/>
        </w:rPr>
      </w:pPr>
    </w:p>
    <w:p>
      <w:pPr>
        <w:ind w:left="8420"/>
        <w:spacing w:after="0"/>
        <w:rPr>
          <w:sz w:val="20"/>
          <w:szCs w:val="20"/>
          <w:color w:val="auto"/>
        </w:rPr>
      </w:pPr>
      <w:r>
        <w:rPr>
          <w:rFonts w:ascii="Arial" w:cs="Arial" w:eastAsia="Arial" w:hAnsi="Arial"/>
          <w:sz w:val="11"/>
          <w:szCs w:val="11"/>
          <w:b w:val="1"/>
          <w:bCs w:val="1"/>
          <w:color w:val="auto"/>
        </w:rPr>
        <w:t>(Principal Executive Officer)</w:t>
      </w:r>
    </w:p>
    <w:p>
      <w:pPr>
        <w:spacing w:after="0" w:line="133"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640" w:type="dxa"/>
            <w:vAlign w:val="bottom"/>
            <w:gridSpan w:val="2"/>
          </w:tcPr>
          <w:p>
            <w:pPr>
              <w:jc w:val="center"/>
              <w:ind w:right="1180"/>
              <w:spacing w:after="0"/>
              <w:rPr>
                <w:sz w:val="20"/>
                <w:szCs w:val="20"/>
                <w:color w:val="auto"/>
              </w:rPr>
            </w:pPr>
            <w:r>
              <w:rPr>
                <w:rFonts w:ascii="Arial" w:cs="Arial" w:eastAsia="Arial" w:hAnsi="Arial"/>
                <w:sz w:val="11"/>
                <w:szCs w:val="11"/>
                <w:b w:val="1"/>
                <w:bCs w:val="1"/>
                <w:color w:val="auto"/>
                <w:w w:val="90"/>
              </w:rPr>
              <w:t>Signature</w:t>
            </w:r>
          </w:p>
        </w:tc>
        <w:tc>
          <w:tcPr>
            <w:tcW w:w="3200" w:type="dxa"/>
            <w:vAlign w:val="bottom"/>
          </w:tcPr>
          <w:p>
            <w:pPr>
              <w:spacing w:after="0"/>
              <w:rPr>
                <w:sz w:val="10"/>
                <w:szCs w:val="10"/>
                <w:color w:val="auto"/>
              </w:rPr>
            </w:pPr>
          </w:p>
        </w:tc>
        <w:tc>
          <w:tcPr>
            <w:tcW w:w="21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1840" w:type="dxa"/>
            <w:vAlign w:val="bottom"/>
          </w:tcPr>
          <w:p>
            <w:pPr>
              <w:spacing w:after="0"/>
              <w:rPr>
                <w:sz w:val="10"/>
                <w:szCs w:val="10"/>
                <w:color w:val="auto"/>
              </w:rPr>
            </w:pPr>
          </w:p>
        </w:tc>
        <w:tc>
          <w:tcPr>
            <w:tcW w:w="1260" w:type="dxa"/>
            <w:vAlign w:val="bottom"/>
            <w:gridSpan w:val="2"/>
          </w:tcPr>
          <w:p>
            <w:pPr>
              <w:jc w:val="center"/>
              <w:ind w:right="1020"/>
              <w:spacing w:after="0"/>
              <w:rPr>
                <w:sz w:val="20"/>
                <w:szCs w:val="20"/>
                <w:color w:val="auto"/>
              </w:rPr>
            </w:pPr>
            <w:r>
              <w:rPr>
                <w:rFonts w:ascii="Arial" w:cs="Arial" w:eastAsia="Arial" w:hAnsi="Arial"/>
                <w:sz w:val="11"/>
                <w:szCs w:val="11"/>
                <w:b w:val="1"/>
                <w:bCs w:val="1"/>
                <w:color w:val="auto"/>
              </w:rPr>
              <w:t>Date</w:t>
            </w:r>
          </w:p>
        </w:tc>
      </w:tr>
      <w:tr>
        <w:trPr>
          <w:trHeight w:val="160"/>
        </w:trPr>
        <w:tc>
          <w:tcPr>
            <w:tcW w:w="11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3200" w:type="dxa"/>
            <w:vAlign w:val="bottom"/>
          </w:tcPr>
          <w:p>
            <w:pPr>
              <w:ind w:left="1280"/>
              <w:spacing w:after="0"/>
              <w:rPr>
                <w:sz w:val="20"/>
                <w:szCs w:val="20"/>
                <w:color w:val="auto"/>
              </w:rPr>
            </w:pPr>
            <w:r>
              <w:rPr>
                <w:rFonts w:ascii="Arial" w:cs="Arial" w:eastAsia="Arial" w:hAnsi="Arial"/>
                <w:sz w:val="14"/>
                <w:szCs w:val="14"/>
                <w:color w:val="auto"/>
              </w:rPr>
              <w:t>Chief Executive Officer</w:t>
            </w:r>
          </w:p>
        </w:tc>
        <w:tc>
          <w:tcPr>
            <w:tcW w:w="220" w:type="dxa"/>
            <w:vAlign w:val="bottom"/>
            <w:tcBorders>
              <w:top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/s/ Ashish Sharma</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(Principal Executive Officer and 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Ashish Sharma</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8"/>
        </w:trPr>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Chief Financial Officer</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1"/>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 Robert G. Barbieri</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(Principal Financial and Accounting Officer)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Robert G. Barbieri</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20"/>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/s/ Christopher Harland</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Christopher Harland</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20"/>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Christopher Lytle</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Christopher Lytle</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20"/>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 Jeffrey Tuder</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Jeffrey Tuder</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20"/>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/s/ James B. Avery</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James B. Avery</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20"/>
        </w:trPr>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/s/ Stephanie Bowers</w:t>
            </w:r>
          </w:p>
        </w:tc>
        <w:tc>
          <w:tcPr>
            <w:tcW w:w="5360" w:type="dxa"/>
            <w:vAlign w:val="bottom"/>
            <w:gridSpan w:val="3"/>
          </w:tcPr>
          <w:p>
            <w:pPr>
              <w:ind w:left="1280"/>
              <w:spacing w:after="0"/>
              <w:rPr>
                <w:sz w:val="20"/>
                <w:szCs w:val="20"/>
                <w:color w:val="auto"/>
              </w:rPr>
            </w:pPr>
            <w:r>
              <w:rPr>
                <w:rFonts w:ascii="Arial" w:cs="Arial" w:eastAsia="Arial" w:hAnsi="Arial"/>
                <w:sz w:val="14"/>
                <w:szCs w:val="14"/>
                <w:color w:val="auto"/>
              </w:rPr>
              <w:t>Director</w:t>
            </w:r>
          </w:p>
        </w:tc>
        <w:tc>
          <w:tcPr>
            <w:tcW w:w="3100" w:type="dxa"/>
            <w:vAlign w:val="bottom"/>
            <w:gridSpan w:val="3"/>
          </w:tcPr>
          <w:p>
            <w:pPr>
              <w:jc w:val="center"/>
              <w:ind w:left="749"/>
              <w:spacing w:after="0"/>
              <w:rPr>
                <w:sz w:val="20"/>
                <w:szCs w:val="20"/>
                <w:color w:val="auto"/>
              </w:rPr>
            </w:pPr>
            <w:r>
              <w:rPr>
                <w:rFonts w:ascii="Arial" w:cs="Arial" w:eastAsia="Arial" w:hAnsi="Arial"/>
                <w:sz w:val="14"/>
                <w:szCs w:val="14"/>
                <w:color w:val="auto"/>
                <w:w w:val="93"/>
              </w:rPr>
              <w:t>March 2, 2023</w:t>
            </w:r>
          </w:p>
        </w:tc>
      </w:tr>
      <w:tr>
        <w:trPr>
          <w:trHeight w:val="138"/>
        </w:trPr>
        <w:tc>
          <w:tcPr>
            <w:tcW w:w="2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Stephanie Bowers</w:t>
            </w: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500"/>
        </w:trPr>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0" w:type="dxa"/>
            <w:vAlign w:val="bottom"/>
          </w:tcPr>
          <w:p>
            <w:pPr>
              <w:ind w:left="2760"/>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8"/>
        </w:trPr>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60" w:type="dxa"/>
            <w:vAlign w:val="bottom"/>
            <w:gridSpan w:val="2"/>
          </w:tcPr>
          <w:p>
            <w:pPr>
              <w:jc w:val="center"/>
              <w:ind w:right="489"/>
              <w:spacing w:after="0"/>
              <w:rPr>
                <w:sz w:val="20"/>
                <w:szCs w:val="20"/>
                <w:color w:val="auto"/>
              </w:rPr>
            </w:pPr>
            <w:r>
              <w:rPr>
                <w:rFonts w:ascii="Arial" w:cs="Arial" w:eastAsia="Arial" w:hAnsi="Arial"/>
                <w:sz w:val="14"/>
                <w:szCs w:val="14"/>
                <w:b w:val="1"/>
                <w:bCs w:val="1"/>
                <w:color w:val="auto"/>
              </w:rPr>
              <w:t>INDEX TO CONSOLIDATED FINANCIAL STATEMENTS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57"/>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8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0000FF"/>
              </w:rPr>
              <w:t>Report of Independent Registered Public Accounting Firm (PCAOB ID #</w:t>
            </w:r>
            <w:r>
              <w:rPr>
                <w:rFonts w:ascii="Arial" w:cs="Arial" w:eastAsia="Arial" w:hAnsi="Arial"/>
                <w:sz w:val="14"/>
                <w:szCs w:val="14"/>
                <w:color w:val="000000"/>
              </w:rPr>
              <w:t>688</w:t>
            </w:r>
            <w:r>
              <w:rPr>
                <w:rFonts w:ascii="Arial" w:cs="Arial" w:eastAsia="Arial" w:hAnsi="Arial"/>
                <w:sz w:val="14"/>
                <w:szCs w:val="14"/>
                <w:u w:val="single" w:color="auto"/>
                <w:color w:val="0000FF"/>
              </w:rPr>
              <w:t>)</w:t>
            </w:r>
          </w:p>
        </w:tc>
        <w:tc>
          <w:tcPr>
            <w:tcW w:w="228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0000FF"/>
              </w:rPr>
              <w:t>2</w:t>
            </w:r>
          </w:p>
        </w:tc>
      </w:tr>
      <w:tr>
        <w:trPr>
          <w:trHeight w:val="154"/>
        </w:trPr>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4"/>
                <w:szCs w:val="14"/>
                <w:color w:val="0000FF"/>
                <w:w w:val="89"/>
              </w:rPr>
              <w:t>Consolidated Balance Sheets</w:t>
            </w:r>
          </w:p>
        </w:tc>
        <w:tc>
          <w:tcPr>
            <w:tcW w:w="2500" w:type="dxa"/>
            <w:vAlign w:val="bottom"/>
            <w:tcBorders>
              <w:top w:val="single" w:sz="8" w:color="0000FF"/>
            </w:tcBorders>
            <w:gridSpan w:val="5"/>
          </w:tcPr>
          <w:p>
            <w:pPr>
              <w:spacing w:after="0"/>
              <w:rPr>
                <w:sz w:val="13"/>
                <w:szCs w:val="13"/>
                <w:color w:val="auto"/>
              </w:rPr>
            </w:pPr>
          </w:p>
        </w:tc>
        <w:tc>
          <w:tcPr>
            <w:tcW w:w="482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line="149" w:lineRule="exact"/>
              <w:rPr>
                <w:sz w:val="20"/>
                <w:szCs w:val="20"/>
                <w:color w:val="auto"/>
              </w:rPr>
            </w:pPr>
            <w:r>
              <w:rPr>
                <w:rFonts w:ascii="Arial" w:cs="Arial" w:eastAsia="Arial" w:hAnsi="Arial"/>
                <w:sz w:val="14"/>
                <w:szCs w:val="14"/>
                <w:color w:val="0000FF"/>
                <w:w w:val="76"/>
              </w:rPr>
              <w:t>3</w:t>
            </w:r>
          </w:p>
        </w:tc>
        <w:tc>
          <w:tcPr>
            <w:tcW w:w="700" w:type="dxa"/>
            <w:vAlign w:val="bottom"/>
            <w:tcBorders>
              <w:top w:val="single" w:sz="8" w:color="CCEEFF"/>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8980" w:type="dxa"/>
            <w:vAlign w:val="bottom"/>
            <w:gridSpan w:val="7"/>
            <w:shd w:val="clear" w:color="auto" w:fill="CCEEFF"/>
          </w:tcPr>
          <w:p>
            <w:pPr>
              <w:spacing w:after="0" w:line="155" w:lineRule="exact"/>
              <w:rPr>
                <w:sz w:val="20"/>
                <w:szCs w:val="20"/>
                <w:color w:val="auto"/>
              </w:rPr>
            </w:pPr>
            <w:r>
              <w:rPr>
                <w:rFonts w:ascii="Arial" w:cs="Arial" w:eastAsia="Arial" w:hAnsi="Arial"/>
                <w:sz w:val="14"/>
                <w:szCs w:val="14"/>
                <w:color w:val="0000FF"/>
              </w:rPr>
              <w:t>Consolidated Statements of Operations</w:t>
            </w:r>
          </w:p>
        </w:tc>
        <w:tc>
          <w:tcPr>
            <w:tcW w:w="2280" w:type="dxa"/>
            <w:vAlign w:val="bottom"/>
            <w:gridSpan w:val="3"/>
            <w:shd w:val="clear" w:color="auto" w:fill="CCEEFF"/>
          </w:tcPr>
          <w:p>
            <w:pPr>
              <w:jc w:val="right"/>
              <w:ind w:right="700"/>
              <w:spacing w:after="0" w:line="155" w:lineRule="exact"/>
              <w:rPr>
                <w:sz w:val="20"/>
                <w:szCs w:val="20"/>
                <w:color w:val="auto"/>
              </w:rPr>
            </w:pPr>
            <w:r>
              <w:rPr>
                <w:rFonts w:ascii="Arial" w:cs="Arial" w:eastAsia="Arial" w:hAnsi="Arial"/>
                <w:sz w:val="14"/>
                <w:szCs w:val="14"/>
                <w:color w:val="0000FF"/>
              </w:rPr>
              <w:t>4</w:t>
            </w:r>
          </w:p>
        </w:tc>
      </w:tr>
      <w:tr>
        <w:trPr>
          <w:trHeight w:val="32"/>
        </w:trPr>
        <w:tc>
          <w:tcPr>
            <w:tcW w:w="20" w:type="dxa"/>
            <w:vAlign w:val="bottom"/>
          </w:tcPr>
          <w:p>
            <w:pPr>
              <w:spacing w:after="0"/>
              <w:rPr>
                <w:sz w:val="2"/>
                <w:szCs w:val="2"/>
                <w:color w:val="auto"/>
              </w:rPr>
            </w:pPr>
          </w:p>
        </w:tc>
        <w:tc>
          <w:tcPr>
            <w:tcW w:w="1660" w:type="dxa"/>
            <w:vAlign w:val="bottom"/>
            <w:shd w:val="clear" w:color="auto" w:fill="0000FF"/>
          </w:tcPr>
          <w:p>
            <w:pPr>
              <w:spacing w:after="0"/>
              <w:rPr>
                <w:sz w:val="2"/>
                <w:szCs w:val="2"/>
                <w:color w:val="auto"/>
              </w:rPr>
            </w:pPr>
          </w:p>
        </w:tc>
        <w:tc>
          <w:tcPr>
            <w:tcW w:w="60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280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w w:val="90"/>
              </w:rPr>
              <w:t>Consolidated Statements of Comprehensive Loss</w:t>
            </w:r>
          </w:p>
        </w:tc>
        <w:tc>
          <w:tcPr>
            <w:tcW w:w="6180" w:type="dxa"/>
            <w:vAlign w:val="bottom"/>
            <w:gridSpan w:val="3"/>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9" w:lineRule="exact"/>
              <w:rPr>
                <w:sz w:val="20"/>
                <w:szCs w:val="20"/>
                <w:color w:val="auto"/>
              </w:rPr>
            </w:pPr>
            <w:r>
              <w:rPr>
                <w:rFonts w:ascii="Arial" w:cs="Arial" w:eastAsia="Arial" w:hAnsi="Arial"/>
                <w:sz w:val="14"/>
                <w:szCs w:val="14"/>
                <w:color w:val="0000FF"/>
                <w:w w:val="76"/>
              </w:rPr>
              <w:t>5</w:t>
            </w:r>
          </w:p>
        </w:tc>
        <w:tc>
          <w:tcPr>
            <w:tcW w:w="70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2820" w:type="dxa"/>
            <w:vAlign w:val="bottom"/>
            <w:tcBorders>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2"/>
              </w:rPr>
              <w:t>Consolidated Statements of Stockholders’ Deficit</w:t>
            </w:r>
          </w:p>
        </w:tc>
        <w:tc>
          <w:tcPr>
            <w:tcW w:w="6160" w:type="dxa"/>
            <w:vAlign w:val="bottom"/>
            <w:tcBorders>
              <w:bottom w:val="single" w:sz="8" w:color="CCEEFF"/>
            </w:tcBorders>
            <w:gridSpan w:val="2"/>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55" w:lineRule="exact"/>
              <w:rPr>
                <w:sz w:val="20"/>
                <w:szCs w:val="20"/>
                <w:color w:val="auto"/>
              </w:rPr>
            </w:pPr>
            <w:r>
              <w:rPr>
                <w:rFonts w:ascii="Arial" w:cs="Arial" w:eastAsia="Arial" w:hAnsi="Arial"/>
                <w:sz w:val="14"/>
                <w:szCs w:val="14"/>
                <w:color w:val="0000FF"/>
                <w:w w:val="76"/>
              </w:rPr>
              <w:t>6</w:t>
            </w:r>
          </w:p>
        </w:tc>
        <w:tc>
          <w:tcPr>
            <w:tcW w:w="70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980" w:type="dxa"/>
            <w:vAlign w:val="bottom"/>
            <w:gridSpan w:val="7"/>
          </w:tcPr>
          <w:p>
            <w:pPr>
              <w:spacing w:after="0" w:line="149" w:lineRule="exact"/>
              <w:rPr>
                <w:sz w:val="20"/>
                <w:szCs w:val="20"/>
                <w:color w:val="auto"/>
              </w:rPr>
            </w:pPr>
            <w:r>
              <w:rPr>
                <w:rFonts w:ascii="Arial" w:cs="Arial" w:eastAsia="Arial" w:hAnsi="Arial"/>
                <w:sz w:val="14"/>
                <w:szCs w:val="14"/>
                <w:color w:val="0000FF"/>
              </w:rPr>
              <w:t>Consolidated Statements of Cash Flows</w:t>
            </w:r>
          </w:p>
        </w:tc>
        <w:tc>
          <w:tcPr>
            <w:tcW w:w="228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0000FF"/>
              </w:rPr>
              <w:t>7</w:t>
            </w:r>
          </w:p>
        </w:tc>
      </w:tr>
      <w:tr>
        <w:trPr>
          <w:trHeight w:val="26"/>
        </w:trPr>
        <w:tc>
          <w:tcPr>
            <w:tcW w:w="20" w:type="dxa"/>
            <w:vAlign w:val="bottom"/>
          </w:tcPr>
          <w:p>
            <w:pPr>
              <w:spacing w:after="0"/>
              <w:rPr>
                <w:sz w:val="2"/>
                <w:szCs w:val="2"/>
                <w:color w:val="auto"/>
              </w:rPr>
            </w:pPr>
          </w:p>
        </w:tc>
        <w:tc>
          <w:tcPr>
            <w:tcW w:w="1660" w:type="dxa"/>
            <w:vAlign w:val="bottom"/>
            <w:shd w:val="clear" w:color="auto" w:fill="0000FF"/>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r>
      <w:tr>
        <w:trPr>
          <w:trHeight w:val="166"/>
        </w:trPr>
        <w:tc>
          <w:tcPr>
            <w:tcW w:w="20" w:type="dxa"/>
            <w:vAlign w:val="bottom"/>
          </w:tcPr>
          <w:p>
            <w:pPr>
              <w:spacing w:after="0"/>
              <w:rPr>
                <w:sz w:val="14"/>
                <w:szCs w:val="14"/>
                <w:color w:val="auto"/>
              </w:rPr>
            </w:pPr>
          </w:p>
        </w:tc>
        <w:tc>
          <w:tcPr>
            <w:tcW w:w="8980" w:type="dxa"/>
            <w:vAlign w:val="bottom"/>
            <w:gridSpan w:val="7"/>
            <w:shd w:val="clear" w:color="auto" w:fill="CCEEFF"/>
          </w:tcPr>
          <w:p>
            <w:pPr>
              <w:spacing w:after="0" w:line="155" w:lineRule="exact"/>
              <w:rPr>
                <w:sz w:val="20"/>
                <w:szCs w:val="20"/>
                <w:color w:val="auto"/>
              </w:rPr>
            </w:pPr>
            <w:r>
              <w:rPr>
                <w:rFonts w:ascii="Arial" w:cs="Arial" w:eastAsia="Arial" w:hAnsi="Arial"/>
                <w:sz w:val="14"/>
                <w:szCs w:val="14"/>
                <w:color w:val="0000FF"/>
              </w:rPr>
              <w:t>Notes to Consolidated Financial Statements</w:t>
            </w:r>
          </w:p>
        </w:tc>
        <w:tc>
          <w:tcPr>
            <w:tcW w:w="2280" w:type="dxa"/>
            <w:vAlign w:val="bottom"/>
            <w:gridSpan w:val="3"/>
            <w:shd w:val="clear" w:color="auto" w:fill="CCEEFF"/>
          </w:tcPr>
          <w:p>
            <w:pPr>
              <w:jc w:val="right"/>
              <w:ind w:right="700"/>
              <w:spacing w:after="0" w:line="155" w:lineRule="exact"/>
              <w:rPr>
                <w:sz w:val="20"/>
                <w:szCs w:val="20"/>
                <w:color w:val="auto"/>
              </w:rPr>
            </w:pPr>
            <w:r>
              <w:rPr>
                <w:rFonts w:ascii="Arial" w:cs="Arial" w:eastAsia="Arial" w:hAnsi="Arial"/>
                <w:sz w:val="14"/>
                <w:szCs w:val="14"/>
                <w:color w:val="0000FF"/>
              </w:rPr>
              <w:t>9</w:t>
            </w:r>
          </w:p>
        </w:tc>
      </w:tr>
      <w:tr>
        <w:trPr>
          <w:trHeight w:val="488"/>
        </w:trPr>
        <w:tc>
          <w:tcPr>
            <w:tcW w:w="2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tcPr>
          <w:p>
            <w:pPr>
              <w:jc w:val="center"/>
              <w:ind w:right="1829"/>
              <w:spacing w:after="0"/>
              <w:rPr>
                <w:sz w:val="20"/>
                <w:szCs w:val="20"/>
                <w:color w:val="auto"/>
              </w:rPr>
            </w:pPr>
            <w:r>
              <w:rPr>
                <w:rFonts w:ascii="Arial" w:cs="Arial" w:eastAsia="Arial" w:hAnsi="Arial"/>
                <w:sz w:val="14"/>
                <w:szCs w:val="14"/>
                <w:color w:val="auto"/>
                <w:w w:val="95"/>
              </w:rPr>
              <w:t>F-1</w:t>
            </w:r>
          </w:p>
        </w:tc>
        <w:tc>
          <w:tcPr>
            <w:tcW w:w="150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ind w:left="29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Inseego Corp.</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have audited the accompanying consolidated balance sheets of Inseego Corp. (the “Company”) as of December 31, 2022 and 2021, the related consolidated statements of operations, comprehensive loss, stockholders’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2022, based on the criteria established in Internal Control - Integrated Framework issued by the Committee of Sponsoring Organizations of the Treadway Commission (COSO) in 2013 and our report dated March 2, 2023, expressed an unqualified opinion on the effectiveness of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 </w:t>
      </w:r>
      <w:r>
        <w:rPr>
          <w:rFonts w:ascii="Arial" w:cs="Arial" w:eastAsia="Arial" w:hAnsi="Arial"/>
          <w:sz w:val="14"/>
          <w:szCs w:val="14"/>
          <w:color w:val="auto"/>
        </w:rPr>
        <w:t>Marcum</w:t>
      </w:r>
      <w:r>
        <w:rPr>
          <w:rFonts w:ascii="Arial" w:cs="Arial" w:eastAsia="Arial" w:hAnsi="Arial"/>
          <w:sz w:val="14"/>
          <w:szCs w:val="14"/>
          <w:b w:val="1"/>
          <w:bCs w:val="1"/>
          <w:color w:val="auto"/>
        </w:rPr>
        <w:t xml:space="preserve"> </w:t>
      </w:r>
      <w:r>
        <w:rPr>
          <w:rFonts w:ascii="Arial" w:cs="Arial" w:eastAsia="Arial" w:hAnsi="Arial"/>
          <w:sz w:val="11"/>
          <w:szCs w:val="11"/>
          <w:color w:val="auto"/>
        </w:rPr>
        <w:t>LLP</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Marcum </w:t>
      </w:r>
      <w:r>
        <w:rPr>
          <w:rFonts w:ascii="Arial" w:cs="Arial" w:eastAsia="Arial" w:hAnsi="Arial"/>
          <w:sz w:val="11"/>
          <w:szCs w:val="11"/>
          <w:color w:val="auto"/>
        </w:rPr>
        <w:t>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2018.</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4"/>
          <w:szCs w:val="14"/>
          <w:b w:val="1"/>
          <w:bCs w:val="1"/>
          <w:color w:val="auto"/>
        </w:rPr>
        <w:t>INSEEGO CORP.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2"/>
        </w:trPr>
        <w:tc>
          <w:tcPr>
            <w:tcW w:w="8300" w:type="dxa"/>
            <w:vAlign w:val="bottom"/>
          </w:tcPr>
          <w:p>
            <w:pPr>
              <w:ind w:left="3900"/>
              <w:spacing w:after="0"/>
              <w:rPr>
                <w:sz w:val="20"/>
                <w:szCs w:val="20"/>
                <w:color w:val="auto"/>
              </w:rPr>
            </w:pPr>
            <w:r>
              <w:rPr>
                <w:rFonts w:ascii="Arial" w:cs="Arial" w:eastAsia="Arial" w:hAnsi="Arial"/>
                <w:sz w:val="13"/>
                <w:szCs w:val="13"/>
                <w:b w:val="1"/>
                <w:bCs w:val="1"/>
                <w:color w:val="auto"/>
              </w:rPr>
              <w:t>ASSETS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160"/>
              <w:spacing w:after="0"/>
              <w:rPr>
                <w:sz w:val="20"/>
                <w:szCs w:val="20"/>
                <w:color w:val="auto"/>
              </w:rPr>
            </w:pPr>
            <w:r>
              <w:rPr>
                <w:rFonts w:ascii="Arial" w:cs="Arial" w:eastAsia="Arial" w:hAnsi="Arial"/>
                <w:sz w:val="13"/>
                <w:szCs w:val="13"/>
                <w:color w:val="auto"/>
              </w:rPr>
              <w:t>Cash and cash equivalents</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7,143</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46,474</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Restricted cash</w:t>
            </w:r>
          </w:p>
        </w:tc>
        <w:tc>
          <w:tcPr>
            <w:tcW w:w="8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3,338</w:t>
            </w:r>
          </w:p>
        </w:tc>
        <w:tc>
          <w:tcPr>
            <w:tcW w:w="0" w:type="dxa"/>
            <w:vAlign w:val="bottom"/>
          </w:tcPr>
          <w:p>
            <w:pPr>
              <w:spacing w:after="0"/>
              <w:rPr>
                <w:sz w:val="1"/>
                <w:szCs w:val="1"/>
                <w:color w:val="auto"/>
              </w:rPr>
            </w:pPr>
          </w:p>
        </w:tc>
      </w:tr>
      <w:tr>
        <w:trPr>
          <w:trHeight w:val="168"/>
        </w:trPr>
        <w:tc>
          <w:tcPr>
            <w:tcW w:w="8300" w:type="dxa"/>
            <w:vAlign w:val="bottom"/>
          </w:tcPr>
          <w:p>
            <w:pPr>
              <w:ind w:left="160"/>
              <w:spacing w:after="0"/>
              <w:rPr>
                <w:sz w:val="20"/>
                <w:szCs w:val="20"/>
                <w:color w:val="auto"/>
              </w:rPr>
            </w:pPr>
            <w:r>
              <w:rPr>
                <w:rFonts w:ascii="Arial" w:cs="Arial" w:eastAsia="Arial" w:hAnsi="Arial"/>
                <w:sz w:val="13"/>
                <w:szCs w:val="13"/>
                <w:color w:val="auto"/>
              </w:rPr>
              <w:t>Accounts receivable, net of allowances of $541 and $408, respectively</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25,259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26,781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Inventories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37,976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37,402</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Prepaid expenses and other</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13,624</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current assets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78,356</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127,619</w:t>
            </w:r>
          </w:p>
        </w:tc>
        <w:tc>
          <w:tcPr>
            <w:tcW w:w="0" w:type="dxa"/>
            <w:vAlign w:val="bottom"/>
          </w:tcPr>
          <w:p>
            <w:pPr>
              <w:spacing w:after="0"/>
              <w:rPr>
                <w:sz w:val="1"/>
                <w:szCs w:val="1"/>
                <w:color w:val="auto"/>
              </w:rPr>
            </w:pPr>
          </w:p>
        </w:tc>
      </w:tr>
      <w:tr>
        <w:trPr>
          <w:trHeight w:val="158"/>
        </w:trPr>
        <w:tc>
          <w:tcPr>
            <w:tcW w:w="8300" w:type="dxa"/>
            <w:vAlign w:val="bottom"/>
          </w:tcPr>
          <w:p>
            <w:pPr>
              <w:spacing w:after="0"/>
              <w:rPr>
                <w:sz w:val="20"/>
                <w:szCs w:val="20"/>
                <w:color w:val="auto"/>
              </w:rPr>
            </w:pPr>
            <w:r>
              <w:rPr>
                <w:rFonts w:ascii="Arial" w:cs="Arial" w:eastAsia="Arial" w:hAnsi="Arial"/>
                <w:sz w:val="13"/>
                <w:szCs w:val="13"/>
                <w:color w:val="auto"/>
              </w:rPr>
              <w:t>Property, plant and equipment, net of accumulated depreciation of $26,049 and $26,692, respectively</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5,390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8,102</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Rental assets, net of accumulated depreciation of $5,484 and $5,392, respectively</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0" w:type="dxa"/>
            <w:vAlign w:val="bottom"/>
          </w:tcPr>
          <w:p>
            <w:pPr>
              <w:spacing w:after="0"/>
              <w:rPr>
                <w:sz w:val="1"/>
                <w:szCs w:val="1"/>
                <w:color w:val="auto"/>
              </w:rPr>
            </w:pPr>
          </w:p>
        </w:tc>
      </w:tr>
      <w:tr>
        <w:trPr>
          <w:trHeight w:val="168"/>
        </w:trPr>
        <w:tc>
          <w:tcPr>
            <w:tcW w:w="8300" w:type="dxa"/>
            <w:vAlign w:val="bottom"/>
          </w:tcPr>
          <w:p>
            <w:pPr>
              <w:spacing w:after="0"/>
              <w:rPr>
                <w:sz w:val="20"/>
                <w:szCs w:val="20"/>
                <w:color w:val="auto"/>
              </w:rPr>
            </w:pPr>
            <w:r>
              <w:rPr>
                <w:rFonts w:ascii="Arial" w:cs="Arial" w:eastAsia="Arial" w:hAnsi="Arial"/>
                <w:sz w:val="13"/>
                <w:szCs w:val="13"/>
                <w:color w:val="auto"/>
              </w:rPr>
              <w:t>Intangible assets, net of accumulated amortization of $31,629 and $48,404, respectively</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41,383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46,995</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20,336</w:t>
            </w:r>
          </w:p>
        </w:tc>
        <w:tc>
          <w:tcPr>
            <w:tcW w:w="0" w:type="dxa"/>
            <w:vAlign w:val="bottom"/>
          </w:tcPr>
          <w:p>
            <w:pPr>
              <w:spacing w:after="0"/>
              <w:rPr>
                <w:sz w:val="1"/>
                <w:szCs w:val="1"/>
                <w:color w:val="auto"/>
              </w:rPr>
            </w:pPr>
          </w:p>
        </w:tc>
      </w:tr>
      <w:tr>
        <w:trPr>
          <w:trHeight w:val="168"/>
        </w:trPr>
        <w:tc>
          <w:tcPr>
            <w:tcW w:w="8300" w:type="dxa"/>
            <w:vAlign w:val="bottom"/>
          </w:tcPr>
          <w:p>
            <w:pPr>
              <w:spacing w:after="0"/>
              <w:rPr>
                <w:sz w:val="20"/>
                <w:szCs w:val="20"/>
                <w:color w:val="auto"/>
              </w:rPr>
            </w:pPr>
            <w:r>
              <w:rPr>
                <w:rFonts w:ascii="Arial" w:cs="Arial" w:eastAsia="Arial" w:hAnsi="Arial"/>
                <w:sz w:val="13"/>
                <w:szCs w:val="13"/>
                <w:color w:val="auto"/>
              </w:rPr>
              <w:t>Right-of-use assets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6,662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7,839</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63"/>
        </w:trPr>
        <w:tc>
          <w:tcPr>
            <w:tcW w:w="8300" w:type="dxa"/>
            <w:vAlign w:val="bottom"/>
          </w:tcPr>
          <w:p>
            <w:pPr>
              <w:ind w:left="520"/>
              <w:spacing w:after="0"/>
              <w:rPr>
                <w:sz w:val="20"/>
                <w:szCs w:val="20"/>
                <w:color w:val="auto"/>
              </w:rPr>
            </w:pPr>
            <w:r>
              <w:rPr>
                <w:rFonts w:ascii="Arial" w:cs="Arial" w:eastAsia="Arial" w:hAnsi="Arial"/>
                <w:sz w:val="13"/>
                <w:szCs w:val="13"/>
                <w:color w:val="auto"/>
              </w:rPr>
              <w:t>Total assets</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159,017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215,843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300" w:type="dxa"/>
            <w:vAlign w:val="bottom"/>
            <w:shd w:val="clear" w:color="auto" w:fill="CCEEFF"/>
          </w:tcPr>
          <w:p>
            <w:pPr>
              <w:ind w:left="2740"/>
              <w:spacing w:after="0" w:line="131" w:lineRule="exact"/>
              <w:rPr>
                <w:sz w:val="20"/>
                <w:szCs w:val="20"/>
                <w:color w:val="auto"/>
              </w:rPr>
            </w:pPr>
            <w:r>
              <w:rPr>
                <w:rFonts w:ascii="Arial" w:cs="Arial" w:eastAsia="Arial" w:hAnsi="Arial"/>
                <w:sz w:val="13"/>
                <w:szCs w:val="13"/>
                <w:b w:val="1"/>
                <w:bCs w:val="1"/>
                <w:color w:val="auto"/>
              </w:rPr>
              <w:t>LIABILITIES AND STOCKHOLDERS’ DEFICIT</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300" w:type="dxa"/>
            <w:vAlign w:val="bottom"/>
          </w:tcPr>
          <w:p>
            <w:pPr>
              <w:spacing w:after="0"/>
              <w:rPr>
                <w:sz w:val="20"/>
                <w:szCs w:val="20"/>
                <w:color w:val="auto"/>
              </w:rPr>
            </w:pPr>
            <w:r>
              <w:rPr>
                <w:rFonts w:ascii="Arial" w:cs="Arial" w:eastAsia="Arial" w:hAnsi="Arial"/>
                <w:sz w:val="13"/>
                <w:szCs w:val="13"/>
                <w:color w:val="auto"/>
              </w:rPr>
              <w:t>Current liabilities: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Accounts payable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48,577</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27,945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26,253</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current liabilities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56,963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74,830</w:t>
            </w:r>
          </w:p>
        </w:tc>
        <w:tc>
          <w:tcPr>
            <w:tcW w:w="0" w:type="dxa"/>
            <w:vAlign w:val="bottom"/>
          </w:tcPr>
          <w:p>
            <w:pPr>
              <w:spacing w:after="0"/>
              <w:rPr>
                <w:sz w:val="1"/>
                <w:szCs w:val="1"/>
                <w:color w:val="auto"/>
              </w:rPr>
            </w:pPr>
          </w:p>
        </w:tc>
      </w:tr>
      <w:tr>
        <w:trPr>
          <w:trHeight w:val="148"/>
        </w:trPr>
        <w:tc>
          <w:tcPr>
            <w:tcW w:w="8300" w:type="dxa"/>
            <w:vAlign w:val="bottom"/>
          </w:tcPr>
          <w:p>
            <w:pPr>
              <w:spacing w:after="0" w:line="146" w:lineRule="exact"/>
              <w:rPr>
                <w:sz w:val="20"/>
                <w:szCs w:val="20"/>
                <w:color w:val="auto"/>
              </w:rPr>
            </w:pPr>
            <w:r>
              <w:rPr>
                <w:rFonts w:ascii="Arial" w:cs="Arial" w:eastAsia="Arial" w:hAnsi="Arial"/>
                <w:sz w:val="13"/>
                <w:szCs w:val="13"/>
                <w:color w:val="auto"/>
              </w:rPr>
              <w:t>Long-term liabilities: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2025 Notes, net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158,427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157,866</w:t>
            </w:r>
          </w:p>
        </w:tc>
        <w:tc>
          <w:tcPr>
            <w:tcW w:w="0" w:type="dxa"/>
            <w:vAlign w:val="bottom"/>
          </w:tcPr>
          <w:p>
            <w:pPr>
              <w:spacing w:after="0"/>
              <w:rPr>
                <w:sz w:val="1"/>
                <w:szCs w:val="1"/>
                <w:color w:val="auto"/>
              </w:rPr>
            </w:pPr>
          </w:p>
        </w:tc>
      </w:tr>
      <w:tr>
        <w:trPr>
          <w:trHeight w:val="168"/>
        </w:trPr>
        <w:tc>
          <w:tcPr>
            <w:tcW w:w="8300" w:type="dxa"/>
            <w:vAlign w:val="bottom"/>
          </w:tcPr>
          <w:p>
            <w:pPr>
              <w:ind w:left="160"/>
              <w:spacing w:after="0"/>
              <w:rPr>
                <w:sz w:val="20"/>
                <w:szCs w:val="20"/>
                <w:color w:val="auto"/>
              </w:rPr>
            </w:pPr>
            <w:r>
              <w:rPr>
                <w:rFonts w:ascii="Arial" w:cs="Arial" w:eastAsia="Arial" w:hAnsi="Arial"/>
                <w:sz w:val="13"/>
                <w:szCs w:val="13"/>
                <w:color w:val="auto"/>
              </w:rPr>
              <w:t>Revolving credit facility, net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tax liabilities, net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long-term liabilities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7,149</w:t>
            </w: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liabilities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229,135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240,697</w:t>
            </w:r>
          </w:p>
        </w:tc>
        <w:tc>
          <w:tcPr>
            <w:tcW w:w="0" w:type="dxa"/>
            <w:vAlign w:val="bottom"/>
          </w:tcPr>
          <w:p>
            <w:pPr>
              <w:spacing w:after="0"/>
              <w:rPr>
                <w:sz w:val="1"/>
                <w:szCs w:val="1"/>
                <w:color w:val="auto"/>
              </w:rPr>
            </w:pPr>
          </w:p>
        </w:tc>
      </w:tr>
      <w:tr>
        <w:trPr>
          <w:trHeight w:val="148"/>
        </w:trPr>
        <w:tc>
          <w:tcPr>
            <w:tcW w:w="8300" w:type="dxa"/>
            <w:vAlign w:val="bottom"/>
          </w:tcPr>
          <w:p>
            <w:pPr>
              <w:spacing w:after="0" w:line="146" w:lineRule="exact"/>
              <w:rPr>
                <w:sz w:val="20"/>
                <w:szCs w:val="20"/>
                <w:color w:val="auto"/>
              </w:rPr>
            </w:pPr>
            <w:r>
              <w:rPr>
                <w:rFonts w:ascii="Arial" w:cs="Arial" w:eastAsia="Arial" w:hAnsi="Arial"/>
                <w:sz w:val="13"/>
                <w:szCs w:val="13"/>
                <w:color w:val="auto"/>
              </w:rPr>
              <w:t>Commitments and Contingencies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deficit: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160"/>
              <w:spacing w:after="0"/>
              <w:rPr>
                <w:sz w:val="20"/>
                <w:szCs w:val="20"/>
                <w:color w:val="auto"/>
              </w:rPr>
            </w:pPr>
            <w:r>
              <w:rPr>
                <w:rFonts w:ascii="Arial" w:cs="Arial" w:eastAsia="Arial" w:hAnsi="Arial"/>
                <w:sz w:val="13"/>
                <w:szCs w:val="13"/>
                <w:color w:val="auto"/>
              </w:rPr>
              <w:t>Preferred stock, par value $0.001; 2,000,000 shares authorized: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300" w:type="dxa"/>
            <w:vAlign w:val="bottom"/>
            <w:shd w:val="clear" w:color="auto" w:fill="CCEEFF"/>
          </w:tcPr>
          <w:p>
            <w:pPr>
              <w:ind w:left="520"/>
              <w:spacing w:after="0" w:line="134" w:lineRule="exact"/>
              <w:rPr>
                <w:sz w:val="20"/>
                <w:szCs w:val="20"/>
                <w:color w:val="auto"/>
              </w:rPr>
            </w:pPr>
            <w:r>
              <w:rPr>
                <w:rFonts w:ascii="Arial" w:cs="Arial" w:eastAsia="Arial" w:hAnsi="Arial"/>
                <w:sz w:val="13"/>
                <w:szCs w:val="13"/>
                <w:color w:val="auto"/>
                <w:w w:val="92"/>
              </w:rPr>
              <w:t>Series E Preferred stock, par value $0.001; 39,500 shares designated, 25,000 shares issued and outstanding as of December 31, 2022 and 2021,</w:t>
            </w:r>
          </w:p>
        </w:tc>
        <w:tc>
          <w:tcPr>
            <w:tcW w:w="8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liquidation preference of $1,000 per share (plus any accrued but unpaid dividends)</w:t>
            </w:r>
          </w:p>
        </w:tc>
        <w:tc>
          <w:tcPr>
            <w:tcW w:w="8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300" w:type="dxa"/>
            <w:vAlign w:val="bottom"/>
          </w:tcPr>
          <w:p>
            <w:pPr>
              <w:ind w:left="160"/>
              <w:spacing w:after="0" w:line="131" w:lineRule="exact"/>
              <w:rPr>
                <w:sz w:val="20"/>
                <w:szCs w:val="20"/>
                <w:color w:val="auto"/>
              </w:rPr>
            </w:pPr>
            <w:r>
              <w:rPr>
                <w:rFonts w:ascii="Arial" w:cs="Arial" w:eastAsia="Arial" w:hAnsi="Arial"/>
                <w:sz w:val="13"/>
                <w:szCs w:val="13"/>
                <w:color w:val="auto"/>
                <w:w w:val="87"/>
              </w:rPr>
              <w:t>Common stock, par value $0.001; 150,000,000 shares authorized, 108,468,150 shares issued and outstanding as of December 31, 2022 and 105,380,533 shares</w:t>
            </w:r>
          </w:p>
        </w:tc>
        <w:tc>
          <w:tcPr>
            <w:tcW w:w="8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4"/>
        </w:trPr>
        <w:tc>
          <w:tcPr>
            <w:tcW w:w="8300" w:type="dxa"/>
            <w:vAlign w:val="bottom"/>
          </w:tcPr>
          <w:p>
            <w:pPr>
              <w:ind w:left="160"/>
              <w:spacing w:after="0"/>
              <w:rPr>
                <w:sz w:val="20"/>
                <w:szCs w:val="20"/>
                <w:color w:val="auto"/>
              </w:rPr>
            </w:pPr>
            <w:r>
              <w:rPr>
                <w:rFonts w:ascii="Arial" w:cs="Arial" w:eastAsia="Arial" w:hAnsi="Arial"/>
                <w:sz w:val="13"/>
                <w:szCs w:val="13"/>
                <w:color w:val="auto"/>
              </w:rPr>
              <w:t>issued and outstanding as of December 31, 2021</w:t>
            </w:r>
          </w:p>
        </w:tc>
        <w:tc>
          <w:tcPr>
            <w:tcW w:w="8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Additional paid-in capital</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793,855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770,619</w:t>
            </w:r>
          </w:p>
        </w:tc>
        <w:tc>
          <w:tcPr>
            <w:tcW w:w="0" w:type="dxa"/>
            <w:vAlign w:val="bottom"/>
          </w:tcPr>
          <w:p>
            <w:pPr>
              <w:spacing w:after="0"/>
              <w:rPr>
                <w:sz w:val="1"/>
                <w:szCs w:val="1"/>
                <w:color w:val="auto"/>
              </w:rPr>
            </w:pPr>
          </w:p>
        </w:tc>
      </w:tr>
      <w:tr>
        <w:trPr>
          <w:trHeight w:val="168"/>
        </w:trPr>
        <w:tc>
          <w:tcPr>
            <w:tcW w:w="8300" w:type="dxa"/>
            <w:vAlign w:val="bottom"/>
          </w:tcPr>
          <w:p>
            <w:pPr>
              <w:ind w:left="160"/>
              <w:spacing w:after="0"/>
              <w:rPr>
                <w:sz w:val="20"/>
                <w:szCs w:val="20"/>
                <w:color w:val="auto"/>
              </w:rPr>
            </w:pPr>
            <w:r>
              <w:rPr>
                <w:rFonts w:ascii="Arial" w:cs="Arial" w:eastAsia="Arial" w:hAnsi="Arial"/>
                <w:sz w:val="13"/>
                <w:szCs w:val="13"/>
                <w:color w:val="auto"/>
              </w:rPr>
              <w:t>Accumulated other comprehensive loss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(6,329)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(8,531)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Accumulated deficit</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(857,752)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(787,047)</w:t>
            </w:r>
          </w:p>
        </w:tc>
        <w:tc>
          <w:tcPr>
            <w:tcW w:w="0" w:type="dxa"/>
            <w:vAlign w:val="bottom"/>
          </w:tcPr>
          <w:p>
            <w:pPr>
              <w:spacing w:after="0"/>
              <w:rPr>
                <w:sz w:val="1"/>
                <w:szCs w:val="1"/>
                <w:color w:val="auto"/>
              </w:rPr>
            </w:pPr>
          </w:p>
        </w:tc>
      </w:tr>
      <w:tr>
        <w:trPr>
          <w:trHeight w:val="158"/>
        </w:trPr>
        <w:tc>
          <w:tcPr>
            <w:tcW w:w="83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stockholders’ deficit</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(70,118)</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(24,854)</w:t>
            </w:r>
          </w:p>
        </w:tc>
        <w:tc>
          <w:tcPr>
            <w:tcW w:w="0" w:type="dxa"/>
            <w:vAlign w:val="bottom"/>
          </w:tcPr>
          <w:p>
            <w:pPr>
              <w:spacing w:after="0"/>
              <w:rPr>
                <w:sz w:val="1"/>
                <w:szCs w:val="1"/>
                <w:color w:val="auto"/>
              </w:rPr>
            </w:pPr>
          </w:p>
        </w:tc>
      </w:tr>
      <w:tr>
        <w:trPr>
          <w:trHeight w:val="188"/>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Total liabilities and stockholders’ deficit</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159,017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215,843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174625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7"/>
        </w:trPr>
        <w:tc>
          <w:tcPr>
            <w:tcW w:w="788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218,401</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217,984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261,169</w:t>
            </w:r>
          </w:p>
        </w:tc>
        <w:tc>
          <w:tcPr>
            <w:tcW w:w="0" w:type="dxa"/>
            <w:vAlign w:val="bottom"/>
          </w:tcPr>
          <w:p>
            <w:pPr>
              <w:spacing w:after="0"/>
              <w:rPr>
                <w:sz w:val="1"/>
                <w:szCs w:val="1"/>
                <w:color w:val="auto"/>
              </w:rPr>
            </w:pPr>
          </w:p>
        </w:tc>
      </w:tr>
      <w:tr>
        <w:trPr>
          <w:trHeight w:val="168"/>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Enterprise SaaS Solutions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44,415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52,663</w:t>
            </w:r>
          </w:p>
        </w:tc>
        <w:tc>
          <w:tcPr>
            <w:tcW w:w="0" w:type="dxa"/>
            <w:vAlign w:val="bottom"/>
          </w:tcPr>
          <w:p>
            <w:pPr>
              <w:spacing w:after="0"/>
              <w:rPr>
                <w:sz w:val="1"/>
                <w:szCs w:val="1"/>
                <w:color w:val="auto"/>
              </w:rPr>
            </w:pPr>
          </w:p>
        </w:tc>
      </w:tr>
      <w:tr>
        <w:trPr>
          <w:trHeight w:val="163"/>
        </w:trPr>
        <w:tc>
          <w:tcPr>
            <w:tcW w:w="7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net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262,399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313,832</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rPr>
                <w:sz w:val="20"/>
                <w:szCs w:val="20"/>
                <w:color w:val="auto"/>
              </w:rPr>
            </w:pPr>
            <w:r>
              <w:rPr>
                <w:rFonts w:ascii="Arial" w:cs="Arial" w:eastAsia="Arial" w:hAnsi="Arial"/>
                <w:sz w:val="13"/>
                <w:szCs w:val="13"/>
                <w:color w:val="auto"/>
              </w:rPr>
              <w:t>Cost of net revenues: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168,604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202,421</w:t>
            </w:r>
          </w:p>
        </w:tc>
        <w:tc>
          <w:tcPr>
            <w:tcW w:w="0" w:type="dxa"/>
            <w:vAlign w:val="bottom"/>
          </w:tcPr>
          <w:p>
            <w:pPr>
              <w:spacing w:after="0"/>
              <w:rPr>
                <w:sz w:val="1"/>
                <w:szCs w:val="1"/>
                <w:color w:val="auto"/>
              </w:rPr>
            </w:pPr>
          </w:p>
        </w:tc>
      </w:tr>
      <w:tr>
        <w:trPr>
          <w:trHeight w:val="168"/>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Enterprise SaaS Solutions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20,568</w:t>
            </w:r>
          </w:p>
        </w:tc>
        <w:tc>
          <w:tcPr>
            <w:tcW w:w="0" w:type="dxa"/>
            <w:vAlign w:val="bottom"/>
          </w:tcPr>
          <w:p>
            <w:pPr>
              <w:spacing w:after="0"/>
              <w:rPr>
                <w:sz w:val="1"/>
                <w:szCs w:val="1"/>
                <w:color w:val="auto"/>
              </w:rPr>
            </w:pPr>
          </w:p>
        </w:tc>
      </w:tr>
      <w:tr>
        <w:trPr>
          <w:trHeight w:val="163"/>
        </w:trPr>
        <w:tc>
          <w:tcPr>
            <w:tcW w:w="7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cost of net revenues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178,414</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186,474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222,989</w:t>
            </w:r>
          </w:p>
        </w:tc>
        <w:tc>
          <w:tcPr>
            <w:tcW w:w="0" w:type="dxa"/>
            <w:vAlign w:val="bottom"/>
          </w:tcPr>
          <w:p>
            <w:pPr>
              <w:spacing w:after="0"/>
              <w:rPr>
                <w:sz w:val="1"/>
                <w:szCs w:val="1"/>
                <w:color w:val="auto"/>
              </w:rPr>
            </w:pPr>
          </w:p>
        </w:tc>
      </w:tr>
      <w:tr>
        <w:trPr>
          <w:trHeight w:val="158"/>
        </w:trPr>
        <w:tc>
          <w:tcPr>
            <w:tcW w:w="78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Gross profit</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66,909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90,843</w:t>
            </w:r>
          </w:p>
        </w:tc>
        <w:tc>
          <w:tcPr>
            <w:tcW w:w="0" w:type="dxa"/>
            <w:vAlign w:val="bottom"/>
          </w:tcPr>
          <w:p>
            <w:pPr>
              <w:spacing w:after="0"/>
              <w:rPr>
                <w:sz w:val="1"/>
                <w:szCs w:val="1"/>
                <w:color w:val="auto"/>
              </w:rPr>
            </w:pPr>
          </w:p>
        </w:tc>
      </w:tr>
      <w:tr>
        <w:trPr>
          <w:trHeight w:val="152"/>
        </w:trPr>
        <w:tc>
          <w:tcPr>
            <w:tcW w:w="78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costs and expenses: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8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59,237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52,673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44,953</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marketing</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35,750</w:t>
            </w:r>
          </w:p>
        </w:tc>
        <w:tc>
          <w:tcPr>
            <w:tcW w:w="0" w:type="dxa"/>
            <w:vAlign w:val="bottom"/>
          </w:tcPr>
          <w:p>
            <w:pPr>
              <w:spacing w:after="0"/>
              <w:rPr>
                <w:sz w:val="1"/>
                <w:szCs w:val="1"/>
                <w:color w:val="auto"/>
              </w:rPr>
            </w:pPr>
          </w:p>
        </w:tc>
      </w:tr>
      <w:tr>
        <w:trPr>
          <w:trHeight w:val="168"/>
        </w:trPr>
        <w:tc>
          <w:tcPr>
            <w:tcW w:w="788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27,339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28,250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30,689</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purchased intangible assets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3,175</w:t>
            </w:r>
          </w:p>
        </w:tc>
        <w:tc>
          <w:tcPr>
            <w:tcW w:w="0" w:type="dxa"/>
            <w:vAlign w:val="bottom"/>
          </w:tcPr>
          <w:p>
            <w:pPr>
              <w:spacing w:after="0"/>
              <w:rPr>
                <w:sz w:val="1"/>
                <w:szCs w:val="1"/>
                <w:color w:val="auto"/>
              </w:rPr>
            </w:pPr>
          </w:p>
        </w:tc>
      </w:tr>
      <w:tr>
        <w:trPr>
          <w:trHeight w:val="168"/>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Impairment of capitalized software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163"/>
        </w:trPr>
        <w:tc>
          <w:tcPr>
            <w:tcW w:w="7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costs and expenses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124,827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122,446</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115,977</w:t>
            </w:r>
          </w:p>
        </w:tc>
        <w:tc>
          <w:tcPr>
            <w:tcW w:w="0" w:type="dxa"/>
            <w:vAlign w:val="bottom"/>
          </w:tcPr>
          <w:p>
            <w:pPr>
              <w:spacing w:after="0"/>
              <w:rPr>
                <w:sz w:val="1"/>
                <w:szCs w:val="1"/>
                <w:color w:val="auto"/>
              </w:rPr>
            </w:pPr>
          </w:p>
        </w:tc>
      </w:tr>
      <w:tr>
        <w:trPr>
          <w:trHeight w:val="158"/>
        </w:trPr>
        <w:tc>
          <w:tcPr>
            <w:tcW w:w="7880" w:type="dxa"/>
            <w:vAlign w:val="bottom"/>
          </w:tcPr>
          <w:p>
            <w:pPr>
              <w:ind w:left="20"/>
              <w:spacing w:after="0"/>
              <w:rPr>
                <w:sz w:val="20"/>
                <w:szCs w:val="20"/>
                <w:color w:val="auto"/>
              </w:rPr>
            </w:pPr>
            <w:r>
              <w:rPr>
                <w:rFonts w:ascii="Arial" w:cs="Arial" w:eastAsia="Arial" w:hAnsi="Arial"/>
                <w:sz w:val="13"/>
                <w:szCs w:val="13"/>
                <w:color w:val="auto"/>
              </w:rPr>
              <w:t>Operating loss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(57,918)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(46,521)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(25,134)</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80" w:type="dxa"/>
            <w:vAlign w:val="bottom"/>
          </w:tcPr>
          <w:p>
            <w:pPr>
              <w:ind w:left="180"/>
              <w:spacing w:after="0"/>
              <w:rPr>
                <w:sz w:val="20"/>
                <w:szCs w:val="20"/>
                <w:color w:val="auto"/>
              </w:rPr>
            </w:pPr>
            <w:r>
              <w:rPr>
                <w:rFonts w:ascii="Arial" w:cs="Arial" w:eastAsia="Arial" w:hAnsi="Arial"/>
                <w:sz w:val="13"/>
                <w:szCs w:val="13"/>
                <w:color w:val="auto"/>
              </w:rPr>
              <w:t>Gain on sale of Ctrack South Africa</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debt conversion and extinguishment, net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(76,354)</w:t>
            </w:r>
          </w:p>
        </w:tc>
        <w:tc>
          <w:tcPr>
            <w:tcW w:w="0" w:type="dxa"/>
            <w:vAlign w:val="bottom"/>
          </w:tcPr>
          <w:p>
            <w:pPr>
              <w:spacing w:after="0"/>
              <w:rPr>
                <w:sz w:val="1"/>
                <w:szCs w:val="1"/>
                <w:color w:val="auto"/>
              </w:rPr>
            </w:pPr>
          </w:p>
        </w:tc>
      </w:tr>
      <w:tr>
        <w:trPr>
          <w:trHeight w:val="168"/>
        </w:trPr>
        <w:tc>
          <w:tcPr>
            <w:tcW w:w="7880" w:type="dxa"/>
            <w:vAlign w:val="bottom"/>
          </w:tcPr>
          <w:p>
            <w:pPr>
              <w:ind w:left="180"/>
              <w:spacing w:after="0"/>
              <w:rPr>
                <w:sz w:val="20"/>
                <w:szCs w:val="20"/>
                <w:color w:val="auto"/>
              </w:rPr>
            </w:pPr>
            <w:r>
              <w:rPr>
                <w:rFonts w:ascii="Arial" w:cs="Arial" w:eastAsia="Arial" w:hAnsi="Arial"/>
                <w:sz w:val="13"/>
                <w:szCs w:val="13"/>
                <w:color w:val="auto"/>
              </w:rPr>
              <w:t>Interest expense, net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(9,942)</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(expense) income, net</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58"/>
        </w:trPr>
        <w:tc>
          <w:tcPr>
            <w:tcW w:w="7880" w:type="dxa"/>
            <w:vAlign w:val="bottom"/>
          </w:tcPr>
          <w:p>
            <w:pPr>
              <w:ind w:left="20"/>
              <w:spacing w:after="0"/>
              <w:rPr>
                <w:sz w:val="20"/>
                <w:szCs w:val="20"/>
                <w:color w:val="auto"/>
              </w:rPr>
            </w:pPr>
            <w:r>
              <w:rPr>
                <w:rFonts w:ascii="Arial" w:cs="Arial" w:eastAsia="Arial" w:hAnsi="Arial"/>
                <w:sz w:val="13"/>
                <w:szCs w:val="13"/>
                <w:color w:val="auto"/>
              </w:rPr>
              <w:t>Loss before income taxes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(68,434)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(47,720)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(110,438)</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58"/>
        </w:trPr>
        <w:tc>
          <w:tcPr>
            <w:tcW w:w="7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(67,969)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(47,911)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(111,186)</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Inseego Corp.</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(67,969)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(111,215)</w:t>
            </w:r>
          </w:p>
        </w:tc>
        <w:tc>
          <w:tcPr>
            <w:tcW w:w="0" w:type="dxa"/>
            <w:vAlign w:val="bottom"/>
          </w:tcPr>
          <w:p>
            <w:pPr>
              <w:spacing w:after="0"/>
              <w:rPr>
                <w:sz w:val="1"/>
                <w:szCs w:val="1"/>
                <w:color w:val="auto"/>
              </w:rPr>
            </w:pPr>
          </w:p>
        </w:tc>
      </w:tr>
      <w:tr>
        <w:trPr>
          <w:trHeight w:val="160"/>
        </w:trPr>
        <w:tc>
          <w:tcPr>
            <w:tcW w:w="7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Series E preferred stock dividends and deemed dividends from the preferred stock exchange</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0" w:type="dxa"/>
            <w:vAlign w:val="bottom"/>
          </w:tcPr>
          <w:p>
            <w:pPr>
              <w:spacing w:after="0"/>
              <w:rPr>
                <w:sz w:val="1"/>
                <w:szCs w:val="1"/>
                <w:color w:val="auto"/>
              </w:rPr>
            </w:pPr>
          </w:p>
        </w:tc>
      </w:tr>
      <w:tr>
        <w:trPr>
          <w:trHeight w:val="163"/>
        </w:trPr>
        <w:tc>
          <w:tcPr>
            <w:tcW w:w="7880" w:type="dxa"/>
            <w:vAlign w:val="bottom"/>
          </w:tcPr>
          <w:p>
            <w:pPr>
              <w:ind w:left="20"/>
              <w:spacing w:after="0"/>
              <w:rPr>
                <w:sz w:val="20"/>
                <w:szCs w:val="20"/>
                <w:color w:val="auto"/>
              </w:rPr>
            </w:pPr>
            <w:r>
              <w:rPr>
                <w:rFonts w:ascii="Arial" w:cs="Arial" w:eastAsia="Arial" w:hAnsi="Arial"/>
                <w:sz w:val="13"/>
                <w:szCs w:val="13"/>
                <w:color w:val="auto"/>
              </w:rPr>
              <w:t>Net loss attributable to common stockholders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(70,705)</w:t>
            </w:r>
          </w:p>
        </w:tc>
        <w:tc>
          <w:tcPr>
            <w:tcW w:w="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(52,368)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(114,119)</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Per share data:</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rPr>
                <w:sz w:val="20"/>
                <w:szCs w:val="20"/>
                <w:color w:val="auto"/>
              </w:rPr>
            </w:pPr>
            <w:r>
              <w:rPr>
                <w:rFonts w:ascii="Arial" w:cs="Arial" w:eastAsia="Arial" w:hAnsi="Arial"/>
                <w:sz w:val="13"/>
                <w:szCs w:val="13"/>
                <w:color w:val="auto"/>
              </w:rPr>
              <w:t>Net loss per common share: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Weighted-average shares used in computation of net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 and diluted</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107,269,331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103,246,308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96,111,547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INSEEGO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3"/>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3"/>
        </w:trPr>
        <w:tc>
          <w:tcPr>
            <w:tcW w:w="73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2020</w:t>
            </w:r>
          </w:p>
        </w:tc>
      </w:tr>
      <w:tr>
        <w:trPr>
          <w:trHeight w:val="167"/>
        </w:trPr>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(67,969)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(111,186)</w:t>
            </w:r>
          </w:p>
        </w:tc>
      </w:tr>
      <w:tr>
        <w:trPr>
          <w:trHeight w:val="168"/>
        </w:trPr>
        <w:tc>
          <w:tcPr>
            <w:tcW w:w="7380" w:type="dxa"/>
            <w:vAlign w:val="bottom"/>
          </w:tcPr>
          <w:p>
            <w:pPr>
              <w:ind w:left="200"/>
              <w:spacing w:after="0"/>
              <w:rPr>
                <w:sz w:val="20"/>
                <w:szCs w:val="20"/>
                <w:color w:val="auto"/>
              </w:rPr>
            </w:pPr>
            <w:r>
              <w:rPr>
                <w:rFonts w:ascii="Arial" w:cs="Arial" w:eastAsia="Arial" w:hAnsi="Arial"/>
                <w:sz w:val="13"/>
                <w:szCs w:val="13"/>
                <w:color w:val="auto"/>
              </w:rPr>
              <w:t>Foreign currency translation adjustment</w:t>
            </w: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(3,093)</w:t>
            </w:r>
          </w:p>
        </w:tc>
      </w:tr>
      <w:tr>
        <w:trPr>
          <w:trHeight w:val="172"/>
        </w:trPr>
        <w:tc>
          <w:tcPr>
            <w:tcW w:w="7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Release of cumulative foreign currency translation adjustments as a result of the sale of Ctrack South Africa</w:t>
            </w:r>
          </w:p>
        </w:tc>
        <w:tc>
          <w:tcPr>
            <w:tcW w:w="7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7380" w:type="dxa"/>
            <w:vAlign w:val="bottom"/>
          </w:tcPr>
          <w:p>
            <w:pPr>
              <w:ind w:left="20"/>
              <w:spacing w:after="0"/>
              <w:rPr>
                <w:sz w:val="20"/>
                <w:szCs w:val="20"/>
                <w:color w:val="auto"/>
              </w:rPr>
            </w:pPr>
            <w:r>
              <w:rPr>
                <w:rFonts w:ascii="Arial" w:cs="Arial" w:eastAsia="Arial" w:hAnsi="Arial"/>
                <w:sz w:val="13"/>
                <w:szCs w:val="13"/>
                <w:color w:val="auto"/>
              </w:rPr>
              <w:t>Total comprehensive loss</w:t>
            </w:r>
          </w:p>
        </w:tc>
        <w:tc>
          <w:tcPr>
            <w:tcW w:w="7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0"/>
              </w:rPr>
              <w:t>(65,767)</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(49,470)</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(114,279)</w:t>
            </w:r>
          </w:p>
        </w:tc>
      </w:tr>
      <w:tr>
        <w:trPr>
          <w:trHeight w:val="170"/>
        </w:trPr>
        <w:tc>
          <w:tcPr>
            <w:tcW w:w="7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Comprehensive income attributable to noncontrolling interests</w:t>
            </w:r>
          </w:p>
        </w:tc>
        <w:tc>
          <w:tcPr>
            <w:tcW w:w="7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3"/>
        </w:trPr>
        <w:tc>
          <w:tcPr>
            <w:tcW w:w="7380" w:type="dxa"/>
            <w:vAlign w:val="bottom"/>
          </w:tcPr>
          <w:p>
            <w:pPr>
              <w:ind w:left="20"/>
              <w:spacing w:after="0"/>
              <w:rPr>
                <w:sz w:val="20"/>
                <w:szCs w:val="20"/>
                <w:color w:val="auto"/>
              </w:rPr>
            </w:pPr>
            <w:r>
              <w:rPr>
                <w:rFonts w:ascii="Arial" w:cs="Arial" w:eastAsia="Arial" w:hAnsi="Arial"/>
                <w:sz w:val="13"/>
                <w:szCs w:val="13"/>
                <w:color w:val="auto"/>
              </w:rPr>
              <w:t>Comprehensive loss attributable to Inseego Corp.</w:t>
            </w: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(65,767)</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(49,684)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(114,308)</w:t>
            </w:r>
          </w:p>
        </w:tc>
      </w:tr>
      <w:tr>
        <w:trPr>
          <w:trHeight w:val="20"/>
        </w:trPr>
        <w:tc>
          <w:tcPr>
            <w:tcW w:w="7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174625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4"/>
          <w:szCs w:val="14"/>
          <w:b w:val="1"/>
          <w:bCs w:val="1"/>
          <w:color w:val="auto"/>
        </w:rPr>
        <w:t>INSEEGO CORP.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115"/>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89"/>
              </w:rPr>
              <w:t>Accumulated</w:t>
            </w:r>
          </w:p>
        </w:tc>
        <w:tc>
          <w:tcPr>
            <w:tcW w:w="1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60" w:type="dxa"/>
            <w:vAlign w:val="bottom"/>
            <w:gridSpan w:val="3"/>
          </w:tcPr>
          <w:p>
            <w:pPr>
              <w:ind w:left="360"/>
              <w:spacing w:after="0"/>
              <w:rPr>
                <w:sz w:val="20"/>
                <w:szCs w:val="20"/>
                <w:color w:val="auto"/>
              </w:rPr>
            </w:pPr>
            <w:r>
              <w:rPr>
                <w:rFonts w:ascii="Arial" w:cs="Arial" w:eastAsia="Arial" w:hAnsi="Arial"/>
                <w:sz w:val="10"/>
                <w:szCs w:val="10"/>
                <w:b w:val="1"/>
                <w:bCs w:val="1"/>
                <w:color w:val="auto"/>
              </w:rPr>
              <w:t>Preferred Stock</w:t>
            </w:r>
          </w:p>
        </w:tc>
        <w:tc>
          <w:tcPr>
            <w:tcW w:w="1420" w:type="dxa"/>
            <w:vAlign w:val="bottom"/>
            <w:gridSpan w:val="2"/>
          </w:tcPr>
          <w:p>
            <w:pPr>
              <w:ind w:left="400"/>
              <w:spacing w:after="0"/>
              <w:rPr>
                <w:sz w:val="20"/>
                <w:szCs w:val="20"/>
                <w:color w:val="auto"/>
              </w:rPr>
            </w:pPr>
            <w:r>
              <w:rPr>
                <w:rFonts w:ascii="Arial" w:cs="Arial" w:eastAsia="Arial" w:hAnsi="Arial"/>
                <w:sz w:val="10"/>
                <w:szCs w:val="10"/>
                <w:b w:val="1"/>
                <w:bCs w:val="1"/>
                <w:color w:val="auto"/>
              </w:rPr>
              <w:t>Common Stock</w:t>
            </w:r>
          </w:p>
        </w:tc>
        <w:tc>
          <w:tcPr>
            <w:tcW w:w="960" w:type="dxa"/>
            <w:vAlign w:val="bottom"/>
            <w:vMerge w:val="restart"/>
          </w:tcPr>
          <w:p>
            <w:pPr>
              <w:jc w:val="center"/>
              <w:ind w:left="11"/>
              <w:spacing w:after="0"/>
              <w:rPr>
                <w:sz w:val="20"/>
                <w:szCs w:val="20"/>
                <w:color w:val="auto"/>
              </w:rPr>
            </w:pPr>
            <w:r>
              <w:rPr>
                <w:rFonts w:ascii="Arial" w:cs="Arial" w:eastAsia="Arial" w:hAnsi="Arial"/>
                <w:sz w:val="10"/>
                <w:szCs w:val="10"/>
                <w:b w:val="1"/>
                <w:bCs w:val="1"/>
                <w:color w:val="auto"/>
                <w:w w:val="93"/>
              </w:rPr>
              <w:t>Additional</w:t>
            </w:r>
          </w:p>
        </w:tc>
        <w:tc>
          <w:tcPr>
            <w:tcW w:w="114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89"/>
              </w:rPr>
              <w:t>Other</w:t>
            </w:r>
          </w:p>
        </w:tc>
        <w:tc>
          <w:tcPr>
            <w:tcW w:w="1240" w:type="dxa"/>
            <w:vAlign w:val="bottom"/>
          </w:tcPr>
          <w:p>
            <w:pPr>
              <w:spacing w:after="0"/>
              <w:rPr>
                <w:sz w:val="10"/>
                <w:szCs w:val="10"/>
                <w:color w:val="auto"/>
              </w:rPr>
            </w:pPr>
          </w:p>
        </w:tc>
        <w:tc>
          <w:tcPr>
            <w:tcW w:w="1000" w:type="dxa"/>
            <w:vAlign w:val="bottom"/>
            <w:vMerge w:val="restart"/>
          </w:tcPr>
          <w:p>
            <w:pPr>
              <w:jc w:val="center"/>
              <w:ind w:left="51"/>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42"/>
        </w:trPr>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220" w:type="dxa"/>
            <w:vAlign w:val="bottom"/>
          </w:tcPr>
          <w:p>
            <w:pPr>
              <w:jc w:val="center"/>
              <w:spacing w:after="0" w:line="43" w:lineRule="exact"/>
              <w:rPr>
                <w:sz w:val="20"/>
                <w:szCs w:val="20"/>
                <w:color w:val="auto"/>
              </w:rPr>
            </w:pPr>
            <w:r>
              <w:rPr>
                <w:rFonts w:ascii="Arial" w:cs="Arial" w:eastAsia="Arial" w:hAnsi="Arial"/>
                <w:sz w:val="4"/>
                <w:szCs w:val="4"/>
                <w:b w:val="1"/>
                <w:bCs w:val="1"/>
                <w:color w:val="auto"/>
              </w:rPr>
              <w:t>Comprehensive Income</w:t>
            </w:r>
          </w:p>
        </w:tc>
        <w:tc>
          <w:tcPr>
            <w:tcW w:w="12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16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2"/>
          </w:tcPr>
          <w:p>
            <w:pPr>
              <w:ind w:left="22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ind w:left="20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ind w:left="220"/>
              <w:spacing w:after="0"/>
              <w:rPr>
                <w:sz w:val="20"/>
                <w:szCs w:val="20"/>
                <w:color w:val="auto"/>
              </w:rPr>
            </w:pPr>
            <w:r>
              <w:rPr>
                <w:rFonts w:ascii="Arial" w:cs="Arial" w:eastAsia="Arial" w:hAnsi="Arial"/>
                <w:sz w:val="10"/>
                <w:szCs w:val="10"/>
                <w:b w:val="1"/>
                <w:bCs w:val="1"/>
                <w:color w:val="auto"/>
              </w:rPr>
              <w:t>Amount</w:t>
            </w:r>
          </w:p>
        </w:tc>
        <w:tc>
          <w:tcPr>
            <w:tcW w:w="960" w:type="dxa"/>
            <w:vAlign w:val="bottom"/>
          </w:tcPr>
          <w:p>
            <w:pPr>
              <w:jc w:val="center"/>
              <w:ind w:left="31"/>
              <w:spacing w:after="0"/>
              <w:rPr>
                <w:sz w:val="20"/>
                <w:szCs w:val="20"/>
                <w:color w:val="auto"/>
              </w:rPr>
            </w:pPr>
            <w:r>
              <w:rPr>
                <w:rFonts w:ascii="Arial" w:cs="Arial" w:eastAsia="Arial" w:hAnsi="Arial"/>
                <w:sz w:val="10"/>
                <w:szCs w:val="10"/>
                <w:b w:val="1"/>
                <w:bCs w:val="1"/>
                <w:color w:val="auto"/>
                <w:w w:val="92"/>
              </w:rPr>
              <w:t>Paid-in Capital</w:t>
            </w:r>
          </w:p>
        </w:tc>
        <w:tc>
          <w:tcPr>
            <w:tcW w:w="1140" w:type="dxa"/>
            <w:vAlign w:val="bottom"/>
          </w:tcPr>
          <w:p>
            <w:pPr>
              <w:ind w:left="140"/>
              <w:spacing w:after="0"/>
              <w:rPr>
                <w:sz w:val="20"/>
                <w:szCs w:val="20"/>
                <w:color w:val="auto"/>
              </w:rPr>
            </w:pPr>
            <w:r>
              <w:rPr>
                <w:rFonts w:ascii="Arial" w:cs="Arial" w:eastAsia="Arial" w:hAnsi="Arial"/>
                <w:sz w:val="10"/>
                <w:szCs w:val="10"/>
                <w:b w:val="1"/>
                <w:bCs w:val="1"/>
                <w:color w:val="auto"/>
              </w:rPr>
              <w:t>Accumulated Deficit</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79"/>
              </w:rPr>
              <w:t>(Loss)</w:t>
            </w:r>
          </w:p>
        </w:tc>
        <w:tc>
          <w:tcPr>
            <w:tcW w:w="1240" w:type="dxa"/>
            <w:vAlign w:val="bottom"/>
          </w:tcPr>
          <w:p>
            <w:pPr>
              <w:ind w:left="120"/>
              <w:spacing w:after="0"/>
              <w:rPr>
                <w:sz w:val="20"/>
                <w:szCs w:val="20"/>
                <w:color w:val="auto"/>
              </w:rPr>
            </w:pPr>
            <w:r>
              <w:rPr>
                <w:rFonts w:ascii="Arial" w:cs="Arial" w:eastAsia="Arial" w:hAnsi="Arial"/>
                <w:sz w:val="10"/>
                <w:szCs w:val="10"/>
                <w:b w:val="1"/>
                <w:bCs w:val="1"/>
                <w:color w:val="auto"/>
                <w:w w:val="95"/>
              </w:rPr>
              <w:t>Noncontrolling Interests</w:t>
            </w:r>
          </w:p>
        </w:tc>
        <w:tc>
          <w:tcPr>
            <w:tcW w:w="1000" w:type="dxa"/>
            <w:vAlign w:val="bottom"/>
          </w:tcPr>
          <w:p>
            <w:pPr>
              <w:jc w:val="center"/>
              <w:ind w:left="51"/>
              <w:spacing w:after="0"/>
              <w:rPr>
                <w:sz w:val="20"/>
                <w:szCs w:val="20"/>
                <w:color w:val="auto"/>
              </w:rPr>
            </w:pPr>
            <w:r>
              <w:rPr>
                <w:rFonts w:ascii="Arial" w:cs="Arial" w:eastAsia="Arial" w:hAnsi="Arial"/>
                <w:sz w:val="10"/>
                <w:szCs w:val="10"/>
                <w:b w:val="1"/>
                <w:bCs w:val="1"/>
                <w:color w:val="auto"/>
                <w:w w:val="90"/>
              </w:rPr>
              <w:t>Stockholders’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48195"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ectPr>
          <w:pgSz w:w="11900" w:h="16838" w:orient="portrait"/>
          <w:cols w:equalWidth="0" w:num="1">
            <w:col w:w="11260"/>
          </w:cols>
          <w:pgMar w:left="320" w:top="772" w:right="319" w:bottom="1440" w:gutter="0" w:footer="0" w:header="0"/>
        </w:sectPr>
      </w:pPr>
    </w:p>
    <w:tbl>
      <w:tblPr>
        <w:tblLayout w:type="fixed"/>
        <w:tblInd w:w="0" w:type="dxa"/>
        <w:tblCellMar>
          <w:top w:w="0" w:type="dxa"/>
          <w:left w:w="0" w:type="dxa"/>
          <w:bottom w:w="0" w:type="dxa"/>
          <w:right w:w="0" w:type="dxa"/>
        </w:tblCellMar>
      </w:tblPr>
      <w:tr>
        <w:trPr>
          <w:trHeight w:val="147"/>
        </w:trPr>
        <w:tc>
          <w:tcPr>
            <w:tcW w:w="2740" w:type="dxa"/>
            <w:vAlign w:val="bottom"/>
          </w:tcPr>
          <w:p>
            <w:pPr>
              <w:spacing w:after="0"/>
              <w:rPr>
                <w:sz w:val="20"/>
                <w:szCs w:val="20"/>
                <w:color w:val="auto"/>
              </w:rPr>
            </w:pPr>
            <w:r>
              <w:rPr>
                <w:rFonts w:ascii="Arial" w:cs="Arial" w:eastAsia="Arial" w:hAnsi="Arial"/>
                <w:sz w:val="11"/>
                <w:szCs w:val="11"/>
                <w:color w:val="auto"/>
              </w:rPr>
              <w:t>Balance, December 31, 2019</w:t>
            </w: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81,974</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740" w:type="dxa"/>
            <w:vAlign w:val="bottom"/>
          </w:tcPr>
          <w:p>
            <w:pPr>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Foreign currency translation adjustment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20"/>
                <w:szCs w:val="20"/>
                <w:color w:val="auto"/>
              </w:rPr>
            </w:pPr>
            <w:r>
              <w:rPr>
                <w:rFonts w:ascii="Arial" w:cs="Arial" w:eastAsia="Arial" w:hAnsi="Arial"/>
                <w:sz w:val="11"/>
                <w:szCs w:val="11"/>
                <w:color w:val="auto"/>
                <w:w w:val="97"/>
              </w:rPr>
              <w:t>Exercise of stock options, vesting of restricted stock units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line="117" w:lineRule="exact"/>
              <w:rPr>
                <w:sz w:val="20"/>
                <w:szCs w:val="20"/>
                <w:color w:val="auto"/>
              </w:rPr>
            </w:pPr>
            <w:r>
              <w:rPr>
                <w:rFonts w:ascii="Arial" w:cs="Arial" w:eastAsia="Arial" w:hAnsi="Arial"/>
                <w:sz w:val="11"/>
                <w:szCs w:val="11"/>
                <w:color w:val="auto"/>
                <w:w w:val="97"/>
              </w:rPr>
              <w:t>(RSUs) and stock issued under employee stock purchase</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2,081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plan (ESPP)</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1"/>
                <w:szCs w:val="11"/>
                <w:color w:val="auto"/>
              </w:rPr>
              <w:t>Taxes withheld on net settled vesting of RSUs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Issuance of Series E preferred stock</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Issuance of Series E preferred stock in lieu of interest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Repurchase of Series E preferred stock</w:t>
            </w:r>
          </w:p>
        </w:tc>
        <w:tc>
          <w:tcPr>
            <w:tcW w:w="6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20"/>
                <w:szCs w:val="20"/>
                <w:color w:val="auto"/>
              </w:rPr>
            </w:pPr>
            <w:r>
              <w:rPr>
                <w:rFonts w:ascii="Arial" w:cs="Arial" w:eastAsia="Arial" w:hAnsi="Arial"/>
                <w:sz w:val="11"/>
                <w:szCs w:val="11"/>
                <w:color w:val="auto"/>
              </w:rPr>
              <w:t>Issuance of common stock in connection with Notes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13,739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Exchange</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line="121" w:lineRule="exact"/>
              <w:rPr>
                <w:sz w:val="20"/>
                <w:szCs w:val="20"/>
                <w:color w:val="auto"/>
              </w:rPr>
            </w:pPr>
            <w:r>
              <w:rPr>
                <w:rFonts w:ascii="Arial" w:cs="Arial" w:eastAsia="Arial" w:hAnsi="Arial"/>
                <w:sz w:val="11"/>
                <w:szCs w:val="11"/>
                <w:color w:val="auto"/>
                <w:w w:val="98"/>
              </w:rPr>
              <w:t>Issuance of common stock related to conversion of 2025</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1,177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Notes</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1"/>
                <w:szCs w:val="11"/>
                <w:color w:val="auto"/>
              </w:rPr>
              <w:t>Exercise of warrants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Series E preferred stock dividends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1"/>
                <w:szCs w:val="11"/>
                <w:color w:val="auto"/>
              </w:rPr>
              <w:t>Issuance of common stock under settlement agreement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20"/>
                <w:szCs w:val="20"/>
                <w:color w:val="auto"/>
              </w:rPr>
            </w:pPr>
            <w:r>
              <w:rPr>
                <w:rFonts w:ascii="Arial" w:cs="Arial" w:eastAsia="Arial" w:hAnsi="Arial"/>
                <w:sz w:val="11"/>
                <w:szCs w:val="11"/>
                <w:color w:val="auto"/>
              </w:rPr>
              <w:t>Balance, December 31, 2020</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99,399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Net loss</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20"/>
                <w:szCs w:val="20"/>
                <w:color w:val="auto"/>
              </w:rPr>
            </w:pPr>
            <w:r>
              <w:rPr>
                <w:rFonts w:ascii="Arial" w:cs="Arial" w:eastAsia="Arial" w:hAnsi="Arial"/>
                <w:sz w:val="11"/>
                <w:szCs w:val="11"/>
                <w:color w:val="auto"/>
              </w:rPr>
              <w:t>Foreign currency translation adjustment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20"/>
                <w:szCs w:val="20"/>
                <w:color w:val="auto"/>
              </w:rPr>
            </w:pPr>
            <w:r>
              <w:rPr>
                <w:rFonts w:ascii="Arial" w:cs="Arial" w:eastAsia="Arial" w:hAnsi="Arial"/>
                <w:sz w:val="11"/>
                <w:szCs w:val="11"/>
                <w:color w:val="auto"/>
                <w:w w:val="93"/>
              </w:rPr>
              <w:t>Exercise of stock options, vesting of RSUs and stock issued</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2,512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under ESPP</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1"/>
                <w:szCs w:val="11"/>
                <w:color w:val="auto"/>
              </w:rPr>
              <w:t>Taxes withheld on net settled vesting of RSUs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Divestiture of Ctrack South Africa</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20"/>
                <w:szCs w:val="20"/>
                <w:color w:val="auto"/>
              </w:rPr>
            </w:pPr>
            <w:r>
              <w:rPr>
                <w:rFonts w:ascii="Arial" w:cs="Arial" w:eastAsia="Arial" w:hAnsi="Arial"/>
                <w:sz w:val="11"/>
                <w:szCs w:val="11"/>
                <w:color w:val="auto"/>
                <w:w w:val="98"/>
              </w:rPr>
              <w:t>Issuance of common stock related to conversion of 2025</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429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Notes</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line="121" w:lineRule="exact"/>
              <w:rPr>
                <w:sz w:val="20"/>
                <w:szCs w:val="20"/>
                <w:color w:val="auto"/>
              </w:rPr>
            </w:pPr>
            <w:r>
              <w:rPr>
                <w:rFonts w:ascii="Arial" w:cs="Arial" w:eastAsia="Arial" w:hAnsi="Arial"/>
                <w:sz w:val="11"/>
                <w:szCs w:val="11"/>
                <w:color w:val="auto"/>
              </w:rPr>
              <w:t>Issuance of common stock in connection with public</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1,516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offering, net of issuance costs</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Series E preferred stock dividends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Series E preferred stock exchange</w:t>
            </w:r>
          </w:p>
        </w:tc>
        <w:tc>
          <w:tcPr>
            <w:tcW w:w="62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1"/>
                <w:szCs w:val="11"/>
                <w:color w:val="auto"/>
              </w:rPr>
              <w:t>Net noncontrolling interest acquired</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20"/>
                <w:szCs w:val="20"/>
                <w:color w:val="auto"/>
              </w:rPr>
            </w:pPr>
            <w:r>
              <w:rPr>
                <w:rFonts w:ascii="Arial" w:cs="Arial" w:eastAsia="Arial" w:hAnsi="Arial"/>
                <w:sz w:val="11"/>
                <w:szCs w:val="11"/>
                <w:color w:val="auto"/>
              </w:rPr>
              <w:t>Balance, December 31, 2021</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105,381</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Net loss</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20"/>
                <w:szCs w:val="20"/>
                <w:color w:val="auto"/>
              </w:rPr>
            </w:pPr>
            <w:r>
              <w:rPr>
                <w:rFonts w:ascii="Arial" w:cs="Arial" w:eastAsia="Arial" w:hAnsi="Arial"/>
                <w:sz w:val="11"/>
                <w:szCs w:val="11"/>
                <w:color w:val="auto"/>
              </w:rPr>
              <w:t>Foreign currency translation adjustment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Adjustment relating to extinguishment of 2022 Notes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20"/>
                <w:szCs w:val="20"/>
                <w:color w:val="auto"/>
              </w:rPr>
            </w:pPr>
            <w:r>
              <w:rPr>
                <w:rFonts w:ascii="Arial" w:cs="Arial" w:eastAsia="Arial" w:hAnsi="Arial"/>
                <w:sz w:val="11"/>
                <w:szCs w:val="11"/>
                <w:color w:val="auto"/>
                <w:w w:val="93"/>
              </w:rPr>
              <w:t>Exercise of stock options, vesting of RSUs and stock issued</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3,092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20"/>
                <w:szCs w:val="20"/>
                <w:color w:val="auto"/>
              </w:rPr>
            </w:pPr>
            <w:r>
              <w:rPr>
                <w:rFonts w:ascii="Arial" w:cs="Arial" w:eastAsia="Arial" w:hAnsi="Arial"/>
                <w:sz w:val="11"/>
                <w:szCs w:val="11"/>
                <w:color w:val="auto"/>
              </w:rPr>
              <w:t>under ESPP</w:t>
            </w:r>
          </w:p>
        </w:tc>
        <w:tc>
          <w:tcPr>
            <w:tcW w:w="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Arial" w:cs="Arial" w:eastAsia="Arial" w:hAnsi="Arial"/>
                <w:sz w:val="11"/>
                <w:szCs w:val="11"/>
                <w:color w:val="auto"/>
              </w:rPr>
              <w:t>Taxes withheld on net settled vesting of RSUs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Share-based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1"/>
                <w:szCs w:val="11"/>
                <w:color w:val="auto"/>
              </w:rPr>
              <w:t>Series E preferred stock dividends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20"/>
                <w:szCs w:val="20"/>
                <w:color w:val="auto"/>
              </w:rPr>
            </w:pPr>
            <w:r>
              <w:rPr>
                <w:rFonts w:ascii="Arial" w:cs="Arial" w:eastAsia="Arial" w:hAnsi="Arial"/>
                <w:sz w:val="11"/>
                <w:szCs w:val="11"/>
                <w:color w:val="auto"/>
              </w:rPr>
              <w:t>Balance, December 31, 2022</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108,468</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-3940810</wp:posOffset>
            </wp:positionV>
            <wp:extent cx="7148195" cy="100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-3597275</wp:posOffset>
            </wp:positionV>
            <wp:extent cx="7148195" cy="100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-3394710</wp:posOffset>
            </wp:positionV>
            <wp:extent cx="7148195" cy="1009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-3192780</wp:posOffset>
            </wp:positionV>
            <wp:extent cx="7148195"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68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-2856230</wp:posOffset>
            </wp:positionV>
            <wp:extent cx="7148195" cy="100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-2653665</wp:posOffset>
            </wp:positionV>
            <wp:extent cx="7148195" cy="100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-2235835</wp:posOffset>
            </wp:positionV>
            <wp:extent cx="7148195" cy="100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-1966595</wp:posOffset>
            </wp:positionV>
            <wp:extent cx="7148195" cy="1009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-1764665</wp:posOffset>
            </wp:positionV>
            <wp:extent cx="7148195" cy="168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68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-1427480</wp:posOffset>
            </wp:positionV>
            <wp:extent cx="7148195" cy="1009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-1225550</wp:posOffset>
            </wp:positionV>
            <wp:extent cx="7148195" cy="1009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-807720</wp:posOffset>
            </wp:positionV>
            <wp:extent cx="7148195" cy="1009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-605790</wp:posOffset>
            </wp:positionV>
            <wp:extent cx="7148195"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68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-335915</wp:posOffset>
            </wp:positionV>
            <wp:extent cx="7148195" cy="1009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7148195"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-1023620</wp:posOffset>
            </wp:positionV>
            <wp:extent cx="7148195"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-2451735</wp:posOffset>
            </wp:positionV>
            <wp:extent cx="7148195" cy="1079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00" w:type="dxa"/>
            <w:vAlign w:val="bottom"/>
          </w:tcPr>
          <w:p>
            <w:pPr>
              <w:jc w:val="right"/>
              <w:ind w:right="83"/>
              <w:spacing w:after="0"/>
              <w:rPr>
                <w:sz w:val="20"/>
                <w:szCs w:val="20"/>
                <w:color w:val="auto"/>
              </w:rPr>
            </w:pPr>
            <w:r>
              <w:rPr>
                <w:rFonts w:ascii="Arial" w:cs="Arial" w:eastAsia="Arial" w:hAnsi="Arial"/>
                <w:sz w:val="11"/>
                <w:szCs w:val="11"/>
                <w:color w:val="auto"/>
                <w:w w:val="85"/>
              </w:rPr>
              <w:t>584,862</w:t>
            </w:r>
          </w:p>
        </w:tc>
        <w:tc>
          <w:tcPr>
            <w:tcW w:w="320" w:type="dxa"/>
            <w:vAlign w:val="bottom"/>
            <w:tcBorders>
              <w:top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(618,303)</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(3,879)</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2"/>
                <w:szCs w:val="12"/>
                <w:color w:val="auto"/>
              </w:rPr>
            </w:pPr>
          </w:p>
        </w:tc>
        <w:tc>
          <w:tcPr>
            <w:tcW w:w="340" w:type="dxa"/>
            <w:vAlign w:val="bottom"/>
            <w:tcBorders>
              <w:top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(37,358)</w:t>
            </w:r>
          </w:p>
        </w:tc>
      </w:tr>
      <w:tr>
        <w:trPr>
          <w:trHeight w:val="154"/>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(111,215)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(111,186)</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(3,093)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(3,093)</w:t>
            </w:r>
          </w:p>
        </w:tc>
      </w:tr>
      <w:tr>
        <w:trPr>
          <w:trHeight w:val="382"/>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5,420</w:t>
            </w: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5,422</w:t>
            </w:r>
          </w:p>
        </w:tc>
      </w:tr>
      <w:tr>
        <w:trPr>
          <w:trHeight w:val="159"/>
        </w:trPr>
        <w:tc>
          <w:tcPr>
            <w:tcW w:w="500" w:type="dxa"/>
            <w:vAlign w:val="bottom"/>
          </w:tcPr>
          <w:p>
            <w:pPr>
              <w:jc w:val="right"/>
              <w:ind w:right="43"/>
              <w:spacing w:after="0"/>
              <w:rPr>
                <w:sz w:val="20"/>
                <w:szCs w:val="20"/>
                <w:color w:val="auto"/>
              </w:rPr>
            </w:pPr>
            <w:r>
              <w:rPr>
                <w:rFonts w:ascii="Arial" w:cs="Arial" w:eastAsia="Arial" w:hAnsi="Arial"/>
                <w:sz w:val="11"/>
                <w:szCs w:val="11"/>
                <w:color w:val="auto"/>
              </w:rPr>
              <w:t>(354)</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(354)</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25,000</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25,000</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2,330</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2,330</w:t>
            </w:r>
          </w:p>
        </w:tc>
      </w:tr>
      <w:tr>
        <w:trPr>
          <w:trHeight w:val="159"/>
        </w:trPr>
        <w:tc>
          <w:tcPr>
            <w:tcW w:w="500" w:type="dxa"/>
            <w:vAlign w:val="bottom"/>
          </w:tcPr>
          <w:p>
            <w:pPr>
              <w:jc w:val="right"/>
              <w:ind w:right="43"/>
              <w:spacing w:after="0"/>
              <w:rPr>
                <w:sz w:val="20"/>
                <w:szCs w:val="20"/>
                <w:color w:val="auto"/>
              </w:rPr>
            </w:pPr>
            <w:r>
              <w:rPr>
                <w:rFonts w:ascii="Arial" w:cs="Arial" w:eastAsia="Arial" w:hAnsi="Arial"/>
                <w:sz w:val="11"/>
                <w:szCs w:val="11"/>
                <w:color w:val="auto"/>
              </w:rPr>
              <w:t>(2,354)</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(2,354)</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66,074</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66,088</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14,353</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14,354</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1,861</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1,861</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10,419</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10,419</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2,904</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(2,904)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972</w:t>
            </w:r>
          </w:p>
        </w:tc>
        <w:tc>
          <w:tcPr>
            <w:tcW w:w="3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972</w:t>
            </w:r>
          </w:p>
        </w:tc>
      </w:tr>
      <w:tr>
        <w:trPr>
          <w:trHeight w:val="150"/>
        </w:trPr>
        <w:tc>
          <w:tcPr>
            <w:tcW w:w="500" w:type="dxa"/>
            <w:vAlign w:val="bottom"/>
          </w:tcPr>
          <w:p>
            <w:pPr>
              <w:jc w:val="right"/>
              <w:ind w:right="83"/>
              <w:spacing w:after="0"/>
              <w:rPr>
                <w:sz w:val="20"/>
                <w:szCs w:val="20"/>
                <w:color w:val="auto"/>
              </w:rPr>
            </w:pPr>
            <w:r>
              <w:rPr>
                <w:rFonts w:ascii="Arial" w:cs="Arial" w:eastAsia="Arial" w:hAnsi="Arial"/>
                <w:sz w:val="11"/>
                <w:szCs w:val="11"/>
                <w:color w:val="auto"/>
                <w:w w:val="85"/>
              </w:rPr>
              <w:t>711,487</w:t>
            </w: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(732,422)</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(6,972)</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(27,899)</w:t>
            </w:r>
          </w:p>
        </w:tc>
      </w:tr>
      <w:tr>
        <w:trPr>
          <w:trHeight w:val="14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(48,125)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214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(47,911)</w:t>
            </w:r>
          </w:p>
        </w:tc>
      </w:tr>
      <w:tr>
        <w:trPr>
          <w:trHeight w:val="154"/>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(3,167)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(3,167)</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4,763</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4,765</w:t>
            </w:r>
          </w:p>
        </w:tc>
      </w:tr>
      <w:tr>
        <w:trPr>
          <w:trHeight w:val="159"/>
        </w:trPr>
        <w:tc>
          <w:tcPr>
            <w:tcW w:w="500" w:type="dxa"/>
            <w:vAlign w:val="bottom"/>
          </w:tcPr>
          <w:p>
            <w:pPr>
              <w:jc w:val="right"/>
              <w:ind w:right="43"/>
              <w:spacing w:after="0"/>
              <w:rPr>
                <w:sz w:val="20"/>
                <w:szCs w:val="20"/>
                <w:color w:val="auto"/>
              </w:rPr>
            </w:pPr>
            <w:r>
              <w:rPr>
                <w:rFonts w:ascii="Arial" w:cs="Arial" w:eastAsia="Arial" w:hAnsi="Arial"/>
                <w:sz w:val="11"/>
                <w:szCs w:val="11"/>
                <w:color w:val="auto"/>
              </w:rPr>
              <w:t>(1,279)</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(1,279)</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8</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(2,497)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1,608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(889)</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5,382</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5,382</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29,368</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29,370</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16,649</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16,649</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3,139</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(3,139)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1,102</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125</w:t>
            </w:r>
          </w:p>
        </w:tc>
      </w:tr>
      <w:tr>
        <w:trPr>
          <w:trHeight w:val="150"/>
        </w:trPr>
        <w:tc>
          <w:tcPr>
            <w:tcW w:w="500" w:type="dxa"/>
            <w:vAlign w:val="bottom"/>
          </w:tcPr>
          <w:p>
            <w:pPr>
              <w:jc w:val="right"/>
              <w:ind w:right="83"/>
              <w:spacing w:after="0"/>
              <w:rPr>
                <w:sz w:val="20"/>
                <w:szCs w:val="20"/>
                <w:color w:val="auto"/>
              </w:rPr>
            </w:pPr>
            <w:r>
              <w:rPr>
                <w:rFonts w:ascii="Arial" w:cs="Arial" w:eastAsia="Arial" w:hAnsi="Arial"/>
                <w:sz w:val="11"/>
                <w:szCs w:val="11"/>
                <w:color w:val="auto"/>
                <w:w w:val="85"/>
              </w:rPr>
              <w:t>770,619</w:t>
            </w: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(787,047)</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(8,531)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(24,854)</w:t>
            </w:r>
          </w:p>
        </w:tc>
      </w:tr>
      <w:tr>
        <w:trPr>
          <w:trHeight w:val="14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(67,969)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(67,969)</w:t>
            </w:r>
          </w:p>
        </w:tc>
      </w:tr>
      <w:tr>
        <w:trPr>
          <w:trHeight w:val="154"/>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2,202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2,202</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1,728</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1,728</w:t>
            </w:r>
          </w:p>
        </w:tc>
      </w:tr>
      <w:tr>
        <w:trPr>
          <w:trHeight w:val="265"/>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1,187</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1,190</w:t>
            </w:r>
          </w:p>
        </w:tc>
      </w:tr>
      <w:tr>
        <w:trPr>
          <w:trHeight w:val="159"/>
        </w:trPr>
        <w:tc>
          <w:tcPr>
            <w:tcW w:w="500" w:type="dxa"/>
            <w:vAlign w:val="bottom"/>
          </w:tcPr>
          <w:p>
            <w:pPr>
              <w:jc w:val="right"/>
              <w:ind w:right="43"/>
              <w:spacing w:after="0"/>
              <w:rPr>
                <w:sz w:val="20"/>
                <w:szCs w:val="20"/>
                <w:color w:val="auto"/>
              </w:rPr>
            </w:pPr>
            <w:r>
              <w:rPr>
                <w:rFonts w:ascii="Arial" w:cs="Arial" w:eastAsia="Arial" w:hAnsi="Arial"/>
                <w:sz w:val="11"/>
                <w:szCs w:val="11"/>
                <w:color w:val="auto"/>
              </w:rPr>
              <w:t>(290)</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(290)</w:t>
            </w:r>
          </w:p>
        </w:tc>
      </w:tr>
      <w:tr>
        <w:trPr>
          <w:trHeight w:val="15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17,875</w:t>
            </w:r>
          </w:p>
        </w:tc>
        <w:tc>
          <w:tcPr>
            <w:tcW w:w="3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17,875</w:t>
            </w:r>
          </w:p>
        </w:tc>
      </w:tr>
      <w:tr>
        <w:trPr>
          <w:trHeight w:val="169"/>
        </w:trPr>
        <w:tc>
          <w:tcPr>
            <w:tcW w:w="500" w:type="dxa"/>
            <w:vAlign w:val="bottom"/>
          </w:tcPr>
          <w:p>
            <w:pPr>
              <w:jc w:val="right"/>
              <w:ind w:right="83"/>
              <w:spacing w:after="0"/>
              <w:rPr>
                <w:sz w:val="20"/>
                <w:szCs w:val="20"/>
                <w:color w:val="auto"/>
              </w:rPr>
            </w:pPr>
            <w:r>
              <w:rPr>
                <w:rFonts w:ascii="Arial" w:cs="Arial" w:eastAsia="Arial" w:hAnsi="Arial"/>
                <w:sz w:val="11"/>
                <w:szCs w:val="11"/>
                <w:color w:val="auto"/>
              </w:rPr>
              <w:t>2,736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(2,736)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2"/>
        </w:trPr>
        <w:tc>
          <w:tcPr>
            <w:tcW w:w="500" w:type="dxa"/>
            <w:vAlign w:val="bottom"/>
          </w:tcPr>
          <w:p>
            <w:pPr>
              <w:jc w:val="right"/>
              <w:ind w:right="83"/>
              <w:spacing w:after="0"/>
              <w:rPr>
                <w:sz w:val="20"/>
                <w:szCs w:val="20"/>
                <w:color w:val="auto"/>
              </w:rPr>
            </w:pPr>
            <w:r>
              <w:rPr>
                <w:rFonts w:ascii="Arial" w:cs="Arial" w:eastAsia="Arial" w:hAnsi="Arial"/>
                <w:sz w:val="11"/>
                <w:szCs w:val="11"/>
                <w:color w:val="auto"/>
                <w:w w:val="85"/>
              </w:rPr>
              <w:t>793,855</w:t>
            </w: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(857,752)</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(6,329)</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(70,118)</w:t>
            </w:r>
          </w:p>
        </w:tc>
      </w:tr>
      <w:tr>
        <w:trPr>
          <w:trHeight w:val="20"/>
        </w:trPr>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-6350</wp:posOffset>
            </wp:positionV>
            <wp:extent cx="5321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32130" cy="698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-915670</wp:posOffset>
            </wp:positionV>
            <wp:extent cx="5321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32130" cy="698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-2343785</wp:posOffset>
            </wp:positionV>
            <wp:extent cx="5321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3213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360"/>
            <w:col w:w="5120"/>
          </w:cols>
          <w:pgMar w:left="320" w:top="772" w:right="319" w:bottom="1440" w:gutter="0" w:footer="0" w:header="0"/>
          <w:type w:val="continuous"/>
        </w:sect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174625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72" w:right="3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9"/>
        </w:trPr>
        <w:tc>
          <w:tcPr>
            <w:tcW w:w="7880" w:type="dxa"/>
            <w:vAlign w:val="bottom"/>
          </w:tcPr>
          <w:p>
            <w:pPr>
              <w:ind w:left="20"/>
              <w:spacing w:after="0"/>
              <w:rPr>
                <w:sz w:val="20"/>
                <w:szCs w:val="20"/>
                <w:color w:val="auto"/>
              </w:rPr>
            </w:pPr>
            <w:r>
              <w:rPr>
                <w:rFonts w:ascii="Arial" w:cs="Arial" w:eastAsia="Arial" w:hAnsi="Arial"/>
                <w:sz w:val="11"/>
                <w:szCs w:val="11"/>
                <w:color w:val="auto"/>
              </w:rPr>
              <w:t>Cash flows from operating activities: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loss</w:t>
            </w:r>
          </w:p>
        </w:tc>
        <w:tc>
          <w:tcPr>
            <w:tcW w:w="660" w:type="dxa"/>
            <w:vAlign w:val="bottom"/>
            <w:shd w:val="clear" w:color="auto" w:fill="CCEEFF"/>
          </w:tcPr>
          <w:p>
            <w:pPr>
              <w:jc w:val="right"/>
              <w:ind w:right="548"/>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(67,969)</w:t>
            </w:r>
          </w:p>
        </w:tc>
        <w:tc>
          <w:tcPr>
            <w:tcW w:w="36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(47,911)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(111,186)</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Depreciation and amortization</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27,946</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Fair value adjustment on derivative instrument</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597</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Provision for bad debts, net of recoveries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Impairment of capitalized software</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1,410</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Provision for excess and obsolete inventory</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Share-based compensation expense</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17,875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16,649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10,419</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Amortization of debt discount and debt issuance costs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4,016</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Loss on debt conversion and extinguishment, net</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76,354</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Gain on sale of Ctrack South Africa</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Deferred income taxes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659</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Right-of-use assets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1,432</w:t>
            </w: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Other</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(765)</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Changes in assets and liabilities, net of effects of divestiture:</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80" w:type="dxa"/>
            <w:vAlign w:val="bottom"/>
          </w:tcPr>
          <w:p>
            <w:pPr>
              <w:ind w:left="520"/>
              <w:spacing w:after="0"/>
              <w:rPr>
                <w:sz w:val="20"/>
                <w:szCs w:val="20"/>
                <w:color w:val="auto"/>
              </w:rPr>
            </w:pPr>
            <w:r>
              <w:rPr>
                <w:rFonts w:ascii="Arial" w:cs="Arial" w:eastAsia="Arial" w:hAnsi="Arial"/>
                <w:sz w:val="11"/>
                <w:szCs w:val="11"/>
                <w:color w:val="auto"/>
              </w:rPr>
              <w:t>Accounts receivable</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(10,797)</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Inventories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(12,494)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(13,336)</w:t>
            </w:r>
          </w:p>
        </w:tc>
        <w:tc>
          <w:tcPr>
            <w:tcW w:w="0" w:type="dxa"/>
            <w:vAlign w:val="bottom"/>
          </w:tcPr>
          <w:p>
            <w:pPr>
              <w:spacing w:after="0"/>
              <w:rPr>
                <w:sz w:val="1"/>
                <w:szCs w:val="1"/>
                <w:color w:val="auto"/>
              </w:rPr>
            </w:pPr>
          </w:p>
        </w:tc>
      </w:tr>
      <w:tr>
        <w:trPr>
          <w:trHeight w:val="152"/>
        </w:trPr>
        <w:tc>
          <w:tcPr>
            <w:tcW w:w="7880" w:type="dxa"/>
            <w:vAlign w:val="bottom"/>
          </w:tcPr>
          <w:p>
            <w:pPr>
              <w:ind w:left="520"/>
              <w:spacing w:after="0"/>
              <w:rPr>
                <w:sz w:val="20"/>
                <w:szCs w:val="20"/>
                <w:color w:val="auto"/>
              </w:rPr>
            </w:pPr>
            <w:r>
              <w:rPr>
                <w:rFonts w:ascii="Arial" w:cs="Arial" w:eastAsia="Arial" w:hAnsi="Arial"/>
                <w:sz w:val="11"/>
                <w:szCs w:val="11"/>
                <w:color w:val="auto"/>
              </w:rPr>
              <w:t>Prepaid expenses and other assets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5,642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(1,988)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(3,070)</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Accounts payable</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(26,313)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27,087</w:t>
            </w:r>
          </w:p>
        </w:tc>
        <w:tc>
          <w:tcPr>
            <w:tcW w:w="0" w:type="dxa"/>
            <w:vAlign w:val="bottom"/>
          </w:tcPr>
          <w:p>
            <w:pPr>
              <w:spacing w:after="0"/>
              <w:rPr>
                <w:sz w:val="1"/>
                <w:szCs w:val="1"/>
                <w:color w:val="auto"/>
              </w:rPr>
            </w:pPr>
          </w:p>
        </w:tc>
      </w:tr>
      <w:tr>
        <w:trPr>
          <w:trHeight w:val="152"/>
        </w:trPr>
        <w:tc>
          <w:tcPr>
            <w:tcW w:w="7880" w:type="dxa"/>
            <w:vAlign w:val="bottom"/>
          </w:tcPr>
          <w:p>
            <w:pPr>
              <w:ind w:left="520"/>
              <w:spacing w:after="0"/>
              <w:rPr>
                <w:sz w:val="20"/>
                <w:szCs w:val="20"/>
                <w:color w:val="auto"/>
              </w:rPr>
            </w:pPr>
            <w:r>
              <w:rPr>
                <w:rFonts w:ascii="Arial" w:cs="Arial" w:eastAsia="Arial" w:hAnsi="Arial"/>
                <w:sz w:val="11"/>
                <w:szCs w:val="11"/>
                <w:color w:val="auto"/>
              </w:rPr>
              <w:t>Accrued expenses, income taxes, and other</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4,448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8,785</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Operating lease liabilities</w:t>
            </w:r>
          </w:p>
        </w:tc>
        <w:tc>
          <w:tcPr>
            <w:tcW w:w="6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0" w:type="dxa"/>
            <w:vAlign w:val="bottom"/>
          </w:tcPr>
          <w:p>
            <w:pPr>
              <w:spacing w:after="0"/>
              <w:rPr>
                <w:sz w:val="1"/>
                <w:szCs w:val="1"/>
                <w:color w:val="auto"/>
              </w:rPr>
            </w:pPr>
          </w:p>
        </w:tc>
      </w:tr>
      <w:tr>
        <w:trPr>
          <w:trHeight w:val="143"/>
        </w:trPr>
        <w:tc>
          <w:tcPr>
            <w:tcW w:w="7880" w:type="dxa"/>
            <w:vAlign w:val="bottom"/>
            <w:tcBorders>
              <w:bottom w:val="single" w:sz="8" w:color="CCEEFF"/>
            </w:tcBorders>
          </w:tcPr>
          <w:p>
            <w:pPr>
              <w:ind w:left="780"/>
              <w:spacing w:after="0" w:line="125" w:lineRule="exact"/>
              <w:rPr>
                <w:sz w:val="20"/>
                <w:szCs w:val="20"/>
                <w:color w:val="auto"/>
              </w:rPr>
            </w:pPr>
            <w:r>
              <w:rPr>
                <w:rFonts w:ascii="Arial" w:cs="Arial" w:eastAsia="Arial" w:hAnsi="Arial"/>
                <w:sz w:val="11"/>
                <w:szCs w:val="11"/>
                <w:color w:val="auto"/>
              </w:rPr>
              <w:t>Net cash (used in) provided by operating activities</w:t>
            </w: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2"/>
              </w:rPr>
              <w:t>(33,289)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(25,212)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20,050</w:t>
            </w:r>
          </w:p>
        </w:tc>
        <w:tc>
          <w:tcPr>
            <w:tcW w:w="0" w:type="dxa"/>
            <w:vAlign w:val="bottom"/>
          </w:tcPr>
          <w:p>
            <w:pPr>
              <w:spacing w:after="0"/>
              <w:rPr>
                <w:sz w:val="1"/>
                <w:szCs w:val="1"/>
                <w:color w:val="auto"/>
              </w:rPr>
            </w:pPr>
          </w:p>
        </w:tc>
      </w:tr>
      <w:tr>
        <w:trPr>
          <w:trHeight w:val="146"/>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flows from investing activities:</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Acquisition of noncontrolling interest</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Purchases of property, plant and equipment</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(5,736)</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Proceeds from the sale of property, plant and equipment</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392</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sale of Ctrack South Africa, net of cash divested</w:t>
            </w:r>
            <w:r>
              <w:rPr>
                <w:rFonts w:ascii="Arial" w:cs="Arial" w:eastAsia="Arial" w:hAnsi="Arial"/>
                <w:sz w:val="14"/>
                <w:szCs w:val="14"/>
                <w:color w:val="auto"/>
                <w:vertAlign w:val="superscript"/>
              </w:rPr>
              <w:t>1</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33,689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Additions to capitalized software development costs and purchases of intangible assets</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2"/>
              </w:rPr>
              <w:t>(11,838)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(23,905)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(29,369)</w:t>
            </w:r>
          </w:p>
        </w:tc>
        <w:tc>
          <w:tcPr>
            <w:tcW w:w="0" w:type="dxa"/>
            <w:vAlign w:val="bottom"/>
          </w:tcPr>
          <w:p>
            <w:pPr>
              <w:spacing w:after="0"/>
              <w:rPr>
                <w:sz w:val="1"/>
                <w:szCs w:val="1"/>
                <w:color w:val="auto"/>
              </w:rPr>
            </w:pPr>
          </w:p>
        </w:tc>
      </w:tr>
      <w:tr>
        <w:trPr>
          <w:trHeight w:val="157"/>
        </w:trPr>
        <w:tc>
          <w:tcPr>
            <w:tcW w:w="7880" w:type="dxa"/>
            <w:vAlign w:val="bottom"/>
            <w:shd w:val="clear" w:color="auto" w:fill="CCEEFF"/>
          </w:tcPr>
          <w:p>
            <w:pPr>
              <w:ind w:left="780"/>
              <w:spacing w:after="0"/>
              <w:rPr>
                <w:sz w:val="20"/>
                <w:szCs w:val="20"/>
                <w:color w:val="auto"/>
              </w:rPr>
            </w:pPr>
            <w:r>
              <w:rPr>
                <w:rFonts w:ascii="Arial" w:cs="Arial" w:eastAsia="Arial" w:hAnsi="Arial"/>
                <w:sz w:val="11"/>
                <w:szCs w:val="11"/>
                <w:color w:val="auto"/>
              </w:rPr>
              <w:t>Net cash (used in) provided by investing activities</w:t>
            </w: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2"/>
              </w:rPr>
              <w:t>(13,319)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6,078</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(34,713)</w:t>
            </w:r>
          </w:p>
        </w:tc>
        <w:tc>
          <w:tcPr>
            <w:tcW w:w="0" w:type="dxa"/>
            <w:vAlign w:val="bottom"/>
          </w:tcPr>
          <w:p>
            <w:pPr>
              <w:spacing w:after="0"/>
              <w:rPr>
                <w:sz w:val="1"/>
                <w:szCs w:val="1"/>
                <w:color w:val="auto"/>
              </w:rPr>
            </w:pPr>
          </w:p>
        </w:tc>
      </w:tr>
      <w:tr>
        <w:trPr>
          <w:trHeight w:val="132"/>
        </w:trPr>
        <w:tc>
          <w:tcPr>
            <w:tcW w:w="7880" w:type="dxa"/>
            <w:vAlign w:val="bottom"/>
          </w:tcPr>
          <w:p>
            <w:pPr>
              <w:ind w:left="20"/>
              <w:spacing w:after="0" w:line="125" w:lineRule="exact"/>
              <w:rPr>
                <w:sz w:val="20"/>
                <w:szCs w:val="20"/>
                <w:color w:val="auto"/>
              </w:rPr>
            </w:pPr>
            <w:r>
              <w:rPr>
                <w:rFonts w:ascii="Arial" w:cs="Arial" w:eastAsia="Arial" w:hAnsi="Arial"/>
                <w:sz w:val="11"/>
                <w:szCs w:val="11"/>
                <w:color w:val="auto"/>
              </w:rPr>
              <w:t>Cash flows from financing activities:</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Gross proceeds received from issuance of Series E preferred stock</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Gross proceeds from the issuance of 2025 Notes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Payment of issuance costs related to 2025 Notes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(3,645)</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Cash paid to investors in private exchange transactions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(32,062)</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Payoff of term loan and related extinguishment costs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(48,830)</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Repurchase of Series E preferred stock</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(2,354)</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the exercise of warrants to purchase common stock</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1,861</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Net borrowing of bank and overdraft facilities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(199)</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Principal payments on financed assets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Borrowings on asset-backed revolving credit facility</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12,351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Repayment on asset-backed revolving credit facility</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Payment of debt issuance costs on asset-backed revolving credit facility</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Principal payments under finance lease obligations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w:t>
            </w:r>
          </w:p>
        </w:tc>
        <w:tc>
          <w:tcPr>
            <w:tcW w:w="0" w:type="dxa"/>
            <w:vAlign w:val="bottom"/>
          </w:tcPr>
          <w:p>
            <w:pPr>
              <w:spacing w:after="0"/>
              <w:rPr>
                <w:sz w:val="1"/>
                <w:szCs w:val="1"/>
                <w:color w:val="auto"/>
              </w:rPr>
            </w:pPr>
          </w:p>
        </w:tc>
      </w:tr>
      <w:tr>
        <w:trPr>
          <w:trHeight w:val="152"/>
        </w:trPr>
        <w:tc>
          <w:tcPr>
            <w:tcW w:w="7880" w:type="dxa"/>
            <w:vAlign w:val="bottom"/>
          </w:tcPr>
          <w:p>
            <w:pPr>
              <w:ind w:left="180"/>
              <w:spacing w:after="0"/>
              <w:rPr>
                <w:sz w:val="20"/>
                <w:szCs w:val="20"/>
                <w:color w:val="auto"/>
              </w:rPr>
            </w:pPr>
            <w:r>
              <w:rPr>
                <w:rFonts w:ascii="Arial" w:cs="Arial" w:eastAsia="Arial" w:hAnsi="Arial"/>
                <w:sz w:val="11"/>
                <w:szCs w:val="11"/>
                <w:color w:val="auto"/>
              </w:rPr>
              <w:t>Proceeds from a public offering, net of issuance costs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29,370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stock option exercises and ESPP, net of taxes paid on vested restricted stock units</w:t>
            </w:r>
          </w:p>
        </w:tc>
        <w:tc>
          <w:tcPr>
            <w:tcW w:w="6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3,486</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5,066</w:t>
            </w:r>
          </w:p>
        </w:tc>
        <w:tc>
          <w:tcPr>
            <w:tcW w:w="0" w:type="dxa"/>
            <w:vAlign w:val="bottom"/>
          </w:tcPr>
          <w:p>
            <w:pPr>
              <w:spacing w:after="0"/>
              <w:rPr>
                <w:sz w:val="1"/>
                <w:szCs w:val="1"/>
                <w:color w:val="auto"/>
              </w:rPr>
            </w:pPr>
          </w:p>
        </w:tc>
      </w:tr>
      <w:tr>
        <w:trPr>
          <w:trHeight w:val="143"/>
        </w:trPr>
        <w:tc>
          <w:tcPr>
            <w:tcW w:w="7880" w:type="dxa"/>
            <w:vAlign w:val="bottom"/>
            <w:tcBorders>
              <w:bottom w:val="single" w:sz="8" w:color="CCEEFF"/>
            </w:tcBorders>
          </w:tcPr>
          <w:p>
            <w:pPr>
              <w:ind w:left="780"/>
              <w:spacing w:after="0" w:line="125" w:lineRule="exact"/>
              <w:rPr>
                <w:sz w:val="20"/>
                <w:szCs w:val="20"/>
                <w:color w:val="auto"/>
              </w:rPr>
            </w:pPr>
            <w:r>
              <w:rPr>
                <w:rFonts w:ascii="Arial" w:cs="Arial" w:eastAsia="Arial" w:hAnsi="Arial"/>
                <w:sz w:val="11"/>
                <w:szCs w:val="11"/>
                <w:color w:val="auto"/>
              </w:rPr>
              <w:t>Net cash provided by financing activities</w:t>
            </w: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5,427</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42,081</w:t>
            </w:r>
          </w:p>
        </w:tc>
        <w:tc>
          <w:tcPr>
            <w:tcW w:w="0" w:type="dxa"/>
            <w:vAlign w:val="bottom"/>
          </w:tcPr>
          <w:p>
            <w:pPr>
              <w:spacing w:after="0"/>
              <w:rPr>
                <w:sz w:val="1"/>
                <w:szCs w:val="1"/>
                <w:color w:val="auto"/>
              </w:rPr>
            </w:pPr>
          </w:p>
        </w:tc>
      </w:tr>
      <w:tr>
        <w:trPr>
          <w:trHeight w:val="157"/>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rates on cash</w:t>
            </w: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(1,488)</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(990)</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0" w:type="dxa"/>
            <w:vAlign w:val="bottom"/>
          </w:tcPr>
          <w:p>
            <w:pPr>
              <w:spacing w:after="0"/>
              <w:rPr>
                <w:sz w:val="1"/>
                <w:szCs w:val="1"/>
                <w:color w:val="auto"/>
              </w:rPr>
            </w:pPr>
          </w:p>
        </w:tc>
      </w:tr>
      <w:tr>
        <w:trPr>
          <w:trHeight w:val="143"/>
        </w:trPr>
        <w:tc>
          <w:tcPr>
            <w:tcW w:w="7880" w:type="dxa"/>
            <w:vAlign w:val="bottom"/>
          </w:tcPr>
          <w:p>
            <w:pPr>
              <w:ind w:left="780"/>
              <w:spacing w:after="0" w:line="125" w:lineRule="exact"/>
              <w:rPr>
                <w:sz w:val="20"/>
                <w:szCs w:val="20"/>
                <w:color w:val="auto"/>
              </w:rPr>
            </w:pPr>
            <w:r>
              <w:rPr>
                <w:rFonts w:ascii="Arial" w:cs="Arial" w:eastAsia="Arial" w:hAnsi="Arial"/>
                <w:sz w:val="11"/>
                <w:szCs w:val="11"/>
                <w:color w:val="auto"/>
              </w:rPr>
              <w:t>Net (decrease) increase in cash, cash equivalents and restricted cash</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2"/>
              </w:rPr>
              <w:t>(42,669)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9,797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27,941</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beginning of period</w:t>
            </w:r>
          </w:p>
        </w:tc>
        <w:tc>
          <w:tcPr>
            <w:tcW w:w="6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49,812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40,015</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12,074</w:t>
            </w:r>
          </w:p>
        </w:tc>
        <w:tc>
          <w:tcPr>
            <w:tcW w:w="0" w:type="dxa"/>
            <w:vAlign w:val="bottom"/>
          </w:tcPr>
          <w:p>
            <w:pPr>
              <w:spacing w:after="0"/>
              <w:rPr>
                <w:sz w:val="1"/>
                <w:szCs w:val="1"/>
                <w:color w:val="auto"/>
              </w:rPr>
            </w:pPr>
          </w:p>
        </w:tc>
      </w:tr>
      <w:tr>
        <w:trPr>
          <w:trHeight w:val="140"/>
        </w:trPr>
        <w:tc>
          <w:tcPr>
            <w:tcW w:w="788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end of period</w:t>
            </w:r>
          </w:p>
        </w:tc>
        <w:tc>
          <w:tcPr>
            <w:tcW w:w="66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49,812</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40,015</w:t>
            </w:r>
          </w:p>
        </w:tc>
        <w:tc>
          <w:tcPr>
            <w:tcW w:w="0" w:type="dxa"/>
            <w:vAlign w:val="bottom"/>
          </w:tcPr>
          <w:p>
            <w:pPr>
              <w:spacing w:after="0"/>
              <w:rPr>
                <w:sz w:val="1"/>
                <w:szCs w:val="1"/>
                <w:color w:val="auto"/>
              </w:rPr>
            </w:pPr>
          </w:p>
        </w:tc>
      </w:tr>
      <w:tr>
        <w:trPr>
          <w:trHeight w:val="21"/>
        </w:trPr>
        <w:tc>
          <w:tcPr>
            <w:tcW w:w="7880" w:type="dxa"/>
            <w:vAlign w:val="bottom"/>
            <w:vMerge w:val="restart"/>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paid during the year for:</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80" w:type="dxa"/>
            <w:vAlign w:val="bottom"/>
          </w:tcPr>
          <w:p>
            <w:pPr>
              <w:ind w:left="360"/>
              <w:spacing w:after="0"/>
              <w:rPr>
                <w:sz w:val="20"/>
                <w:szCs w:val="20"/>
                <w:color w:val="auto"/>
              </w:rPr>
            </w:pPr>
            <w:r>
              <w:rPr>
                <w:rFonts w:ascii="Arial" w:cs="Arial" w:eastAsia="Arial" w:hAnsi="Arial"/>
                <w:sz w:val="11"/>
                <w:szCs w:val="11"/>
                <w:color w:val="auto"/>
              </w:rPr>
              <w:t>Interest</w:t>
            </w:r>
          </w:p>
        </w:tc>
        <w:tc>
          <w:tcPr>
            <w:tcW w:w="660" w:type="dxa"/>
            <w:vAlign w:val="bottom"/>
          </w:tcPr>
          <w:p>
            <w:pPr>
              <w:jc w:val="right"/>
              <w:ind w:right="548"/>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5,535</w:t>
            </w:r>
          </w:p>
        </w:tc>
        <w:tc>
          <w:tcPr>
            <w:tcW w:w="360" w:type="dxa"/>
            <w:vAlign w:val="bottom"/>
            <w:gridSpan w:val="3"/>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5,387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3,215</w:t>
            </w:r>
          </w:p>
        </w:tc>
        <w:tc>
          <w:tcPr>
            <w:tcW w:w="0" w:type="dxa"/>
            <w:vAlign w:val="bottom"/>
          </w:tcPr>
          <w:p>
            <w:pPr>
              <w:spacing w:after="0"/>
              <w:rPr>
                <w:sz w:val="1"/>
                <w:szCs w:val="1"/>
                <w:color w:val="auto"/>
              </w:rPr>
            </w:pPr>
          </w:p>
        </w:tc>
      </w:tr>
      <w:tr>
        <w:trPr>
          <w:trHeight w:val="166"/>
        </w:trPr>
        <w:tc>
          <w:tcPr>
            <w:tcW w:w="78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Income taxes</w:t>
            </w:r>
          </w:p>
        </w:tc>
        <w:tc>
          <w:tcPr>
            <w:tcW w:w="660" w:type="dxa"/>
            <w:vAlign w:val="bottom"/>
            <w:shd w:val="clear" w:color="auto" w:fill="CCEEFF"/>
          </w:tcPr>
          <w:p>
            <w:pPr>
              <w:jc w:val="right"/>
              <w:ind w:right="548"/>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36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42"/>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Supplemental disclosures of non-cash activities:</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54"/>
        </w:trPr>
        <w:tc>
          <w:tcPr>
            <w:tcW w:w="6220" w:type="dxa"/>
            <w:vAlign w:val="bottom"/>
          </w:tcPr>
          <w:p>
            <w:pPr>
              <w:ind w:left="180"/>
              <w:spacing w:after="0"/>
              <w:rPr>
                <w:sz w:val="20"/>
                <w:szCs w:val="20"/>
                <w:color w:val="auto"/>
              </w:rPr>
            </w:pPr>
            <w:r>
              <w:rPr>
                <w:rFonts w:ascii="Arial" w:cs="Arial" w:eastAsia="Arial" w:hAnsi="Arial"/>
                <w:sz w:val="11"/>
                <w:szCs w:val="11"/>
                <w:color w:val="auto"/>
              </w:rPr>
              <w:t>Transfer of inventories to rental assets</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442</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5,142</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4,036</w:t>
            </w:r>
          </w:p>
        </w:tc>
      </w:tr>
      <w:tr>
        <w:trPr>
          <w:trHeight w:val="169"/>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Purchases of property, plant and equipment under finance leases</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Right-of-use assets obtained in exchange for operating leases liabilities</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705</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658</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7,931</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related to divestiture of Ctrack South Africa in exchange for settlement of tax liabilities</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421</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Exchange of Series E Preferred Stock for common stock</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11,982</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in exchange for Series E Preferred Stock</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13,086</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Deemed dividend on exchange of Series E Preferred Stock for common stock</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1,104</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Capital expenditures financed through accounts payable or accrued liabilities</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2,276</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748</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5,710</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Issuance of common stock under Settlement Agreement</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972</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Preferred stock issued in extinguishment of term loan accrued interest</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2,330</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Debt discount and issuance costs extinguished in notes conversion</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1,728</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2022 Notes conversion to equity</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59,907</w:t>
            </w:r>
          </w:p>
        </w:tc>
      </w:tr>
      <w:tr>
        <w:trPr>
          <w:trHeight w:val="152"/>
        </w:trPr>
        <w:tc>
          <w:tcPr>
            <w:tcW w:w="6220" w:type="dxa"/>
            <w:vAlign w:val="bottom"/>
          </w:tcPr>
          <w:p>
            <w:pPr>
              <w:ind w:left="180"/>
              <w:spacing w:after="0"/>
              <w:rPr>
                <w:sz w:val="20"/>
                <w:szCs w:val="20"/>
                <w:color w:val="auto"/>
              </w:rPr>
            </w:pPr>
            <w:r>
              <w:rPr>
                <w:rFonts w:ascii="Arial" w:cs="Arial" w:eastAsia="Arial" w:hAnsi="Arial"/>
                <w:sz w:val="11"/>
                <w:szCs w:val="11"/>
                <w:color w:val="auto"/>
              </w:rPr>
              <w:t>Novatel Wireless Notes conversion to equity</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250</w:t>
            </w:r>
          </w:p>
        </w:tc>
      </w:tr>
      <w:tr>
        <w:trPr>
          <w:trHeight w:val="166"/>
        </w:trPr>
        <w:tc>
          <w:tcPr>
            <w:tcW w:w="62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2025 Notes issued to extinguish 2022 Notes</w:t>
            </w:r>
          </w:p>
        </w:tc>
        <w:tc>
          <w:tcPr>
            <w:tcW w:w="20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80,375</w:t>
            </w:r>
          </w:p>
        </w:tc>
      </w:tr>
      <w:tr>
        <w:trPr>
          <w:trHeight w:val="145"/>
        </w:trPr>
        <w:tc>
          <w:tcPr>
            <w:tcW w:w="6220" w:type="dxa"/>
            <w:vAlign w:val="bottom"/>
          </w:tcPr>
          <w:p>
            <w:pPr>
              <w:ind w:left="180"/>
              <w:spacing w:after="0"/>
              <w:rPr>
                <w:sz w:val="20"/>
                <w:szCs w:val="20"/>
                <w:color w:val="auto"/>
              </w:rPr>
            </w:pPr>
            <w:r>
              <w:rPr>
                <w:rFonts w:ascii="Arial" w:cs="Arial" w:eastAsia="Arial" w:hAnsi="Arial"/>
                <w:sz w:val="11"/>
                <w:szCs w:val="11"/>
                <w:color w:val="auto"/>
              </w:rPr>
              <w:t>2025 Notes conversion, including shares issued in satisfaction of interest-make-whole payment</w:t>
            </w:r>
          </w:p>
        </w:tc>
        <w:tc>
          <w:tcPr>
            <w:tcW w:w="2080" w:type="dxa"/>
            <w:vAlign w:val="bottom"/>
          </w:tcPr>
          <w:p>
            <w:pPr>
              <w:jc w:val="right"/>
              <w:ind w:right="3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5,382</w:t>
            </w:r>
          </w:p>
        </w:tc>
        <w:tc>
          <w:tcPr>
            <w:tcW w:w="46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14,353</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The amount for the year ended December 31, 2021 is net of cash divested of $5.0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Business and Significant Accounting Policies</w:t>
      </w:r>
    </w:p>
    <w:p>
      <w:pPr>
        <w:spacing w:after="0" w:line="129"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Inseego Corp. (the “Company”, “Inseego”, “We” or “Our”) is a leader in the design and development of fixed and mobile wireless solutions (advanced 4G and 5G NR), Industrial Internet of Things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software-defined wide area network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87" w:lineRule="exact"/>
        <w:rPr>
          <w:sz w:val="20"/>
          <w:szCs w:val="20"/>
          <w:color w:val="auto"/>
        </w:rPr>
      </w:pPr>
    </w:p>
    <w:p>
      <w:pPr>
        <w:ind w:right="120" w:firstLine="318"/>
        <w:spacing w:after="0" w:line="251" w:lineRule="auto"/>
        <w:rPr>
          <w:sz w:val="20"/>
          <w:szCs w:val="20"/>
          <w:color w:val="auto"/>
        </w:rPr>
      </w:pPr>
      <w:r>
        <w:rPr>
          <w:rFonts w:ascii="Arial" w:cs="Arial" w:eastAsia="Arial" w:hAnsi="Arial"/>
          <w:sz w:val="14"/>
          <w:szCs w:val="14"/>
          <w:color w:val="auto"/>
        </w:rPr>
        <w:t>Inseego is a Delaware corporation formed in 2016 and is the successor to Novatel Wireless, Inc., a Delaware corporation formed in 1996, resulting from an internal reorganization that was completed in November 2016. The Company’s principal executive office is located at 9710 Scranton Road, Suite 200, San Diego, CA 92121. The Company’s corporate offices are also located at 9710 Scranton Road, Suite 200, San Diego CA 92121 and its sales and engineering offices are located throughout the world. Inseego’s common stock trades on the NASDAQ Global Select Market under the trading symbol “INSG”.</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5" w:lineRule="exact"/>
        <w:rPr>
          <w:sz w:val="20"/>
          <w:szCs w:val="20"/>
          <w:color w:val="auto"/>
        </w:rPr>
      </w:pPr>
    </w:p>
    <w:p>
      <w:pPr>
        <w:ind w:right="740" w:firstLine="318"/>
        <w:spacing w:after="0" w:line="265" w:lineRule="auto"/>
        <w:rPr>
          <w:sz w:val="20"/>
          <w:szCs w:val="20"/>
          <w:color w:val="auto"/>
        </w:rPr>
      </w:pPr>
      <w:r>
        <w:rPr>
          <w:rFonts w:ascii="Arial" w:cs="Arial" w:eastAsia="Arial" w:hAnsi="Arial"/>
          <w:sz w:val="14"/>
          <w:szCs w:val="14"/>
          <w:color w:val="auto"/>
        </w:rPr>
        <w:t>The consolidated financial statements include the accounts of the Company and its wholly-owned subsidiaries. All intercompany transactions and balances have been eliminated in consolidation.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jc w:val="both"/>
        <w:ind w:right="60" w:firstLine="318"/>
        <w:spacing w:after="0" w:line="259" w:lineRule="auto"/>
        <w:rPr>
          <w:sz w:val="20"/>
          <w:szCs w:val="20"/>
          <w:color w:val="auto"/>
        </w:rPr>
      </w:pPr>
      <w:r>
        <w:rPr>
          <w:rFonts w:ascii="Arial" w:cs="Arial" w:eastAsia="Arial" w:hAnsi="Arial"/>
          <w:sz w:val="14"/>
          <w:szCs w:val="14"/>
          <w:color w:val="auto"/>
        </w:rPr>
        <w:t>The consolidated financial statements of Inseego Corp.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125"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25"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5" w:lineRule="exact"/>
        <w:rPr>
          <w:sz w:val="20"/>
          <w:szCs w:val="20"/>
          <w:color w:val="auto"/>
        </w:rPr>
      </w:pPr>
    </w:p>
    <w:p>
      <w:pPr>
        <w:ind w:right="140" w:firstLine="318"/>
        <w:spacing w:after="0" w:line="307"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valuation of long-lived assets, valuation of goodwill and indefinite-lived intangible assets, valuation of derivatives, accruals relating to litigation, income taxes and share-based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25"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 COVID-19 pandemic continues to impact worldwide economic activity. A pandemic, including COVID-19 or other public health epidemic, poses the risk that we or our employees, manufacturers, suppliers and other partners may be prevented from conducting business activities for an indefinite period of time, including due to spread of the disease within these groups or due to shutdowns that may be requested or mandated by governmental authorities. The COVID-19 pandemic and mitigation measures have also had an adverse impact on global economic conditions which could have an adverse effect on our business and financial condition. The extent to which the COVID-19 pandemic, or any other outbreak of an epidemic disease, impacts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our results will depend on future developments that are highly uncertain and cannot be predicted, including new information that may emerge concerning the severity of the virus and the actions to contain its impact.</w:t>
      </w:r>
    </w:p>
    <w:p>
      <w:pPr>
        <w:spacing w:after="0" w:line="101" w:lineRule="exact"/>
        <w:rPr>
          <w:sz w:val="20"/>
          <w:szCs w:val="20"/>
          <w:color w:val="auto"/>
        </w:rPr>
      </w:pPr>
    </w:p>
    <w:p>
      <w:pPr>
        <w:jc w:val="both"/>
        <w:ind w:right="140" w:firstLine="318"/>
        <w:spacing w:after="0" w:line="279" w:lineRule="auto"/>
        <w:rPr>
          <w:sz w:val="20"/>
          <w:szCs w:val="20"/>
          <w:color w:val="auto"/>
        </w:rPr>
      </w:pPr>
      <w:r>
        <w:rPr>
          <w:rFonts w:ascii="Arial" w:cs="Arial" w:eastAsia="Arial" w:hAnsi="Arial"/>
          <w:sz w:val="13"/>
          <w:szCs w:val="13"/>
          <w:color w:val="auto"/>
        </w:rPr>
        <w:t>In addition, a global semiconductor supply shortage is causing wide-ranging impacts across the technology industry. While the shortage has not materially impacted the Company’s operations and financial results, it may negatively impact our customers and the supply of materials needed for our testing and production timeline. Our suppliers, contract manufacturers, and customers are all taking actions to reduce the impact of the semiconductor shortage; however, if the shortage persists, the impact on our operations and financial results could be material.</w:t>
      </w:r>
    </w:p>
    <w:p>
      <w:pPr>
        <w:spacing w:after="0" w:line="94" w:lineRule="exact"/>
        <w:rPr>
          <w:sz w:val="20"/>
          <w:szCs w:val="20"/>
          <w:color w:val="auto"/>
        </w:rPr>
      </w:pPr>
    </w:p>
    <w:p>
      <w:pPr>
        <w:ind w:right="400" w:firstLine="318"/>
        <w:spacing w:after="0" w:line="265" w:lineRule="auto"/>
        <w:rPr>
          <w:sz w:val="20"/>
          <w:szCs w:val="20"/>
          <w:color w:val="auto"/>
        </w:rPr>
      </w:pPr>
      <w:r>
        <w:rPr>
          <w:rFonts w:ascii="Arial" w:cs="Arial" w:eastAsia="Arial" w:hAnsi="Arial"/>
          <w:sz w:val="14"/>
          <w:szCs w:val="14"/>
          <w:color w:val="auto"/>
        </w:rPr>
        <w:t>The inflationary pressures impacting the global supply chain could potentially increase our future cost of net revenues. The ongoing inflation challenges could adversely impact our future revenues, gross margins and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Ctrack South Africa</w:t>
      </w:r>
    </w:p>
    <w:p>
      <w:pPr>
        <w:spacing w:after="0" w:line="136" w:lineRule="exact"/>
        <w:rPr>
          <w:sz w:val="20"/>
          <w:szCs w:val="20"/>
          <w:color w:val="auto"/>
        </w:rPr>
      </w:pPr>
    </w:p>
    <w:p>
      <w:pPr>
        <w:ind w:right="180" w:firstLine="318"/>
        <w:spacing w:after="0" w:line="304" w:lineRule="auto"/>
        <w:rPr>
          <w:sz w:val="20"/>
          <w:szCs w:val="20"/>
          <w:color w:val="auto"/>
        </w:rPr>
      </w:pPr>
      <w:r>
        <w:rPr>
          <w:rFonts w:ascii="Arial" w:cs="Arial" w:eastAsia="Arial" w:hAnsi="Arial"/>
          <w:sz w:val="13"/>
          <w:szCs w:val="13"/>
          <w:color w:val="auto"/>
        </w:rPr>
        <w:t xml:space="preserve">On July 30, 2021, the Company completed the sale of its Ctrack business operations in Africa, Pakistan and the Middle East (together “Ctrack South Africa”) and recognized a pre-tax gain of $5.3 million. Total cash proceeds received from the sale were $31.5 million, net of cash divested of $5.0 million. See </w:t>
      </w:r>
      <w:r>
        <w:rPr>
          <w:rFonts w:ascii="Arial" w:cs="Arial" w:eastAsia="Arial" w:hAnsi="Arial"/>
          <w:sz w:val="13"/>
          <w:szCs w:val="13"/>
          <w:u w:val="single" w:color="auto"/>
          <w:color w:val="0000FF"/>
        </w:rPr>
        <w:t>Note 5</w:t>
      </w:r>
      <w:r>
        <w:rPr>
          <w:rFonts w:ascii="Arial" w:cs="Arial" w:eastAsia="Arial" w:hAnsi="Arial"/>
          <w:sz w:val="13"/>
          <w:szCs w:val="13"/>
          <w:color w:val="auto"/>
        </w:rPr>
        <w:t xml:space="preserve">. </w:t>
      </w:r>
      <w:r>
        <w:rPr>
          <w:rFonts w:ascii="Arial" w:cs="Arial" w:eastAsia="Arial" w:hAnsi="Arial"/>
          <w:sz w:val="13"/>
          <w:szCs w:val="13"/>
          <w:i w:val="1"/>
          <w:iCs w:val="1"/>
          <w:color w:val="auto"/>
        </w:rPr>
        <w:t>Business Divestiture</w:t>
      </w:r>
      <w:r>
        <w:rPr>
          <w:rFonts w:ascii="Arial" w:cs="Arial" w:eastAsia="Arial" w:hAnsi="Arial"/>
          <w:sz w:val="13"/>
          <w:szCs w:val="13"/>
          <w:color w:val="auto"/>
        </w:rPr>
        <w:t>,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136" w:lineRule="exact"/>
        <w:rPr>
          <w:sz w:val="20"/>
          <w:szCs w:val="20"/>
          <w:color w:val="auto"/>
        </w:rPr>
      </w:pPr>
    </w:p>
    <w:p>
      <w:pPr>
        <w:ind w:right="240" w:firstLine="318"/>
        <w:spacing w:after="0" w:line="265" w:lineRule="auto"/>
        <w:rPr>
          <w:sz w:val="20"/>
          <w:szCs w:val="20"/>
          <w:color w:val="auto"/>
        </w:rPr>
      </w:pPr>
      <w:r>
        <w:rPr>
          <w:rFonts w:ascii="Arial" w:cs="Arial" w:eastAsia="Arial" w:hAnsi="Arial"/>
          <w:sz w:val="14"/>
          <w:szCs w:val="14"/>
          <w:color w:val="auto"/>
        </w:rPr>
        <w:t xml:space="preserve">As of December 31, 2022, the Company had available unrestricted cash and cash equivalents totaling $7.1 million, working capital of $21.4 million, and $6.1 million of availability under its secured asset-backed Credit Facility (as defined below in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w:t>
      </w:r>
      <w:r>
        <w:rPr>
          <w:rFonts w:ascii="Arial" w:cs="Arial" w:eastAsia="Arial" w:hAnsi="Arial"/>
          <w:sz w:val="14"/>
          <w:szCs w:val="14"/>
          <w:i w:val="1"/>
          <w:iCs w:val="1"/>
          <w:color w:val="auto"/>
        </w:rPr>
        <w:t>Debt</w:t>
      </w:r>
      <w:r>
        <w:rPr>
          <w:rFonts w:ascii="Arial" w:cs="Arial" w:eastAsia="Arial" w:hAnsi="Arial"/>
          <w:sz w:val="14"/>
          <w:szCs w:val="14"/>
          <w:color w:val="auto"/>
        </w:rPr>
        <w:t xml:space="preserve">). See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w:t>
      </w:r>
      <w:r>
        <w:rPr>
          <w:rFonts w:ascii="Arial" w:cs="Arial" w:eastAsia="Arial" w:hAnsi="Arial"/>
          <w:sz w:val="14"/>
          <w:szCs w:val="14"/>
          <w:i w:val="1"/>
          <w:iCs w:val="1"/>
          <w:color w:val="auto"/>
        </w:rPr>
        <w:t>Debt</w:t>
      </w:r>
      <w:r>
        <w:rPr>
          <w:rFonts w:ascii="Arial" w:cs="Arial" w:eastAsia="Arial" w:hAnsi="Arial"/>
          <w:sz w:val="14"/>
          <w:szCs w:val="14"/>
          <w:color w:val="auto"/>
        </w:rPr>
        <w:t>, for more information on this new Credit Facility.</w:t>
      </w:r>
    </w:p>
    <w:p>
      <w:pPr>
        <w:spacing w:after="0" w:line="79" w:lineRule="exact"/>
        <w:rPr>
          <w:sz w:val="20"/>
          <w:szCs w:val="20"/>
          <w:color w:val="auto"/>
        </w:rPr>
      </w:pPr>
    </w:p>
    <w:p>
      <w:pPr>
        <w:ind w:firstLine="318"/>
        <w:spacing w:after="0" w:line="250" w:lineRule="auto"/>
        <w:rPr>
          <w:sz w:val="20"/>
          <w:szCs w:val="20"/>
          <w:color w:val="auto"/>
        </w:rPr>
      </w:pPr>
      <w:r>
        <w:rPr>
          <w:rFonts w:ascii="Arial" w:cs="Arial" w:eastAsia="Arial" w:hAnsi="Arial"/>
          <w:sz w:val="13"/>
          <w:szCs w:val="13"/>
          <w:color w:val="auto"/>
        </w:rPr>
        <w:t>The Company has a history of operating and net losses and overall usage of cash from operating and investing activities. The Company’s management believes that its cash and cash equivalents on-hand, together with anticipated cash flows from operations, availability under its secured asset-backed Credit Facility, and anticipated savings from ongoing cost reduction efforts, will be sufficient to meet its cash flow needs for the next twelve months from the filing date of this report. To the extent that additional liquidity may be needed, the Company may issue up to $9.5 million in equivalent shares of the Company’s common stock available, pursuant to a shelf-registration statement filed with the SEC on May 7, 2020 and amended from time to time.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and capital expenditures, which could have an adverse impact on its ability to achieve its intended business objectives.</w:t>
      </w:r>
    </w:p>
    <w:p>
      <w:pPr>
        <w:spacing w:after="0" w:line="102" w:lineRule="exact"/>
        <w:rPr>
          <w:sz w:val="20"/>
          <w:szCs w:val="20"/>
          <w:color w:val="auto"/>
        </w:rPr>
      </w:pPr>
    </w:p>
    <w:p>
      <w:pPr>
        <w:ind w:right="180" w:firstLine="318"/>
        <w:spacing w:after="0" w:line="259" w:lineRule="auto"/>
        <w:rPr>
          <w:sz w:val="20"/>
          <w:szCs w:val="20"/>
          <w:color w:val="auto"/>
        </w:rPr>
      </w:pPr>
      <w:r>
        <w:rPr>
          <w:rFonts w:ascii="Arial" w:cs="Arial" w:eastAsia="Arial" w:hAnsi="Arial"/>
          <w:sz w:val="14"/>
          <w:szCs w:val="14"/>
          <w:color w:val="auto"/>
        </w:rPr>
        <w:t xml:space="preserve">The Company’s liquidity could also be impaired by significant interruptions in its business operations, such as those described above under the heading </w:t>
      </w:r>
      <w:r>
        <w:rPr>
          <w:rFonts w:ascii="Arial" w:cs="Arial" w:eastAsia="Arial" w:hAnsi="Arial"/>
          <w:sz w:val="14"/>
          <w:szCs w:val="14"/>
          <w:i w:val="1"/>
          <w:iCs w:val="1"/>
          <w:color w:val="auto"/>
        </w:rPr>
        <w:t>Risks and Uncertainties</w:t>
      </w:r>
      <w:r>
        <w:rPr>
          <w:rFonts w:ascii="Arial" w:cs="Arial" w:eastAsia="Arial" w:hAnsi="Arial"/>
          <w:sz w:val="14"/>
          <w:szCs w:val="14"/>
          <w:color w:val="auto"/>
        </w:rPr>
        <w:t>, or, a material failure to satisfy its contractual commitments or a failure to generate revenues from new or existing products. In addition, there can be no assurance that any required or desired restructuring or financing will be available on terms favorable to the Company, or at all.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36" w:lineRule="exact"/>
        <w:rPr>
          <w:sz w:val="20"/>
          <w:szCs w:val="20"/>
          <w:color w:val="auto"/>
        </w:rPr>
      </w:pPr>
    </w:p>
    <w:p>
      <w:pPr>
        <w:ind w:right="20" w:firstLine="318"/>
        <w:spacing w:after="0" w:line="246" w:lineRule="auto"/>
        <w:rPr>
          <w:sz w:val="20"/>
          <w:szCs w:val="20"/>
          <w:color w:val="auto"/>
        </w:rPr>
      </w:pPr>
      <w:r>
        <w:rPr>
          <w:rFonts w:ascii="Arial" w:cs="Arial" w:eastAsia="Arial" w:hAnsi="Arial"/>
          <w:sz w:val="14"/>
          <w:szCs w:val="14"/>
          <w:color w:val="auto"/>
        </w:rPr>
        <w:t xml:space="preserve">Cash and cash equivalents include highly liquid investments with original maturities of three months or less. The Company’s cash and cash equivalents are generally held with large financial institutions worldwide to reduce the amount of exposure to credit risk. Cash, cash equivalents and restricted cash are recorded at market value, which approximates cost. Gains and losses associated with the Company’s foreign currency denominated demand deposits are recorded as a component of other income, net, in the consolidated statements of operations. Restricted cash held in escrow with a financial institution as of December 31, 2021, which was set up as collateral for potential future uninsured warranty claims related to the divestiture of Ctrack South Africa, was released during the third quarter of 2022, and we no longer have any restricted cash on our balance sheet as of December 31, 2022. See Note 5. </w:t>
      </w:r>
      <w:r>
        <w:rPr>
          <w:rFonts w:ascii="Arial" w:cs="Arial" w:eastAsia="Arial" w:hAnsi="Arial"/>
          <w:sz w:val="14"/>
          <w:szCs w:val="14"/>
          <w:i w:val="1"/>
          <w:iCs w:val="1"/>
          <w:color w:val="auto"/>
        </w:rPr>
        <w:t>Business Divestiture</w:t>
      </w:r>
      <w:r>
        <w:rPr>
          <w:rFonts w:ascii="Arial" w:cs="Arial" w:eastAsia="Arial" w:hAnsi="Arial"/>
          <w:sz w:val="14"/>
          <w:szCs w:val="14"/>
          <w:color w:val="auto"/>
        </w:rPr>
        <w:t xml:space="preserve"> for additional information about the divestiture of Ctrack South Africa.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r>
      <w:tr>
        <w:trPr>
          <w:trHeight w:val="167"/>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8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3,338</w:t>
            </w:r>
          </w:p>
        </w:tc>
      </w:tr>
      <w:tr>
        <w:trPr>
          <w:trHeight w:val="188"/>
        </w:trPr>
        <w:tc>
          <w:tcPr>
            <w:tcW w:w="8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80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49,812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5" w:lineRule="exact"/>
        <w:rPr>
          <w:sz w:val="20"/>
          <w:szCs w:val="20"/>
          <w:color w:val="auto"/>
        </w:rPr>
      </w:pPr>
    </w:p>
    <w:p>
      <w:pPr>
        <w:ind w:right="300" w:firstLine="318"/>
        <w:spacing w:after="0" w:line="321" w:lineRule="auto"/>
        <w:rPr>
          <w:sz w:val="20"/>
          <w:szCs w:val="20"/>
          <w:color w:val="auto"/>
        </w:rPr>
      </w:pPr>
      <w:r>
        <w:rPr>
          <w:rFonts w:ascii="Arial" w:cs="Arial" w:eastAsia="Arial" w:hAnsi="Arial"/>
          <w:sz w:val="13"/>
          <w:szCs w:val="13"/>
          <w:color w:val="auto"/>
        </w:rPr>
        <w:t>The Company’s products and services primarily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56" w:lineRule="exact"/>
        <w:rPr>
          <w:sz w:val="20"/>
          <w:szCs w:val="20"/>
          <w:color w:val="auto"/>
        </w:rPr>
      </w:pPr>
    </w:p>
    <w:p>
      <w:pPr>
        <w:ind w:right="60" w:firstLine="318"/>
        <w:spacing w:after="0" w:line="265" w:lineRule="auto"/>
        <w:rPr>
          <w:sz w:val="20"/>
          <w:szCs w:val="20"/>
          <w:color w:val="auto"/>
        </w:rPr>
      </w:pPr>
      <w:r>
        <w:rPr>
          <w:rFonts w:ascii="Arial" w:cs="Arial" w:eastAsia="Arial" w:hAnsi="Arial"/>
          <w:sz w:val="14"/>
          <w:szCs w:val="14"/>
          <w:color w:val="auto"/>
        </w:rPr>
        <w:t>The Company classifies its revenues from the sale of its products and services into two distinct groupings, IoT &amp; Mobile Solutions and Enterprise SaaS Solutions. Both IoT &amp; Mobile Solutions and Enterprise SaaS Solutions revenues include any hardware and software required for the respective solution.</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revenues by grouping for the years ended December 31, 2022, 2021 and 2020 were as follows (in thousands):</w:t>
      </w:r>
    </w:p>
    <w:p>
      <w:pPr>
        <w:spacing w:after="0" w:line="151" w:lineRule="exact"/>
        <w:rPr>
          <w:sz w:val="20"/>
          <w:szCs w:val="20"/>
          <w:color w:val="auto"/>
        </w:rPr>
      </w:pPr>
    </w:p>
    <w:p>
      <w:pPr>
        <w:jc w:val="center"/>
        <w:ind w:left="774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774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r>
      <w:tr>
        <w:trPr>
          <w:trHeight w:val="166"/>
        </w:trPr>
        <w:tc>
          <w:tcPr>
            <w:tcW w:w="7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IoT &amp; Mobile Solutions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261,169</w:t>
            </w:r>
          </w:p>
        </w:tc>
      </w:tr>
      <w:tr>
        <w:trPr>
          <w:trHeight w:val="168"/>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Enterprise SaaS Solutions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44,415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52,663</w:t>
            </w:r>
          </w:p>
        </w:tc>
      </w:tr>
      <w:tr>
        <w:trPr>
          <w:trHeight w:val="1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245,323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262,399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313,832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geographic disaggregation information in </w:t>
      </w:r>
      <w:r>
        <w:rPr>
          <w:rFonts w:ascii="Arial" w:cs="Arial" w:eastAsia="Arial" w:hAnsi="Arial"/>
          <w:sz w:val="14"/>
          <w:szCs w:val="14"/>
          <w:u w:val="single" w:color="auto"/>
          <w:color w:val="0000FF"/>
        </w:rPr>
        <w:t>Note 13</w:t>
      </w:r>
      <w:r>
        <w:rPr>
          <w:rFonts w:ascii="Arial" w:cs="Arial" w:eastAsia="Arial" w:hAnsi="Arial"/>
          <w:sz w:val="14"/>
          <w:szCs w:val="14"/>
          <w:color w:val="auto"/>
        </w:rPr>
        <w:t xml:space="preserve">. </w:t>
      </w:r>
      <w:r>
        <w:rPr>
          <w:rFonts w:ascii="Arial" w:cs="Arial" w:eastAsia="Arial" w:hAnsi="Arial"/>
          <w:sz w:val="14"/>
          <w:szCs w:val="14"/>
          <w:i w:val="1"/>
          <w:iCs w:val="1"/>
          <w:color w:val="auto"/>
        </w:rPr>
        <w:t>Geographic Information and Concentrations of Risk</w:t>
      </w:r>
      <w:r>
        <w:rPr>
          <w:rFonts w:ascii="Arial" w:cs="Arial" w:eastAsia="Arial" w:hAnsi="Arial"/>
          <w:sz w:val="14"/>
          <w:szCs w:val="14"/>
          <w:color w:val="auto"/>
        </w:rPr>
        <w:t>.</w:t>
      </w:r>
    </w:p>
    <w:p>
      <w:pPr>
        <w:spacing w:after="0" w:line="12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3"/>
          <w:szCs w:val="13"/>
          <w:i w:val="1"/>
          <w:iCs w:val="1"/>
          <w:color w:val="auto"/>
        </w:rPr>
        <w:t>IoT &amp; Mobile Solutions</w:t>
      </w:r>
      <w:r>
        <w:rPr>
          <w:rFonts w:ascii="Arial" w:cs="Arial" w:eastAsia="Arial" w:hAnsi="Arial"/>
          <w:sz w:val="13"/>
          <w:szCs w:val="13"/>
          <w:color w:val="auto"/>
        </w:rPr>
        <w:t>. The IoT &amp; Mobile Solutions portfolio is comprised of end-to-end edge to cloud solutions including 4G LTE mobile broadband gateways, routers, modems, hotspots,</w:t>
      </w:r>
      <w:r>
        <w:rPr>
          <w:rFonts w:ascii="Arial" w:cs="Arial" w:eastAsia="Arial" w:hAnsi="Arial"/>
          <w:sz w:val="13"/>
          <w:szCs w:val="13"/>
          <w:i w:val="1"/>
          <w:iCs w:val="1"/>
          <w:color w:val="auto"/>
        </w:rPr>
        <w:t xml:space="preserve"> </w:t>
      </w:r>
      <w:r>
        <w:rPr>
          <w:rFonts w:ascii="Arial" w:cs="Arial" w:eastAsia="Arial" w:hAnsi="Arial"/>
          <w:sz w:val="13"/>
          <w:szCs w:val="13"/>
          <w:color w:val="auto"/>
        </w:rPr>
        <w:t>HD quality VoLTE based wireless home phones, cloud management software and an advanced 5G portfolio of products (currently in various stages of development). The solutions are offered under the MiFi</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brand for consumer and business markets, and under the Skyus brand for industrial IoT markets. IoT &amp; Mobile Solutions also includes Inseego Subscribe</w:t>
      </w:r>
      <w:r>
        <w:rPr>
          <w:rFonts w:ascii="Arial" w:cs="Arial" w:eastAsia="Arial" w:hAnsi="Arial"/>
          <w:sz w:val="17"/>
          <w:szCs w:val="17"/>
          <w:color w:val="auto"/>
          <w:vertAlign w:val="superscript"/>
        </w:rPr>
        <w:t>TM</w:t>
      </w:r>
      <w:r>
        <w:rPr>
          <w:rFonts w:ascii="Arial" w:cs="Arial" w:eastAsia="Arial" w:hAnsi="Arial"/>
          <w:sz w:val="13"/>
          <w:szCs w:val="13"/>
          <w:color w:val="auto"/>
        </w:rPr>
        <w:t>, a hosted SaaS platform that helps organizations manage the selection, deployment and spend of their customer’s wireless assets, helping them save money on personnel and telecom expenses.</w:t>
      </w:r>
    </w:p>
    <w:p>
      <w:pPr>
        <w:spacing w:after="0" w:line="98"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i w:val="1"/>
          <w:iCs w:val="1"/>
          <w:color w:val="auto"/>
        </w:rPr>
        <w:t>Enterprise SaaS Solutions</w:t>
      </w:r>
      <w:r>
        <w:rPr>
          <w:rFonts w:ascii="Arial" w:cs="Arial" w:eastAsia="Arial" w:hAnsi="Arial"/>
          <w:sz w:val="14"/>
          <w:szCs w:val="14"/>
          <w:color w:val="auto"/>
        </w:rPr>
        <w:t>. The Enterprise SaaS Solutions portfolio consists of various subscription offerings within the Company’s Ctrack telematics platforms, which provide fleet vehicle,</w:t>
      </w:r>
      <w:r>
        <w:rPr>
          <w:rFonts w:ascii="Arial" w:cs="Arial" w:eastAsia="Arial" w:hAnsi="Arial"/>
          <w:sz w:val="14"/>
          <w:szCs w:val="14"/>
          <w:i w:val="1"/>
          <w:iCs w:val="1"/>
          <w:color w:val="auto"/>
        </w:rPr>
        <w:t xml:space="preserve"> </w:t>
      </w:r>
      <w:r>
        <w:rPr>
          <w:rFonts w:ascii="Arial" w:cs="Arial" w:eastAsia="Arial" w:hAnsi="Arial"/>
          <w:sz w:val="14"/>
          <w:szCs w:val="14"/>
          <w:color w:val="auto"/>
        </w:rPr>
        <w:t>aviation ground vehicle and asset tracking and performance information, and other telematics applications.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Criteria</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The Company follows Accounting Standards Update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 amended, “ASC 606”), which provides guidance on</w:t>
      </w:r>
    </w:p>
    <w:p>
      <w:pPr>
        <w:spacing w:after="0" w:line="31" w:lineRule="exact"/>
        <w:rPr>
          <w:sz w:val="20"/>
          <w:szCs w:val="20"/>
          <w:color w:val="auto"/>
        </w:rPr>
      </w:pPr>
    </w:p>
    <w:p>
      <w:pPr>
        <w:ind w:right="360"/>
        <w:spacing w:after="0" w:line="288" w:lineRule="auto"/>
        <w:rPr>
          <w:sz w:val="20"/>
          <w:szCs w:val="20"/>
          <w:color w:val="auto"/>
        </w:rPr>
      </w:pPr>
      <w:r>
        <w:rPr>
          <w:rFonts w:ascii="Arial" w:cs="Arial" w:eastAsia="Arial" w:hAnsi="Arial"/>
          <w:sz w:val="13"/>
          <w:szCs w:val="13"/>
          <w:color w:val="auto"/>
        </w:rPr>
        <w:t>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77"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Company recognizes revenue upon transfer of control of products or services to customers in an amount that reflects the consideration the Company expects to receive in exchange for those products or services. The Company determines revenue recognition according to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performance obligations are satisfied.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Contracts</w:t>
      </w:r>
    </w:p>
    <w:p>
      <w:pPr>
        <w:spacing w:after="0" w:line="125"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101"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125" w:lineRule="exact"/>
        <w:rPr>
          <w:sz w:val="20"/>
          <w:szCs w:val="20"/>
          <w:color w:val="auto"/>
        </w:rPr>
      </w:pPr>
    </w:p>
    <w:p>
      <w:pPr>
        <w:ind w:right="60" w:firstLine="318"/>
        <w:spacing w:after="0" w:line="276" w:lineRule="auto"/>
        <w:rPr>
          <w:sz w:val="20"/>
          <w:szCs w:val="20"/>
          <w:color w:val="auto"/>
        </w:rPr>
      </w:pPr>
      <w:r>
        <w:rPr>
          <w:rFonts w:ascii="Arial" w:cs="Arial" w:eastAsia="Arial" w:hAnsi="Arial"/>
          <w:sz w:val="13"/>
          <w:szCs w:val="13"/>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the Company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upon acceptance of a customer purchase order.</w:t>
      </w:r>
    </w:p>
    <w:p>
      <w:pPr>
        <w:spacing w:after="0" w:line="85" w:lineRule="exact"/>
        <w:rPr>
          <w:sz w:val="20"/>
          <w:szCs w:val="20"/>
          <w:color w:val="auto"/>
        </w:rPr>
      </w:pPr>
    </w:p>
    <w:p>
      <w:pPr>
        <w:ind w:right="300" w:firstLine="318"/>
        <w:spacing w:after="0" w:line="265" w:lineRule="auto"/>
        <w:rPr>
          <w:sz w:val="20"/>
          <w:szCs w:val="20"/>
          <w:color w:val="auto"/>
        </w:rPr>
      </w:pPr>
      <w:r>
        <w:rPr>
          <w:rFonts w:ascii="Arial" w:cs="Arial" w:eastAsia="Arial" w:hAnsi="Arial"/>
          <w:sz w:val="14"/>
          <w:szCs w:val="14"/>
          <w:color w:val="auto"/>
        </w:rPr>
        <w:t>The Company enters into contracts that may include various combinations of products and services which are generally capable of being distinct and accounted for as separate performance obligations.</w:t>
      </w:r>
    </w:p>
    <w:p>
      <w:pPr>
        <w:spacing w:after="0" w:line="101" w:lineRule="exact"/>
        <w:rPr>
          <w:sz w:val="20"/>
          <w:szCs w:val="20"/>
          <w:color w:val="auto"/>
        </w:rPr>
      </w:pPr>
    </w:p>
    <w:p>
      <w:pPr>
        <w:ind w:right="60" w:firstLine="318"/>
        <w:spacing w:after="0" w:line="251" w:lineRule="auto"/>
        <w:rPr>
          <w:sz w:val="20"/>
          <w:szCs w:val="20"/>
          <w:color w:val="auto"/>
        </w:rPr>
      </w:pPr>
      <w:r>
        <w:rPr>
          <w:rFonts w:ascii="Arial" w:cs="Arial" w:eastAsia="Arial" w:hAnsi="Arial"/>
          <w:sz w:val="14"/>
          <w:szCs w:val="14"/>
          <w:i w:val="1"/>
          <w:iCs w:val="1"/>
          <w:color w:val="auto"/>
        </w:rPr>
        <w:t xml:space="preserve">Hardware. </w:t>
      </w:r>
      <w:r>
        <w:rPr>
          <w:rFonts w:ascii="Arial" w:cs="Arial" w:eastAsia="Arial" w:hAnsi="Arial"/>
          <w:sz w:val="14"/>
          <w:szCs w:val="14"/>
          <w:color w:val="auto"/>
        </w:rPr>
        <w:t>Hardware revenue from the sale of the Company’s IoT &amp; Mobile Solutions devices is recognized when the Company transfers control to the customer, typically at the time when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is delivered, shipped or installed, at which time, title passes to the customer and there are no further performance obligations with regards to the hardware device. The Company also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01" w:lineRule="exact"/>
        <w:rPr>
          <w:sz w:val="20"/>
          <w:szCs w:val="20"/>
          <w:color w:val="auto"/>
        </w:rPr>
      </w:pPr>
    </w:p>
    <w:p>
      <w:pPr>
        <w:ind w:right="60" w:firstLine="318"/>
        <w:spacing w:after="0" w:line="247" w:lineRule="auto"/>
        <w:rPr>
          <w:sz w:val="20"/>
          <w:szCs w:val="20"/>
          <w:color w:val="auto"/>
        </w:rPr>
      </w:pPr>
      <w:r>
        <w:rPr>
          <w:rFonts w:ascii="Arial" w:cs="Arial" w:eastAsia="Arial" w:hAnsi="Arial"/>
          <w:sz w:val="14"/>
          <w:szCs w:val="14"/>
          <w:i w:val="1"/>
          <w:iCs w:val="1"/>
          <w:color w:val="auto"/>
        </w:rPr>
        <w:t xml:space="preserve">SaaS and other services. </w:t>
      </w:r>
      <w:r>
        <w:rPr>
          <w:rFonts w:ascii="Arial" w:cs="Arial" w:eastAsia="Arial" w:hAnsi="Arial"/>
          <w:sz w:val="14"/>
          <w:szCs w:val="14"/>
          <w:color w:val="auto"/>
        </w:rPr>
        <w:t>SaaS subscription revenue is recognized over time on a ratable basis over the contract term beginning on the date that its service is made available to the customer.</w:t>
      </w:r>
      <w:r>
        <w:rPr>
          <w:rFonts w:ascii="Arial" w:cs="Arial" w:eastAsia="Arial" w:hAnsi="Arial"/>
          <w:sz w:val="14"/>
          <w:szCs w:val="14"/>
          <w:i w:val="1"/>
          <w:iCs w:val="1"/>
          <w:color w:val="auto"/>
        </w:rPr>
        <w:t xml:space="preserve"> </w:t>
      </w:r>
      <w:r>
        <w:rPr>
          <w:rFonts w:ascii="Arial" w:cs="Arial" w:eastAsia="Arial" w:hAnsi="Arial"/>
          <w:sz w:val="14"/>
          <w:szCs w:val="14"/>
          <w:color w:val="auto"/>
        </w:rPr>
        <w:t>Subscription periods range from monthly to multi-year, with the majority of contracts being one to three years in length. 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w:t>
      </w:r>
    </w:p>
    <w:p>
      <w:pPr>
        <w:spacing w:after="0" w:line="103" w:lineRule="exact"/>
        <w:rPr>
          <w:sz w:val="20"/>
          <w:szCs w:val="20"/>
          <w:color w:val="auto"/>
        </w:rPr>
      </w:pPr>
    </w:p>
    <w:p>
      <w:pPr>
        <w:ind w:firstLine="318"/>
        <w:spacing w:after="0" w:line="252" w:lineRule="auto"/>
        <w:rPr>
          <w:sz w:val="20"/>
          <w:szCs w:val="20"/>
          <w:color w:val="auto"/>
        </w:rPr>
      </w:pPr>
      <w:r>
        <w:rPr>
          <w:rFonts w:ascii="Arial" w:cs="Arial" w:eastAsia="Arial" w:hAnsi="Arial"/>
          <w:sz w:val="14"/>
          <w:szCs w:val="14"/>
          <w:color w:val="auto"/>
        </w:rPr>
        <w:t xml:space="preserve">Our telematics services include devices which collect and transmit information from vehicles or other assets. The Company’s customers have an option to purchase the monitoring device or lease it over the term of the contract. If the customer purchases the hardware device, the Company recognizes the revenue at a point in time as discussed above. Because the Company’s rental asset contracts qualify as operating leases under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and the contracts also include services to operate and maintain the underlying asset, the Company has elected to combine the lease and non-lease components because the service is the predominant element in the eyes of the customer and the pattern of service delivery is the same for both elements. The Company recognizes revenue ratably over time throughout the term of the contract.</w:t>
      </w:r>
    </w:p>
    <w:p>
      <w:pPr>
        <w:spacing w:after="0" w:line="99" w:lineRule="exact"/>
        <w:rPr>
          <w:sz w:val="20"/>
          <w:szCs w:val="20"/>
          <w:color w:val="auto"/>
        </w:rPr>
      </w:pPr>
    </w:p>
    <w:p>
      <w:pPr>
        <w:jc w:val="both"/>
        <w:ind w:right="40" w:firstLine="318"/>
        <w:spacing w:after="0" w:line="288" w:lineRule="auto"/>
        <w:rPr>
          <w:sz w:val="20"/>
          <w:szCs w:val="20"/>
          <w:color w:val="auto"/>
        </w:rPr>
      </w:pPr>
      <w:r>
        <w:rPr>
          <w:rFonts w:ascii="Arial" w:cs="Arial" w:eastAsia="Arial" w:hAnsi="Arial"/>
          <w:sz w:val="13"/>
          <w:szCs w:val="13"/>
          <w:i w:val="1"/>
          <w:iCs w:val="1"/>
          <w:color w:val="auto"/>
        </w:rPr>
        <w:t xml:space="preserve">Maintenance and support services revenue. </w:t>
      </w:r>
      <w:r>
        <w:rPr>
          <w:rFonts w:ascii="Arial" w:cs="Arial" w:eastAsia="Arial" w:hAnsi="Arial"/>
          <w:sz w:val="13"/>
          <w:szCs w:val="13"/>
          <w:color w:val="auto"/>
        </w:rPr>
        <w:t>Periodically, the Company sells separately-priced warranty contracts that extend beyond the Company’s base warranty period. The separately priced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contracts range from 12 months to 36 months. The Company typically receives payment at the inception of the contract and recognizes revenue as earned on a straight-line basis over the term of the contract. The Company’s estimated allowances for product warranties can vary from actual results and the Company may have to record additional charges to cost of revenue.</w:t>
      </w:r>
    </w:p>
    <w:p>
      <w:pPr>
        <w:spacing w:after="0" w:line="77" w:lineRule="exact"/>
        <w:rPr>
          <w:sz w:val="20"/>
          <w:szCs w:val="20"/>
          <w:color w:val="auto"/>
        </w:rPr>
      </w:pPr>
    </w:p>
    <w:p>
      <w:pPr>
        <w:ind w:firstLine="318"/>
        <w:spacing w:after="0" w:line="304" w:lineRule="auto"/>
        <w:rPr>
          <w:sz w:val="20"/>
          <w:szCs w:val="20"/>
          <w:color w:val="auto"/>
        </w:rPr>
      </w:pPr>
      <w:r>
        <w:rPr>
          <w:rFonts w:ascii="Arial" w:cs="Arial" w:eastAsia="Arial" w:hAnsi="Arial"/>
          <w:sz w:val="13"/>
          <w:szCs w:val="13"/>
          <w:color w:val="auto"/>
        </w:rPr>
        <w:t>Within cost of revenue, the Company records an estimate to reflect its standard warranty obligation to end users to provide for replacement of a defective product. The standard obligation period for most regions is 12 months. Factors that affect the warranty obligation include product failure rates, material usage, and service delivery costs incurred in correcting product failures.</w:t>
      </w:r>
    </w:p>
    <w:p>
      <w:pPr>
        <w:spacing w:after="0" w:line="78"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i w:val="1"/>
          <w:iCs w:val="1"/>
          <w:color w:val="auto"/>
        </w:rPr>
        <w:t xml:space="preserve">Professional services revenue. </w:t>
      </w:r>
      <w:r>
        <w:rPr>
          <w:rFonts w:ascii="Arial" w:cs="Arial" w:eastAsia="Arial" w:hAnsi="Arial"/>
          <w:sz w:val="14"/>
          <w:szCs w:val="14"/>
          <w:color w:val="auto"/>
        </w:rPr>
        <w:t>From time to time, the Company enters into special engineering design service agreements. Revenues from engineering design services are designed to meet</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10" w:lineRule="exact"/>
        <w:rPr>
          <w:sz w:val="20"/>
          <w:szCs w:val="20"/>
          <w:color w:val="auto"/>
        </w:rPr>
      </w:pPr>
    </w:p>
    <w:p>
      <w:pPr>
        <w:ind w:right="160" w:firstLine="318"/>
        <w:spacing w:after="0" w:line="304" w:lineRule="auto"/>
        <w:rPr>
          <w:sz w:val="20"/>
          <w:szCs w:val="20"/>
          <w:color w:val="auto"/>
        </w:rPr>
      </w:pPr>
      <w:r>
        <w:rPr>
          <w:rFonts w:ascii="Arial" w:cs="Arial" w:eastAsia="Arial" w:hAnsi="Arial"/>
          <w:sz w:val="13"/>
          <w:szCs w:val="13"/>
          <w:i w:val="1"/>
          <w:iCs w:val="1"/>
          <w:color w:val="auto"/>
        </w:rPr>
        <w:t xml:space="preserve">Multiple performance obligations. </w:t>
      </w:r>
      <w:r>
        <w:rPr>
          <w:rFonts w:ascii="Arial" w:cs="Arial" w:eastAsia="Arial" w:hAnsi="Arial"/>
          <w:sz w:val="13"/>
          <w:szCs w:val="13"/>
          <w:color w:val="auto"/>
        </w:rPr>
        <w:t>The Company’s contracts with customers may include commitments to transfer multiple products and services to a customer. When hardware, software and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are sold in various combinations, judgment is required to determine whether each performance obligation is considered distinct and accounted for separately, or not distinct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01" w:lineRule="exact"/>
        <w:rPr>
          <w:sz w:val="20"/>
          <w:szCs w:val="20"/>
          <w:color w:val="auto"/>
        </w:rPr>
      </w:pPr>
    </w:p>
    <w:p>
      <w:pPr>
        <w:ind w:right="120" w:firstLine="318"/>
        <w:spacing w:after="0" w:line="265" w:lineRule="auto"/>
        <w:rPr>
          <w:sz w:val="20"/>
          <w:szCs w:val="20"/>
          <w:color w:val="auto"/>
        </w:rPr>
      </w:pPr>
      <w:r>
        <w:rPr>
          <w:rFonts w:ascii="Arial" w:cs="Arial" w:eastAsia="Arial" w:hAnsi="Arial"/>
          <w:sz w:val="14"/>
          <w:szCs w:val="14"/>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90" w:lineRule="exact"/>
        <w:rPr>
          <w:sz w:val="20"/>
          <w:szCs w:val="20"/>
          <w:color w:val="auto"/>
        </w:rPr>
      </w:pPr>
    </w:p>
    <w:p>
      <w:pPr>
        <w:ind w:right="300" w:firstLine="318"/>
        <w:spacing w:after="0" w:line="259" w:lineRule="auto"/>
        <w:rPr>
          <w:sz w:val="20"/>
          <w:szCs w:val="20"/>
          <w:color w:val="auto"/>
        </w:rPr>
      </w:pPr>
      <w:r>
        <w:rPr>
          <w:rFonts w:ascii="Arial" w:cs="Arial" w:eastAsia="Arial" w:hAnsi="Arial"/>
          <w:sz w:val="14"/>
          <w:szCs w:val="14"/>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Assets</w:t>
      </w:r>
    </w:p>
    <w:p>
      <w:pPr>
        <w:spacing w:after="0" w:line="136" w:lineRule="exact"/>
        <w:rPr>
          <w:sz w:val="20"/>
          <w:szCs w:val="20"/>
          <w:color w:val="auto"/>
        </w:rPr>
      </w:pPr>
    </w:p>
    <w:p>
      <w:pPr>
        <w:ind w:right="20" w:firstLine="318"/>
        <w:spacing w:after="0" w:line="248" w:lineRule="auto"/>
        <w:rPr>
          <w:sz w:val="20"/>
          <w:szCs w:val="20"/>
          <w:color w:val="auto"/>
        </w:rPr>
      </w:pPr>
      <w:r>
        <w:rPr>
          <w:rFonts w:ascii="Arial" w:cs="Arial" w:eastAsia="Arial" w:hAnsi="Arial"/>
          <w:sz w:val="14"/>
          <w:szCs w:val="14"/>
          <w:color w:val="auto"/>
        </w:rPr>
        <w:t>The Company capitalizes sales commissions earned by its sales force as contract acquisition costs if such costs are significant and both incremental and recoverable. Any capitalized sales commissions are either deferred and amortized over a period of benefit exceeding one year or are expensed as incurred if the period of benefit is one year or less. There were no contract assets related to customer acquisition costs as of December 31, 2022 or 2021 since the Company’s customer contracts are predominantly hardware sales that are immediately recognized as revenue upon either shipment or delivery, and therefore the related contract acquisition costs are also immediately recognized. Sales commissions are included in sales and marketing expense as incurred. Sales commissions associated with SaaS offerings are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Liabilities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Timing of revenue recognition may differ from the timing of invoicing to customers. If customers are invoiced for subscription services in advance of the service period, then deferred revenue is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recorded. Contract liabilities are also recorded when the Company collects payments in advance of performing the services. As of December 31, 2022 and 2021, the Company had $5.1 million and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$3.8 million, respectively, of contract liabilities which represent our deferred revenue included within accrued expenses and other current liabilities, and $0.6 million and $0.1 million, respectively,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contract liabilities included within other long-term liabilities on the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Net Revenues</w:t>
      </w:r>
    </w:p>
    <w:p>
      <w:pPr>
        <w:spacing w:after="0" w:line="125"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Cost of net revenues includes the costs associated with the manufacturing of our portfolio of hardware devices, as well as personnel costs for employees and contractors, depreciation, allocated overhead costs and other period adjustments related to costs of inventories sold or for sale or use in manufacturing.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Shipping and Handling Charges</w:t>
      </w:r>
    </w:p>
    <w:p>
      <w:pPr>
        <w:spacing w:after="0" w:line="125"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Fees charged to customers for shipping and handling of products are included in product revenues, and costs for shipping and handling of products are included as a component of sales and marketing expense.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Taxes Collected from Customers</w:t>
      </w:r>
    </w:p>
    <w:p>
      <w:pPr>
        <w:spacing w:after="0" w:line="125"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Taxes collected on the value of transaction revenue are excluded from product and services revenues and cost of sales and are accrued in current liabilities until remitted to governmental authorities.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and Allowance for Credit Losses</w:t>
      </w:r>
    </w:p>
    <w:p>
      <w:pPr>
        <w:spacing w:after="0" w:line="125" w:lineRule="exact"/>
        <w:rPr>
          <w:sz w:val="20"/>
          <w:szCs w:val="20"/>
          <w:color w:val="auto"/>
        </w:rPr>
      </w:pPr>
    </w:p>
    <w:p>
      <w:pPr>
        <w:ind w:right="160" w:firstLine="318"/>
        <w:spacing w:after="0" w:line="259" w:lineRule="auto"/>
        <w:rPr>
          <w:sz w:val="20"/>
          <w:szCs w:val="20"/>
          <w:color w:val="auto"/>
        </w:rPr>
      </w:pPr>
      <w:r>
        <w:rPr>
          <w:rFonts w:ascii="Arial" w:cs="Arial" w:eastAsia="Arial" w:hAnsi="Arial"/>
          <w:sz w:val="14"/>
          <w:szCs w:val="14"/>
          <w:color w:val="auto"/>
        </w:rPr>
        <w:t>Accounts receivable are customer obligations generally due under normal trade terms for the industry. Credit terms are granted and periodically revised based on evaluations of the customer’s financial condition. The Company performs ongoing credit evaluations of its customers. The Company’s payment terms are generally net 30 days from invoice date and could go up to 90 days for large carrier customers.</w:t>
      </w:r>
    </w:p>
    <w:p>
      <w:pPr>
        <w:spacing w:after="0" w:line="94"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The Company recognizes an allowance for credit losses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w:t>
      </w:r>
    </w:p>
    <w:p>
      <w:pPr>
        <w:spacing w:after="0" w:line="77" w:lineRule="exact"/>
        <w:rPr>
          <w:sz w:val="20"/>
          <w:szCs w:val="20"/>
          <w:color w:val="auto"/>
        </w:rPr>
      </w:pPr>
    </w:p>
    <w:p>
      <w:pPr>
        <w:ind w:firstLine="318"/>
        <w:spacing w:after="0" w:line="434" w:lineRule="auto"/>
        <w:rPr>
          <w:sz w:val="20"/>
          <w:szCs w:val="20"/>
          <w:color w:val="auto"/>
        </w:rPr>
      </w:pPr>
      <w:r>
        <w:rPr>
          <w:rFonts w:ascii="Arial" w:cs="Arial" w:eastAsia="Arial" w:hAnsi="Arial"/>
          <w:sz w:val="14"/>
          <w:szCs w:val="14"/>
          <w:color w:val="auto"/>
        </w:rPr>
        <w:t xml:space="preserve">As of December 31, 2022 and 2021, the Company reported $25.3 million and $26.8 million, respectively, of accounts receivable, net of allowances of $0.5 million and $0.4 million, respectively. </w:t>
      </w:r>
      <w:r>
        <w:rPr>
          <w:rFonts w:ascii="Arial" w:cs="Arial" w:eastAsia="Arial" w:hAnsi="Arial"/>
          <w:sz w:val="14"/>
          <w:szCs w:val="14"/>
          <w:b w:val="1"/>
          <w:bCs w:val="1"/>
          <w:i w:val="1"/>
          <w:iCs w:val="1"/>
          <w:color w:val="auto"/>
        </w:rPr>
        <w:t>Inventories and Provision for Excess and Obsolete Inventory</w:t>
      </w:r>
    </w:p>
    <w:p>
      <w:pPr>
        <w:spacing w:after="0" w:line="1" w:lineRule="exact"/>
        <w:rPr>
          <w:sz w:val="20"/>
          <w:szCs w:val="20"/>
          <w:color w:val="auto"/>
        </w:rPr>
      </w:pPr>
    </w:p>
    <w:p>
      <w:pPr>
        <w:ind w:right="20" w:firstLine="318"/>
        <w:spacing w:after="0" w:line="249" w:lineRule="auto"/>
        <w:rPr>
          <w:sz w:val="20"/>
          <w:szCs w:val="20"/>
          <w:color w:val="auto"/>
        </w:rPr>
      </w:pPr>
      <w:r>
        <w:rPr>
          <w:rFonts w:ascii="Arial" w:cs="Arial" w:eastAsia="Arial" w:hAnsi="Arial"/>
          <w:sz w:val="14"/>
          <w:szCs w:val="14"/>
          <w:color w:val="auto"/>
        </w:rPr>
        <w:t>Inventories are stated at the lower of cost (first-in, first-out method) or net realizable value. Inbound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 The Company believes that, when made, the estimates used in calculating the inventory provision are reasonable and properly reflect the risk of excess and obsolete inventory.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other than Goodwill</w:t>
      </w:r>
    </w:p>
    <w:p>
      <w:pPr>
        <w:spacing w:after="0" w:line="125" w:lineRule="exact"/>
        <w:rPr>
          <w:sz w:val="20"/>
          <w:szCs w:val="20"/>
          <w:color w:val="auto"/>
        </w:rPr>
      </w:pPr>
    </w:p>
    <w:p>
      <w:pPr>
        <w:ind w:right="340" w:firstLine="318"/>
        <w:spacing w:after="0" w:line="251" w:lineRule="auto"/>
        <w:rPr>
          <w:sz w:val="20"/>
          <w:szCs w:val="20"/>
          <w:color w:val="auto"/>
        </w:rPr>
      </w:pPr>
      <w:r>
        <w:rPr>
          <w:rFonts w:ascii="Arial" w:cs="Arial" w:eastAsia="Arial" w:hAnsi="Arial"/>
          <w:sz w:val="14"/>
          <w:szCs w:val="14"/>
          <w:color w:val="auto"/>
        </w:rPr>
        <w:t>Intangible assets include purchased finite-lived and indefinite-lived intangible assets resulting from previous acquisitions, along with the costs of non-exclusive and perpetual worldwide software technology licenses and capitalized software development costs for both internal and external use. Finite-lived intangible assets are amortized on a straight-line basis over the estimated useful lives of the assets. Indefinite-lived intangible assets, including in-process capitalized software development costs, are not amortized; however, they are tested for impairment annually, and between annual tests, if certain events occur indicating that the carrying amounts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Software Development Costs for External Use</w:t>
      </w:r>
    </w:p>
    <w:p>
      <w:pPr>
        <w:spacing w:after="0" w:line="125" w:lineRule="exact"/>
        <w:rPr>
          <w:sz w:val="20"/>
          <w:szCs w:val="20"/>
          <w:color w:val="auto"/>
        </w:rPr>
      </w:pPr>
    </w:p>
    <w:p>
      <w:pPr>
        <w:ind w:right="60" w:firstLine="318"/>
        <w:spacing w:after="0" w:line="272" w:lineRule="auto"/>
        <w:rPr>
          <w:sz w:val="20"/>
          <w:szCs w:val="20"/>
          <w:color w:val="auto"/>
        </w:rPr>
      </w:pPr>
      <w:r>
        <w:rPr>
          <w:rFonts w:ascii="Arial" w:cs="Arial" w:eastAsia="Arial" w:hAnsi="Arial"/>
          <w:sz w:val="13"/>
          <w:szCs w:val="13"/>
          <w:color w:val="auto"/>
        </w:rPr>
        <w:t>Software development costs for external use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At each balance sheet date, the unamortized capitalized software development cost for external use is compared to the net realizable value of that product by analyzing critical inputs such as expected future lifetime revenue. The amount by which unamortized software costs exceed the net realizable value, if any, is recognized as a charge to amortization expense in the period it is determined. Costs incurred to enhance existing software or after the software is available for general release to customers are expensed in the period they are incurred and included in research and development expense in the consolidated statements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Software Development Costs for Internal Use</w:t>
      </w:r>
    </w:p>
    <w:p>
      <w:pPr>
        <w:spacing w:after="0" w:line="125" w:lineRule="exact"/>
        <w:rPr>
          <w:sz w:val="20"/>
          <w:szCs w:val="20"/>
          <w:color w:val="auto"/>
        </w:rPr>
      </w:pPr>
    </w:p>
    <w:p>
      <w:pPr>
        <w:ind w:firstLine="318"/>
        <w:spacing w:after="0" w:line="272" w:lineRule="auto"/>
        <w:rPr>
          <w:sz w:val="20"/>
          <w:szCs w:val="20"/>
          <w:color w:val="auto"/>
        </w:rPr>
      </w:pPr>
      <w:r>
        <w:rPr>
          <w:rFonts w:ascii="Arial" w:cs="Arial" w:eastAsia="Arial" w:hAnsi="Arial"/>
          <w:sz w:val="13"/>
          <w:szCs w:val="13"/>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intangible assets and are amortized on a straight-line basis to general and administrative expense in the consolidated statement of operations over the estimated useful life of the software. The Company tests these assets for impairment whenever events or circumstances occur that could impact their recoverability. For the years ended December 31, 2022, 2021, and 2020,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Company recorded impairment losses of $3.0 million, $1.2 million and $1.4 million, respectively, related to software development costs for internal use.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Indefinite-Lived Intangible Assets</w:t>
      </w:r>
    </w:p>
    <w:p>
      <w:pPr>
        <w:spacing w:after="0" w:line="136" w:lineRule="exact"/>
        <w:rPr>
          <w:sz w:val="20"/>
          <w:szCs w:val="20"/>
          <w:color w:val="auto"/>
        </w:rPr>
      </w:pPr>
    </w:p>
    <w:p>
      <w:pPr>
        <w:ind w:right="20" w:firstLine="318"/>
        <w:spacing w:after="0" w:line="245" w:lineRule="auto"/>
        <w:rPr>
          <w:sz w:val="20"/>
          <w:szCs w:val="20"/>
          <w:color w:val="auto"/>
        </w:rPr>
      </w:pPr>
      <w:r>
        <w:rPr>
          <w:rFonts w:ascii="Arial" w:cs="Arial" w:eastAsia="Arial" w:hAnsi="Arial"/>
          <w:sz w:val="14"/>
          <w:szCs w:val="14"/>
          <w:color w:val="auto"/>
        </w:rPr>
        <w:t>The Company performs an annual impairment review of indefinite-lived assets during the fourth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asset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asset is less than its carrying amount, then no further assessment is performed. If the Company determines that it is more likely than not that the fair value of the asset is less than its carrying amount, then the Company calculates the fair value of the asset and compares the fair value to the asset’s carrying value. An impairment charge is recognized if the asset’s estimated fair value is less than it’s carrying value. For the years ended December 31, 2022, 2021 and 2020 the Company recorded zero impairment loss related to indefinite-lived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36" w:lineRule="exact"/>
        <w:rPr>
          <w:sz w:val="20"/>
          <w:szCs w:val="20"/>
          <w:color w:val="auto"/>
        </w:rPr>
      </w:pPr>
    </w:p>
    <w:p>
      <w:pPr>
        <w:ind w:right="380" w:firstLine="318"/>
        <w:spacing w:after="0" w:line="265" w:lineRule="auto"/>
        <w:rPr>
          <w:sz w:val="20"/>
          <w:szCs w:val="20"/>
          <w:color w:val="auto"/>
        </w:rPr>
      </w:pPr>
      <w:r>
        <w:rPr>
          <w:rFonts w:ascii="Arial" w:cs="Arial" w:eastAsia="Arial" w:hAnsi="Arial"/>
          <w:sz w:val="14"/>
          <w:szCs w:val="14"/>
          <w:color w:val="auto"/>
        </w:rPr>
        <w:t>Goodwill represents the excess purchase price over estimated fair value of net assets of businesses acquired in a business combination. Goodwill is tested for impairment during the fourth quarter of each year, and more frequently if the Company believes indicators of impairment exist.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Goodwill</w:t>
      </w:r>
    </w:p>
    <w:p>
      <w:pPr>
        <w:spacing w:after="0" w:line="136" w:lineRule="exact"/>
        <w:rPr>
          <w:sz w:val="20"/>
          <w:szCs w:val="20"/>
          <w:color w:val="auto"/>
        </w:rPr>
      </w:pPr>
    </w:p>
    <w:p>
      <w:pPr>
        <w:ind w:right="60" w:firstLine="318"/>
        <w:spacing w:after="0" w:line="290" w:lineRule="auto"/>
        <w:rPr>
          <w:sz w:val="20"/>
          <w:szCs w:val="20"/>
          <w:color w:val="auto"/>
        </w:rPr>
      </w:pPr>
      <w:r>
        <w:rPr>
          <w:rFonts w:ascii="Arial" w:cs="Arial" w:eastAsia="Arial" w:hAnsi="Arial"/>
          <w:sz w:val="12"/>
          <w:szCs w:val="12"/>
          <w:color w:val="auto"/>
        </w:rPr>
        <w:t>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carrying amount. An impairment charge is recognized if the fair value of the business (reporting unit) is less than its carrying value. The Company has identified two reporting units for the purpose of goodwill impairment testing, Ctrack and Inseego North America (“INA”), and performed a qualitative test for goodwill impairment of the two reporting units during the fourth fiscal quarter. Based upon the results of qualitative testing, the Company believed that it was more-likely-than not that the fair value of these reporting units were greater than their respective carrying values. For the years ended December 31, 2022, 2021 and 2020, the Company recorded no impairment loss related to goodwill.</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125"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The Company periodically evaluates the carrying value of the unamortized balances of its long-lived assets, including property, plant and equipment and rental assets, to determine whether impairment of these assets has occurred or whether a revision to the related amortization periods should be made. If the carrying value of the long-lived asset group exceeds the estimated future undiscounted cash flows, an impairment loss is recorded based on the amount by which the asset group’s carrying amount exceeds its fair value. Fair value is determined based on an evaluation of the assets’ associated discounted future cash flows or appraised value</w:t>
      </w:r>
      <w:r>
        <w:rPr>
          <w:rFonts w:ascii="Arial" w:cs="Arial" w:eastAsia="Arial" w:hAnsi="Arial"/>
          <w:sz w:val="14"/>
          <w:szCs w:val="14"/>
          <w:i w:val="1"/>
          <w:iCs w:val="1"/>
          <w:color w:val="auto"/>
        </w:rPr>
        <w:t>.</w:t>
      </w:r>
      <w:r>
        <w:rPr>
          <w:rFonts w:ascii="Arial" w:cs="Arial" w:eastAsia="Arial" w:hAnsi="Arial"/>
          <w:sz w:val="14"/>
          <w:szCs w:val="14"/>
          <w:color w:val="auto"/>
        </w:rPr>
        <w:t xml:space="preserve"> For the years ended December 31, 2022, 2021 and 2020, the Company had no impairment loss related to long-lived assets, except for the impairment of the capitalized software development costs for internal use, noted above.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125" w:lineRule="exact"/>
        <w:rPr>
          <w:sz w:val="20"/>
          <w:szCs w:val="20"/>
          <w:color w:val="auto"/>
        </w:rPr>
      </w:pPr>
    </w:p>
    <w:p>
      <w:pPr>
        <w:ind w:right="220" w:firstLine="318"/>
        <w:spacing w:after="0" w:line="251" w:lineRule="auto"/>
        <w:rPr>
          <w:sz w:val="20"/>
          <w:szCs w:val="20"/>
          <w:color w:val="auto"/>
        </w:rPr>
      </w:pPr>
      <w:r>
        <w:rPr>
          <w:rFonts w:ascii="Arial" w:cs="Arial" w:eastAsia="Arial" w:hAnsi="Arial"/>
          <w:sz w:val="14"/>
          <w:szCs w:val="14"/>
          <w:color w:val="auto"/>
        </w:rPr>
        <w:t>Property, plant and equipment are initially stated at cost and depreciated using the straight-line method. Land is not depreciated. Buildings are depreciated over 50 years. Leasehold improvements are depreciated over the shorter of the related remaining lease period or useful life, not to exceed 5 years. Product tooling is depreciated over 13 months. Computer equipment, purchased software, vehicles, production equipment, and furniture and fixtures, are depreciated over lives ranging from 2 to 7 years. Amortization of equipment under finance leases is included in depreciation expense.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80" w:firstLine="318"/>
        <w:spacing w:after="0" w:line="259" w:lineRule="auto"/>
        <w:rPr>
          <w:sz w:val="20"/>
          <w:szCs w:val="20"/>
          <w:color w:val="auto"/>
        </w:rPr>
      </w:pPr>
      <w:r>
        <w:rPr>
          <w:rFonts w:ascii="Arial" w:cs="Arial" w:eastAsia="Arial" w:hAnsi="Arial"/>
          <w:sz w:val="14"/>
          <w:szCs w:val="14"/>
          <w:color w:val="auto"/>
        </w:rPr>
        <w:t>Expenditures for repairs and maintenance are expensed as incurred. Expenditures for major renewals and betterment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Rental Assets</w:t>
      </w:r>
    </w:p>
    <w:p>
      <w:pPr>
        <w:spacing w:after="0" w:line="12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recognizes depreciation expense on rental assets within Enterprise SaaS cost of net revenues on a straight-line basis over the term of the contract, generally three to four years, commencing on installation of the rental asset.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Debt Instruments</w:t>
      </w:r>
    </w:p>
    <w:p>
      <w:pPr>
        <w:spacing w:after="0" w:line="136" w:lineRule="exact"/>
        <w:rPr>
          <w:sz w:val="20"/>
          <w:szCs w:val="20"/>
          <w:color w:val="auto"/>
        </w:rPr>
      </w:pPr>
    </w:p>
    <w:p>
      <w:pPr>
        <w:ind w:right="140" w:firstLine="318"/>
        <w:spacing w:after="0" w:line="304" w:lineRule="auto"/>
        <w:rPr>
          <w:sz w:val="20"/>
          <w:szCs w:val="20"/>
          <w:color w:val="auto"/>
        </w:rPr>
      </w:pPr>
      <w:r>
        <w:rPr>
          <w:rFonts w:ascii="Arial" w:cs="Arial" w:eastAsia="Arial" w:hAnsi="Arial"/>
          <w:sz w:val="13"/>
          <w:szCs w:val="13"/>
          <w:color w:val="auto"/>
        </w:rPr>
        <w:t xml:space="preserve">The Company evaluates embedded features within convertible debt that will be settled in shares upon conversion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(“ASC 815”) to determine whether the embedded feature(s) should be bifurcated from the host instrument and accounted for as a derivative at fair value with changes in fair value recorded in earnings.</w:t>
      </w:r>
    </w:p>
    <w:p>
      <w:pPr>
        <w:spacing w:after="0" w:line="67" w:lineRule="exact"/>
        <w:rPr>
          <w:sz w:val="20"/>
          <w:szCs w:val="20"/>
          <w:color w:val="auto"/>
        </w:rPr>
      </w:pPr>
    </w:p>
    <w:p>
      <w:pPr>
        <w:ind w:right="240" w:firstLine="318"/>
        <w:spacing w:after="0" w:line="251" w:lineRule="auto"/>
        <w:rPr>
          <w:sz w:val="20"/>
          <w:szCs w:val="20"/>
          <w:color w:val="auto"/>
        </w:rPr>
      </w:pPr>
      <w:r>
        <w:rPr>
          <w:rFonts w:ascii="Arial" w:cs="Arial" w:eastAsia="Arial" w:hAnsi="Arial"/>
          <w:sz w:val="14"/>
          <w:szCs w:val="14"/>
          <w:color w:val="auto"/>
        </w:rPr>
        <w:t>If an embedded derivative is bifurcated from share-settled convertible debt, then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consolidated balance sheet. The derivative liability is remeasured at each reporting period with changes in fair value recorded in the consolidated statements of operations within other income (expense),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25" w:lineRule="exact"/>
        <w:rPr>
          <w:sz w:val="20"/>
          <w:szCs w:val="20"/>
          <w:color w:val="auto"/>
        </w:rPr>
      </w:pPr>
    </w:p>
    <w:p>
      <w:pPr>
        <w:ind w:right="100" w:firstLine="318"/>
        <w:spacing w:after="0" w:line="248" w:lineRule="auto"/>
        <w:rPr>
          <w:sz w:val="20"/>
          <w:szCs w:val="20"/>
          <w:color w:val="auto"/>
        </w:rPr>
      </w:pPr>
      <w:r>
        <w:rPr>
          <w:rFonts w:ascii="Arial" w:cs="Arial" w:eastAsia="Arial" w:hAnsi="Arial"/>
          <w:sz w:val="14"/>
          <w:szCs w:val="14"/>
          <w:color w:val="auto"/>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25" w:lineRule="exact"/>
        <w:rPr>
          <w:sz w:val="20"/>
          <w:szCs w:val="20"/>
          <w:color w:val="auto"/>
        </w:rPr>
      </w:pPr>
    </w:p>
    <w:p>
      <w:pPr>
        <w:ind w:right="160" w:firstLine="318"/>
        <w:spacing w:after="0" w:line="259" w:lineRule="auto"/>
        <w:rPr>
          <w:sz w:val="20"/>
          <w:szCs w:val="20"/>
          <w:color w:val="auto"/>
        </w:rPr>
      </w:pPr>
      <w:r>
        <w:rPr>
          <w:rFonts w:ascii="Arial" w:cs="Arial" w:eastAsia="Arial" w:hAnsi="Arial"/>
          <w:sz w:val="14"/>
          <w:szCs w:val="14"/>
          <w:color w:val="auto"/>
        </w:rPr>
        <w:t>Research and development expense consists primarily of personnel costs for our engineers engaged in the design and development of our products, software and technologies, project material costs, services, depreciation and amortization. Such costs are charged to research and development expense as they are incurred, to the extent not capitalized as software development costs for external or internal use.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Accounting</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Lessee Arrangements</w:t>
      </w:r>
    </w:p>
    <w:p>
      <w:pPr>
        <w:spacing w:after="0" w:line="136"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auto"/>
        </w:rPr>
        <w:t>The Company determines if an arrangement contains a lease at inception. The Company primarily leases office space, automobiles and equipment. Certain of the Company’s leases contain provisions that provide for one or more options to renew at the Company’s sole discretion. Certain real estate leases also include executory costs such as common area maintenance. The Company accounts for lease and non-lease components, including common area maintenance, as a single lease component as a practical expedient election. None of the Company’s operating lease agreements contain any material residual value guarantees or material restrictive covenants.</w:t>
      </w:r>
    </w:p>
    <w:p>
      <w:pPr>
        <w:spacing w:after="0" w:line="101" w:lineRule="exact"/>
        <w:rPr>
          <w:sz w:val="20"/>
          <w:szCs w:val="20"/>
          <w:color w:val="auto"/>
        </w:rPr>
      </w:pPr>
    </w:p>
    <w:p>
      <w:pPr>
        <w:ind w:right="100" w:firstLine="318"/>
        <w:spacing w:after="0" w:line="248" w:lineRule="auto"/>
        <w:rPr>
          <w:sz w:val="20"/>
          <w:szCs w:val="20"/>
          <w:color w:val="auto"/>
        </w:rPr>
      </w:pPr>
      <w:r>
        <w:rPr>
          <w:rFonts w:ascii="Arial" w:cs="Arial" w:eastAsia="Arial" w:hAnsi="Arial"/>
          <w:sz w:val="14"/>
          <w:szCs w:val="14"/>
          <w:color w:val="auto"/>
        </w:rPr>
        <w:t>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The lease term includes the base non-cancelable term, and any renewal options that are reasonably certain to be exercised at the commencement date. The Company uses its incremental borrowing rate based on the information available at commencement date in determining the present value of lease payments. ROU assets also include any lease prepayments made and exclude lease incentives. Rental expense related to operating leases is recognized on a straight-line basis over the lease term. The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Company has elected the practical expedient to exclude any short-term lease, defined as a lease with an original term of 12 months or less, from the provisions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25"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Variable lease payments that do not depend on an index or rate are excluded from the measurement of ROU assets and lease liabilities and are recognized in the period in which the obligation for those payments is incurred.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Lessor Arrangements</w:t>
      </w:r>
    </w:p>
    <w:p>
      <w:pPr>
        <w:spacing w:after="0" w:line="125" w:lineRule="exact"/>
        <w:rPr>
          <w:sz w:val="20"/>
          <w:szCs w:val="20"/>
          <w:color w:val="auto"/>
        </w:rPr>
      </w:pPr>
    </w:p>
    <w:p>
      <w:pPr>
        <w:ind w:right="80" w:firstLine="318"/>
        <w:spacing w:after="0" w:line="322" w:lineRule="auto"/>
        <w:rPr>
          <w:sz w:val="20"/>
          <w:szCs w:val="20"/>
          <w:color w:val="auto"/>
        </w:rPr>
      </w:pPr>
      <w:r>
        <w:rPr>
          <w:rFonts w:ascii="Arial" w:cs="Arial" w:eastAsia="Arial" w:hAnsi="Arial"/>
          <w:sz w:val="12"/>
          <w:szCs w:val="12"/>
          <w:color w:val="auto"/>
        </w:rPr>
        <w:t>The Company serves as lessor for certain monitoring device leases and classifies such arrangements as operating leases. Accordingly, the Company carries rental devices at historical cost less accumulated depreciation and impairment, if any. The Company combines the lease and the non-lease components under these arrangements because the service is the predominant element from the customer’s perspective and the pattern of service delivery is the same for both elements. The Company accounts for the combined component as a single performance obligation under ASC 606.</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Transactions</w:t>
      </w:r>
    </w:p>
    <w:p>
      <w:pPr>
        <w:spacing w:after="0" w:line="136"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other income (expense), net, in the consolidated statements of operations. We recognize foreign currency transaction gains and losses primarily on intercompany transactions between certain subsidiaries in foreign countries . Based upon historical experience, the Company anticipates repayment of these transactions in the foreseeable future and recognizes realized and unrealized gains and losses on these transactions in the period in which they occur.</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ind w:right="140" w:firstLine="318"/>
        <w:spacing w:after="0" w:line="322" w:lineRule="auto"/>
        <w:rPr>
          <w:sz w:val="20"/>
          <w:szCs w:val="20"/>
          <w:color w:val="auto"/>
        </w:rPr>
      </w:pPr>
      <w:r>
        <w:rPr>
          <w:rFonts w:ascii="Arial" w:cs="Arial" w:eastAsia="Arial" w:hAnsi="Arial"/>
          <w:sz w:val="12"/>
          <w:szCs w:val="12"/>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60"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97"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 The Company’s policy is to include interest and penalties related to such positions as a component of income tax expense.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125" w:lineRule="exact"/>
        <w:rPr>
          <w:sz w:val="20"/>
          <w:szCs w:val="20"/>
          <w:color w:val="auto"/>
        </w:rPr>
      </w:pPr>
    </w:p>
    <w:p>
      <w:pPr>
        <w:ind w:right="300" w:firstLine="318"/>
        <w:spacing w:after="0" w:line="321" w:lineRule="auto"/>
        <w:rPr>
          <w:sz w:val="20"/>
          <w:szCs w:val="20"/>
          <w:color w:val="auto"/>
        </w:rPr>
      </w:pPr>
      <w:r>
        <w:rPr>
          <w:rFonts w:ascii="Arial" w:cs="Arial" w:eastAsia="Arial" w:hAnsi="Arial"/>
          <w:sz w:val="13"/>
          <w:szCs w:val="13"/>
          <w:color w:val="auto"/>
        </w:rPr>
        <w:t>The Company is, from time to time, party to various legal proceedings arising in the ordinary course of business. The Company records a loss when information indicates that a loss is both probable and reasonably estimable. Where a liability is probable and there is a range of estimated loss with no best estimate in the range, the Company records the minimum estimated</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1380"/>
        <w:spacing w:after="0" w:line="434" w:lineRule="auto"/>
        <w:rPr>
          <w:sz w:val="20"/>
          <w:szCs w:val="20"/>
          <w:color w:val="auto"/>
        </w:rPr>
      </w:pPr>
      <w:r>
        <w:rPr>
          <w:rFonts w:ascii="Arial" w:cs="Arial" w:eastAsia="Arial" w:hAnsi="Arial"/>
          <w:sz w:val="14"/>
          <w:szCs w:val="14"/>
          <w:color w:val="auto"/>
        </w:rPr>
        <w:t xml:space="preserve">liability related to the claim. As additional information becomes available, the Company revises its estimates, if necessary. The Company expenses litigation costs as incurred. </w:t>
      </w:r>
      <w:r>
        <w:rPr>
          <w:rFonts w:ascii="Arial" w:cs="Arial" w:eastAsia="Arial" w:hAnsi="Arial"/>
          <w:sz w:val="14"/>
          <w:szCs w:val="14"/>
          <w:b w:val="1"/>
          <w:bCs w:val="1"/>
          <w:i w:val="1"/>
          <w:iCs w:val="1"/>
          <w:color w:val="auto"/>
        </w:rPr>
        <w:t>Share-Based Compensation</w:t>
      </w:r>
    </w:p>
    <w:p>
      <w:pPr>
        <w:spacing w:after="0" w:line="1" w:lineRule="exact"/>
        <w:rPr>
          <w:sz w:val="20"/>
          <w:szCs w:val="20"/>
          <w:color w:val="auto"/>
        </w:rPr>
      </w:pPr>
    </w:p>
    <w:p>
      <w:pPr>
        <w:ind w:right="40" w:firstLine="318"/>
        <w:spacing w:after="0" w:line="272" w:lineRule="auto"/>
        <w:rPr>
          <w:sz w:val="20"/>
          <w:szCs w:val="20"/>
          <w:color w:val="auto"/>
        </w:rPr>
      </w:pPr>
      <w:r>
        <w:rPr>
          <w:rFonts w:ascii="Arial" w:cs="Arial" w:eastAsia="Arial" w:hAnsi="Arial"/>
          <w:sz w:val="13"/>
          <w:szCs w:val="13"/>
          <w:color w:val="auto"/>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87" w:lineRule="exact"/>
        <w:rPr>
          <w:sz w:val="20"/>
          <w:szCs w:val="20"/>
          <w:color w:val="auto"/>
        </w:rPr>
      </w:pPr>
    </w:p>
    <w:p>
      <w:pPr>
        <w:ind w:right="100" w:firstLine="318"/>
        <w:spacing w:after="0" w:line="252" w:lineRule="auto"/>
        <w:rPr>
          <w:sz w:val="20"/>
          <w:szCs w:val="20"/>
          <w:color w:val="auto"/>
        </w:rPr>
      </w:pPr>
      <w:r>
        <w:rPr>
          <w:rFonts w:ascii="Arial" w:cs="Arial" w:eastAsia="Arial" w:hAnsi="Arial"/>
          <w:sz w:val="14"/>
          <w:szCs w:val="14"/>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a blended volatility estimate that consists of implied volatility and historical volatility in order to estimate the expected volatility assumption of the Black-Scholes model.</w:t>
      </w:r>
    </w:p>
    <w:p>
      <w:pPr>
        <w:spacing w:after="0" w:line="99"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Compensation cost associated with grants of restricted stock units are measured at fair value, which has historically been the closing price of the Company’s common stock on the date of grant.</w:t>
      </w:r>
    </w:p>
    <w:p>
      <w:pPr>
        <w:spacing w:after="0" w:line="159"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110" w:lineRule="exact"/>
        <w:rPr>
          <w:sz w:val="20"/>
          <w:szCs w:val="20"/>
          <w:color w:val="auto"/>
        </w:rPr>
      </w:pPr>
    </w:p>
    <w:p>
      <w:pPr>
        <w:ind w:right="60" w:firstLine="318"/>
        <w:spacing w:after="0" w:line="251" w:lineRule="auto"/>
        <w:rPr>
          <w:sz w:val="20"/>
          <w:szCs w:val="20"/>
          <w:color w:val="auto"/>
        </w:rPr>
      </w:pPr>
      <w:r>
        <w:rPr>
          <w:rFonts w:ascii="Arial" w:cs="Arial" w:eastAsia="Arial" w:hAnsi="Arial"/>
          <w:sz w:val="14"/>
          <w:szCs w:val="14"/>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 Attributable to Inseego Corp.</w:t>
      </w:r>
    </w:p>
    <w:p>
      <w:pPr>
        <w:spacing w:after="0" w:line="125" w:lineRule="exact"/>
        <w:rPr>
          <w:sz w:val="20"/>
          <w:szCs w:val="20"/>
          <w:color w:val="auto"/>
        </w:rPr>
      </w:pPr>
    </w:p>
    <w:p>
      <w:pPr>
        <w:ind w:right="120" w:firstLine="318"/>
        <w:spacing w:after="0" w:line="259" w:lineRule="auto"/>
        <w:rPr>
          <w:sz w:val="20"/>
          <w:szCs w:val="20"/>
          <w:color w:val="auto"/>
        </w:rPr>
      </w:pPr>
      <w:r>
        <w:rPr>
          <w:rFonts w:ascii="Arial" w:cs="Arial" w:eastAsia="Arial" w:hAnsi="Arial"/>
          <w:sz w:val="14"/>
          <w:szCs w:val="14"/>
          <w:color w:val="auto"/>
        </w:rPr>
        <w:t>Net loss attributable to common stockholders is computed by dividing the net loss by the weighted-average number of shares that were outstanding during the period. Diluted net loss attributable to common stockholders (“EPS”) reflects the potential dilution that could occur if securities or other contracts to acquire common stock were exercised or converted into common stock. Potentially dilutive securities are excluded from the diluted EPS computation in loss periods as their effect would be anti-dilutive.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5" w:lineRule="exact"/>
        <w:rPr>
          <w:sz w:val="20"/>
          <w:szCs w:val="20"/>
          <w:color w:val="auto"/>
        </w:rPr>
      </w:pPr>
    </w:p>
    <w:p>
      <w:pPr>
        <w:jc w:val="both"/>
        <w:ind w:right="20" w:firstLine="318"/>
        <w:spacing w:after="0" w:line="259"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94"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to the fair value measurement. The hierarchy is prioritized into three levels (with Level 3 being the lowest) and is defined as follows:</w:t>
      </w:r>
    </w:p>
    <w:p>
      <w:pPr>
        <w:spacing w:after="0" w:line="125"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Pricing inputs are based on quoted market prices for identical assets or liabilities in active markets (e.g., NYSE or NASDAQ). Active markets are those in which transactions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occur in sufficient frequency and volume to provide pricing information on an ongoing basis.</w:t>
      </w:r>
    </w:p>
    <w:p>
      <w:pPr>
        <w:spacing w:after="0" w:line="79" w:lineRule="exact"/>
        <w:rPr>
          <w:sz w:val="20"/>
          <w:szCs w:val="20"/>
          <w:color w:val="auto"/>
        </w:rPr>
      </w:pPr>
    </w:p>
    <w:p>
      <w:pPr>
        <w:ind w:right="320" w:firstLine="318"/>
        <w:spacing w:after="0" w:line="259" w:lineRule="auto"/>
        <w:rPr>
          <w:sz w:val="20"/>
          <w:szCs w:val="20"/>
          <w:color w:val="auto"/>
        </w:rPr>
      </w:pPr>
      <w:r>
        <w:rPr>
          <w:rFonts w:ascii="Arial" w:cs="Arial" w:eastAsia="Arial" w:hAnsi="Arial"/>
          <w:sz w:val="14"/>
          <w:szCs w:val="14"/>
          <w:color w:val="auto"/>
        </w:rPr>
        <w:t>Level 2: 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94"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Pricing inputs include significant inputs that are generally less observable from objective sources, including the Company’s own assumptions.</w:t>
      </w:r>
    </w:p>
    <w:p>
      <w:pPr>
        <w:spacing w:after="0" w:line="125"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Company reviews the fair value hierarchy classification on a quarterly basis. Changes in the observability of valuation inputs may result in a reclassification of levels for certain securities within the fair value hierarchy.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 consists of net earnings and foreign currency translation adjustments.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2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3"/>
          <w:szCs w:val="13"/>
          <w:color w:val="auto"/>
        </w:rPr>
        <w:t xml:space="preserve">In August 2020, the Financial Accounting Standards Board (“FASB”) issued Accounting Standards Update (“ASU”) 2020-06, </w:t>
      </w:r>
      <w:r>
        <w:rPr>
          <w:rFonts w:ascii="Arial" w:cs="Arial" w:eastAsia="Arial" w:hAnsi="Arial"/>
          <w:sz w:val="13"/>
          <w:szCs w:val="13"/>
          <w:i w:val="1"/>
          <w:iCs w:val="1"/>
          <w:color w:val="auto"/>
        </w:rPr>
        <w:t>Debt with Conversion and Other Options</w:t>
      </w:r>
      <w:r>
        <w:rPr>
          <w:rFonts w:ascii="Arial" w:cs="Arial" w:eastAsia="Arial" w:hAnsi="Arial"/>
          <w:sz w:val="13"/>
          <w:szCs w:val="13"/>
          <w:color w:val="auto"/>
        </w:rPr>
        <w:t xml:space="preserve"> (Subtopic 470-20) and </w:t>
      </w:r>
      <w:r>
        <w:rPr>
          <w:rFonts w:ascii="Arial" w:cs="Arial" w:eastAsia="Arial" w:hAnsi="Arial"/>
          <w:sz w:val="13"/>
          <w:szCs w:val="13"/>
          <w:i w:val="1"/>
          <w:iCs w:val="1"/>
          <w:color w:val="auto"/>
        </w:rPr>
        <w:t xml:space="preserve">Derivatives and Hedging-Contracts in Entity's Own Equity </w:t>
      </w:r>
      <w:r>
        <w:rPr>
          <w:rFonts w:ascii="Arial" w:cs="Arial" w:eastAsia="Arial" w:hAnsi="Arial"/>
          <w:sz w:val="13"/>
          <w:szCs w:val="13"/>
          <w:color w:val="auto"/>
        </w:rPr>
        <w:t>(Subtopic 815-40)-</w:t>
      </w:r>
      <w:r>
        <w:rPr>
          <w:rFonts w:ascii="Arial" w:cs="Arial" w:eastAsia="Arial" w:hAnsi="Arial"/>
          <w:sz w:val="13"/>
          <w:szCs w:val="13"/>
          <w:i w:val="1"/>
          <w:iCs w:val="1"/>
          <w:color w:val="auto"/>
        </w:rPr>
        <w:t>Accounting For Convertible Instruments and Contracts in an Entity's Own Equity</w:t>
      </w:r>
      <w:r>
        <w:rPr>
          <w:rFonts w:ascii="Arial" w:cs="Arial" w:eastAsia="Arial" w:hAnsi="Arial"/>
          <w:sz w:val="13"/>
          <w:szCs w:val="13"/>
          <w:color w:val="auto"/>
        </w:rPr>
        <w:t>. The ASU simplifies accounting for</w:t>
      </w:r>
      <w:r>
        <w:rPr>
          <w:rFonts w:ascii="Arial" w:cs="Arial" w:eastAsia="Arial" w:hAnsi="Arial"/>
          <w:sz w:val="13"/>
          <w:szCs w:val="13"/>
          <w:i w:val="1"/>
          <w:iCs w:val="1"/>
          <w:color w:val="auto"/>
        </w:rPr>
        <w:t xml:space="preserve"> </w:t>
      </w:r>
      <w:r>
        <w:rPr>
          <w:rFonts w:ascii="Arial" w:cs="Arial" w:eastAsia="Arial" w:hAnsi="Arial"/>
          <w:sz w:val="13"/>
          <w:szCs w:val="13"/>
          <w:color w:val="auto"/>
        </w:rPr>
        <w:t>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fiscal 2022 and there was no impact to the consolidated financial statements.</w:t>
      </w:r>
    </w:p>
    <w:p>
      <w:pPr>
        <w:spacing w:after="0" w:line="87" w:lineRule="exact"/>
        <w:rPr>
          <w:sz w:val="20"/>
          <w:szCs w:val="20"/>
          <w:color w:val="auto"/>
        </w:rPr>
      </w:pPr>
    </w:p>
    <w:p>
      <w:pPr>
        <w:ind w:right="160" w:firstLine="318"/>
        <w:spacing w:after="0" w:line="251" w:lineRule="auto"/>
        <w:rPr>
          <w:sz w:val="20"/>
          <w:szCs w:val="20"/>
          <w:color w:val="auto"/>
        </w:rPr>
      </w:pPr>
      <w:r>
        <w:rPr>
          <w:rFonts w:ascii="Arial" w:cs="Arial" w:eastAsia="Arial" w:hAnsi="Arial"/>
          <w:sz w:val="14"/>
          <w:szCs w:val="14"/>
          <w:color w:val="auto"/>
        </w:rPr>
        <w:t xml:space="preserve">In May 2021, the FASB issued ASU 2021-04, </w:t>
      </w:r>
      <w:r>
        <w:rPr>
          <w:rFonts w:ascii="Arial" w:cs="Arial" w:eastAsia="Arial" w:hAnsi="Arial"/>
          <w:sz w:val="14"/>
          <w:szCs w:val="14"/>
          <w:i w:val="1"/>
          <w:iCs w:val="1"/>
          <w:color w:val="auto"/>
        </w:rPr>
        <w:t>Earnings Per Share</w:t>
      </w:r>
      <w:r>
        <w:rPr>
          <w:rFonts w:ascii="Arial" w:cs="Arial" w:eastAsia="Arial" w:hAnsi="Arial"/>
          <w:sz w:val="14"/>
          <w:szCs w:val="14"/>
          <w:color w:val="auto"/>
        </w:rPr>
        <w:t xml:space="preserve"> (Topic 260), </w:t>
      </w:r>
      <w:r>
        <w:rPr>
          <w:rFonts w:ascii="Arial" w:cs="Arial" w:eastAsia="Arial" w:hAnsi="Arial"/>
          <w:sz w:val="14"/>
          <w:szCs w:val="14"/>
          <w:i w:val="1"/>
          <w:iCs w:val="1"/>
          <w:color w:val="auto"/>
        </w:rPr>
        <w:t>Debt-Modifications and Extinguishments</w:t>
      </w:r>
      <w:r>
        <w:rPr>
          <w:rFonts w:ascii="Arial" w:cs="Arial" w:eastAsia="Arial" w:hAnsi="Arial"/>
          <w:sz w:val="14"/>
          <w:szCs w:val="14"/>
          <w:color w:val="auto"/>
        </w:rPr>
        <w:t xml:space="preserve"> (Subtopic 470-50),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(Topic 718), and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xml:space="preserve"> (Subtopic 815-40). The ASU addresses issuer’s accounting for certain modifications or exchanges of freestanding equity-classified written call options. The ASU is effective for annual and interim periods beginning after December 15, 2021. The Company adopted the ASU in the first quarter of fiscal 2022 and there was no impact to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125" w:lineRule="exact"/>
        <w:rPr>
          <w:sz w:val="20"/>
          <w:szCs w:val="20"/>
          <w:color w:val="auto"/>
        </w:rPr>
      </w:pPr>
    </w:p>
    <w:p>
      <w:pPr>
        <w:ind w:right="20" w:firstLine="318"/>
        <w:spacing w:after="0" w:line="266" w:lineRule="auto"/>
        <w:rPr>
          <w:sz w:val="20"/>
          <w:szCs w:val="20"/>
          <w:color w:val="auto"/>
        </w:rPr>
      </w:pPr>
      <w:r>
        <w:rPr>
          <w:rFonts w:ascii="Arial" w:cs="Arial" w:eastAsia="Arial" w:hAnsi="Arial"/>
          <w:sz w:val="13"/>
          <w:szCs w:val="13"/>
          <w:color w:val="auto"/>
        </w:rPr>
        <w:t xml:space="preserve">In September 2022, the FASB issued ASU No. 2022-04, </w:t>
      </w:r>
      <w:r>
        <w:rPr>
          <w:rFonts w:ascii="Arial" w:cs="Arial" w:eastAsia="Arial" w:hAnsi="Arial"/>
          <w:sz w:val="13"/>
          <w:szCs w:val="13"/>
          <w:i w:val="1"/>
          <w:iCs w:val="1"/>
          <w:color w:val="auto"/>
        </w:rPr>
        <w:t>Liabilities—Supplier Finance Programs</w:t>
      </w:r>
      <w:r>
        <w:rPr>
          <w:rFonts w:ascii="Arial" w:cs="Arial" w:eastAsia="Arial" w:hAnsi="Arial"/>
          <w:sz w:val="13"/>
          <w:szCs w:val="13"/>
          <w:color w:val="auto"/>
        </w:rPr>
        <w:t xml:space="preserve"> (Subtopic 405-50).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adoption of this ASU is not expected to have a material impact on the Company’s consolidated financial position or results of operations.</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Details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Inventories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r>
      <w:tr>
        <w:trPr>
          <w:trHeight w:val="167"/>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76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31,153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33,112</w:t>
            </w:r>
          </w:p>
        </w:tc>
      </w:tr>
      <w:tr>
        <w:trPr>
          <w:trHeight w:val="168"/>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Raw materials and components</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4,290</w:t>
            </w:r>
          </w:p>
        </w:tc>
      </w:tr>
      <w:tr>
        <w:trPr>
          <w:trHeight w:val="18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inventories</w:t>
            </w:r>
          </w:p>
        </w:tc>
        <w:tc>
          <w:tcPr>
            <w:tcW w:w="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37,976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37,402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Prepaid expenses and other</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Prepaid expenses and other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r>
      <w:tr>
        <w:trPr>
          <w:trHeight w:val="167"/>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Rebate receivables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Receivables from contract manufacturers</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3,561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2,626</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licenses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Insurance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1,269</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Deposits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Financed assets</w:t>
            </w:r>
          </w:p>
        </w:tc>
        <w:tc>
          <w:tcPr>
            <w:tcW w:w="8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170"/>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63"/>
        </w:trPr>
        <w:tc>
          <w:tcPr>
            <w:tcW w:w="8760" w:type="dxa"/>
            <w:vAlign w:val="bottom"/>
          </w:tcPr>
          <w:p>
            <w:pPr>
              <w:ind w:left="20"/>
              <w:spacing w:after="0"/>
              <w:rPr>
                <w:sz w:val="20"/>
                <w:szCs w:val="20"/>
                <w:color w:val="auto"/>
              </w:rPr>
            </w:pPr>
            <w:r>
              <w:rPr>
                <w:rFonts w:ascii="Arial" w:cs="Arial" w:eastAsia="Arial" w:hAnsi="Arial"/>
                <w:sz w:val="13"/>
                <w:szCs w:val="13"/>
                <w:color w:val="auto"/>
              </w:rPr>
              <w:t>Total prepaid expenses and other</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13,624</w:t>
            </w:r>
          </w:p>
        </w:tc>
      </w:tr>
      <w:tr>
        <w:trPr>
          <w:trHeight w:val="20"/>
        </w:trPr>
        <w:tc>
          <w:tcPr>
            <w:tcW w:w="8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Property, plant and equipment consists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r>
      <w:tr>
        <w:trPr>
          <w:trHeight w:val="167"/>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Test equipment</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19,095</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Computer equipment and purchased software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4,603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7,618</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 tooling</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4,350</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1,214</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Vehicles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w:t>
            </w:r>
          </w:p>
        </w:tc>
      </w:tr>
      <w:tr>
        <w:trPr>
          <w:trHeight w:val="168"/>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Leasehold improvements</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w:t>
            </w:r>
          </w:p>
        </w:tc>
      </w:tr>
      <w:tr>
        <w:trPr>
          <w:trHeight w:val="163"/>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property, plant and equipment, gross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34,794</w:t>
            </w:r>
          </w:p>
        </w:tc>
      </w:tr>
      <w:tr>
        <w:trPr>
          <w:trHeight w:val="168"/>
        </w:trPr>
        <w:tc>
          <w:tcPr>
            <w:tcW w:w="87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Less—accumulated depreciation and amortization</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(26,049)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(26,692)</w:t>
            </w:r>
          </w:p>
        </w:tc>
      </w:tr>
      <w:tr>
        <w:trPr>
          <w:trHeight w:val="18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property, plant and equipment, net</w:t>
            </w:r>
          </w:p>
        </w:tc>
        <w:tc>
          <w:tcPr>
            <w:tcW w:w="7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8,102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 December 31, 2022, the Company had property, plant and equipment under finance leases with an aggregate carrying value of $3.1 million, net of accumulated amortization of $2.1 million.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2021, the Company had property, plant and equipment under finance leases with an aggregate carrying value of $3.1 million, net of accumulated amortization of $1.3 million.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Rental assets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Rental assets consist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r>
      <w:tr>
        <w:trPr>
          <w:trHeight w:val="167"/>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assets</w:t>
            </w:r>
          </w:p>
        </w:tc>
        <w:tc>
          <w:tcPr>
            <w:tcW w:w="76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10,300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center"/>
              <w:ind w:left="358"/>
              <w:spacing w:after="0"/>
              <w:rPr>
                <w:sz w:val="20"/>
                <w:szCs w:val="20"/>
                <w:color w:val="auto"/>
              </w:rPr>
            </w:pPr>
            <w:r>
              <w:rPr>
                <w:rFonts w:ascii="Arial" w:cs="Arial" w:eastAsia="Arial" w:hAnsi="Arial"/>
                <w:sz w:val="13"/>
                <w:szCs w:val="13"/>
                <w:color w:val="auto"/>
                <w:w w:val="85"/>
              </w:rPr>
              <w:t>9,967</w:t>
            </w:r>
          </w:p>
        </w:tc>
      </w:tr>
      <w:tr>
        <w:trPr>
          <w:trHeight w:val="168"/>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Less—accumulated depreciation</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(5,484)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338"/>
              <w:spacing w:after="0"/>
              <w:rPr>
                <w:sz w:val="20"/>
                <w:szCs w:val="20"/>
                <w:color w:val="auto"/>
              </w:rPr>
            </w:pPr>
            <w:r>
              <w:rPr>
                <w:rFonts w:ascii="Arial" w:cs="Arial" w:eastAsia="Arial" w:hAnsi="Arial"/>
                <w:sz w:val="13"/>
                <w:szCs w:val="13"/>
                <w:color w:val="auto"/>
                <w:w w:val="92"/>
              </w:rPr>
              <w:t>(5,392)</w:t>
            </w:r>
          </w:p>
        </w:tc>
      </w:tr>
      <w:tr>
        <w:trPr>
          <w:trHeight w:val="18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rental assets</w:t>
            </w:r>
          </w:p>
        </w:tc>
        <w:tc>
          <w:tcPr>
            <w:tcW w:w="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3"/>
                <w:szCs w:val="13"/>
                <w:color w:val="auto"/>
                <w:w w:val="85"/>
              </w:rPr>
              <w:t>4,575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Depreciation and amortization</w:t>
      </w:r>
    </w:p>
    <w:p>
      <w:pPr>
        <w:spacing w:after="0" w:line="125"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Depreciation and amortization expense related to property, plant and equipment, including rental assets and property, plant and equipment under finance leases, was $7.1 million, $9.8 million and $10.0 million for the years ended December 31, 2022,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Accrued expenses and other current liabilities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Accrued expenses and other current liabilities consist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3"/>
        </w:trPr>
        <w:tc>
          <w:tcPr>
            <w:tcW w:w="87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r>
      <w:tr>
        <w:trPr>
          <w:trHeight w:val="167"/>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Royalties</w:t>
            </w:r>
          </w:p>
        </w:tc>
        <w:tc>
          <w:tcPr>
            <w:tcW w:w="76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Payroll and related expenses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8,873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9,326</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Professional fees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overdrafts</w:t>
            </w:r>
          </w:p>
        </w:tc>
        <w:tc>
          <w:tcPr>
            <w:tcW w:w="7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Accrued interest</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877</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3,832</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Customer advances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Accrued contract manufacturing liabilities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927</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related to financed assets</w:t>
            </w:r>
          </w:p>
        </w:tc>
        <w:tc>
          <w:tcPr>
            <w:tcW w:w="7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r>
      <w:tr>
        <w:trPr>
          <w:trHeight w:val="168"/>
        </w:trPr>
        <w:tc>
          <w:tcPr>
            <w:tcW w:w="8780" w:type="dxa"/>
            <w:vAlign w:val="bottom"/>
          </w:tcPr>
          <w:p>
            <w:pPr>
              <w:ind w:left="20"/>
              <w:spacing w:after="0"/>
              <w:rPr>
                <w:sz w:val="20"/>
                <w:szCs w:val="20"/>
                <w:color w:val="auto"/>
              </w:rPr>
            </w:pPr>
            <w:r>
              <w:rPr>
                <w:rFonts w:ascii="Arial" w:cs="Arial" w:eastAsia="Arial" w:hAnsi="Arial"/>
                <w:sz w:val="13"/>
                <w:szCs w:val="13"/>
                <w:color w:val="auto"/>
              </w:rPr>
              <w:t>Value added tax payables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642</w:t>
            </w:r>
          </w:p>
        </w:tc>
      </w:tr>
      <w:tr>
        <w:trPr>
          <w:trHeight w:val="17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3,699</w:t>
            </w:r>
          </w:p>
        </w:tc>
      </w:tr>
      <w:tr>
        <w:trPr>
          <w:trHeight w:val="158"/>
        </w:trPr>
        <w:tc>
          <w:tcPr>
            <w:tcW w:w="8780" w:type="dxa"/>
            <w:vAlign w:val="bottom"/>
          </w:tcPr>
          <w:p>
            <w:pPr>
              <w:ind w:left="20"/>
              <w:spacing w:after="0" w:line="146" w:lineRule="exact"/>
              <w:rPr>
                <w:sz w:val="20"/>
                <w:szCs w:val="20"/>
                <w:color w:val="auto"/>
              </w:rPr>
            </w:pPr>
            <w:r>
              <w:rPr>
                <w:rFonts w:ascii="Arial" w:cs="Arial" w:eastAsia="Arial" w:hAnsi="Arial"/>
                <w:sz w:val="13"/>
                <w:szCs w:val="13"/>
                <w:color w:val="auto"/>
              </w:rPr>
              <w:t>Total accrued expenses and other current liabilities</w:t>
            </w:r>
          </w:p>
        </w:tc>
        <w:tc>
          <w:tcPr>
            <w:tcW w:w="76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27,945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26,253</w:t>
            </w:r>
          </w:p>
        </w:tc>
      </w:tr>
      <w:tr>
        <w:trPr>
          <w:trHeight w:val="20"/>
        </w:trPr>
        <w:tc>
          <w:tcPr>
            <w:tcW w:w="8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Goodwill and Other Intangible Assets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activity in goodwill is presented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w:t>
            </w:r>
          </w:p>
        </w:tc>
      </w:tr>
      <w:tr>
        <w:trPr>
          <w:trHeight w:val="168"/>
        </w:trPr>
        <w:tc>
          <w:tcPr>
            <w:tcW w:w="10040" w:type="dxa"/>
            <w:vAlign w:val="bottom"/>
          </w:tcPr>
          <w:p>
            <w:pPr>
              <w:ind w:left="180"/>
              <w:spacing w:after="0"/>
              <w:rPr>
                <w:sz w:val="20"/>
                <w:szCs w:val="20"/>
                <w:color w:val="auto"/>
              </w:rPr>
            </w:pPr>
            <w:r>
              <w:rPr>
                <w:rFonts w:ascii="Arial" w:cs="Arial" w:eastAsia="Arial" w:hAnsi="Arial"/>
                <w:sz w:val="13"/>
                <w:szCs w:val="13"/>
                <w:color w:val="auto"/>
              </w:rPr>
              <w:t>Effect of Ctrack South Africa divestiture</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(10,734)</w:t>
            </w:r>
          </w:p>
        </w:tc>
      </w:tr>
      <w:tr>
        <w:trPr>
          <w:trHeight w:val="172"/>
        </w:trPr>
        <w:tc>
          <w:tcPr>
            <w:tcW w:w="10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Effect of change in foreign currency exchange rates</w:t>
            </w: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(1,441)</w:t>
            </w:r>
          </w:p>
        </w:tc>
      </w:tr>
      <w:tr>
        <w:trPr>
          <w:trHeight w:val="158"/>
        </w:trPr>
        <w:tc>
          <w:tcPr>
            <w:tcW w:w="10040" w:type="dxa"/>
            <w:vAlign w:val="bottom"/>
          </w:tcPr>
          <w:p>
            <w:pPr>
              <w:ind w:left="20"/>
              <w:spacing w:after="0" w:line="146" w:lineRule="exact"/>
              <w:rPr>
                <w:sz w:val="20"/>
                <w:szCs w:val="20"/>
                <w:color w:val="auto"/>
              </w:rPr>
            </w:pPr>
            <w:r>
              <w:rPr>
                <w:rFonts w:ascii="Arial" w:cs="Arial" w:eastAsia="Arial" w:hAnsi="Arial"/>
                <w:sz w:val="13"/>
                <w:szCs w:val="13"/>
                <w:color w:val="auto"/>
              </w:rPr>
              <w:t>Balance at December 31, 2021</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20,336</w:t>
            </w:r>
          </w:p>
        </w:tc>
      </w:tr>
      <w:tr>
        <w:trPr>
          <w:trHeight w:val="172"/>
        </w:trPr>
        <w:tc>
          <w:tcPr>
            <w:tcW w:w="10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Effect of change in foreign currency exchange rates</w:t>
            </w: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w:t>
            </w:r>
          </w:p>
        </w:tc>
      </w:tr>
      <w:tr>
        <w:trPr>
          <w:trHeight w:val="158"/>
        </w:trPr>
        <w:tc>
          <w:tcPr>
            <w:tcW w:w="1004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21,922</w:t>
            </w:r>
          </w:p>
        </w:tc>
      </w:tr>
      <w:tr>
        <w:trPr>
          <w:trHeight w:val="20"/>
        </w:trPr>
        <w:tc>
          <w:tcPr>
            <w:tcW w:w="10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intangible assets are comprised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130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92"/>
              </w:rPr>
              <w:t>Weighted-Average Life</w:t>
            </w:r>
          </w:p>
        </w:tc>
        <w:tc>
          <w:tcPr>
            <w:tcW w:w="13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Gross Carrying Value</w:t>
            </w:r>
          </w:p>
        </w:tc>
        <w:tc>
          <w:tcPr>
            <w:tcW w:w="180" w:type="dxa"/>
            <w:vAlign w:val="bottom"/>
          </w:tcPr>
          <w:p>
            <w:pPr>
              <w:spacing w:after="0"/>
              <w:rPr>
                <w:sz w:val="9"/>
                <w:szCs w:val="9"/>
                <w:color w:val="auto"/>
              </w:rPr>
            </w:pPr>
          </w:p>
        </w:tc>
        <w:tc>
          <w:tcPr>
            <w:tcW w:w="1100" w:type="dxa"/>
            <w:vAlign w:val="bottom"/>
            <w:gridSpan w:val="2"/>
          </w:tcPr>
          <w:p>
            <w:pPr>
              <w:ind w:left="100"/>
              <w:spacing w:after="0" w:line="110"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9"/>
                <w:szCs w:val="9"/>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95"/>
              </w:rPr>
              <w:t>Net Carrying Value</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20" w:type="dxa"/>
            <w:vAlign w:val="bottom"/>
          </w:tcPr>
          <w:p>
            <w:pPr>
              <w:ind w:left="20"/>
              <w:spacing w:after="0"/>
              <w:rPr>
                <w:sz w:val="20"/>
                <w:szCs w:val="20"/>
                <w:color w:val="auto"/>
              </w:rPr>
            </w:pPr>
            <w:r>
              <w:rPr>
                <w:rFonts w:ascii="Arial" w:cs="Arial" w:eastAsia="Arial" w:hAnsi="Arial"/>
                <w:sz w:val="13"/>
                <w:szCs w:val="13"/>
                <w:color w:val="auto"/>
              </w:rPr>
              <w:t>Finite-lived intangible assets:</w:t>
            </w: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Developed technologies</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Trademarks and trade names</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10.0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Customer relationships</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Capitalized software development costs</w:t>
            </w: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40,767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29,081</w:t>
            </w: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63"/>
        </w:trPr>
        <w:tc>
          <w:tcPr>
            <w:tcW w:w="6120" w:type="dxa"/>
            <w:vAlign w:val="bottom"/>
          </w:tcPr>
          <w:p>
            <w:pPr>
              <w:ind w:left="360"/>
              <w:spacing w:after="0"/>
              <w:rPr>
                <w:sz w:val="20"/>
                <w:szCs w:val="20"/>
                <w:color w:val="auto"/>
              </w:rPr>
            </w:pPr>
            <w:r>
              <w:rPr>
                <w:rFonts w:ascii="Arial" w:cs="Arial" w:eastAsia="Arial" w:hAnsi="Arial"/>
                <w:sz w:val="13"/>
                <w:szCs w:val="13"/>
                <w:color w:val="auto"/>
              </w:rPr>
              <w:t>Total finite-lived intangible assets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66,198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34,569</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Indefinite-lived intangible assets:</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In-process capitalized software development costs</w:t>
            </w: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6,814</w:t>
            </w:r>
          </w:p>
        </w:tc>
        <w:tc>
          <w:tcPr>
            <w:tcW w:w="0" w:type="dxa"/>
            <w:vAlign w:val="bottom"/>
          </w:tcPr>
          <w:p>
            <w:pPr>
              <w:spacing w:after="0"/>
              <w:rPr>
                <w:sz w:val="1"/>
                <w:szCs w:val="1"/>
                <w:color w:val="auto"/>
              </w:rPr>
            </w:pPr>
          </w:p>
        </w:tc>
      </w:tr>
      <w:tr>
        <w:trPr>
          <w:trHeight w:val="18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intangible assets</w:t>
            </w: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gridSpan w:val="5"/>
            <w:vMerge w:val="restart"/>
          </w:tcPr>
          <w:p>
            <w:pPr>
              <w:ind w:left="360"/>
              <w:spacing w:after="0"/>
              <w:rPr>
                <w:sz w:val="20"/>
                <w:szCs w:val="20"/>
                <w:color w:val="auto"/>
              </w:rPr>
            </w:pPr>
            <w:r>
              <w:rPr>
                <w:rFonts w:ascii="Arial" w:cs="Arial" w:eastAsia="Arial" w:hAnsi="Arial"/>
                <w:sz w:val="11"/>
                <w:szCs w:val="11"/>
                <w:b w:val="1"/>
                <w:bCs w:val="1"/>
                <w:color w:val="auto"/>
              </w:rPr>
              <w:t>December 31,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130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92"/>
              </w:rPr>
              <w:t>Weighted-Average Life</w:t>
            </w:r>
          </w:p>
        </w:tc>
        <w:tc>
          <w:tcPr>
            <w:tcW w:w="13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Gross Carrying Value</w:t>
            </w:r>
          </w:p>
        </w:tc>
        <w:tc>
          <w:tcPr>
            <w:tcW w:w="180" w:type="dxa"/>
            <w:vAlign w:val="bottom"/>
          </w:tcPr>
          <w:p>
            <w:pPr>
              <w:spacing w:after="0"/>
              <w:rPr>
                <w:sz w:val="9"/>
                <w:szCs w:val="9"/>
                <w:color w:val="auto"/>
              </w:rPr>
            </w:pPr>
          </w:p>
        </w:tc>
        <w:tc>
          <w:tcPr>
            <w:tcW w:w="1100" w:type="dxa"/>
            <w:vAlign w:val="bottom"/>
            <w:gridSpan w:val="2"/>
          </w:tcPr>
          <w:p>
            <w:pPr>
              <w:ind w:left="100"/>
              <w:spacing w:after="0" w:line="110"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9"/>
                <w:szCs w:val="9"/>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95"/>
              </w:rPr>
              <w:t>Net Carrying Value</w:t>
            </w: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20" w:type="dxa"/>
            <w:vAlign w:val="bottom"/>
          </w:tcPr>
          <w:p>
            <w:pPr>
              <w:ind w:left="20"/>
              <w:spacing w:after="0"/>
              <w:rPr>
                <w:sz w:val="20"/>
                <w:szCs w:val="20"/>
                <w:color w:val="auto"/>
              </w:rPr>
            </w:pPr>
            <w:r>
              <w:rPr>
                <w:rFonts w:ascii="Arial" w:cs="Arial" w:eastAsia="Arial" w:hAnsi="Arial"/>
                <w:sz w:val="13"/>
                <w:szCs w:val="13"/>
                <w:color w:val="auto"/>
              </w:rPr>
              <w:t>Finite-lived intangible assets:</w:t>
            </w: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Developed technologies</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Trademarks and trade names</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10.0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3,168</w:t>
            </w: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Customer relationships</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w:t>
            </w: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Capitalized software development costs</w:t>
            </w: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54,581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29,977</w:t>
            </w: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0" w:type="dxa"/>
            <w:vAlign w:val="bottom"/>
          </w:tcPr>
          <w:p>
            <w:pPr>
              <w:spacing w:after="0"/>
              <w:rPr>
                <w:sz w:val="1"/>
                <w:szCs w:val="1"/>
                <w:color w:val="auto"/>
              </w:rPr>
            </w:pPr>
          </w:p>
        </w:tc>
      </w:tr>
      <w:tr>
        <w:trPr>
          <w:trHeight w:val="163"/>
        </w:trPr>
        <w:tc>
          <w:tcPr>
            <w:tcW w:w="6120" w:type="dxa"/>
            <w:vAlign w:val="bottom"/>
          </w:tcPr>
          <w:p>
            <w:pPr>
              <w:ind w:left="360"/>
              <w:spacing w:after="0"/>
              <w:rPr>
                <w:sz w:val="20"/>
                <w:szCs w:val="20"/>
                <w:color w:val="auto"/>
              </w:rPr>
            </w:pPr>
            <w:r>
              <w:rPr>
                <w:rFonts w:ascii="Arial" w:cs="Arial" w:eastAsia="Arial" w:hAnsi="Arial"/>
                <w:sz w:val="13"/>
                <w:szCs w:val="13"/>
                <w:color w:val="auto"/>
              </w:rPr>
              <w:t>Total finite-lived intangible assets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86,854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38,450</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Indefinite-lived intangible assets:</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In-process capitalized software development costs</w:t>
            </w: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8,545</w:t>
            </w:r>
          </w:p>
        </w:tc>
        <w:tc>
          <w:tcPr>
            <w:tcW w:w="0" w:type="dxa"/>
            <w:vAlign w:val="bottom"/>
          </w:tcPr>
          <w:p>
            <w:pPr>
              <w:spacing w:after="0"/>
              <w:rPr>
                <w:sz w:val="1"/>
                <w:szCs w:val="1"/>
                <w:color w:val="auto"/>
              </w:rPr>
            </w:pPr>
          </w:p>
        </w:tc>
      </w:tr>
      <w:tr>
        <w:trPr>
          <w:trHeight w:val="18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intangible assets</w:t>
            </w: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46,995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520" w:firstLine="318"/>
        <w:spacing w:after="0" w:line="304" w:lineRule="auto"/>
        <w:rPr>
          <w:sz w:val="20"/>
          <w:szCs w:val="20"/>
          <w:color w:val="auto"/>
        </w:rPr>
      </w:pPr>
      <w:r>
        <w:rPr>
          <w:rFonts w:ascii="Arial" w:cs="Arial" w:eastAsia="Arial" w:hAnsi="Arial"/>
          <w:sz w:val="13"/>
          <w:szCs w:val="13"/>
          <w:color w:val="auto"/>
        </w:rPr>
        <w:t>Amortization expense for the years ended December 31, 2022, 2021 and 2020 was approximately $20.1 million, $15.5 million, and $18.0 million, respectively, including approximately $17.9 million, $12.2 million and $12.9 million related to capitalized software development costs for the years ended December 31, 2022, 2021 and 2020, respectively.</w:t>
      </w:r>
    </w:p>
    <w:p>
      <w:pPr>
        <w:spacing w:after="0" w:line="67"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For the years ended December 31, 2022, 2021, and 2020, the Company recorded $3.0 million, $1.2 million, and $1.4 million, respectively, of impairment losses on intangible assets related to internal use capitalized software.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40" w:type="dxa"/>
            <w:vAlign w:val="bottom"/>
          </w:tcPr>
          <w:p>
            <w:pPr>
              <w:ind w:left="320"/>
              <w:spacing w:after="0"/>
              <w:rPr>
                <w:sz w:val="20"/>
                <w:szCs w:val="20"/>
                <w:color w:val="auto"/>
              </w:rPr>
            </w:pPr>
            <w:r>
              <w:rPr>
                <w:rFonts w:ascii="Arial" w:cs="Arial" w:eastAsia="Arial" w:hAnsi="Arial"/>
                <w:sz w:val="14"/>
                <w:szCs w:val="14"/>
                <w:color w:val="auto"/>
              </w:rPr>
              <w:t>The following table represents details of the amortization of finite-lived intangible assets that is estimated to be expensed in the future (in thousands):</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40" w:type="dxa"/>
            <w:vAlign w:val="bottom"/>
          </w:tcPr>
          <w:p>
            <w:pPr>
              <w:ind w:left="20"/>
              <w:spacing w:after="0"/>
              <w:rPr>
                <w:sz w:val="20"/>
                <w:szCs w:val="20"/>
                <w:color w:val="auto"/>
              </w:rPr>
            </w:pPr>
            <w:r>
              <w:rPr>
                <w:rFonts w:ascii="Arial" w:cs="Arial" w:eastAsia="Arial" w:hAnsi="Arial"/>
                <w:sz w:val="13"/>
                <w:szCs w:val="13"/>
                <w:color w:val="auto"/>
              </w:rPr>
              <w:t>2024</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40" w:type="dxa"/>
            <w:vAlign w:val="bottom"/>
          </w:tcPr>
          <w:p>
            <w:pPr>
              <w:ind w:left="20"/>
              <w:spacing w:after="0"/>
              <w:rPr>
                <w:sz w:val="20"/>
                <w:szCs w:val="20"/>
                <w:color w:val="auto"/>
              </w:rPr>
            </w:pPr>
            <w:r>
              <w:rPr>
                <w:rFonts w:ascii="Arial" w:cs="Arial" w:eastAsia="Arial" w:hAnsi="Arial"/>
                <w:sz w:val="13"/>
                <w:szCs w:val="13"/>
                <w:color w:val="auto"/>
              </w:rPr>
              <w:t>2026</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4"/>
                <w:szCs w:val="14"/>
                <w:color w:val="auto"/>
              </w:rPr>
              <w:t>F-22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10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 of Assets and Liabilities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Company’s financial instruments measured at fair value on a recurring basis as of December 31, 2022 and 2021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December 31, 2022</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December 31, 2021</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 Fair Value</w:t>
            </w:r>
          </w:p>
        </w:tc>
        <w:tc>
          <w:tcPr>
            <w:tcW w:w="100" w:type="dxa"/>
            <w:vAlign w:val="bottom"/>
          </w:tcPr>
          <w:p>
            <w:pPr>
              <w:spacing w:after="0"/>
              <w:rPr>
                <w:sz w:val="13"/>
                <w:szCs w:val="13"/>
                <w:color w:val="auto"/>
              </w:rPr>
            </w:pPr>
          </w:p>
        </w:tc>
        <w:tc>
          <w:tcPr>
            <w:tcW w:w="1180" w:type="dxa"/>
            <w:vAlign w:val="bottom"/>
            <w:gridSpan w:val="2"/>
          </w:tcPr>
          <w:p>
            <w:pPr>
              <w:ind w:left="320"/>
              <w:spacing w:after="0"/>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1"/>
                <w:szCs w:val="11"/>
                <w:b w:val="1"/>
                <w:bCs w:val="1"/>
                <w:color w:val="auto"/>
              </w:rPr>
              <w:t>Level 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 Fair Value</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Level 3</w:t>
            </w:r>
          </w:p>
        </w:tc>
        <w:tc>
          <w:tcPr>
            <w:tcW w:w="240" w:type="dxa"/>
            <w:vAlign w:val="bottom"/>
          </w:tcPr>
          <w:p>
            <w:pPr>
              <w:spacing w:after="0"/>
              <w:rPr>
                <w:sz w:val="13"/>
                <w:szCs w:val="13"/>
                <w:color w:val="auto"/>
              </w:rPr>
            </w:pPr>
          </w:p>
        </w:tc>
        <w:tc>
          <w:tcPr>
            <w:tcW w:w="940" w:type="dxa"/>
            <w:vAlign w:val="bottom"/>
          </w:tcPr>
          <w:p>
            <w:pPr>
              <w:jc w:val="right"/>
              <w:ind w:right="358"/>
              <w:spacing w:after="0"/>
              <w:rPr>
                <w:sz w:val="20"/>
                <w:szCs w:val="20"/>
                <w:color w:val="auto"/>
              </w:rPr>
            </w:pPr>
            <w:r>
              <w:rPr>
                <w:rFonts w:ascii="Arial" w:cs="Arial" w:eastAsia="Arial" w:hAnsi="Arial"/>
                <w:sz w:val="11"/>
                <w:szCs w:val="11"/>
                <w:b w:val="1"/>
                <w:bCs w:val="1"/>
                <w:color w:val="auto"/>
              </w:rPr>
              <w:t>Level 1</w:t>
            </w:r>
          </w:p>
        </w:tc>
      </w:tr>
      <w:tr>
        <w:trPr>
          <w:trHeight w:val="155"/>
        </w:trPr>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72"/>
        </w:trPr>
        <w:tc>
          <w:tcPr>
            <w:tcW w:w="3700" w:type="dxa"/>
            <w:vAlign w:val="bottom"/>
          </w:tcPr>
          <w:p>
            <w:pPr>
              <w:ind w:left="20"/>
              <w:spacing w:after="0"/>
              <w:rPr>
                <w:sz w:val="20"/>
                <w:szCs w:val="20"/>
                <w:color w:val="auto"/>
              </w:rPr>
            </w:pPr>
            <w:r>
              <w:rPr>
                <w:rFonts w:ascii="Arial" w:cs="Arial" w:eastAsia="Arial" w:hAnsi="Arial"/>
                <w:sz w:val="13"/>
                <w:szCs w:val="13"/>
                <w:color w:val="auto"/>
              </w:rPr>
              <w:t>Cash equivalents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Money market funds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58"/>
        </w:trPr>
        <w:tc>
          <w:tcPr>
            <w:tcW w:w="3700" w:type="dxa"/>
            <w:vAlign w:val="bottom"/>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37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68"/>
        </w:trPr>
        <w:tc>
          <w:tcPr>
            <w:tcW w:w="3700" w:type="dxa"/>
            <w:vAlign w:val="bottom"/>
          </w:tcPr>
          <w:p>
            <w:pPr>
              <w:ind w:left="20"/>
              <w:spacing w:after="0"/>
              <w:rPr>
                <w:sz w:val="20"/>
                <w:szCs w:val="20"/>
                <w:color w:val="auto"/>
              </w:rPr>
            </w:pPr>
            <w:r>
              <w:rPr>
                <w:rFonts w:ascii="Arial" w:cs="Arial" w:eastAsia="Arial" w:hAnsi="Arial"/>
                <w:sz w:val="13"/>
                <w:szCs w:val="13"/>
                <w:color w:val="auto"/>
              </w:rPr>
              <w:t>2025 Notes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make-whole payment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3700" w:type="dxa"/>
            <w:vAlign w:val="bottom"/>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926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926</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the years ended December 31, 2022 and 2021, there were no transfers between the levels within the fair value hierarchy.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the interest make-whole payment derivative liability was determined using a Monte Carlo model with the following key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Arial" w:cs="Arial" w:eastAsia="Arial" w:hAnsi="Arial"/>
                <w:sz w:val="11"/>
                <w:szCs w:val="11"/>
                <w:b w:val="1"/>
                <w:bCs w:val="1"/>
                <w:color w:val="auto"/>
              </w:rPr>
              <w:t>December 31, 2022</w:t>
            </w:r>
          </w:p>
        </w:tc>
        <w:tc>
          <w:tcPr>
            <w:tcW w:w="1720" w:type="dxa"/>
            <w:vAlign w:val="bottom"/>
          </w:tcPr>
          <w:p>
            <w:pPr>
              <w:jc w:val="right"/>
              <w:ind w:right="337"/>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Volatility</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50 %</w:t>
            </w:r>
          </w:p>
        </w:tc>
      </w:tr>
      <w:tr>
        <w:trPr>
          <w:trHeight w:val="168"/>
        </w:trPr>
        <w:tc>
          <w:tcPr>
            <w:tcW w:w="7760" w:type="dxa"/>
            <w:vAlign w:val="bottom"/>
          </w:tcPr>
          <w:p>
            <w:pPr>
              <w:ind w:left="20"/>
              <w:spacing w:after="0"/>
              <w:rPr>
                <w:sz w:val="20"/>
                <w:szCs w:val="20"/>
                <w:color w:val="auto"/>
              </w:rPr>
            </w:pPr>
            <w:r>
              <w:rPr>
                <w:rFonts w:ascii="Arial" w:cs="Arial" w:eastAsia="Arial" w:hAnsi="Arial"/>
                <w:sz w:val="13"/>
                <w:szCs w:val="13"/>
                <w:color w:val="auto"/>
              </w:rPr>
              <w:t>Stock price</w:t>
            </w:r>
          </w:p>
        </w:tc>
        <w:tc>
          <w:tcPr>
            <w:tcW w:w="1800" w:type="dxa"/>
            <w:vAlign w:val="bottom"/>
            <w:gridSpan w:val="2"/>
          </w:tcPr>
          <w:p>
            <w:pPr>
              <w:jc w:val="right"/>
              <w:ind w:right="100"/>
              <w:spacing w:after="0"/>
              <w:rPr>
                <w:sz w:val="20"/>
                <w:szCs w:val="20"/>
                <w:color w:val="auto"/>
              </w:rPr>
            </w:pPr>
            <w:r>
              <w:rPr>
                <w:rFonts w:ascii="Arial" w:cs="Arial" w:eastAsia="Arial" w:hAnsi="Arial"/>
                <w:sz w:val="13"/>
                <w:szCs w:val="13"/>
                <w:color w:val="auto"/>
              </w:rPr>
              <w:t>$0.84 per share</w:t>
            </w:r>
          </w:p>
        </w:tc>
        <w:tc>
          <w:tcPr>
            <w:tcW w:w="1720" w:type="dxa"/>
            <w:vAlign w:val="bottom"/>
          </w:tcPr>
          <w:p>
            <w:pPr>
              <w:jc w:val="right"/>
              <w:spacing w:after="0"/>
              <w:rPr>
                <w:sz w:val="20"/>
                <w:szCs w:val="20"/>
                <w:color w:val="auto"/>
              </w:rPr>
            </w:pPr>
            <w:r>
              <w:rPr>
                <w:rFonts w:ascii="Arial" w:cs="Arial" w:eastAsia="Arial" w:hAnsi="Arial"/>
                <w:sz w:val="13"/>
                <w:szCs w:val="13"/>
                <w:color w:val="auto"/>
              </w:rPr>
              <w:t>$5.83 per share</w:t>
            </w:r>
          </w:p>
        </w:tc>
      </w:tr>
      <w:tr>
        <w:trPr>
          <w:trHeight w:val="172"/>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spread</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56.52 %</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15.93 %</w:t>
            </w:r>
          </w:p>
        </w:tc>
      </w:tr>
      <w:tr>
        <w:trPr>
          <w:trHeight w:val="168"/>
        </w:trPr>
        <w:tc>
          <w:tcPr>
            <w:tcW w:w="7760" w:type="dxa"/>
            <w:vAlign w:val="bottom"/>
          </w:tcPr>
          <w:p>
            <w:pPr>
              <w:ind w:left="20"/>
              <w:spacing w:after="0"/>
              <w:rPr>
                <w:sz w:val="20"/>
                <w:szCs w:val="20"/>
                <w:color w:val="auto"/>
              </w:rPr>
            </w:pPr>
            <w:r>
              <w:rPr>
                <w:rFonts w:ascii="Arial" w:cs="Arial" w:eastAsia="Arial" w:hAnsi="Arial"/>
                <w:sz w:val="13"/>
                <w:szCs w:val="13"/>
                <w:color w:val="auto"/>
              </w:rPr>
              <w:t>Term</w:t>
            </w:r>
          </w:p>
        </w:tc>
        <w:tc>
          <w:tcPr>
            <w:tcW w:w="1800" w:type="dxa"/>
            <w:vAlign w:val="bottom"/>
            <w:gridSpan w:val="2"/>
          </w:tcPr>
          <w:p>
            <w:pPr>
              <w:jc w:val="right"/>
              <w:ind w:right="100"/>
              <w:spacing w:after="0"/>
              <w:rPr>
                <w:sz w:val="20"/>
                <w:szCs w:val="20"/>
                <w:color w:val="auto"/>
              </w:rPr>
            </w:pPr>
            <w:r>
              <w:rPr>
                <w:rFonts w:ascii="Arial" w:cs="Arial" w:eastAsia="Arial" w:hAnsi="Arial"/>
                <w:sz w:val="13"/>
                <w:szCs w:val="13"/>
                <w:color w:val="auto"/>
              </w:rPr>
              <w:t>2.34 years</w:t>
            </w:r>
          </w:p>
        </w:tc>
        <w:tc>
          <w:tcPr>
            <w:tcW w:w="1720" w:type="dxa"/>
            <w:vAlign w:val="bottom"/>
          </w:tcPr>
          <w:p>
            <w:pPr>
              <w:jc w:val="right"/>
              <w:spacing w:after="0"/>
              <w:rPr>
                <w:sz w:val="20"/>
                <w:szCs w:val="20"/>
                <w:color w:val="auto"/>
              </w:rPr>
            </w:pPr>
            <w:r>
              <w:rPr>
                <w:rFonts w:ascii="Arial" w:cs="Arial" w:eastAsia="Arial" w:hAnsi="Arial"/>
                <w:sz w:val="13"/>
                <w:szCs w:val="13"/>
                <w:color w:val="auto"/>
              </w:rPr>
              <w:t>3.34 years</w:t>
            </w:r>
          </w:p>
        </w:tc>
      </w:tr>
      <w:tr>
        <w:trPr>
          <w:trHeight w:val="172"/>
        </w:trPr>
        <w:tc>
          <w:tcPr>
            <w:tcW w:w="7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5"/>
        </w:trPr>
        <w:tc>
          <w:tcPr>
            <w:tcW w:w="7760" w:type="dxa"/>
            <w:vAlign w:val="bottom"/>
          </w:tcPr>
          <w:p>
            <w:pPr>
              <w:ind w:left="20"/>
              <w:spacing w:after="0"/>
              <w:rPr>
                <w:sz w:val="20"/>
                <w:szCs w:val="20"/>
                <w:color w:val="auto"/>
              </w:rPr>
            </w:pPr>
            <w:r>
              <w:rPr>
                <w:rFonts w:ascii="Arial" w:cs="Arial" w:eastAsia="Arial" w:hAnsi="Arial"/>
                <w:sz w:val="13"/>
                <w:szCs w:val="13"/>
                <w:color w:val="auto"/>
              </w:rPr>
              <w:t>Risk-free rate</w:t>
            </w:r>
          </w:p>
        </w:tc>
        <w:tc>
          <w:tcPr>
            <w:tcW w:w="1720" w:type="dxa"/>
            <w:vAlign w:val="bottom"/>
          </w:tcPr>
          <w:p>
            <w:pPr>
              <w:jc w:val="right"/>
              <w:spacing w:after="0"/>
              <w:rPr>
                <w:sz w:val="20"/>
                <w:szCs w:val="20"/>
                <w:color w:val="auto"/>
              </w:rPr>
            </w:pPr>
            <w:r>
              <w:rPr>
                <w:rFonts w:ascii="Arial" w:cs="Arial" w:eastAsia="Arial" w:hAnsi="Arial"/>
                <w:sz w:val="13"/>
                <w:szCs w:val="13"/>
                <w:color w:val="auto"/>
              </w:rPr>
              <w:t>4.35 %</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1.02 %</w:t>
            </w:r>
          </w:p>
        </w:tc>
      </w:tr>
    </w:tbl>
    <w:p>
      <w:pPr>
        <w:spacing w:after="0" w:line="185"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The estimated fair value of the interest make-whole derivative liability at December 31, 2022 and December 31, 2021 was determined using assumptions which include an implied credit spread rate for notes with a similar term, the expected volatility and dividend yield of the Company’s common stock and the risk-free interest rate.</w:t>
      </w:r>
    </w:p>
    <w:p>
      <w:pPr>
        <w:spacing w:after="0" w:line="79" w:lineRule="exact"/>
        <w:rPr>
          <w:sz w:val="20"/>
          <w:szCs w:val="20"/>
          <w:color w:val="auto"/>
        </w:rPr>
      </w:pPr>
    </w:p>
    <w:p>
      <w:pPr>
        <w:ind w:right="160" w:firstLine="318"/>
        <w:spacing w:after="0" w:line="251" w:lineRule="auto"/>
        <w:rPr>
          <w:sz w:val="20"/>
          <w:szCs w:val="20"/>
          <w:color w:val="auto"/>
        </w:rPr>
      </w:pPr>
      <w:r>
        <w:rPr>
          <w:rFonts w:ascii="Arial" w:cs="Arial" w:eastAsia="Arial" w:hAnsi="Arial"/>
          <w:sz w:val="14"/>
          <w:szCs w:val="14"/>
          <w:color w:val="auto"/>
        </w:rPr>
        <w:t>During the year ended December 31, 2022, there were no conversions of the 3.25% convertible senior notes due 2025 (the “2025 Notes”) into shares of the Company’s common stock. During the year ended December 31, 2021, certain holders of the 2025 Notes converted an aggregate of approximately $5.0 million in principal amount of the 2025 Notes into shares of the Company’s common stock in accordance with the terms of such notes and a portion of the embedded derivative was settled in shares of the Company’s common stock resulting in $0.1 million of the derivative liability being extinguished upon conversion.</w:t>
      </w:r>
    </w:p>
    <w:p>
      <w:pPr>
        <w:spacing w:after="0" w:line="101"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There was a $0.9 million reduction in the fair value of the interest make-whole liability for the year ended December 31, 2022. For the years ended December 31, 2021 and 2020, the Company recorded a $3.8 million gain and a $0.6 million loss, respectively, as a result of the changes in fair value of the interest make-whole liability.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Financial Instruments</w:t>
      </w:r>
    </w:p>
    <w:p>
      <w:pPr>
        <w:spacing w:after="0" w:line="125"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carrying values of the Company’s other financial assets and liabilities approximate their fair values because of their short-term nature, with the exception of the 2025 Notes. The 2025 Notes are carried at amortized cost, adjusted for changes in fair value of the embedded derivative.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Business Divestiture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Ctrack South Africa Operations</w:t>
      </w:r>
    </w:p>
    <w:p>
      <w:pPr>
        <w:spacing w:after="0" w:line="136"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On July 30, 2021, the Company completed the sale of Ctrack South Africa to an affiliate of Convergence Partners (“Convergence”), an investment management firm in South Africa. Net cash proceeds received were approximately $33.7 million, net of cash divested of $5.0 million. The Company placed in escrow approximately $3.3 million, which was released to the Company on July 30, 2022. The funds in escrow allowed for Convergence to submit claims that were deemed to be uninsured warranties as defined in the purchase agreement. Such funds in escrow were recorded as restricted cash on the Company’s consolidated balance sheet prior to their release.</w:t>
      </w:r>
    </w:p>
    <w:p>
      <w:pPr>
        <w:spacing w:after="0" w:line="101"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The transaction was considered a deconsolidation of a subsidiary. Accordingly, upon the sale of Ctrack South Africa, the Company recognized a pre-tax gain of $5.3 million for the year ended December 31, 2021. Such gain was recognized as gain on the sale of Ctrack South Africa in the consolidated statement of operations during the year ended December 31, 2021 The Company also recorded $2.2 million of transaction costs within other income (expense), net, in the consolidated results of operations for the year ended December 31, 2021.</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carrying values of the assets and liabilities of Ctrack South Africa sold in the transaction as of July 30, 2021, are summarized below:</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Assets</w:t>
            </w: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96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5,040</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Inventory</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3,821</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4,545</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assets, net</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11,278</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6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10,734</w:t>
            </w:r>
          </w:p>
        </w:tc>
      </w:tr>
      <w:tr>
        <w:trPr>
          <w:trHeight w:val="158"/>
        </w:trPr>
        <w:tc>
          <w:tcPr>
            <w:tcW w:w="96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assets</w:t>
            </w: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41,741</w:t>
            </w:r>
          </w:p>
        </w:tc>
      </w:tr>
      <w:tr>
        <w:trPr>
          <w:trHeight w:val="194"/>
        </w:trPr>
        <w:tc>
          <w:tcPr>
            <w:tcW w:w="9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3,961</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other liabilities</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Deferred tax liabilities, net</w:t>
            </w: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3,647</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6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w:t>
            </w:r>
          </w:p>
        </w:tc>
      </w:tr>
      <w:tr>
        <w:trPr>
          <w:trHeight w:val="158"/>
        </w:trPr>
        <w:tc>
          <w:tcPr>
            <w:tcW w:w="96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liabilities</w:t>
            </w: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9,461</w:t>
            </w:r>
          </w:p>
        </w:tc>
      </w:tr>
      <w:tr>
        <w:trPr>
          <w:trHeight w:val="18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assets</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32,280</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consideration recognized was comprised of the following:</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620" w:type="dxa"/>
            <w:vAlign w:val="bottom"/>
          </w:tcPr>
          <w:p>
            <w:pPr>
              <w:ind w:left="20"/>
              <w:spacing w:after="0"/>
              <w:rPr>
                <w:sz w:val="20"/>
                <w:szCs w:val="20"/>
                <w:color w:val="auto"/>
              </w:rPr>
            </w:pPr>
            <w:r>
              <w:rPr>
                <w:rFonts w:ascii="Arial" w:cs="Arial" w:eastAsia="Arial" w:hAnsi="Arial"/>
                <w:sz w:val="13"/>
                <w:szCs w:val="13"/>
                <w:color w:val="auto"/>
              </w:rPr>
              <w:t>Initial purchase consideration received, upon close</w:t>
            </w: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36,566</w:t>
            </w:r>
          </w:p>
        </w:tc>
      </w:tr>
      <w:tr>
        <w:trPr>
          <w:trHeight w:val="172"/>
        </w:trPr>
        <w:tc>
          <w:tcPr>
            <w:tcW w:w="962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Working capital adjustments </w:t>
            </w:r>
            <w:r>
              <w:rPr>
                <w:rFonts w:ascii="Arial" w:cs="Arial" w:eastAsia="Arial" w:hAnsi="Arial"/>
                <w:sz w:val="16"/>
                <w:szCs w:val="16"/>
                <w:color w:val="auto"/>
                <w:vertAlign w:val="superscript"/>
              </w:rPr>
              <w:t>(a)</w:t>
            </w:r>
          </w:p>
        </w:tc>
        <w:tc>
          <w:tcPr>
            <w:tcW w:w="6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2,584</w:t>
            </w:r>
          </w:p>
        </w:tc>
      </w:tr>
      <w:tr>
        <w:trPr>
          <w:trHeight w:val="158"/>
        </w:trPr>
        <w:tc>
          <w:tcPr>
            <w:tcW w:w="9620" w:type="dxa"/>
            <w:vAlign w:val="bottom"/>
          </w:tcPr>
          <w:p>
            <w:pPr>
              <w:ind w:left="180"/>
              <w:spacing w:after="0"/>
              <w:rPr>
                <w:sz w:val="20"/>
                <w:szCs w:val="20"/>
                <w:color w:val="auto"/>
              </w:rPr>
            </w:pPr>
            <w:r>
              <w:rPr>
                <w:rFonts w:ascii="Arial" w:cs="Arial" w:eastAsia="Arial" w:hAnsi="Arial"/>
                <w:sz w:val="13"/>
                <w:szCs w:val="13"/>
                <w:color w:val="auto"/>
              </w:rPr>
              <w:t>Total consideration recognized</w:t>
            </w:r>
          </w:p>
        </w:tc>
        <w:tc>
          <w:tcPr>
            <w:tcW w:w="6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39,150</w:t>
            </w:r>
          </w:p>
        </w:tc>
      </w:tr>
      <w:tr>
        <w:trPr>
          <w:trHeight w:val="20"/>
        </w:trPr>
        <w:tc>
          <w:tcPr>
            <w:tcW w:w="9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(a)</w:t>
      </w:r>
      <w:r>
        <w:rPr>
          <w:rFonts w:ascii="Arial" w:cs="Arial" w:eastAsia="Arial" w:hAnsi="Arial"/>
          <w:sz w:val="11"/>
          <w:szCs w:val="11"/>
          <w:color w:val="auto"/>
        </w:rPr>
        <w:t xml:space="preserve"> $2.2 million was received on October 29, 2021, and the remaining $0.4 million was offset with the Company’s existing accounts payable balance to Convergence.</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gain on sale is comprised of the following: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620" w:type="dxa"/>
            <w:vAlign w:val="bottom"/>
          </w:tcPr>
          <w:p>
            <w:pPr>
              <w:ind w:left="20"/>
              <w:spacing w:after="0"/>
              <w:rPr>
                <w:sz w:val="20"/>
                <w:szCs w:val="20"/>
                <w:color w:val="auto"/>
              </w:rPr>
            </w:pPr>
            <w:r>
              <w:rPr>
                <w:rFonts w:ascii="Arial" w:cs="Arial" w:eastAsia="Arial" w:hAnsi="Arial"/>
                <w:sz w:val="13"/>
                <w:szCs w:val="13"/>
                <w:color w:val="auto"/>
              </w:rPr>
              <w:t>Total consideration recognized</w:t>
            </w: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39,150</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Book value of net assets sold</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32,280</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Release of cumulative foreign currency translation adjustments related to Ctrack South Africa</w:t>
            </w: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w:t>
            </w:r>
          </w:p>
        </w:tc>
      </w:tr>
      <w:tr>
        <w:trPr>
          <w:trHeight w:val="185"/>
        </w:trPr>
        <w:tc>
          <w:tcPr>
            <w:tcW w:w="9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gain on sale</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5,262</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Debt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2025 Notes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May 2020, the Company completed its registered public offering of $100.0 million aggregate principal amount of the 2025 Notes.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Also in May 2020, the Company entered into privately negotiated exchange agreements (the “Exchange Agreements”) with certain related party holders of the 5.5% convertible senior notes due</w:t>
      </w:r>
    </w:p>
    <w:p>
      <w:pPr>
        <w:spacing w:after="0" w:line="42"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2022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(the “Private Exchange Transaction”). In connection therewith, the Company recorded a $67.2 million loss on debt conversion and extinguishment in the consolidated statements of operations in the year ended December 31, 2020. The 2025 Notes issued in the Private Exchange Transaction are part of the same series as the 2025 Notes issued in the registered offering.</w:t>
      </w:r>
    </w:p>
    <w:p>
      <w:pPr>
        <w:spacing w:after="0" w:line="105"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During the year ended December 31, 2021, certain holders of the 2025 Notes converted, pursuant to the original terms of the 2025 Notes,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shown as net in the consolidated statement of operations.</w:t>
      </w:r>
    </w:p>
    <w:p>
      <w:pPr>
        <w:spacing w:after="0" w:line="94" w:lineRule="exact"/>
        <w:rPr>
          <w:sz w:val="20"/>
          <w:szCs w:val="20"/>
          <w:color w:val="auto"/>
        </w:rPr>
      </w:pPr>
    </w:p>
    <w:p>
      <w:pPr>
        <w:ind w:right="80" w:firstLine="318"/>
        <w:spacing w:after="0" w:line="368" w:lineRule="auto"/>
        <w:rPr>
          <w:sz w:val="20"/>
          <w:szCs w:val="20"/>
          <w:color w:val="auto"/>
        </w:rPr>
      </w:pPr>
      <w:r>
        <w:rPr>
          <w:rFonts w:ascii="Arial" w:cs="Arial" w:eastAsia="Arial" w:hAnsi="Arial"/>
          <w:sz w:val="12"/>
          <w:szCs w:val="12"/>
          <w:color w:val="auto"/>
        </w:rPr>
        <w:t>The 2025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33" w:lineRule="exact"/>
        <w:rPr>
          <w:sz w:val="20"/>
          <w:szCs w:val="20"/>
          <w:color w:val="auto"/>
        </w:rPr>
      </w:pPr>
    </w:p>
    <w:p>
      <w:pPr>
        <w:ind w:right="60" w:firstLine="318"/>
        <w:spacing w:after="0" w:line="265" w:lineRule="auto"/>
        <w:rPr>
          <w:sz w:val="20"/>
          <w:szCs w:val="20"/>
          <w:color w:val="auto"/>
        </w:rPr>
      </w:pPr>
      <w:r>
        <w:rPr>
          <w:rFonts w:ascii="Arial" w:cs="Arial" w:eastAsia="Arial" w:hAnsi="Arial"/>
          <w:sz w:val="14"/>
          <w:szCs w:val="14"/>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w:t>
      </w:r>
    </w:p>
    <w:p>
      <w:pPr>
        <w:spacing w:after="0" w:line="101" w:lineRule="exact"/>
        <w:rPr>
          <w:sz w:val="20"/>
          <w:szCs w:val="20"/>
          <w:color w:val="auto"/>
        </w:rPr>
      </w:pPr>
    </w:p>
    <w:p>
      <w:pPr>
        <w:ind w:right="40" w:firstLine="318"/>
        <w:spacing w:after="0" w:line="251" w:lineRule="auto"/>
        <w:rPr>
          <w:sz w:val="20"/>
          <w:szCs w:val="20"/>
          <w:color w:val="auto"/>
        </w:rPr>
      </w:pPr>
      <w:r>
        <w:rPr>
          <w:rFonts w:ascii="Arial" w:cs="Arial" w:eastAsia="Arial" w:hAnsi="Arial"/>
          <w:sz w:val="14"/>
          <w:szCs w:val="14"/>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the Company’s common stock (together with cash in lieu of any fractional share), equal to the conversion rate.</w:t>
      </w:r>
    </w:p>
    <w:p>
      <w:pPr>
        <w:spacing w:after="0" w:line="110"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01" w:lineRule="exact"/>
        <w:rPr>
          <w:sz w:val="20"/>
          <w:szCs w:val="20"/>
          <w:color w:val="auto"/>
        </w:rPr>
      </w:pPr>
    </w:p>
    <w:p>
      <w:pPr>
        <w:ind w:right="280" w:firstLine="318"/>
        <w:spacing w:after="0" w:line="314" w:lineRule="auto"/>
        <w:rPr>
          <w:sz w:val="20"/>
          <w:szCs w:val="20"/>
          <w:color w:val="auto"/>
        </w:rPr>
      </w:pPr>
      <w:r>
        <w:rPr>
          <w:rFonts w:ascii="Arial" w:cs="Arial" w:eastAsia="Arial" w:hAnsi="Arial"/>
          <w:sz w:val="13"/>
          <w:szCs w:val="13"/>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 if any, to, but excluding, the fundamental change repurchase date. If a make-whole fundamental change (as defined in the Indenture) occurs, then the Company will in certain circumstances increase the conversion rate for a specified period of time.</w:t>
      </w:r>
    </w:p>
    <w:p>
      <w:pPr>
        <w:spacing w:after="0" w:line="60"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The 2025 Notes will be redeemable, in whole or in part, at the Company’s option at any time, and from time to time, on or after May 6, 2023 through the last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trading day immediately before the date the Company sends the related redemption notice; and (ii) the trading day immediately before the date the Company sends such notice.</w:t>
      </w:r>
    </w:p>
    <w:p>
      <w:pPr>
        <w:spacing w:after="0" w:line="125" w:lineRule="exact"/>
        <w:rPr>
          <w:sz w:val="20"/>
          <w:szCs w:val="20"/>
          <w:color w:val="auto"/>
        </w:rPr>
      </w:pPr>
    </w:p>
    <w:p>
      <w:pPr>
        <w:ind w:right="60" w:firstLine="318"/>
        <w:spacing w:after="0" w:line="247" w:lineRule="auto"/>
        <w:rPr>
          <w:sz w:val="20"/>
          <w:szCs w:val="20"/>
          <w:color w:val="auto"/>
        </w:rPr>
      </w:pPr>
      <w:r>
        <w:rPr>
          <w:rFonts w:ascii="Arial" w:cs="Arial" w:eastAsia="Arial" w:hAnsi="Arial"/>
          <w:sz w:val="14"/>
          <w:szCs w:val="14"/>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make-whole payment</w:t>
      </w:r>
    </w:p>
    <w:p>
      <w:pPr>
        <w:spacing w:after="0" w:line="125" w:lineRule="exact"/>
        <w:rPr>
          <w:sz w:val="20"/>
          <w:szCs w:val="20"/>
          <w:color w:val="auto"/>
        </w:rPr>
      </w:pPr>
    </w:p>
    <w:p>
      <w:pPr>
        <w:ind w:firstLine="318"/>
        <w:spacing w:after="0" w:line="291" w:lineRule="auto"/>
        <w:rPr>
          <w:sz w:val="20"/>
          <w:szCs w:val="20"/>
          <w:color w:val="auto"/>
        </w:rPr>
      </w:pPr>
      <w:r>
        <w:rPr>
          <w:rFonts w:ascii="Arial" w:cs="Arial" w:eastAsia="Arial" w:hAnsi="Arial"/>
          <w:sz w:val="12"/>
          <w:szCs w:val="12"/>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shares). 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w:t>
      </w:r>
    </w:p>
    <w:p>
      <w:pPr>
        <w:spacing w:after="0" w:line="7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As of December 31, 2022 and 2021, $161.9 million of principal of the 2025 Notes was outstanding. As of December 31, 2022 and 2021, $80.4 million principal amount of 2025 Notes was held by related parties and $0.9 million of accrued interest due to related parties was included within accrued expenses and other current liabilities on the consolidated balance sheets. Assuming no repurchases or conversions of the 2025 Notes prior to May 1, 2025, the entire principal balance of $161.9 million of the 2025 Notes is due on May 1, 2025.</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2025 Notes consist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00" w:type="dxa"/>
            <w:vAlign w:val="bottom"/>
            <w:tcBorders>
              <w:bottom w:val="single" w:sz="8" w:color="auto"/>
            </w:tcBorders>
          </w:tcPr>
          <w:p>
            <w:pPr>
              <w:spacing w:after="0"/>
              <w:rPr>
                <w:sz w:val="13"/>
                <w:szCs w:val="13"/>
                <w:color w:val="auto"/>
              </w:rPr>
            </w:pPr>
          </w:p>
        </w:tc>
      </w:tr>
      <w:tr>
        <w:trPr>
          <w:trHeight w:val="153"/>
        </w:trPr>
        <w:tc>
          <w:tcPr>
            <w:tcW w:w="88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r>
      <w:tr>
        <w:trPr>
          <w:trHeight w:val="167"/>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161,898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161,898</w:t>
            </w:r>
          </w:p>
        </w:tc>
      </w:tr>
      <w:tr>
        <w:trPr>
          <w:trHeight w:val="168"/>
        </w:trPr>
        <w:tc>
          <w:tcPr>
            <w:tcW w:w="8800" w:type="dxa"/>
            <w:vAlign w:val="bottom"/>
          </w:tcPr>
          <w:p>
            <w:pPr>
              <w:ind w:left="20"/>
              <w:spacing w:after="0"/>
              <w:rPr>
                <w:sz w:val="20"/>
                <w:szCs w:val="20"/>
                <w:color w:val="auto"/>
              </w:rPr>
            </w:pPr>
            <w:r>
              <w:rPr>
                <w:rFonts w:ascii="Arial" w:cs="Arial" w:eastAsia="Arial" w:hAnsi="Arial"/>
                <w:sz w:val="13"/>
                <w:szCs w:val="13"/>
                <w:color w:val="auto"/>
              </w:rPr>
              <w:t>Add: fair value of embedded derivative</w:t>
            </w:r>
          </w:p>
        </w:tc>
        <w:tc>
          <w:tcPr>
            <w:tcW w:w="7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926</w:t>
            </w:r>
          </w:p>
        </w:tc>
      </w:tr>
      <w:tr>
        <w:trPr>
          <w:trHeight w:val="172"/>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unamortized debt discount</w:t>
            </w: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(2,761)</w:t>
            </w:r>
          </w:p>
        </w:tc>
      </w:tr>
      <w:tr>
        <w:trPr>
          <w:trHeight w:val="168"/>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unamortized issuance costs</w:t>
            </w: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w:t>
            </w:r>
          </w:p>
        </w:tc>
      </w:tr>
      <w:tr>
        <w:trPr>
          <w:trHeight w:val="18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carrying amount</w:t>
            </w:r>
          </w:p>
        </w:tc>
        <w:tc>
          <w:tcPr>
            <w:tcW w:w="72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158,427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157,866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The effective interest rate of the 2025 Notes was 4.17% and 4.15%, respectively, for the twelve months ended December 31, 2022 and 2021. The following table sets forth total interest expense recognized related to the 2025 Notes (in thousands):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9"/>
              </w:rPr>
              <w:t>Year Ended December 31,</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3"/>
        </w:trPr>
        <w:tc>
          <w:tcPr>
            <w:tcW w:w="73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2020</w:t>
            </w:r>
          </w:p>
        </w:tc>
      </w:tr>
      <w:tr>
        <w:trPr>
          <w:trHeight w:val="177"/>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w:t>
            </w:r>
          </w:p>
        </w:tc>
      </w:tr>
      <w:tr>
        <w:trPr>
          <w:trHeight w:val="180"/>
        </w:trPr>
        <w:tc>
          <w:tcPr>
            <w:tcW w:w="7340" w:type="dxa"/>
            <w:vAlign w:val="bottom"/>
          </w:tcPr>
          <w:p>
            <w:pPr>
              <w:ind w:left="20"/>
              <w:spacing w:after="0"/>
              <w:rPr>
                <w:sz w:val="20"/>
                <w:szCs w:val="20"/>
                <w:color w:val="auto"/>
              </w:rPr>
            </w:pPr>
            <w:r>
              <w:rPr>
                <w:rFonts w:ascii="Arial" w:cs="Arial" w:eastAsia="Arial" w:hAnsi="Arial"/>
                <w:sz w:val="13"/>
                <w:szCs w:val="13"/>
                <w:color w:val="auto"/>
              </w:rPr>
              <w:t>Amortization of debt discount</w:t>
            </w: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w:t>
            </w:r>
          </w:p>
        </w:tc>
      </w:tr>
      <w:tr>
        <w:trPr>
          <w:trHeight w:val="18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8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161"/>
        </w:trPr>
        <w:tc>
          <w:tcPr>
            <w:tcW w:w="7340" w:type="dxa"/>
            <w:vAlign w:val="bottom"/>
          </w:tcPr>
          <w:p>
            <w:pPr>
              <w:ind w:left="20"/>
              <w:spacing w:after="0"/>
              <w:rPr>
                <w:sz w:val="20"/>
                <w:szCs w:val="20"/>
                <w:color w:val="auto"/>
              </w:rPr>
            </w:pPr>
            <w:r>
              <w:rPr>
                <w:rFonts w:ascii="Arial" w:cs="Arial" w:eastAsia="Arial" w:hAnsi="Arial"/>
                <w:sz w:val="13"/>
                <w:szCs w:val="13"/>
                <w:color w:val="auto"/>
              </w:rPr>
              <w:t>Total interest expense</w:t>
            </w: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6,749</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6,760</w:t>
            </w:r>
          </w:p>
        </w:tc>
        <w:tc>
          <w:tcPr>
            <w:tcW w:w="1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4,425</w:t>
            </w:r>
          </w:p>
        </w:tc>
      </w:tr>
      <w:tr>
        <w:trPr>
          <w:trHeight w:val="20"/>
        </w:trPr>
        <w:tc>
          <w:tcPr>
            <w:tcW w:w="7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firstLine="318"/>
        <w:spacing w:after="0" w:line="265" w:lineRule="auto"/>
        <w:rPr>
          <w:sz w:val="20"/>
          <w:szCs w:val="20"/>
          <w:color w:val="auto"/>
        </w:rPr>
      </w:pPr>
      <w:r>
        <w:rPr>
          <w:rFonts w:ascii="Arial" w:cs="Arial" w:eastAsia="Arial" w:hAnsi="Arial"/>
          <w:sz w:val="14"/>
          <w:szCs w:val="14"/>
          <w:color w:val="auto"/>
        </w:rPr>
        <w:t>The contractual interest expense on the 2025 Notes recorded within interest expense, net on the consolidated statements of operations attributable to related parties was $2.6 million in each of the years ended December 31, 2022 and 2021 and $1.7 million in the year ended December 31, 2020.</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consolidated statements of operations for the year ended December 31, 2020 included related party interest expense of $0.8 million related to the 2022 Notes.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had interest expense relating to the following debt obligations that were fully settled in 2020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8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Year Ended December 31, 2020</w:t>
            </w:r>
          </w:p>
        </w:tc>
        <w:tc>
          <w:tcPr>
            <w:tcW w:w="440" w:type="dxa"/>
            <w:vAlign w:val="bottom"/>
            <w:tcBorders>
              <w:bottom w:val="single" w:sz="8" w:color="auto"/>
            </w:tcBorders>
          </w:tcPr>
          <w:p>
            <w:pPr>
              <w:spacing w:after="0"/>
              <w:rPr>
                <w:sz w:val="13"/>
                <w:szCs w:val="13"/>
                <w:color w:val="auto"/>
              </w:rPr>
            </w:pPr>
          </w:p>
        </w:tc>
      </w:tr>
      <w:tr>
        <w:trPr>
          <w:trHeight w:val="153"/>
        </w:trPr>
        <w:tc>
          <w:tcPr>
            <w:tcW w:w="86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 Notes</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Novatel Wireless Notes</w:t>
            </w:r>
          </w:p>
        </w:tc>
      </w:tr>
      <w:tr>
        <w:trPr>
          <w:trHeight w:val="167"/>
        </w:trPr>
        <w:tc>
          <w:tcPr>
            <w:tcW w:w="8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w:t>
            </w:r>
          </w:p>
        </w:tc>
      </w:tr>
      <w:tr>
        <w:trPr>
          <w:trHeight w:val="168"/>
        </w:trPr>
        <w:tc>
          <w:tcPr>
            <w:tcW w:w="8680" w:type="dxa"/>
            <w:vAlign w:val="bottom"/>
          </w:tcPr>
          <w:p>
            <w:pPr>
              <w:ind w:left="20"/>
              <w:spacing w:after="0"/>
              <w:rPr>
                <w:sz w:val="20"/>
                <w:szCs w:val="20"/>
                <w:color w:val="auto"/>
              </w:rPr>
            </w:pPr>
            <w:r>
              <w:rPr>
                <w:rFonts w:ascii="Arial" w:cs="Arial" w:eastAsia="Arial" w:hAnsi="Arial"/>
                <w:sz w:val="13"/>
                <w:szCs w:val="13"/>
                <w:color w:val="auto"/>
              </w:rPr>
              <w:t>Amortization of debt discount</w:t>
            </w: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1,952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859</w:t>
            </w: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3"/>
        </w:trPr>
        <w:tc>
          <w:tcPr>
            <w:tcW w:w="8680" w:type="dxa"/>
            <w:vAlign w:val="bottom"/>
          </w:tcPr>
          <w:p>
            <w:pPr>
              <w:ind w:left="20"/>
              <w:spacing w:after="0"/>
              <w:rPr>
                <w:sz w:val="20"/>
                <w:szCs w:val="20"/>
                <w:color w:val="auto"/>
              </w:rPr>
            </w:pPr>
            <w:r>
              <w:rPr>
                <w:rFonts w:ascii="Arial" w:cs="Arial" w:eastAsia="Arial" w:hAnsi="Arial"/>
                <w:sz w:val="13"/>
                <w:szCs w:val="13"/>
                <w:color w:val="auto"/>
              </w:rPr>
              <w:t>Total interest expense</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2,831</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2,629</w:t>
            </w:r>
          </w:p>
        </w:tc>
      </w:tr>
      <w:tr>
        <w:trPr>
          <w:trHeight w:val="20"/>
        </w:trPr>
        <w:tc>
          <w:tcPr>
            <w:tcW w:w="8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140" w:firstLine="318"/>
        <w:spacing w:after="0" w:line="419" w:lineRule="auto"/>
        <w:rPr>
          <w:sz w:val="20"/>
          <w:szCs w:val="20"/>
          <w:color w:val="auto"/>
        </w:rPr>
      </w:pPr>
      <w:r>
        <w:rPr>
          <w:rFonts w:ascii="Arial" w:cs="Arial" w:eastAsia="Arial" w:hAnsi="Arial"/>
          <w:sz w:val="14"/>
          <w:szCs w:val="14"/>
          <w:color w:val="auto"/>
        </w:rPr>
        <w:t xml:space="preserve">The effective interest rates on the 2022 Notes and the Novatel Wireless Notes in the year ended December 31, 2020 were 12.89% and 15.19%, respectively. </w:t>
      </w:r>
      <w:r>
        <w:rPr>
          <w:rFonts w:ascii="Arial" w:cs="Arial" w:eastAsia="Arial" w:hAnsi="Arial"/>
          <w:sz w:val="14"/>
          <w:szCs w:val="14"/>
          <w:b w:val="1"/>
          <w:bCs w:val="1"/>
          <w:i w:val="1"/>
          <w:iCs w:val="1"/>
          <w:color w:val="auto"/>
        </w:rPr>
        <w:t>Asset-Backed Revolving Credit Facility</w:t>
      </w:r>
    </w:p>
    <w:p>
      <w:pPr>
        <w:ind w:right="20" w:firstLine="318"/>
        <w:spacing w:after="0" w:line="260" w:lineRule="auto"/>
        <w:rPr>
          <w:sz w:val="20"/>
          <w:szCs w:val="20"/>
          <w:color w:val="auto"/>
        </w:rPr>
      </w:pPr>
      <w:r>
        <w:rPr>
          <w:rFonts w:ascii="Arial" w:cs="Arial" w:eastAsia="Arial" w:hAnsi="Arial"/>
          <w:sz w:val="13"/>
          <w:szCs w:val="13"/>
          <w:color w:val="auto"/>
        </w:rPr>
        <w:t>On August 5, 2022, the Company entered into a Loan and Security Agreement (the “Credit Agreement”), by and among Siena Lending Group LLC, as lender (“Lender”), Inseego Wireless, Inc., a Delaware corporation (“Inseego Wireless”), a subsidiary of the Company, and Inseego North America LLC, an Oregon limited liability company, an indirect subsidiary of the Company, as borrowers (together with Inseego Wireless, the “Borrowers”), and the Company, as guarantor (together with the Borrowers, the “Loan Parties”) as amended on February 25, 2023. The Credit Agreement establishes a secured asset-backed revolving credit facility which is comprised of a maximum $50 million revolving credit facility (“Credit Facility”), with a minimum draw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119"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color w:val="auto"/>
        </w:rPr>
        <w:t>Borrowings under the Credit Facility may take the form of base rate (“Base Rate”) loans or Secured Overnight Financing Rate (“SOFR”) loans. SOFR loans will bear interest at a rate per annum equal to Term SOFR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68" w:lineRule="exact"/>
        <w:rPr>
          <w:sz w:val="20"/>
          <w:szCs w:val="20"/>
          <w:color w:val="auto"/>
        </w:rPr>
      </w:pPr>
    </w:p>
    <w:p>
      <w:pPr>
        <w:ind w:right="240" w:firstLine="318"/>
        <w:spacing w:after="0" w:line="259" w:lineRule="auto"/>
        <w:rPr>
          <w:sz w:val="20"/>
          <w:szCs w:val="20"/>
          <w:color w:val="auto"/>
        </w:rPr>
      </w:pPr>
      <w:r>
        <w:rPr>
          <w:rFonts w:ascii="Arial" w:cs="Arial" w:eastAsia="Arial" w:hAnsi="Arial"/>
          <w:sz w:val="14"/>
          <w:szCs w:val="14"/>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preceding month is greater than $25 million, the Applicable Margin will be 4.5% for Base Rate loans and 5.50% for SOFR loans. The Company pays monthly fees of 0.4% per annum on the unused portion of the Credit Facility.</w:t>
      </w:r>
    </w:p>
    <w:p>
      <w:pPr>
        <w:spacing w:after="0" w:line="101" w:lineRule="exact"/>
        <w:rPr>
          <w:sz w:val="20"/>
          <w:szCs w:val="20"/>
          <w:color w:val="auto"/>
        </w:rPr>
      </w:pPr>
    </w:p>
    <w:p>
      <w:pPr>
        <w:jc w:val="both"/>
        <w:ind w:right="500" w:firstLine="318"/>
        <w:spacing w:after="0" w:line="251" w:lineRule="auto"/>
        <w:rPr>
          <w:sz w:val="20"/>
          <w:szCs w:val="20"/>
          <w:color w:val="auto"/>
        </w:rPr>
      </w:pPr>
      <w:r>
        <w:rPr>
          <w:rFonts w:ascii="Arial" w:cs="Arial" w:eastAsia="Arial" w:hAnsi="Arial"/>
          <w:sz w:val="14"/>
          <w:szCs w:val="14"/>
          <w:color w:val="auto"/>
        </w:rPr>
        <w:t>The Credit Agreement contains a financial covenant whereby the Loan Parties shall not permit the consolidated Liquidity (as defined in the Amended Credit Agreement) to be less than $10 million at any time (the “Liquidity Covenant”). The Credit Agreement also contains certain customary covenants, which include, but are not limited to, restrictions on indebtedness, liens, fundamental changes, restricted payments, asset sales, and investments, and places limits on various other payments.</w:t>
      </w:r>
    </w:p>
    <w:p>
      <w:pPr>
        <w:spacing w:after="0" w:line="100" w:lineRule="exact"/>
        <w:rPr>
          <w:sz w:val="20"/>
          <w:szCs w:val="20"/>
          <w:color w:val="auto"/>
        </w:rPr>
      </w:pPr>
    </w:p>
    <w:p>
      <w:pPr>
        <w:ind w:right="180" w:firstLine="318"/>
        <w:spacing w:after="0"/>
        <w:rPr>
          <w:sz w:val="20"/>
          <w:szCs w:val="20"/>
          <w:color w:val="auto"/>
        </w:rPr>
      </w:pPr>
      <w:r>
        <w:rPr>
          <w:rFonts w:ascii="Arial" w:cs="Arial" w:eastAsia="Arial" w:hAnsi="Arial"/>
          <w:sz w:val="14"/>
          <w:szCs w:val="14"/>
          <w:color w:val="auto"/>
        </w:rPr>
        <w:t>The Company determined that the term “Eligible Accounts”, as defined in the Credit Agreement would have excluded certain balances used in the determination of eligible collateral upon which the Company’s borrowing base is calculated and that exclusion would have resulted in a violation of the Liquidity Covenant as of December 31, 2022. Accordingly, to clarify this matter and others, the Loan Parties agreed to amend the Credit Agreement, (the “Amended Credit Agreement”) to modify and clarify the definitions of “Eligible Accounts”, “Permitted Indebtedness” and also “Eligible Inventory”. The Amendment was entered into on February 25, 2023 with an effective date of December 15, 2022. The Company was in compliance with the financial covenants in the Amended Credit Agreement as of December 31, 2022.</w:t>
      </w:r>
    </w:p>
    <w:p>
      <w:pPr>
        <w:spacing w:after="0" w:line="118" w:lineRule="exact"/>
        <w:rPr>
          <w:sz w:val="20"/>
          <w:szCs w:val="20"/>
          <w:color w:val="auto"/>
        </w:rPr>
      </w:pPr>
    </w:p>
    <w:p>
      <w:pPr>
        <w:ind w:right="280" w:firstLine="318"/>
        <w:spacing w:after="0" w:line="307" w:lineRule="auto"/>
        <w:rPr>
          <w:sz w:val="20"/>
          <w:szCs w:val="20"/>
          <w:color w:val="auto"/>
        </w:rPr>
      </w:pPr>
      <w:r>
        <w:rPr>
          <w:rFonts w:ascii="Arial" w:cs="Arial" w:eastAsia="Arial" w:hAnsi="Arial"/>
          <w:sz w:val="12"/>
          <w:szCs w:val="12"/>
          <w:color w:val="auto"/>
        </w:rPr>
        <w:t>Upon execution of the Credit Agreement on August 5, 2022, the Company paid $1.1 million of debt issuance costs, which are being amortized to interest expense throughout the term of the agreement. Amortization expense of $0.2 million related to debt issuance cost was recognized for the year ended December 31, 2022. As of December 31, 2022, the Company had outstanding borrowings of $7.9 million, gross borrowing base of $15.7 million and availability of $7.8 million. The Company’s policy is to classify outstanding borrowings as long-term so long as such borrowings are not expected to exceed the borrowing base over the 12 months subsequent to the balance sheet date, in which case, any excess borrowings would be classified as short-term.</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0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35"/>
              <w:spacing w:after="0"/>
              <w:rPr>
                <w:sz w:val="20"/>
                <w:szCs w:val="20"/>
                <w:color w:val="auto"/>
              </w:rPr>
            </w:pPr>
            <w:r>
              <w:rPr>
                <w:rFonts w:ascii="Arial" w:cs="Arial" w:eastAsia="Arial" w:hAnsi="Arial"/>
                <w:sz w:val="11"/>
                <w:szCs w:val="11"/>
                <w:b w:val="1"/>
                <w:bCs w:val="1"/>
                <w:color w:val="auto"/>
              </w:rPr>
              <w:t>December 31,</w:t>
            </w:r>
          </w:p>
        </w:tc>
      </w:tr>
      <w:tr>
        <w:trPr>
          <w:trHeight w:val="153"/>
        </w:trPr>
        <w:tc>
          <w:tcPr>
            <w:tcW w:w="90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35"/>
              <w:spacing w:after="0"/>
              <w:rPr>
                <w:sz w:val="20"/>
                <w:szCs w:val="20"/>
                <w:color w:val="auto"/>
              </w:rPr>
            </w:pPr>
            <w:r>
              <w:rPr>
                <w:rFonts w:ascii="Arial" w:cs="Arial" w:eastAsia="Arial" w:hAnsi="Arial"/>
                <w:sz w:val="11"/>
                <w:szCs w:val="11"/>
                <w:b w:val="1"/>
                <w:bCs w:val="1"/>
                <w:color w:val="auto"/>
              </w:rPr>
              <w:t>2022</w:t>
            </w:r>
          </w:p>
        </w:tc>
      </w:tr>
      <w:tr>
        <w:trPr>
          <w:trHeight w:val="177"/>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outstanding (in thousands)</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7,851</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issuance cost</w:t>
            </w: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Revolving credit facility, net</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6,919</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The effective interest rate of the Credit Facility was 17.71%, which includes 8.50% related to amortization of original issuance costs, for the twelve months ended December 31, 2022. The following table sets forth total interest expense recognized related to the Credit Facility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0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35"/>
              <w:spacing w:after="0"/>
              <w:rPr>
                <w:sz w:val="20"/>
                <w:szCs w:val="20"/>
                <w:color w:val="auto"/>
              </w:rPr>
            </w:pPr>
            <w:r>
              <w:rPr>
                <w:rFonts w:ascii="Arial" w:cs="Arial" w:eastAsia="Arial" w:hAnsi="Arial"/>
                <w:sz w:val="11"/>
                <w:szCs w:val="11"/>
                <w:b w:val="1"/>
                <w:bCs w:val="1"/>
                <w:color w:val="auto"/>
              </w:rPr>
              <w:t>December 31,</w:t>
            </w:r>
          </w:p>
        </w:tc>
      </w:tr>
      <w:tr>
        <w:trPr>
          <w:trHeight w:val="153"/>
        </w:trPr>
        <w:tc>
          <w:tcPr>
            <w:tcW w:w="90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35"/>
              <w:spacing w:after="0"/>
              <w:rPr>
                <w:sz w:val="20"/>
                <w:szCs w:val="20"/>
                <w:color w:val="auto"/>
              </w:rPr>
            </w:pPr>
            <w:r>
              <w:rPr>
                <w:rFonts w:ascii="Arial" w:cs="Arial" w:eastAsia="Arial" w:hAnsi="Arial"/>
                <w:sz w:val="11"/>
                <w:szCs w:val="11"/>
                <w:b w:val="1"/>
                <w:bCs w:val="1"/>
                <w:color w:val="auto"/>
              </w:rPr>
              <w:t>2022</w:t>
            </w:r>
          </w:p>
        </w:tc>
      </w:tr>
      <w:tr>
        <w:trPr>
          <w:trHeight w:val="177"/>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interest expense</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debt issuance costs</w:t>
            </w: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expense</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Income Taxes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loss before income taxes for the years ended December 31, 2022, 2021 and 2020 is comprised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3"/>
        </w:trPr>
        <w:tc>
          <w:tcPr>
            <w:tcW w:w="75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r>
      <w:tr>
        <w:trPr>
          <w:trHeight w:val="167"/>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Domestic</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(63,939)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(109,837)</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w:t>
            </w:r>
          </w:p>
        </w:tc>
      </w:tr>
      <w:tr>
        <w:trPr>
          <w:trHeight w:val="180"/>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Loss before income taxes</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(68,434)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(110,438)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(benefit) provision for income taxes for the years ended December 31, 2022, 2021 and 2020 is comprised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7500" w:type="dxa"/>
            <w:vAlign w:val="bottom"/>
          </w:tcPr>
          <w:p>
            <w:pPr>
              <w:spacing w:after="0"/>
              <w:rPr>
                <w:sz w:val="13"/>
                <w:szCs w:val="1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w:t>
            </w:r>
          </w:p>
        </w:tc>
      </w:tr>
      <w:tr>
        <w:trPr>
          <w:trHeight w:val="157"/>
        </w:trPr>
        <w:tc>
          <w:tcPr>
            <w:tcW w:w="7500" w:type="dxa"/>
            <w:vAlign w:val="bottom"/>
          </w:tcPr>
          <w:p>
            <w:pPr>
              <w:ind w:left="20"/>
              <w:spacing w:after="0"/>
              <w:rPr>
                <w:sz w:val="20"/>
                <w:szCs w:val="20"/>
                <w:color w:val="auto"/>
              </w:rPr>
            </w:pPr>
            <w:r>
              <w:rPr>
                <w:rFonts w:ascii="Arial" w:cs="Arial" w:eastAsia="Arial" w:hAnsi="Arial"/>
                <w:sz w:val="13"/>
                <w:szCs w:val="13"/>
                <w:color w:val="auto"/>
              </w:rPr>
              <w:t>Current:</w:t>
            </w: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7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Federal</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00" w:type="dxa"/>
            <w:vAlign w:val="bottom"/>
          </w:tcPr>
          <w:p>
            <w:pPr>
              <w:ind w:left="180"/>
              <w:spacing w:after="0"/>
              <w:rPr>
                <w:sz w:val="20"/>
                <w:szCs w:val="20"/>
                <w:color w:val="auto"/>
              </w:rPr>
            </w:pPr>
            <w:r>
              <w:rPr>
                <w:rFonts w:ascii="Arial" w:cs="Arial" w:eastAsia="Arial" w:hAnsi="Arial"/>
                <w:sz w:val="13"/>
                <w:szCs w:val="13"/>
                <w:color w:val="auto"/>
              </w:rPr>
              <w:t>State</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2"/>
        </w:trPr>
        <w:tc>
          <w:tcPr>
            <w:tcW w:w="7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58"/>
        </w:trPr>
        <w:tc>
          <w:tcPr>
            <w:tcW w:w="75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current</w:t>
            </w: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w:t>
            </w: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7500" w:type="dxa"/>
            <w:vAlign w:val="bottom"/>
          </w:tcPr>
          <w:p>
            <w:pPr>
              <w:ind w:left="180"/>
              <w:spacing w:after="0"/>
              <w:rPr>
                <w:sz w:val="20"/>
                <w:szCs w:val="20"/>
                <w:color w:val="auto"/>
              </w:rPr>
            </w:pPr>
            <w:r>
              <w:rPr>
                <w:rFonts w:ascii="Arial" w:cs="Arial" w:eastAsia="Arial" w:hAnsi="Arial"/>
                <w:sz w:val="13"/>
                <w:szCs w:val="13"/>
                <w:color w:val="auto"/>
              </w:rPr>
              <w:t>Federal</w:t>
            </w: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2"/>
        </w:trPr>
        <w:tc>
          <w:tcPr>
            <w:tcW w:w="7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Foreign</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w:t>
            </w:r>
          </w:p>
        </w:tc>
      </w:tr>
      <w:tr>
        <w:trPr>
          <w:trHeight w:val="163"/>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deferred</w:t>
            </w:r>
          </w:p>
        </w:tc>
        <w:tc>
          <w:tcPr>
            <w:tcW w:w="8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w:t>
            </w:r>
          </w:p>
        </w:tc>
      </w:tr>
      <w:tr>
        <w:trPr>
          <w:trHeight w:val="158"/>
        </w:trPr>
        <w:tc>
          <w:tcPr>
            <w:tcW w:w="7500" w:type="dxa"/>
            <w:vAlign w:val="bottom"/>
          </w:tcPr>
          <w:p>
            <w:pPr>
              <w:ind w:left="20"/>
              <w:spacing w:after="0" w:line="146" w:lineRule="exact"/>
              <w:rPr>
                <w:sz w:val="20"/>
                <w:szCs w:val="20"/>
                <w:color w:val="auto"/>
              </w:rPr>
            </w:pPr>
            <w:r>
              <w:rPr>
                <w:rFonts w:ascii="Arial" w:cs="Arial" w:eastAsia="Arial" w:hAnsi="Arial"/>
                <w:sz w:val="13"/>
                <w:szCs w:val="13"/>
                <w:color w:val="auto"/>
              </w:rPr>
              <w:t>(Benefit) Provision for income taxes</w:t>
            </w: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(465)</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748</w:t>
            </w:r>
          </w:p>
        </w:tc>
      </w:tr>
      <w:tr>
        <w:trPr>
          <w:trHeight w:val="20"/>
        </w:trPr>
        <w:tc>
          <w:tcPr>
            <w:tcW w:w="7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net deferred tax liabilities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50"/>
        </w:trPr>
        <w:tc>
          <w:tcPr>
            <w:tcW w:w="8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r>
      <w:tr>
        <w:trPr>
          <w:trHeight w:val="157"/>
        </w:trPr>
        <w:tc>
          <w:tcPr>
            <w:tcW w:w="874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expenses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w:t>
            </w: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Provision for excess and obsolete inventory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466</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Capitalized research and experimental expenditures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Convertible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9,782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9,804</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 limitation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11,113</w:t>
            </w: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Net operating loss and tax credit carryforwards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112,297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110,463</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w:t>
            </w: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Right-of-use-asset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1,765</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Unrecognized tax benefits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r>
      <w:tr>
        <w:trPr>
          <w:trHeight w:val="158"/>
        </w:trPr>
        <w:tc>
          <w:tcPr>
            <w:tcW w:w="8740" w:type="dxa"/>
            <w:vAlign w:val="bottom"/>
          </w:tcPr>
          <w:p>
            <w:pPr>
              <w:ind w:left="360"/>
              <w:spacing w:after="0"/>
              <w:rPr>
                <w:sz w:val="20"/>
                <w:szCs w:val="20"/>
                <w:color w:val="auto"/>
              </w:rPr>
            </w:pPr>
            <w:r>
              <w:rPr>
                <w:rFonts w:ascii="Arial" w:cs="Arial" w:eastAsia="Arial" w:hAnsi="Arial"/>
                <w:sz w:val="13"/>
                <w:szCs w:val="13"/>
                <w:color w:val="auto"/>
              </w:rPr>
              <w:t>Deferred tax assets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152,872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138,756</w:t>
            </w:r>
          </w:p>
        </w:tc>
      </w:tr>
      <w:tr>
        <w:trPr>
          <w:trHeight w:val="172"/>
        </w:trPr>
        <w:tc>
          <w:tcPr>
            <w:tcW w:w="87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Valuation allowances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(145,431)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(132,132)</w:t>
            </w:r>
          </w:p>
        </w:tc>
      </w:tr>
      <w:tr>
        <w:trPr>
          <w:trHeight w:val="15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assets, net of valuation allowances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6,624</w:t>
            </w:r>
          </w:p>
        </w:tc>
      </w:tr>
      <w:tr>
        <w:trPr>
          <w:trHeight w:val="152"/>
        </w:trPr>
        <w:tc>
          <w:tcPr>
            <w:tcW w:w="8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liabilities: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Operating lease liability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(2,518)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(1,830)</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Acquired intangible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r>
      <w:tr>
        <w:trPr>
          <w:trHeight w:val="168"/>
        </w:trPr>
        <w:tc>
          <w:tcPr>
            <w:tcW w:w="874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(4,376)</w:t>
            </w:r>
          </w:p>
        </w:tc>
      </w:tr>
      <w:tr>
        <w:trPr>
          <w:trHeight w:val="172"/>
        </w:trPr>
        <w:tc>
          <w:tcPr>
            <w:tcW w:w="8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foreign currency gains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w:t>
            </w:r>
          </w:p>
        </w:tc>
      </w:tr>
      <w:tr>
        <w:trPr>
          <w:trHeight w:val="158"/>
        </w:trPr>
        <w:tc>
          <w:tcPr>
            <w:tcW w:w="87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Deferred tax liabilities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(7,476)</w:t>
            </w:r>
          </w:p>
        </w:tc>
      </w:tr>
      <w:tr>
        <w:trPr>
          <w:trHeight w:val="18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liabilities, net</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77" w:lineRule="exact"/>
        <w:rPr>
          <w:sz w:val="20"/>
          <w:szCs w:val="20"/>
          <w:color w:val="auto"/>
        </w:rPr>
      </w:pPr>
    </w:p>
    <w:p>
      <w:pPr>
        <w:ind w:right="360" w:firstLine="318"/>
        <w:spacing w:after="0" w:line="304" w:lineRule="auto"/>
        <w:rPr>
          <w:sz w:val="20"/>
          <w:szCs w:val="20"/>
          <w:color w:val="auto"/>
        </w:rPr>
      </w:pPr>
      <w:r>
        <w:rPr>
          <w:rFonts w:ascii="Arial" w:cs="Arial" w:eastAsia="Arial" w:hAnsi="Arial"/>
          <w:sz w:val="13"/>
          <w:szCs w:val="13"/>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01" w:lineRule="exact"/>
        <w:rPr>
          <w:sz w:val="20"/>
          <w:szCs w:val="20"/>
          <w:color w:val="auto"/>
        </w:rPr>
      </w:pPr>
    </w:p>
    <w:p>
      <w:pPr>
        <w:ind w:right="40" w:firstLine="318"/>
        <w:spacing w:after="0" w:line="248" w:lineRule="auto"/>
        <w:rPr>
          <w:sz w:val="20"/>
          <w:szCs w:val="20"/>
          <w:color w:val="auto"/>
        </w:rPr>
      </w:pPr>
      <w:r>
        <w:rPr>
          <w:rFonts w:ascii="Arial" w:cs="Arial" w:eastAsia="Arial" w:hAnsi="Arial"/>
          <w:sz w:val="14"/>
          <w:szCs w:val="14"/>
          <w:color w:val="auto"/>
        </w:rPr>
        <w:t>During the years ended December 31, 2022 and 2021, the Company recognized valuation allowances of $13.6 million, and $6.0 million, respectively, related to its deferred tax assets created in those respective years for entities with historical losses and full valuation allowances. In 2021, certain valuation allowances in the amount of $10.0 million were released related to entities included in the divestiture of Ctrack South Africa. The Company also recognized $3.0 million of additional valuation allowance in 2021 related to true-up of prior year deferred taxes, partially offset by foreign currency loss of $0.2 million. Based on the Company’s current position on valuation allowance, no net income tax benefits resulted in the Company’s consolidated statements of operations from the operating losses created during those years.</w:t>
      </w:r>
    </w:p>
    <w:p>
      <w:pPr>
        <w:spacing w:after="0" w:line="91"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Beginning January 1, 2022, we are required to capitalize certain research and development expenditures in accordance with Section 174 of the Internal Revenue Code, as amended by the Tax Cuts and Jobs Act of 2017, instead of expensing such expenditures, as previously allowed. Amortization of such capitalized expenditures are allowed over a 5-year period if incurred domestically or a 15-year period if incurred outside the United States.</w:t>
      </w:r>
    </w:p>
    <w:p>
      <w:pPr>
        <w:spacing w:after="0" w:line="110" w:lineRule="exact"/>
        <w:rPr>
          <w:sz w:val="20"/>
          <w:szCs w:val="20"/>
          <w:color w:val="auto"/>
        </w:rPr>
      </w:pPr>
    </w:p>
    <w:p>
      <w:pPr>
        <w:ind w:right="320" w:firstLine="318"/>
        <w:spacing w:after="0" w:line="265" w:lineRule="auto"/>
        <w:rPr>
          <w:sz w:val="20"/>
          <w:szCs w:val="20"/>
          <w:color w:val="auto"/>
        </w:rPr>
      </w:pPr>
      <w:r>
        <w:rPr>
          <w:rFonts w:ascii="Arial" w:cs="Arial" w:eastAsia="Arial" w:hAnsi="Arial"/>
          <w:sz w:val="14"/>
          <w:szCs w:val="14"/>
          <w:color w:val="auto"/>
        </w:rPr>
        <w:t>The (benefit) provision for income taxes reconciles to the amount computed by applying the statutory federal income tax rate of 21% in 2022, 2021 and 2020 to loss before income taxes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3"/>
        </w:trPr>
        <w:tc>
          <w:tcPr>
            <w:tcW w:w="75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w:t>
            </w:r>
          </w:p>
        </w:tc>
      </w:tr>
      <w:tr>
        <w:trPr>
          <w:trHeight w:val="167"/>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tax benefit, at statutory rate</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(14,371)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(23,192)</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State benefit, net of federal benefit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(1,285)</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rate difference</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Valuation allowance against future tax benefits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13,564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26,410</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foreign subsidiaries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Sub-part F income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conversion of debt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Research and development credits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(2,355)</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Non-deductible officers compensation</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True-up of prior year provisions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2,123</w:t>
            </w:r>
          </w:p>
        </w:tc>
        <w:tc>
          <w:tcPr>
            <w:tcW w:w="100" w:type="dxa"/>
            <w:vAlign w:val="bottom"/>
            <w:shd w:val="clear" w:color="auto" w:fill="CCEEFF"/>
          </w:tcPr>
          <w:p>
            <w:pPr>
              <w:spacing w:after="0"/>
              <w:rPr>
                <w:sz w:val="15"/>
                <w:szCs w:val="15"/>
                <w:color w:val="auto"/>
              </w:rPr>
            </w:pPr>
          </w:p>
        </w:tc>
        <w:tc>
          <w:tcPr>
            <w:tcW w:w="280" w:type="dxa"/>
            <w:vAlign w:val="bottom"/>
            <w:shd w:val="clear" w:color="auto" w:fill="CCF6FF"/>
          </w:tcPr>
          <w:p>
            <w:pPr>
              <w:spacing w:after="0"/>
              <w:rPr>
                <w:sz w:val="15"/>
                <w:szCs w:val="15"/>
                <w:color w:val="auto"/>
              </w:rPr>
            </w:pPr>
          </w:p>
        </w:tc>
        <w:tc>
          <w:tcPr>
            <w:tcW w:w="920" w:type="dxa"/>
            <w:vAlign w:val="bottom"/>
            <w:shd w:val="clear" w:color="auto" w:fill="CCF6FF"/>
          </w:tcPr>
          <w:p>
            <w:pPr>
              <w:jc w:val="right"/>
              <w:spacing w:after="0"/>
              <w:rPr>
                <w:sz w:val="20"/>
                <w:szCs w:val="20"/>
                <w:color w:val="auto"/>
              </w:rPr>
            </w:pPr>
            <w:r>
              <w:rPr>
                <w:rFonts w:ascii="Arial" w:cs="Arial" w:eastAsia="Arial" w:hAnsi="Arial"/>
                <w:sz w:val="14"/>
                <w:szCs w:val="14"/>
                <w:color w:val="auto"/>
              </w:rPr>
              <w:t>1,681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w:t>
            </w:r>
          </w:p>
        </w:tc>
      </w:tr>
      <w:tr>
        <w:trPr>
          <w:trHeight w:val="183"/>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Provision for income taxes</w:t>
            </w: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At December 31, 2022, the Company had U.S. federal net operating loss carryforwards (“NOLs”) related to tax years 2020 and prior of approximately $417.2 million. Approximately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$110.0 million of these NOLs have no expiration date. The remainder began to expire in 2023, unless previously utilized. Some of these NOLs may be limited by either past or future changes in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control events. The Company has California NOLs at December 31, 2022 of approximately $62.0 million, which begin to expire in 2028, unless previously utilized, and foreign NOLs for its active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foreign subsidiaries of approximately $22.7 million, which generally have no expiration date. At December 31, 2022, the Company had federal research and development tax credit carryforwards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approximately $15.9 million, which begin to expire in 2026, unless previously utilized, and California research and development tax credit carryforwards of approximately $17.4 million, which have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no expiration date.</w:t>
      </w:r>
    </w:p>
    <w:p>
      <w:pPr>
        <w:spacing w:after="0" w:line="113"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2022 and did not identify any events of cumulative change in ownership during the review period. The Company will continue monitoring any future changes in stock ownership.</w:t>
      </w:r>
    </w:p>
    <w:p>
      <w:pPr>
        <w:spacing w:after="0" w:line="77"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4"/>
          <w:szCs w:val="14"/>
          <w:color w:val="auto"/>
        </w:rPr>
        <w:t>On March 27, 2020, the U.S. government enacted the Coronavirus Aid, Relief, and Economic Security Act (“CARES Act”) which includes modifications to the limitation on business interest expense and net operating loss provisions, and provides a payment delay of employer payroll taxes during 2020 after the date of enactment. Payments of approximately $1.4 million of employer payroll taxes otherwise due in 2020, were delayed with 50% due and paid by December 31, 2021 and the remaining 50% in February 2023. The CARES Act did not have a material impact on the Company’s consolidated financial statements.</w:t>
      </w:r>
    </w:p>
    <w:p>
      <w:pPr>
        <w:spacing w:after="0" w:line="101" w:lineRule="exact"/>
        <w:rPr>
          <w:sz w:val="20"/>
          <w:szCs w:val="20"/>
          <w:color w:val="auto"/>
        </w:rPr>
      </w:pPr>
    </w:p>
    <w:p>
      <w:pPr>
        <w:ind w:right="120" w:firstLine="318"/>
        <w:spacing w:after="0" w:line="252" w:lineRule="auto"/>
        <w:rPr>
          <w:sz w:val="20"/>
          <w:szCs w:val="20"/>
          <w:color w:val="auto"/>
        </w:rPr>
      </w:pPr>
      <w:r>
        <w:rPr>
          <w:rFonts w:ascii="Arial" w:cs="Arial" w:eastAsia="Arial" w:hAnsi="Arial"/>
          <w:sz w:val="14"/>
          <w:szCs w:val="14"/>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2022, 2021 and 2020. At December 31, 2022, 2021 and 2020, the Company did not have interest expense related to uncertain tax positions or a liability for unrecognized tax benefits. The Company does not expect changes to its uncertain tax position in the next twelve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the beginning and ending amounts of unrecognized tax benefits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39,631</w:t>
            </w:r>
          </w:p>
        </w:tc>
      </w:tr>
      <w:tr>
        <w:trPr>
          <w:trHeight w:val="168"/>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Increases related to current and prior year tax positions</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1,998</w:t>
            </w:r>
          </w:p>
        </w:tc>
      </w:tr>
      <w:tr>
        <w:trPr>
          <w:trHeight w:val="163"/>
        </w:trPr>
        <w:tc>
          <w:tcPr>
            <w:tcW w:w="9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41,629</w:t>
            </w:r>
          </w:p>
        </w:tc>
      </w:tr>
      <w:tr>
        <w:trPr>
          <w:trHeight w:val="168"/>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Increases related to current and prior year tax positions</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w:t>
            </w:r>
          </w:p>
        </w:tc>
      </w:tr>
      <w:tr>
        <w:trPr>
          <w:trHeight w:val="18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42,915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There are no tax benefits that, if recognized, would affect the effective tax rate that are included in the balances of unrecognized tax benefits at December 31, 2022.</w:t>
      </w:r>
    </w:p>
    <w:p>
      <w:pPr>
        <w:spacing w:after="0" w:line="125" w:lineRule="exact"/>
        <w:rPr>
          <w:sz w:val="20"/>
          <w:szCs w:val="20"/>
          <w:color w:val="auto"/>
        </w:rPr>
      </w:pPr>
    </w:p>
    <w:p>
      <w:pPr>
        <w:ind w:right="260" w:firstLine="318"/>
        <w:spacing w:after="0" w:line="252" w:lineRule="auto"/>
        <w:rPr>
          <w:sz w:val="20"/>
          <w:szCs w:val="20"/>
          <w:color w:val="auto"/>
        </w:rPr>
      </w:pPr>
      <w:r>
        <w:rPr>
          <w:rFonts w:ascii="Arial" w:cs="Arial" w:eastAsia="Arial" w:hAnsi="Arial"/>
          <w:sz w:val="14"/>
          <w:szCs w:val="14"/>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2019 and 2018,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99"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On August 16, 2022, Congress passed, and the President signed into law, the Inflation Reduction Act of 2022 (the “IRA”), which includes certain business tax provisions. The IRA provides for excise taxes on corporate stock buy-backs and a minimum tax on corporate financial statement income in excess of $1.0 billion. These new provisions become effective January 1, 2023. The Company does not expect the IRA to have a material impact on the Company’s effective tax rate or income tax expense for the year ending December 31, 2023.</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Preferred Stock and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Preferred Stock</w:t>
      </w:r>
    </w:p>
    <w:p>
      <w:pPr>
        <w:spacing w:after="0" w:line="136" w:lineRule="exact"/>
        <w:rPr>
          <w:sz w:val="20"/>
          <w:szCs w:val="20"/>
          <w:color w:val="auto"/>
        </w:rPr>
      </w:pPr>
    </w:p>
    <w:p>
      <w:pPr>
        <w:ind w:right="100" w:firstLine="318"/>
        <w:spacing w:after="0" w:line="265" w:lineRule="auto"/>
        <w:rPr>
          <w:sz w:val="20"/>
          <w:szCs w:val="20"/>
          <w:color w:val="auto"/>
        </w:rPr>
      </w:pPr>
      <w:r>
        <w:rPr>
          <w:rFonts w:ascii="Arial" w:cs="Arial" w:eastAsia="Arial" w:hAnsi="Arial"/>
          <w:sz w:val="14"/>
          <w:szCs w:val="14"/>
          <w:color w:val="auto"/>
        </w:rPr>
        <w:t>The Company has a total of 2,000,000 shares of preferred stock authorized for issuance at a par value of $0.001 per share, 150,000 of which have been designated Series D Preferred Stock and 39,500 of which have been designated Series E Preferred Stock.</w:t>
      </w:r>
    </w:p>
    <w:p>
      <w:pPr>
        <w:spacing w:after="0" w:line="90" w:lineRule="exact"/>
        <w:rPr>
          <w:sz w:val="20"/>
          <w:szCs w:val="20"/>
          <w:color w:val="auto"/>
        </w:rPr>
      </w:pPr>
    </w:p>
    <w:p>
      <w:pPr>
        <w:ind w:firstLine="318"/>
        <w:spacing w:after="0" w:line="248" w:lineRule="auto"/>
        <w:rPr>
          <w:sz w:val="20"/>
          <w:szCs w:val="20"/>
          <w:color w:val="auto"/>
        </w:rPr>
      </w:pPr>
      <w:r>
        <w:rPr>
          <w:rFonts w:ascii="Arial" w:cs="Arial" w:eastAsia="Arial" w:hAnsi="Arial"/>
          <w:sz w:val="14"/>
          <w:szCs w:val="14"/>
          <w:color w:val="auto"/>
        </w:rPr>
        <w:t>Each share of Series E Preferred Stock entitles the holder thereof to receive, when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(as defined below).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right="220"/>
        <w:spacing w:after="0" w:line="304" w:lineRule="auto"/>
        <w:rPr>
          <w:sz w:val="20"/>
          <w:szCs w:val="20"/>
          <w:color w:val="auto"/>
        </w:rPr>
      </w:pPr>
      <w:r>
        <w:rPr>
          <w:rFonts w:ascii="Arial" w:cs="Arial" w:eastAsia="Arial" w:hAnsi="Arial"/>
          <w:sz w:val="13"/>
          <w:szCs w:val="13"/>
          <w:color w:val="auto"/>
        </w:rPr>
        <w:t>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 Transactions</w:t>
      </w:r>
    </w:p>
    <w:p>
      <w:pPr>
        <w:spacing w:after="0" w:line="125" w:lineRule="exact"/>
        <w:rPr>
          <w:sz w:val="20"/>
          <w:szCs w:val="20"/>
          <w:color w:val="auto"/>
        </w:rPr>
      </w:pPr>
    </w:p>
    <w:p>
      <w:pPr>
        <w:ind w:right="60" w:firstLine="318"/>
        <w:spacing w:after="0" w:line="259" w:lineRule="auto"/>
        <w:rPr>
          <w:sz w:val="20"/>
          <w:szCs w:val="20"/>
          <w:color w:val="auto"/>
        </w:rPr>
      </w:pPr>
      <w:r>
        <w:rPr>
          <w:rFonts w:ascii="Arial" w:cs="Arial" w:eastAsia="Arial" w:hAnsi="Arial"/>
          <w:sz w:val="14"/>
          <w:szCs w:val="14"/>
          <w:color w:val="auto"/>
        </w:rPr>
        <w:t>On March 6, 2020, the Company entered into a Securities Purchase Agreement with an accredited investor pursuant to which, among other things, the Company issued and sold to the investor, in a private placement transaction, an aggregate of 25,000 shares of the Company’s Series E Preferred Stock, for a purchase price of $1,000 per share of Series E Preferred Stock, resulting in gross proceeds to the Company of $25.0 million.</w:t>
      </w:r>
    </w:p>
    <w:p>
      <w:pPr>
        <w:spacing w:after="0" w:line="94" w:lineRule="exact"/>
        <w:rPr>
          <w:sz w:val="20"/>
          <w:szCs w:val="20"/>
          <w:color w:val="auto"/>
        </w:rPr>
      </w:pPr>
    </w:p>
    <w:p>
      <w:pPr>
        <w:ind w:right="20" w:firstLine="318"/>
        <w:spacing w:after="0" w:line="248" w:lineRule="auto"/>
        <w:rPr>
          <w:sz w:val="20"/>
          <w:szCs w:val="20"/>
          <w:color w:val="auto"/>
        </w:rPr>
      </w:pPr>
      <w:r>
        <w:rPr>
          <w:rFonts w:ascii="Arial" w:cs="Arial" w:eastAsia="Arial" w:hAnsi="Arial"/>
          <w:sz w:val="14"/>
          <w:szCs w:val="14"/>
          <w:color w:val="auto"/>
        </w:rPr>
        <w:t>On September 3, 2021, the Company entered into separate privately-negotiated exchange agreements (the “September Exchange Agreements”) with Golden Harbor Ltd. and North Sound Trading, L.P. (the “Participating Stockholders”), holders of the Company’s outstanding Series E Preferred Stock. Pursuant to each respective September Exchange Agreement, each of the Participating Stockholders agreed to exchange Series E Preferred Stock that they held (representing an aggregate of 10,000 shares of Series E Preferred Stock) for an aggregate of 1,525,207 shares of common stock, of the Company (the “Series E Exchange Transactions”). The Company did not receive any cash proceeds from the Participating Stockholders in connection with the Series E Exchange Transactions.</w:t>
      </w:r>
    </w:p>
    <w:p>
      <w:pPr>
        <w:spacing w:after="0" w:line="112" w:lineRule="exact"/>
        <w:rPr>
          <w:sz w:val="20"/>
          <w:szCs w:val="20"/>
          <w:color w:val="auto"/>
        </w:rPr>
      </w:pPr>
    </w:p>
    <w:p>
      <w:pPr>
        <w:ind w:right="440" w:firstLine="318"/>
        <w:spacing w:after="0" w:line="349" w:lineRule="auto"/>
        <w:rPr>
          <w:sz w:val="20"/>
          <w:szCs w:val="20"/>
          <w:color w:val="auto"/>
        </w:rPr>
      </w:pPr>
      <w:r>
        <w:rPr>
          <w:rFonts w:ascii="Arial" w:cs="Arial" w:eastAsia="Arial" w:hAnsi="Arial"/>
          <w:sz w:val="12"/>
          <w:szCs w:val="12"/>
          <w:color w:val="auto"/>
        </w:rPr>
        <w:t xml:space="preserve">The Company used the Guidance in ASC 470 </w:t>
      </w:r>
      <w:r>
        <w:rPr>
          <w:rFonts w:ascii="Arial" w:cs="Arial" w:eastAsia="Arial" w:hAnsi="Arial"/>
          <w:sz w:val="12"/>
          <w:szCs w:val="12"/>
          <w:i w:val="1"/>
          <w:iCs w:val="1"/>
          <w:color w:val="auto"/>
        </w:rPr>
        <w:t>Debt</w:t>
      </w:r>
      <w:r>
        <w:rPr>
          <w:rFonts w:ascii="Arial" w:cs="Arial" w:eastAsia="Arial" w:hAnsi="Arial"/>
          <w:sz w:val="12"/>
          <w:szCs w:val="12"/>
          <w:color w:val="auto"/>
        </w:rPr>
        <w:t>, regarding the modification of debt instruments and determined that the Series E Exchange Transactions were an extinguishment. If a modification or exchange represents an extinguishment for accounting purposes, it is accounted for as a redemption of the existing equity instrument and the issuance of a new instrument.</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ASC 260-10-S99-2, </w:t>
      </w:r>
      <w:r>
        <w:rPr>
          <w:rFonts w:ascii="Arial" w:cs="Arial" w:eastAsia="Arial" w:hAnsi="Arial"/>
          <w:sz w:val="13"/>
          <w:szCs w:val="13"/>
          <w:i w:val="1"/>
          <w:iCs w:val="1"/>
          <w:color w:val="auto"/>
        </w:rPr>
        <w:t>“SEC Staff Announcement: The Effect on the Calculation of Earnings Per Share for a Period That Includes the Redemption or Induced Conversion of Preferred Stock,”</w:t>
      </w:r>
    </w:p>
    <w:p>
      <w:pPr>
        <w:spacing w:after="0" w:line="31"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provides guidance on the accounting for extinguishments (redemptions) of equity-classified preferred stock. Under that guidance, an SEC registrant compares (1) the fair value of the consideration transferred to the holders of the preferred stock and (2) the carrying amount of the preferred stock immediately before the modification or exchange (net of issuance costs). The difference is treated as a return to (or from) the holder of the preferred stock in a manner similar to dividends paid on preferred stock. Any excess of fair value of the consideration transferred to the holders of the preferred stock over the carrying amount of the preferred stock in the issuer’s balance sheet is treated as a dividend to those holders and charged against retained earnings.</w:t>
      </w:r>
    </w:p>
    <w:p>
      <w:pPr>
        <w:spacing w:after="0" w:line="87" w:lineRule="exact"/>
        <w:rPr>
          <w:sz w:val="20"/>
          <w:szCs w:val="20"/>
          <w:color w:val="auto"/>
        </w:rPr>
      </w:pPr>
    </w:p>
    <w:p>
      <w:pPr>
        <w:ind w:right="340" w:firstLine="318"/>
        <w:spacing w:after="0" w:line="251" w:lineRule="auto"/>
        <w:rPr>
          <w:sz w:val="20"/>
          <w:szCs w:val="20"/>
          <w:color w:val="auto"/>
        </w:rPr>
      </w:pPr>
      <w:r>
        <w:rPr>
          <w:rFonts w:ascii="Arial" w:cs="Arial" w:eastAsia="Arial" w:hAnsi="Arial"/>
          <w:sz w:val="14"/>
          <w:szCs w:val="14"/>
          <w:color w:val="auto"/>
        </w:rPr>
        <w:t>The Company determined that the Series E Exchange Transactions resulted in an extinguishment of preferred stock and an issuance of common stock. The difference between the carrying amount of the preferred stock plus accrued dividends, and the fair value of the common stock exchanged for such preferred stock, totaled $1.1 million. This difference was treated as a deemed dividend, and was included within the Series E Preferred Stock dividends and deemed dividends from the preferred stock exchange, in the consolidated results of operations for the year ended December 31, 2021.</w:t>
      </w:r>
    </w:p>
    <w:p>
      <w:pPr>
        <w:spacing w:after="0" w:line="101"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During the years ended December 31, 2022, 2021 and 2020, dividends declared, but not paid, related to the Series E Preferred Stock resulted in $9.1 million, $6.4 million and $3.3 million of dividends accrued, approximating $365.60, $256.16 and $130.60 per preferred share, as of December 31, 2022,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w:t>
      </w:r>
    </w:p>
    <w:p>
      <w:pPr>
        <w:spacing w:after="0" w:line="125"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On August 6, 2018, the Company completed a private placement of 12,062,000 shares of its common stock and warrants (the “2018 Warrants”) to purchase an additional 4,221,700 shares of its common stock, subject to adjustment for stock splits, reverse stock splits, stock dividends and similar transactions, to certain accredited investors for gross proceeds of $19.7 million in cash. Each warrant had an initial exercise price of $2.52 per share, subject to adjustment for stock splits, reverse stock splits, stock dividends and similar transactions.</w:t>
      </w:r>
    </w:p>
    <w:p>
      <w:pPr>
        <w:spacing w:after="0" w:line="77"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had an initial exercise price of $7.00 per share, subject to adjustment for stock splits, reverse stock splits, stock dividends and similar transactions, were exercisable at any time on or after September 28, 2019. The 2019 Warrants were not exercised and expired on June 30, 2022.</w:t>
      </w:r>
    </w:p>
    <w:p>
      <w:pPr>
        <w:spacing w:after="0" w:line="112" w:lineRule="exact"/>
        <w:rPr>
          <w:sz w:val="20"/>
          <w:szCs w:val="20"/>
          <w:color w:val="auto"/>
        </w:rPr>
      </w:pPr>
    </w:p>
    <w:p>
      <w:pPr>
        <w:ind w:right="260" w:firstLine="318"/>
        <w:spacing w:after="0" w:line="265" w:lineRule="auto"/>
        <w:rPr>
          <w:sz w:val="20"/>
          <w:szCs w:val="20"/>
          <w:color w:val="auto"/>
        </w:rPr>
      </w:pPr>
      <w:r>
        <w:rPr>
          <w:rFonts w:ascii="Arial" w:cs="Arial" w:eastAsia="Arial" w:hAnsi="Arial"/>
          <w:sz w:val="14"/>
          <w:szCs w:val="14"/>
          <w:color w:val="auto"/>
        </w:rPr>
        <w:t>The Company assessed the terms of the warrants under ASC 815. Pursuant to this guidance, the Company determined that the warrants did not require liability accounting and classified the warrants as equity.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jc w:val="both"/>
        <w:ind w:right="40" w:firstLine="318"/>
        <w:spacing w:after="0" w:line="288" w:lineRule="auto"/>
        <w:rPr>
          <w:sz w:val="20"/>
          <w:szCs w:val="20"/>
          <w:color w:val="auto"/>
        </w:rPr>
      </w:pPr>
      <w:r>
        <w:rPr>
          <w:rFonts w:ascii="Arial" w:cs="Arial" w:eastAsia="Arial" w:hAnsi="Arial"/>
          <w:sz w:val="13"/>
          <w:szCs w:val="13"/>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Shares Reserved for Future Issuance</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had reserved shares of common stock for possible future issuance as of December 31, 2022 and 2021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60" w:type="dxa"/>
            <w:vAlign w:val="bottom"/>
          </w:tcPr>
          <w:p>
            <w:pPr>
              <w:spacing w:after="0"/>
              <w:rPr>
                <w:sz w:val="13"/>
                <w:szCs w:val="13"/>
                <w:color w:val="auto"/>
              </w:rPr>
            </w:pPr>
          </w:p>
        </w:tc>
        <w:tc>
          <w:tcPr>
            <w:tcW w:w="16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3"/>
                <w:szCs w:val="13"/>
                <w:color w:val="auto"/>
              </w:rPr>
            </w:pPr>
          </w:p>
        </w:tc>
      </w:tr>
      <w:tr>
        <w:trPr>
          <w:trHeight w:val="160"/>
        </w:trPr>
        <w:tc>
          <w:tcPr>
            <w:tcW w:w="87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2021</w:t>
            </w:r>
          </w:p>
        </w:tc>
      </w:tr>
      <w:tr>
        <w:trPr>
          <w:trHeight w:val="170"/>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warrants outstanding</w:t>
            </w:r>
          </w:p>
        </w:tc>
        <w:tc>
          <w:tcPr>
            <w:tcW w:w="168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Stock options outstanding</w:t>
            </w:r>
          </w:p>
        </w:tc>
        <w:tc>
          <w:tcPr>
            <w:tcW w:w="1200" w:type="dxa"/>
            <w:vAlign w:val="bottom"/>
          </w:tcPr>
          <w:p>
            <w:pPr>
              <w:jc w:val="right"/>
              <w:spacing w:after="0"/>
              <w:rPr>
                <w:sz w:val="20"/>
                <w:szCs w:val="20"/>
                <w:color w:val="auto"/>
              </w:rPr>
            </w:pPr>
            <w:r>
              <w:rPr>
                <w:rFonts w:ascii="Arial" w:cs="Arial" w:eastAsia="Arial" w:hAnsi="Arial"/>
                <w:sz w:val="13"/>
                <w:szCs w:val="13"/>
                <w:color w:val="auto"/>
              </w:rPr>
              <w:t>8,132,959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8,085,793</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1,178,370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1,247,723</w:t>
            </w:r>
          </w:p>
        </w:tc>
      </w:tr>
      <w:tr>
        <w:trPr>
          <w:trHeight w:val="168"/>
        </w:trPr>
        <w:tc>
          <w:tcPr>
            <w:tcW w:w="8760" w:type="dxa"/>
            <w:vAlign w:val="bottom"/>
          </w:tcPr>
          <w:p>
            <w:pPr>
              <w:ind w:left="20"/>
              <w:spacing w:after="0"/>
              <w:rPr>
                <w:sz w:val="20"/>
                <w:szCs w:val="20"/>
                <w:color w:val="auto"/>
              </w:rPr>
            </w:pPr>
            <w:r>
              <w:rPr>
                <w:rFonts w:ascii="Arial" w:cs="Arial" w:eastAsia="Arial" w:hAnsi="Arial"/>
                <w:sz w:val="13"/>
                <w:szCs w:val="13"/>
                <w:color w:val="auto"/>
              </w:rPr>
              <w:t>Shares available for issuance pursuant to Convertible Notes</w:t>
            </w:r>
          </w:p>
        </w:tc>
        <w:tc>
          <w:tcPr>
            <w:tcW w:w="1200" w:type="dxa"/>
            <w:vAlign w:val="bottom"/>
          </w:tcPr>
          <w:p>
            <w:pPr>
              <w:jc w:val="right"/>
              <w:spacing w:after="0"/>
              <w:rPr>
                <w:sz w:val="20"/>
                <w:szCs w:val="20"/>
                <w:color w:val="auto"/>
              </w:rPr>
            </w:pPr>
            <w:r>
              <w:rPr>
                <w:rFonts w:ascii="Arial" w:cs="Arial" w:eastAsia="Arial" w:hAnsi="Arial"/>
                <w:sz w:val="13"/>
                <w:szCs w:val="13"/>
                <w:color w:val="auto"/>
              </w:rPr>
              <w:t>14,090,448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14,340,786</w:t>
            </w:r>
          </w:p>
        </w:tc>
      </w:tr>
      <w:tr>
        <w:trPr>
          <w:trHeight w:val="172"/>
        </w:trPr>
        <w:tc>
          <w:tcPr>
            <w:tcW w:w="8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available for future grants of awards under the 2018 Omnibus Incentive Compensation Plan</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8,848,748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3,311,023</w:t>
            </w:r>
          </w:p>
        </w:tc>
      </w:tr>
      <w:tr>
        <w:trPr>
          <w:trHeight w:val="168"/>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Shares available under the 2000 Employee Stock Purchase Plan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895,141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170,811</w:t>
            </w:r>
          </w:p>
        </w:tc>
      </w:tr>
      <w:tr>
        <w:trPr>
          <w:trHeight w:val="188"/>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shares of common stock reserved for issuance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33,145,666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29,656,136</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Share-based Compensation</w:t>
      </w:r>
    </w:p>
    <w:p>
      <w:pPr>
        <w:spacing w:after="0" w:line="140" w:lineRule="exact"/>
        <w:rPr>
          <w:sz w:val="20"/>
          <w:szCs w:val="20"/>
          <w:color w:val="auto"/>
        </w:rPr>
      </w:pPr>
    </w:p>
    <w:p>
      <w:pPr>
        <w:jc w:val="both"/>
        <w:ind w:right="120" w:firstLine="318"/>
        <w:spacing w:after="0" w:line="277" w:lineRule="auto"/>
        <w:rPr>
          <w:sz w:val="20"/>
          <w:szCs w:val="20"/>
          <w:color w:val="auto"/>
        </w:rPr>
      </w:pPr>
      <w:r>
        <w:rPr>
          <w:rFonts w:ascii="Arial" w:cs="Arial" w:eastAsia="Arial" w:hAnsi="Arial"/>
          <w:sz w:val="13"/>
          <w:szCs w:val="13"/>
          <w:color w:val="auto"/>
        </w:rPr>
        <w:t>During the year ended December 31, 2022,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RSUs or other awards, including awards with alternative vesting schedules such as performance-based criteria. The 2018 Plan authorizes 32,753,085 shares, of which 8,848,748 remain available for future grants.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During the year ended December 31, 2022, the Board of Directors of the Company approved and the Company granted RSUs to eligible employees under the 2018 Omnibus Incentive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Compensation Plan, previously named the Amended and Restated 2009 Omnibus Incentive Compensation Plan (the “2018 Plan”) that were immediately vested, as fiscal 2021 annual bonus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payments. The total charges recorded for the year ended December 31, 2022 were $8.8 million. Total charges related to bonus payments recorded for the year ended December 31, 2021 were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$7.0 million. Total charges related to bonus payments recorded for the year ended December 31, 2020 were $2.7 million. During the year ended December 31, 2021, the Board of Directors of the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Company approved, and the Company granted additional RSUs under the 2018 Plan to certain employees who contributed to the completion of the divestiture of Ctrack South Africa. Such grants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were immediately vested, and the total charges were $0.6 million.</w:t>
      </w:r>
    </w:p>
    <w:p>
      <w:pPr>
        <w:spacing w:after="0" w:line="115" w:lineRule="exact"/>
        <w:rPr>
          <w:sz w:val="20"/>
          <w:szCs w:val="20"/>
          <w:color w:val="auto"/>
        </w:rPr>
      </w:pPr>
    </w:p>
    <w:p>
      <w:pPr>
        <w:ind w:right="380" w:firstLine="318"/>
        <w:spacing w:after="0" w:line="265" w:lineRule="auto"/>
        <w:rPr>
          <w:sz w:val="20"/>
          <w:szCs w:val="20"/>
          <w:color w:val="auto"/>
        </w:rPr>
      </w:pPr>
      <w:r>
        <w:rPr>
          <w:rFonts w:ascii="Arial" w:cs="Arial" w:eastAsia="Arial" w:hAnsi="Arial"/>
          <w:sz w:val="14"/>
          <w:szCs w:val="14"/>
          <w:color w:val="auto"/>
        </w:rPr>
        <w:t>For the years ended December 31, 2022, 2021 and 2020 the following table presents total share-based compensation expense in each functional line item on the consolidated statements of operations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3"/>
        </w:trPr>
        <w:tc>
          <w:tcPr>
            <w:tcW w:w="75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r>
      <w:tr>
        <w:trPr>
          <w:trHeight w:val="167"/>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76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2,823</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3,667</w:t>
            </w:r>
          </w:p>
        </w:tc>
      </w:tr>
      <w:tr>
        <w:trPr>
          <w:trHeight w:val="183"/>
        </w:trPr>
        <w:tc>
          <w:tcPr>
            <w:tcW w:w="7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760" w:type="dxa"/>
            <w:vAlign w:val="bottom"/>
            <w:shd w:val="clear" w:color="auto" w:fill="CCEEFF"/>
          </w:tcPr>
          <w:p>
            <w:pPr>
              <w:jc w:val="right"/>
              <w:ind w:right="6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17,875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136" w:lineRule="exact"/>
        <w:rPr>
          <w:sz w:val="20"/>
          <w:szCs w:val="20"/>
          <w:color w:val="auto"/>
        </w:rPr>
      </w:pPr>
    </w:p>
    <w:p>
      <w:pPr>
        <w:ind w:right="440" w:firstLine="318"/>
        <w:spacing w:after="0" w:line="265" w:lineRule="auto"/>
        <w:rPr>
          <w:sz w:val="20"/>
          <w:szCs w:val="20"/>
          <w:color w:val="auto"/>
        </w:rPr>
      </w:pPr>
      <w:r>
        <w:rPr>
          <w:rFonts w:ascii="Arial" w:cs="Arial" w:eastAsia="Arial" w:hAnsi="Arial"/>
          <w:sz w:val="14"/>
          <w:szCs w:val="14"/>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the weighted-average assumptions used in the Black-Scholes valuation model by the Company in calculating the fair value of each stock option granted:</w:t>
      </w:r>
    </w:p>
    <w:p>
      <w:pPr>
        <w:spacing w:after="0" w:line="162" w:lineRule="exact"/>
        <w:rPr>
          <w:sz w:val="20"/>
          <w:szCs w:val="20"/>
          <w:color w:val="auto"/>
        </w:rPr>
      </w:pPr>
    </w:p>
    <w:p>
      <w:pPr>
        <w:ind w:left="93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8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2021</w:t>
            </w:r>
          </w:p>
        </w:tc>
      </w:tr>
      <w:tr>
        <w:trPr>
          <w:trHeight w:val="167"/>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9440" w:type="dxa"/>
            <w:vAlign w:val="bottom"/>
            <w:gridSpan w:val="2"/>
          </w:tcPr>
          <w:p>
            <w:pPr>
              <w:ind w:left="20"/>
              <w:spacing w:after="0"/>
              <w:rPr>
                <w:sz w:val="20"/>
                <w:szCs w:val="20"/>
                <w:color w:val="auto"/>
              </w:rPr>
            </w:pPr>
            <w:r>
              <w:rPr>
                <w:rFonts w:ascii="Arial" w:cs="Arial" w:eastAsia="Arial" w:hAnsi="Arial"/>
                <w:sz w:val="13"/>
                <w:szCs w:val="13"/>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0.9 %</w:t>
            </w:r>
          </w:p>
        </w:tc>
      </w:tr>
      <w:tr>
        <w:trPr>
          <w:trHeight w:val="172"/>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r>
      <w:tr>
        <w:trPr>
          <w:trHeight w:val="165"/>
        </w:trPr>
        <w:tc>
          <w:tcPr>
            <w:tcW w:w="9440" w:type="dxa"/>
            <w:vAlign w:val="bottom"/>
            <w:gridSpan w:val="2"/>
          </w:tcPr>
          <w:p>
            <w:pPr>
              <w:ind w:left="20"/>
              <w:spacing w:after="0"/>
              <w:rPr>
                <w:sz w:val="20"/>
                <w:szCs w:val="20"/>
                <w:color w:val="auto"/>
              </w:rPr>
            </w:pPr>
            <w:r>
              <w:rPr>
                <w:rFonts w:ascii="Arial" w:cs="Arial" w:eastAsia="Arial" w:hAnsi="Arial"/>
                <w:sz w:val="13"/>
                <w:szCs w:val="13"/>
                <w:color w:val="auto"/>
              </w:rPr>
              <w:t>Expected term (in years)</w:t>
            </w: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w:t>
            </w: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weighted-average fair value of stock option awards granted during the years ended December 31, 2022 and 2021 was $2.91 and $5.41, respectively.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Company’s stock option activity for the years ended December 31, 2022, 2021 and 2020 (dollars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1"/>
              </w:rPr>
              <w:t>Weighted-Average</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Weighted-Average</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8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Remaining</w:t>
            </w:r>
          </w:p>
        </w:tc>
        <w:tc>
          <w:tcPr>
            <w:tcW w:w="220" w:type="dxa"/>
            <w:vAlign w:val="bottom"/>
          </w:tcPr>
          <w:p>
            <w:pPr>
              <w:spacing w:after="0"/>
              <w:rPr>
                <w:sz w:val="9"/>
                <w:szCs w:val="9"/>
                <w:color w:val="auto"/>
              </w:rPr>
            </w:pPr>
          </w:p>
        </w:tc>
        <w:tc>
          <w:tcPr>
            <w:tcW w:w="980" w:type="dxa"/>
            <w:vAlign w:val="bottom"/>
            <w:vMerge w:val="restart"/>
          </w:tcPr>
          <w:p>
            <w:pPr>
              <w:jc w:val="center"/>
              <w:ind w:right="140"/>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8"/>
              </w:rPr>
              <w:t>Exercise</w:t>
            </w:r>
          </w:p>
        </w:tc>
        <w:tc>
          <w:tcPr>
            <w:tcW w:w="128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4"/>
              </w:rPr>
              <w:t>Contractual</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2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2"/>
              </w:rPr>
              <w:t>Price Per</w:t>
            </w:r>
          </w:p>
        </w:tc>
        <w:tc>
          <w:tcPr>
            <w:tcW w:w="128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6"/>
              </w:rPr>
              <w:t>Term</w:t>
            </w:r>
          </w:p>
        </w:tc>
        <w:tc>
          <w:tcPr>
            <w:tcW w:w="220" w:type="dxa"/>
            <w:vAlign w:val="bottom"/>
          </w:tcPr>
          <w:p>
            <w:pPr>
              <w:spacing w:after="0"/>
              <w:rPr>
                <w:sz w:val="10"/>
                <w:szCs w:val="10"/>
                <w:color w:val="auto"/>
              </w:rPr>
            </w:pPr>
          </w:p>
        </w:tc>
        <w:tc>
          <w:tcPr>
            <w:tcW w:w="980" w:type="dxa"/>
            <w:vAlign w:val="bottom"/>
          </w:tcPr>
          <w:p>
            <w:pPr>
              <w:jc w:val="center"/>
              <w:ind w:right="140"/>
              <w:spacing w:after="0" w:line="117"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53"/>
        </w:trPr>
        <w:tc>
          <w:tcPr>
            <w:tcW w:w="61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5"/>
              </w:rPr>
              <w:t>Option</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(in years)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7"/>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9,044,304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1,526,000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(1,357,620)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(732,705)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8,479,979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1,929,500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(1,315,552)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(1,008,134)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8,085,793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Pr>
          <w:p>
            <w:pPr>
              <w:ind w:left="180"/>
              <w:spacing w:after="0"/>
              <w:rPr>
                <w:sz w:val="20"/>
                <w:szCs w:val="20"/>
                <w:color w:val="auto"/>
              </w:rPr>
            </w:pPr>
            <w:r>
              <w:rPr>
                <w:rFonts w:ascii="Arial" w:cs="Arial" w:eastAsia="Arial" w:hAnsi="Arial"/>
                <w:sz w:val="13"/>
                <w:szCs w:val="13"/>
                <w:color w:val="auto"/>
              </w:rPr>
              <w:t>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1,505,000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(370,688)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(1,087,146)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7.97</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8,132,959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20" w:type="dxa"/>
            <w:vAlign w:val="bottom"/>
          </w:tcPr>
          <w:p>
            <w:pPr>
              <w:ind w:left="20"/>
              <w:spacing w:after="0" w:line="133" w:lineRule="exact"/>
              <w:rPr>
                <w:sz w:val="20"/>
                <w:szCs w:val="20"/>
                <w:color w:val="auto"/>
              </w:rPr>
            </w:pPr>
            <w:r>
              <w:rPr>
                <w:rFonts w:ascii="Arial" w:cs="Arial" w:eastAsia="Arial" w:hAnsi="Arial"/>
                <w:sz w:val="13"/>
                <w:szCs w:val="13"/>
                <w:color w:val="auto"/>
              </w:rPr>
              <w:t>Vested and Expected to Vest — December 31, 2022</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7,573,152</w:t>
            </w:r>
          </w:p>
        </w:tc>
        <w:tc>
          <w:tcPr>
            <w:tcW w:w="22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3" w:lineRule="exact"/>
              <w:rPr>
                <w:sz w:val="20"/>
                <w:szCs w:val="20"/>
                <w:color w:val="auto"/>
              </w:rPr>
            </w:pPr>
            <w:r>
              <w:rPr>
                <w:rFonts w:ascii="Arial" w:cs="Arial" w:eastAsia="Arial" w:hAnsi="Arial"/>
                <w:sz w:val="13"/>
                <w:szCs w:val="13"/>
                <w:color w:val="auto"/>
              </w:rPr>
              <w:t>4.49</w:t>
            </w:r>
          </w:p>
        </w:tc>
        <w:tc>
          <w:tcPr>
            <w:tcW w:w="1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3"/>
                <w:szCs w:val="13"/>
                <w:color w:val="auto"/>
              </w:rPr>
              <w:t>5.01</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Exercisable —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5,550,858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The total intrinsic value of stock options exercised to purchase common stock during the years ended December 31, 2022, 2021 and 2020 was approximately $3.7 million, $4.3 million and $11.7 million, respectively.</w:t>
      </w:r>
    </w:p>
    <w:p>
      <w:pPr>
        <w:spacing w:after="0" w:line="79" w:lineRule="exact"/>
        <w:rPr>
          <w:sz w:val="20"/>
          <w:szCs w:val="20"/>
          <w:color w:val="auto"/>
        </w:rPr>
      </w:pPr>
    </w:p>
    <w:p>
      <w:pPr>
        <w:ind w:right="80" w:firstLine="318"/>
        <w:spacing w:after="0" w:line="259" w:lineRule="auto"/>
        <w:rPr>
          <w:sz w:val="20"/>
          <w:szCs w:val="20"/>
          <w:color w:val="auto"/>
        </w:rPr>
      </w:pPr>
      <w:r>
        <w:rPr>
          <w:rFonts w:ascii="Arial" w:cs="Arial" w:eastAsia="Arial" w:hAnsi="Arial"/>
          <w:sz w:val="14"/>
          <w:szCs w:val="14"/>
          <w:color w:val="auto"/>
        </w:rPr>
        <w:t>As of December 31, 2022, total unrecognized share-based compensation expense related to non-vested stock options was $7.1 million, which is expected to be recognized over a weighted-average period of approximately 2.69 years. The Company recognized approximately $5.9 million, $6.3 million and $5.8 million of share-based compensation expense related to the vesting of stock option awards during the years ended December 31, 2022, 2021 and 2020,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25" w:lineRule="exact"/>
        <w:rPr>
          <w:sz w:val="20"/>
          <w:szCs w:val="20"/>
          <w:color w:val="auto"/>
        </w:rPr>
      </w:pPr>
    </w:p>
    <w:p>
      <w:pPr>
        <w:ind w:right="220" w:firstLine="318"/>
        <w:spacing w:after="0" w:line="259" w:lineRule="auto"/>
        <w:rPr>
          <w:sz w:val="20"/>
          <w:szCs w:val="20"/>
          <w:color w:val="auto"/>
        </w:rPr>
      </w:pPr>
      <w:r>
        <w:rPr>
          <w:rFonts w:ascii="Arial" w:cs="Arial" w:eastAsia="Arial" w:hAnsi="Arial"/>
          <w:sz w:val="14"/>
          <w:szCs w:val="14"/>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restricted stock unit activity under all plans for the years ended December 31, 2022, 2021 and 2020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40" w:type="dxa"/>
            <w:vAlign w:val="bottom"/>
          </w:tcPr>
          <w:p>
            <w:pPr>
              <w:spacing w:after="0"/>
              <w:rPr>
                <w:sz w:val="10"/>
                <w:szCs w:val="10"/>
                <w:color w:val="auto"/>
              </w:rPr>
            </w:pPr>
          </w:p>
        </w:tc>
        <w:tc>
          <w:tcPr>
            <w:tcW w:w="1180" w:type="dxa"/>
            <w:vAlign w:val="bottom"/>
            <w:vMerge w:val="restart"/>
          </w:tcPr>
          <w:p>
            <w:pPr>
              <w:jc w:val="right"/>
              <w:ind w:right="97"/>
              <w:spacing w:after="0"/>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97"/>
              <w:spacing w:after="0"/>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51"/>
        </w:trPr>
        <w:tc>
          <w:tcPr>
            <w:tcW w:w="86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9"/>
              </w:rPr>
              <w:t>Grant-Date Fair Value</w:t>
            </w:r>
          </w:p>
        </w:tc>
        <w:tc>
          <w:tcPr>
            <w:tcW w:w="0" w:type="dxa"/>
            <w:vAlign w:val="bottom"/>
          </w:tcPr>
          <w:p>
            <w:pPr>
              <w:spacing w:after="0"/>
              <w:rPr>
                <w:sz w:val="1"/>
                <w:szCs w:val="1"/>
                <w:color w:val="auto"/>
              </w:rPr>
            </w:pPr>
          </w:p>
        </w:tc>
      </w:tr>
      <w:tr>
        <w:trPr>
          <w:trHeight w:val="165"/>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Non-vested — December 31, 2019</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400,315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68"/>
        </w:trPr>
        <w:tc>
          <w:tcPr>
            <w:tcW w:w="8640" w:type="dxa"/>
            <w:vAlign w:val="bottom"/>
          </w:tcPr>
          <w:p>
            <w:pPr>
              <w:ind w:left="180"/>
              <w:spacing w:after="0"/>
              <w:rPr>
                <w:sz w:val="20"/>
                <w:szCs w:val="20"/>
                <w:color w:val="auto"/>
              </w:rPr>
            </w:pPr>
            <w:r>
              <w:rPr>
                <w:rFonts w:ascii="Arial" w:cs="Arial" w:eastAsia="Arial" w:hAnsi="Arial"/>
                <w:sz w:val="13"/>
                <w:szCs w:val="13"/>
                <w:color w:val="auto"/>
              </w:rPr>
              <w:t>Granted</w:t>
            </w:r>
          </w:p>
        </w:tc>
        <w:tc>
          <w:tcPr>
            <w:tcW w:w="1180" w:type="dxa"/>
            <w:vAlign w:val="bottom"/>
          </w:tcPr>
          <w:p>
            <w:pPr>
              <w:jc w:val="right"/>
              <w:spacing w:after="0"/>
              <w:rPr>
                <w:sz w:val="20"/>
                <w:szCs w:val="20"/>
                <w:color w:val="auto"/>
              </w:rPr>
            </w:pPr>
            <w:r>
              <w:rPr>
                <w:rFonts w:ascii="Arial" w:cs="Arial" w:eastAsia="Arial" w:hAnsi="Arial"/>
                <w:sz w:val="13"/>
                <w:szCs w:val="13"/>
                <w:color w:val="auto"/>
              </w:rPr>
              <w:t>570,368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(548,160)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68"/>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(5,418)</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63"/>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Non-vested —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417,105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68"/>
        </w:trPr>
        <w:tc>
          <w:tcPr>
            <w:tcW w:w="8640" w:type="dxa"/>
            <w:vAlign w:val="bottom"/>
          </w:tcPr>
          <w:p>
            <w:pPr>
              <w:ind w:left="180"/>
              <w:spacing w:after="0"/>
              <w:rPr>
                <w:sz w:val="20"/>
                <w:szCs w:val="20"/>
                <w:color w:val="auto"/>
              </w:rPr>
            </w:pPr>
            <w:r>
              <w:rPr>
                <w:rFonts w:ascii="Arial" w:cs="Arial" w:eastAsia="Arial" w:hAnsi="Arial"/>
                <w:sz w:val="13"/>
                <w:szCs w:val="13"/>
                <w:color w:val="auto"/>
              </w:rPr>
              <w:t>Granted</w:t>
            </w:r>
          </w:p>
        </w:tc>
        <w:tc>
          <w:tcPr>
            <w:tcW w:w="1180" w:type="dxa"/>
            <w:vAlign w:val="bottom"/>
          </w:tcPr>
          <w:p>
            <w:pPr>
              <w:jc w:val="right"/>
              <w:spacing w:after="0"/>
              <w:rPr>
                <w:sz w:val="20"/>
                <w:szCs w:val="20"/>
                <w:color w:val="auto"/>
              </w:rPr>
            </w:pPr>
            <w:r>
              <w:rPr>
                <w:rFonts w:ascii="Arial" w:cs="Arial" w:eastAsia="Arial" w:hAnsi="Arial"/>
                <w:sz w:val="13"/>
                <w:szCs w:val="13"/>
                <w:color w:val="auto"/>
              </w:rPr>
              <w:t>1,931,263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(1,019,686)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68"/>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(80,959)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63"/>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Non-vested —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1,247,723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68"/>
        </w:trPr>
        <w:tc>
          <w:tcPr>
            <w:tcW w:w="8640" w:type="dxa"/>
            <w:vAlign w:val="bottom"/>
          </w:tcPr>
          <w:p>
            <w:pPr>
              <w:ind w:left="180"/>
              <w:spacing w:after="0"/>
              <w:rPr>
                <w:sz w:val="20"/>
                <w:szCs w:val="20"/>
                <w:color w:val="auto"/>
              </w:rPr>
            </w:pPr>
            <w:r>
              <w:rPr>
                <w:rFonts w:ascii="Arial" w:cs="Arial" w:eastAsia="Arial" w:hAnsi="Arial"/>
                <w:sz w:val="13"/>
                <w:szCs w:val="13"/>
                <w:color w:val="auto"/>
              </w:rPr>
              <w:t>Granted</w:t>
            </w:r>
          </w:p>
        </w:tc>
        <w:tc>
          <w:tcPr>
            <w:tcW w:w="1180" w:type="dxa"/>
            <w:vAlign w:val="bottom"/>
          </w:tcPr>
          <w:p>
            <w:pPr>
              <w:jc w:val="right"/>
              <w:spacing w:after="0"/>
              <w:rPr>
                <w:sz w:val="20"/>
                <w:szCs w:val="20"/>
                <w:color w:val="auto"/>
              </w:rPr>
            </w:pPr>
            <w:r>
              <w:rPr>
                <w:rFonts w:ascii="Arial" w:cs="Arial" w:eastAsia="Arial" w:hAnsi="Arial"/>
                <w:sz w:val="13"/>
                <w:szCs w:val="13"/>
                <w:color w:val="auto"/>
              </w:rPr>
              <w:t>2,544,053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72"/>
        </w:trPr>
        <w:tc>
          <w:tcPr>
            <w:tcW w:w="8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(2,278,818)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68"/>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(334,588)</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Non-vested — December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1,178,370</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the years ended December 31, 2022, 2021 and 2020, the total fair value of shares vested was $9.5 million, $10.4 million and $5.1 million, respectively.</w:t>
      </w:r>
    </w:p>
    <w:p>
      <w:pPr>
        <w:spacing w:after="0" w:line="125" w:lineRule="exact"/>
        <w:rPr>
          <w:sz w:val="20"/>
          <w:szCs w:val="20"/>
          <w:color w:val="auto"/>
        </w:rPr>
      </w:pPr>
    </w:p>
    <w:p>
      <w:pPr>
        <w:ind w:firstLine="318"/>
        <w:spacing w:after="0" w:line="259" w:lineRule="auto"/>
        <w:rPr>
          <w:sz w:val="20"/>
          <w:szCs w:val="20"/>
          <w:color w:val="auto"/>
        </w:rPr>
      </w:pPr>
      <w:r>
        <w:rPr>
          <w:rFonts w:ascii="Arial" w:cs="Arial" w:eastAsia="Arial" w:hAnsi="Arial"/>
          <w:sz w:val="14"/>
          <w:szCs w:val="14"/>
          <w:color w:val="auto"/>
        </w:rPr>
        <w:t>As of December 31, 2022, there was $4.0 million of unrecognized share-based compensation expense related to non-vested RSUs, which is expected to be recognized over a weighted-average period of 2.40 years. The Company recognized approximately $11.7 million, $9.6 million and $4.1 million of share-based compensation expense related to the vesting of RSUs during the years ended December 31, 2022, 2021 and 2020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2000 Employee Stock Purchase Plan</w:t>
      </w:r>
    </w:p>
    <w:p>
      <w:pPr>
        <w:spacing w:after="0" w:line="136" w:lineRule="exact"/>
        <w:rPr>
          <w:sz w:val="20"/>
          <w:szCs w:val="20"/>
          <w:color w:val="auto"/>
        </w:rPr>
      </w:pPr>
    </w:p>
    <w:p>
      <w:pPr>
        <w:ind w:right="20" w:firstLine="318"/>
        <w:spacing w:after="0" w:line="251" w:lineRule="auto"/>
        <w:rPr>
          <w:sz w:val="20"/>
          <w:szCs w:val="20"/>
          <w:color w:val="auto"/>
        </w:rPr>
      </w:pPr>
      <w:r>
        <w:rPr>
          <w:rFonts w:ascii="Arial" w:cs="Arial" w:eastAsia="Arial" w:hAnsi="Arial"/>
          <w:sz w:val="14"/>
          <w:szCs w:val="14"/>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5,324,000 shares of common stock may be purchased by eligible employees.</w:t>
      </w:r>
    </w:p>
    <w:p>
      <w:pPr>
        <w:spacing w:after="0" w:line="110" w:lineRule="exact"/>
        <w:rPr>
          <w:sz w:val="20"/>
          <w:szCs w:val="20"/>
          <w:color w:val="auto"/>
        </w:rPr>
      </w:pPr>
    </w:p>
    <w:p>
      <w:pPr>
        <w:ind w:right="620" w:firstLine="318"/>
        <w:spacing w:after="0" w:line="349" w:lineRule="auto"/>
        <w:rPr>
          <w:sz w:val="20"/>
          <w:szCs w:val="20"/>
          <w:color w:val="auto"/>
        </w:rPr>
      </w:pPr>
      <w:r>
        <w:rPr>
          <w:rFonts w:ascii="Arial" w:cs="Arial" w:eastAsia="Arial" w:hAnsi="Arial"/>
          <w:sz w:val="12"/>
          <w:szCs w:val="12"/>
          <w:color w:val="auto"/>
        </w:rPr>
        <w:t>During the years ended December 31, 2022 and 2021, the Company issued 525,670 shares and 220,390 shares, respectively, under the ESPP. The Company recognized approximately $0.3 million, $0.7 million and $0.6 million of share-based compensation expense related to the ESPP during the years ended December 31, 2022, 2021 and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Earnings per Share</w:t>
      </w:r>
    </w:p>
    <w:p>
      <w:pPr>
        <w:spacing w:after="0" w:line="140" w:lineRule="exact"/>
        <w:rPr>
          <w:sz w:val="20"/>
          <w:szCs w:val="20"/>
          <w:color w:val="auto"/>
        </w:rPr>
      </w:pPr>
    </w:p>
    <w:p>
      <w:pPr>
        <w:ind w:right="100" w:firstLine="318"/>
        <w:spacing w:after="0" w:line="248" w:lineRule="auto"/>
        <w:rPr>
          <w:sz w:val="20"/>
          <w:szCs w:val="20"/>
          <w:color w:val="auto"/>
        </w:rPr>
      </w:pPr>
      <w:r>
        <w:rPr>
          <w:rFonts w:ascii="Arial" w:cs="Arial" w:eastAsia="Arial" w:hAnsi="Arial"/>
          <w:sz w:val="14"/>
          <w:szCs w:val="14"/>
          <w:color w:val="auto"/>
        </w:rPr>
        <w:t>Basic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calculation of basic and diluted earnings per share was as follows (in thousands, except share and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3"/>
        </w:trPr>
        <w:tc>
          <w:tcPr>
            <w:tcW w:w="75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2020</w:t>
            </w:r>
          </w:p>
        </w:tc>
      </w:tr>
      <w:tr>
        <w:trPr>
          <w:trHeight w:val="167"/>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common stockholders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(70,705)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(114,119)</w:t>
            </w:r>
          </w:p>
        </w:tc>
      </w:tr>
      <w:tr>
        <w:trPr>
          <w:trHeight w:val="170"/>
        </w:trPr>
        <w:tc>
          <w:tcPr>
            <w:tcW w:w="7500" w:type="dxa"/>
            <w:vAlign w:val="bottom"/>
          </w:tcPr>
          <w:p>
            <w:pPr>
              <w:ind w:left="20"/>
              <w:spacing w:after="0"/>
              <w:rPr>
                <w:sz w:val="20"/>
                <w:szCs w:val="20"/>
                <w:color w:val="auto"/>
              </w:rPr>
            </w:pPr>
            <w:r>
              <w:rPr>
                <w:rFonts w:ascii="Arial" w:cs="Arial" w:eastAsia="Arial" w:hAnsi="Arial"/>
                <w:sz w:val="13"/>
                <w:szCs w:val="13"/>
                <w:color w:val="auto"/>
              </w:rPr>
              <w:t>Weighted-average common shares outstanding</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107,269,331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103,246,308</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96,111,547</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net loss per share</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firstLine="318"/>
        <w:spacing w:after="0" w:line="265" w:lineRule="auto"/>
        <w:rPr>
          <w:sz w:val="20"/>
          <w:szCs w:val="20"/>
          <w:color w:val="auto"/>
        </w:rPr>
      </w:pPr>
      <w:r>
        <w:rPr>
          <w:rFonts w:ascii="Arial" w:cs="Arial" w:eastAsia="Arial" w:hAnsi="Arial"/>
          <w:sz w:val="14"/>
          <w:szCs w:val="14"/>
          <w:color w:val="auto"/>
        </w:rPr>
        <w:t>The following is a summary of outstanding potential shares of common stock that have been excluded from the computation of diluted net loss per share attributable to common stockholders because their inclusion would have been anti-dilutive: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w w:val="96"/>
              </w:rPr>
              <w:t>Year Ended December 31,</w:t>
            </w:r>
          </w:p>
        </w:tc>
        <w:tc>
          <w:tcPr>
            <w:tcW w:w="1200" w:type="dxa"/>
            <w:vAlign w:val="bottom"/>
            <w:tcBorders>
              <w:bottom w:val="single" w:sz="8" w:color="auto"/>
            </w:tcBorders>
          </w:tcPr>
          <w:p>
            <w:pPr>
              <w:spacing w:after="0"/>
              <w:rPr>
                <w:sz w:val="13"/>
                <w:szCs w:val="13"/>
                <w:color w:val="auto"/>
              </w:rPr>
            </w:pPr>
          </w:p>
        </w:tc>
      </w:tr>
      <w:tr>
        <w:trPr>
          <w:trHeight w:val="15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2020</w:t>
            </w:r>
          </w:p>
        </w:tc>
      </w:tr>
      <w:tr>
        <w:trPr>
          <w:trHeight w:val="163"/>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14,341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14,784</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Warrants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2,500</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Non-qualified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8,086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8,480</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Restricted stock units</w:t>
            </w:r>
          </w:p>
        </w:tc>
        <w:tc>
          <w:tcPr>
            <w:tcW w:w="1200" w:type="dxa"/>
            <w:vAlign w:val="bottom"/>
          </w:tcPr>
          <w:p>
            <w:pPr>
              <w:jc w:val="right"/>
              <w:spacing w:after="0"/>
              <w:rPr>
                <w:sz w:val="20"/>
                <w:szCs w:val="20"/>
                <w:color w:val="auto"/>
              </w:rPr>
            </w:pPr>
            <w:r>
              <w:rPr>
                <w:rFonts w:ascii="Arial" w:cs="Arial" w:eastAsia="Arial" w:hAnsi="Arial"/>
                <w:sz w:val="13"/>
                <w:szCs w:val="13"/>
                <w:color w:val="auto"/>
              </w:rPr>
              <w:t>1,178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417</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Purchase Plan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3"/>
        </w:trPr>
        <w:tc>
          <w:tcPr>
            <w:tcW w:w="7500" w:type="dxa"/>
            <w:vAlign w:val="bottom"/>
          </w:tcPr>
          <w:p>
            <w:pPr>
              <w:ind w:left="20"/>
              <w:spacing w:after="0"/>
              <w:rPr>
                <w:sz w:val="20"/>
                <w:szCs w:val="20"/>
                <w:color w:val="auto"/>
              </w:rPr>
            </w:pPr>
            <w:r>
              <w:rPr>
                <w:rFonts w:ascii="Arial" w:cs="Arial" w:eastAsia="Arial" w:hAnsi="Arial"/>
                <w:sz w:val="13"/>
                <w:szCs w:val="13"/>
                <w:color w:val="auto"/>
              </w:rPr>
              <w:t>Total</w:t>
            </w:r>
          </w:p>
        </w:tc>
        <w:tc>
          <w:tcPr>
            <w:tcW w:w="1200" w:type="dxa"/>
            <w:vAlign w:val="bottom"/>
          </w:tcPr>
          <w:p>
            <w:pPr>
              <w:jc w:val="right"/>
              <w:spacing w:after="0"/>
              <w:rPr>
                <w:sz w:val="20"/>
                <w:szCs w:val="20"/>
                <w:color w:val="auto"/>
              </w:rPr>
            </w:pPr>
            <w:r>
              <w:rPr>
                <w:rFonts w:ascii="Arial" w:cs="Arial" w:eastAsia="Arial" w:hAnsi="Arial"/>
                <w:sz w:val="13"/>
                <w:szCs w:val="13"/>
                <w:color w:val="auto"/>
              </w:rPr>
              <w:t>23,827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26,319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26,206</w:t>
            </w:r>
          </w:p>
        </w:tc>
      </w:tr>
      <w:tr>
        <w:trPr>
          <w:trHeight w:val="20"/>
        </w:trPr>
        <w:tc>
          <w:tcPr>
            <w:tcW w:w="7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Noncancellable Purchase Obligations</w:t>
      </w:r>
    </w:p>
    <w:p>
      <w:pPr>
        <w:spacing w:after="0" w:line="125" w:lineRule="exact"/>
        <w:rPr>
          <w:sz w:val="20"/>
          <w:szCs w:val="20"/>
          <w:color w:val="auto"/>
        </w:rPr>
      </w:pPr>
    </w:p>
    <w:p>
      <w:pPr>
        <w:ind w:right="140" w:firstLine="318"/>
        <w:spacing w:after="0" w:line="259" w:lineRule="auto"/>
        <w:rPr>
          <w:sz w:val="20"/>
          <w:szCs w:val="20"/>
          <w:color w:val="auto"/>
        </w:rPr>
      </w:pPr>
      <w:r>
        <w:rPr>
          <w:rFonts w:ascii="Arial" w:cs="Arial" w:eastAsia="Arial" w:hAnsi="Arial"/>
          <w:sz w:val="14"/>
          <w:szCs w:val="14"/>
          <w:color w:val="auto"/>
        </w:rPr>
        <w:t>The Company typically enters into commitments with its contract manufacturers that require future purchases of goods or services in the upcoming three to four quarters following the balance sheet date. Such commitments are noncancellable (“noncancellable purchase obligations). As of December 31, 2022, future payments under these noncancellable purchase obligations were approximately $77.6 million.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w:t>
      </w:r>
    </w:p>
    <w:p>
      <w:pPr>
        <w:spacing w:after="0" w:line="125"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Indemnification</w:t>
      </w:r>
    </w:p>
    <w:p>
      <w:pPr>
        <w:spacing w:after="0" w:line="136" w:lineRule="exact"/>
        <w:rPr>
          <w:sz w:val="20"/>
          <w:szCs w:val="20"/>
          <w:color w:val="auto"/>
        </w:rPr>
      </w:pPr>
    </w:p>
    <w:p>
      <w:pPr>
        <w:jc w:val="both"/>
        <w:ind w:right="60" w:firstLine="318"/>
        <w:spacing w:after="0" w:line="279" w:lineRule="auto"/>
        <w:rPr>
          <w:sz w:val="20"/>
          <w:szCs w:val="20"/>
          <w:color w:val="auto"/>
        </w:rPr>
      </w:pPr>
      <w:r>
        <w:rPr>
          <w:rFonts w:ascii="Arial" w:cs="Arial" w:eastAsia="Arial" w:hAnsi="Arial"/>
          <w:sz w:val="13"/>
          <w:szCs w:val="13"/>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Leases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the right-of-use assets and lease liabilities were as follows (in thousands):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0"/>
              </w:rPr>
              <w:t>Balance Sheet Classification</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97"/>
              </w:rPr>
              <w:t>December 31,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1"/>
        </w:trPr>
        <w:tc>
          <w:tcPr>
            <w:tcW w:w="40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right-of-use assets</w:t>
            </w:r>
          </w:p>
        </w:tc>
        <w:tc>
          <w:tcPr>
            <w:tcW w:w="240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w w:val="85"/>
              </w:rPr>
              <w:t>Right-of-use assets</w:t>
            </w:r>
          </w:p>
        </w:tc>
        <w:tc>
          <w:tcPr>
            <w:tcW w:w="840" w:type="dxa"/>
            <w:vAlign w:val="bottom"/>
            <w:shd w:val="clear" w:color="auto" w:fill="CCEEFF"/>
          </w:tcPr>
          <w:p>
            <w:pPr>
              <w:spacing w:after="0"/>
              <w:rPr>
                <w:sz w:val="16"/>
                <w:szCs w:val="16"/>
                <w:color w:val="auto"/>
              </w:rPr>
            </w:pPr>
          </w:p>
        </w:tc>
        <w:tc>
          <w:tcPr>
            <w:tcW w:w="400" w:type="dxa"/>
            <w:vAlign w:val="bottom"/>
            <w:gridSpan w:val="6"/>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7,839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operating lease liabilities</w:t>
            </w:r>
          </w:p>
        </w:tc>
        <w:tc>
          <w:tcPr>
            <w:tcW w:w="240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w w:val="88"/>
              </w:rPr>
              <w:t>Accrued expenses and other current liabilities</w:t>
            </w:r>
          </w:p>
        </w:tc>
        <w:tc>
          <w:tcPr>
            <w:tcW w:w="840" w:type="dxa"/>
            <w:vAlign w:val="bottom"/>
            <w:shd w:val="clear" w:color="auto" w:fill="CCEEFF"/>
          </w:tcPr>
          <w:p>
            <w:pPr>
              <w:spacing w:after="0"/>
              <w:rPr>
                <w:sz w:val="14"/>
                <w:szCs w:val="14"/>
                <w:color w:val="auto"/>
              </w:rPr>
            </w:pPr>
          </w:p>
        </w:tc>
        <w:tc>
          <w:tcPr>
            <w:tcW w:w="400" w:type="dxa"/>
            <w:vAlign w:val="bottom"/>
            <w:gridSpan w:val="6"/>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1,769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Non-current operating lease liabilities</w:t>
            </w:r>
          </w:p>
        </w:tc>
        <w:tc>
          <w:tcPr>
            <w:tcW w:w="2400" w:type="dxa"/>
            <w:vAlign w:val="bottom"/>
            <w:tcBorders>
              <w:bottom w:val="single" w:sz="8" w:color="CCEEFF"/>
            </w:tcBorders>
            <w:gridSpan w:val="3"/>
          </w:tcPr>
          <w:p>
            <w:pPr>
              <w:jc w:val="center"/>
              <w:ind w:right="40"/>
              <w:spacing w:after="0"/>
              <w:rPr>
                <w:sz w:val="20"/>
                <w:szCs w:val="20"/>
                <w:color w:val="auto"/>
              </w:rPr>
            </w:pPr>
            <w:r>
              <w:rPr>
                <w:rFonts w:ascii="Arial" w:cs="Arial" w:eastAsia="Arial" w:hAnsi="Arial"/>
                <w:sz w:val="13"/>
                <w:szCs w:val="13"/>
                <w:color w:val="auto"/>
                <w:w w:val="91"/>
              </w:rPr>
              <w:t>Other long-term liabilities</w:t>
            </w:r>
          </w:p>
        </w:tc>
        <w:tc>
          <w:tcPr>
            <w:tcW w:w="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5,903</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7,112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operating lease liabilities</w:t>
            </w:r>
          </w:p>
        </w:tc>
        <w:tc>
          <w:tcPr>
            <w:tcW w:w="1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gridSpan w:val="6"/>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8,881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 (in years)</w:t>
            </w: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5"/>
        </w:trPr>
        <w:tc>
          <w:tcPr>
            <w:tcW w:w="5100" w:type="dxa"/>
            <w:vAlign w:val="bottom"/>
            <w:gridSpan w:val="2"/>
          </w:tcPr>
          <w:p>
            <w:pPr>
              <w:ind w:left="20"/>
              <w:spacing w:after="0"/>
              <w:rPr>
                <w:sz w:val="20"/>
                <w:szCs w:val="20"/>
                <w:color w:val="auto"/>
              </w:rPr>
            </w:pPr>
            <w:r>
              <w:rPr>
                <w:rFonts w:ascii="Arial" w:cs="Arial" w:eastAsia="Arial" w:hAnsi="Arial"/>
                <w:sz w:val="13"/>
                <w:szCs w:val="13"/>
                <w:color w:val="auto"/>
              </w:rPr>
              <w:t>Weighted-average discount rate</w:t>
            </w: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9.1 %</w:t>
            </w:r>
          </w:p>
        </w:tc>
        <w:tc>
          <w:tcPr>
            <w:tcW w:w="0" w:type="dxa"/>
            <w:vAlign w:val="bottom"/>
          </w:tcPr>
          <w:p>
            <w:pPr>
              <w:spacing w:after="0"/>
              <w:rPr>
                <w:sz w:val="1"/>
                <w:szCs w:val="1"/>
                <w:color w:val="auto"/>
              </w:rPr>
            </w:pPr>
          </w:p>
        </w:tc>
      </w:tr>
      <w:tr>
        <w:trPr>
          <w:trHeight w:val="375"/>
        </w:trPr>
        <w:tc>
          <w:tcPr>
            <w:tcW w:w="5100" w:type="dxa"/>
            <w:vAlign w:val="bottom"/>
            <w:gridSpan w:val="2"/>
          </w:tcPr>
          <w:p>
            <w:pPr>
              <w:ind w:left="320"/>
              <w:spacing w:after="0"/>
              <w:rPr>
                <w:sz w:val="20"/>
                <w:szCs w:val="20"/>
                <w:color w:val="auto"/>
              </w:rPr>
            </w:pPr>
            <w:r>
              <w:rPr>
                <w:rFonts w:ascii="Arial" w:cs="Arial" w:eastAsia="Arial" w:hAnsi="Arial"/>
                <w:sz w:val="14"/>
                <w:szCs w:val="14"/>
                <w:color w:val="auto"/>
              </w:rPr>
              <w:t>The components of lease cost were as follows (in thousands):</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1"/>
                <w:szCs w:val="11"/>
                <w:b w:val="1"/>
                <w:bCs w:val="1"/>
                <w:color w:val="auto"/>
                <w:w w:val="92"/>
              </w:rPr>
              <w:t>Year Ended December 31, 2022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w w:val="97"/>
              </w:rPr>
              <w:t>2022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costs included in operating costs and expenses</w:t>
            </w:r>
          </w:p>
        </w:tc>
        <w:tc>
          <w:tcPr>
            <w:tcW w:w="240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w:t>
            </w:r>
          </w:p>
        </w:tc>
        <w:tc>
          <w:tcPr>
            <w:tcW w:w="2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100" w:type="dxa"/>
            <w:vAlign w:val="bottom"/>
            <w:gridSpan w:val="2"/>
          </w:tcPr>
          <w:p>
            <w:pPr>
              <w:ind w:left="320"/>
              <w:spacing w:after="0"/>
              <w:rPr>
                <w:sz w:val="20"/>
                <w:szCs w:val="20"/>
                <w:color w:val="auto"/>
              </w:rPr>
            </w:pPr>
            <w:r>
              <w:rPr>
                <w:rFonts w:ascii="Arial" w:cs="Arial" w:eastAsia="Arial" w:hAnsi="Arial"/>
                <w:sz w:val="14"/>
                <w:szCs w:val="14"/>
                <w:color w:val="auto"/>
                <w:w w:val="91"/>
              </w:rPr>
              <w:t>Supplemental cash flow information related to leases was as follows (in thousands):</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1"/>
                <w:szCs w:val="11"/>
                <w:b w:val="1"/>
                <w:bCs w:val="1"/>
                <w:color w:val="auto"/>
                <w:w w:val="90"/>
              </w:rPr>
              <w:t>Year Ended December 31, 2022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20"/>
              <w:spacing w:after="0"/>
              <w:rPr>
                <w:sz w:val="20"/>
                <w:szCs w:val="20"/>
                <w:color w:val="auto"/>
              </w:rPr>
            </w:pPr>
            <w:r>
              <w:rPr>
                <w:rFonts w:ascii="Arial" w:cs="Arial" w:eastAsia="Arial" w:hAnsi="Arial"/>
                <w:sz w:val="13"/>
                <w:szCs w:val="13"/>
                <w:color w:val="auto"/>
              </w:rPr>
              <w:t>Operating cash flows related to operating leases</w:t>
            </w:r>
          </w:p>
        </w:tc>
        <w:tc>
          <w:tcPr>
            <w:tcW w:w="240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2,464</w:t>
            </w:r>
          </w:p>
        </w:tc>
        <w:tc>
          <w:tcPr>
            <w:tcW w:w="260" w:type="dxa"/>
            <w:vAlign w:val="bottom"/>
            <w:gridSpan w:val="5"/>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right-of-use assets obtained in exchange for lease liabilities</w:t>
            </w:r>
          </w:p>
        </w:tc>
        <w:tc>
          <w:tcPr>
            <w:tcW w:w="24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2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7500" w:type="dxa"/>
            <w:vAlign w:val="bottom"/>
            <w:gridSpan w:val="5"/>
          </w:tcPr>
          <w:p>
            <w:pPr>
              <w:ind w:left="320"/>
              <w:spacing w:after="0"/>
              <w:rPr>
                <w:sz w:val="20"/>
                <w:szCs w:val="20"/>
                <w:color w:val="auto"/>
              </w:rPr>
            </w:pPr>
            <w:r>
              <w:rPr>
                <w:rFonts w:ascii="Arial" w:cs="Arial" w:eastAsia="Arial" w:hAnsi="Arial"/>
                <w:sz w:val="14"/>
                <w:szCs w:val="14"/>
                <w:color w:val="auto"/>
              </w:rPr>
              <w:t>The future minimum payments under operating leases were as follows at December 31, 2022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0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558"/>
              <w:spacing w:after="0"/>
              <w:rPr>
                <w:sz w:val="20"/>
                <w:szCs w:val="20"/>
                <w:color w:val="auto"/>
              </w:rPr>
            </w:pPr>
            <w:r>
              <w:rPr>
                <w:rFonts w:ascii="Arial" w:cs="Arial" w:eastAsia="Arial" w:hAnsi="Arial"/>
                <w:sz w:val="13"/>
                <w:szCs w:val="13"/>
                <w:color w:val="auto"/>
                <w:w w:val="85"/>
              </w:rPr>
              <w:t>2,459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Arial" w:cs="Arial" w:eastAsia="Arial" w:hAnsi="Arial"/>
                <w:sz w:val="13"/>
                <w:szCs w:val="13"/>
                <w:color w:val="auto"/>
              </w:rPr>
              <w:t>2024</w:t>
            </w:r>
          </w:p>
        </w:tc>
        <w:tc>
          <w:tcPr>
            <w:tcW w:w="1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558"/>
              <w:spacing w:after="0"/>
              <w:rPr>
                <w:sz w:val="20"/>
                <w:szCs w:val="20"/>
                <w:color w:val="auto"/>
              </w:rPr>
            </w:pPr>
            <w:r>
              <w:rPr>
                <w:rFonts w:ascii="Arial" w:cs="Arial" w:eastAsia="Arial" w:hAnsi="Arial"/>
                <w:sz w:val="13"/>
                <w:szCs w:val="13"/>
                <w:color w:val="auto"/>
                <w:w w:val="85"/>
              </w:rPr>
              <w:t>2,203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0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558"/>
              <w:spacing w:after="0"/>
              <w:rPr>
                <w:sz w:val="20"/>
                <w:szCs w:val="20"/>
                <w:color w:val="auto"/>
              </w:rPr>
            </w:pPr>
            <w:r>
              <w:rPr>
                <w:rFonts w:ascii="Arial" w:cs="Arial" w:eastAsia="Arial" w:hAnsi="Arial"/>
                <w:sz w:val="13"/>
                <w:szCs w:val="13"/>
                <w:color w:val="auto"/>
                <w:w w:val="85"/>
              </w:rPr>
              <w:t>1,763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rPr>
                <w:sz w:val="20"/>
                <w:szCs w:val="20"/>
                <w:color w:val="auto"/>
              </w:rPr>
            </w:pPr>
            <w:r>
              <w:rPr>
                <w:rFonts w:ascii="Arial" w:cs="Arial" w:eastAsia="Arial" w:hAnsi="Arial"/>
                <w:sz w:val="13"/>
                <w:szCs w:val="13"/>
                <w:color w:val="auto"/>
              </w:rPr>
              <w:t>2026</w:t>
            </w:r>
          </w:p>
        </w:tc>
        <w:tc>
          <w:tcPr>
            <w:tcW w:w="1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558"/>
              <w:spacing w:after="0"/>
              <w:rPr>
                <w:sz w:val="20"/>
                <w:szCs w:val="20"/>
                <w:color w:val="auto"/>
              </w:rPr>
            </w:pPr>
            <w:r>
              <w:rPr>
                <w:rFonts w:ascii="Arial" w:cs="Arial" w:eastAsia="Arial" w:hAnsi="Arial"/>
                <w:sz w:val="13"/>
                <w:szCs w:val="13"/>
                <w:color w:val="auto"/>
                <w:w w:val="85"/>
              </w:rPr>
              <w:t>1,698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0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558"/>
              <w:spacing w:after="0"/>
              <w:rPr>
                <w:sz w:val="20"/>
                <w:szCs w:val="20"/>
                <w:color w:val="auto"/>
              </w:rPr>
            </w:pPr>
            <w:r>
              <w:rPr>
                <w:rFonts w:ascii="Arial" w:cs="Arial" w:eastAsia="Arial" w:hAnsi="Arial"/>
                <w:sz w:val="13"/>
                <w:szCs w:val="13"/>
                <w:color w:val="auto"/>
                <w:w w:val="85"/>
              </w:rPr>
              <w:t>1,125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Total minimum operating lease payments</w:t>
            </w: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558"/>
              <w:spacing w:after="0"/>
              <w:rPr>
                <w:sz w:val="20"/>
                <w:szCs w:val="20"/>
                <w:color w:val="auto"/>
              </w:rPr>
            </w:pPr>
            <w:r>
              <w:rPr>
                <w:rFonts w:ascii="Arial" w:cs="Arial" w:eastAsia="Arial" w:hAnsi="Arial"/>
                <w:sz w:val="13"/>
                <w:szCs w:val="13"/>
                <w:color w:val="auto"/>
                <w:w w:val="85"/>
              </w:rPr>
              <w:t>9,248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amounts representing interest</w:t>
            </w: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538"/>
              <w:spacing w:after="0"/>
              <w:rPr>
                <w:sz w:val="20"/>
                <w:szCs w:val="20"/>
                <w:color w:val="auto"/>
              </w:rPr>
            </w:pPr>
            <w:r>
              <w:rPr>
                <w:rFonts w:ascii="Arial" w:cs="Arial" w:eastAsia="Arial" w:hAnsi="Arial"/>
                <w:sz w:val="13"/>
                <w:szCs w:val="13"/>
                <w:color w:val="auto"/>
                <w:w w:val="92"/>
              </w:rPr>
              <w:t>(1,586)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Present value of net minimum operating lease payments</w:t>
            </w: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558"/>
              <w:spacing w:after="0"/>
              <w:rPr>
                <w:sz w:val="20"/>
                <w:szCs w:val="20"/>
                <w:color w:val="auto"/>
              </w:rPr>
            </w:pPr>
            <w:r>
              <w:rPr>
                <w:rFonts w:ascii="Arial" w:cs="Arial" w:eastAsia="Arial" w:hAnsi="Arial"/>
                <w:sz w:val="13"/>
                <w:szCs w:val="13"/>
                <w:color w:val="auto"/>
                <w:w w:val="85"/>
              </w:rPr>
              <w:t>7,662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current portion</w:t>
            </w: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538"/>
              <w:spacing w:after="0"/>
              <w:rPr>
                <w:sz w:val="20"/>
                <w:szCs w:val="20"/>
                <w:color w:val="auto"/>
              </w:rPr>
            </w:pPr>
            <w:r>
              <w:rPr>
                <w:rFonts w:ascii="Arial" w:cs="Arial" w:eastAsia="Arial" w:hAnsi="Arial"/>
                <w:sz w:val="13"/>
                <w:szCs w:val="13"/>
                <w:color w:val="auto"/>
                <w:w w:val="92"/>
              </w:rPr>
              <w:t>(1,759)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gridSpan w:val="2"/>
          </w:tcPr>
          <w:p>
            <w:pPr>
              <w:ind w:left="180"/>
              <w:spacing w:after="0"/>
              <w:rPr>
                <w:sz w:val="20"/>
                <w:szCs w:val="20"/>
                <w:color w:val="auto"/>
              </w:rPr>
            </w:pPr>
            <w:r>
              <w:rPr>
                <w:rFonts w:ascii="Arial" w:cs="Arial" w:eastAsia="Arial" w:hAnsi="Arial"/>
                <w:sz w:val="13"/>
                <w:szCs w:val="13"/>
                <w:color w:val="auto"/>
              </w:rPr>
              <w:t>Long-term portion of operating lease obligations</w:t>
            </w: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558"/>
              <w:spacing w:after="0"/>
              <w:rPr>
                <w:sz w:val="20"/>
                <w:szCs w:val="20"/>
                <w:color w:val="auto"/>
              </w:rPr>
            </w:pPr>
            <w:r>
              <w:rPr>
                <w:rFonts w:ascii="Arial" w:cs="Arial" w:eastAsia="Arial" w:hAnsi="Arial"/>
                <w:sz w:val="13"/>
                <w:szCs w:val="13"/>
                <w:color w:val="auto"/>
                <w:w w:val="85"/>
              </w:rPr>
              <w:t>5,903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Geographic Information and Concentrations of Risk</w:t>
            </w: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Geographic Information</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500" w:type="dxa"/>
            <w:vAlign w:val="bottom"/>
            <w:gridSpan w:val="5"/>
          </w:tcPr>
          <w:p>
            <w:pPr>
              <w:ind w:left="320"/>
              <w:spacing w:after="0"/>
              <w:rPr>
                <w:sz w:val="20"/>
                <w:szCs w:val="20"/>
                <w:color w:val="auto"/>
              </w:rPr>
            </w:pPr>
            <w:r>
              <w:rPr>
                <w:rFonts w:ascii="Arial" w:cs="Arial" w:eastAsia="Arial" w:hAnsi="Arial"/>
                <w:sz w:val="14"/>
                <w:szCs w:val="14"/>
                <w:color w:val="auto"/>
              </w:rPr>
              <w:t>The following table details the geographic concentration of the Company’s assets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and Canada</w:t>
            </w: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gridSpan w:val="7"/>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122,074</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176,094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gridSpan w:val="2"/>
          </w:tcPr>
          <w:p>
            <w:pPr>
              <w:ind w:left="20"/>
              <w:spacing w:after="0"/>
              <w:rPr>
                <w:sz w:val="20"/>
                <w:szCs w:val="20"/>
                <w:color w:val="auto"/>
              </w:rPr>
            </w:pPr>
            <w:r>
              <w:rPr>
                <w:rFonts w:ascii="Arial" w:cs="Arial" w:eastAsia="Arial" w:hAnsi="Arial"/>
                <w:sz w:val="13"/>
                <w:szCs w:val="13"/>
                <w:color w:val="auto"/>
              </w:rPr>
              <w:t>Europe</w:t>
            </w: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32,903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4,040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gridSpan w:val="7"/>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159,017</w:t>
            </w:r>
          </w:p>
        </w:tc>
        <w:tc>
          <w:tcPr>
            <w:tcW w:w="4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215,843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0" w:type="dxa"/>
            <w:vAlign w:val="bottom"/>
            <w:gridSpan w:val="3"/>
            <w:vMerge w:val="restart"/>
          </w:tcPr>
          <w:p>
            <w:pPr>
              <w:jc w:val="right"/>
              <w:ind w:right="1720"/>
              <w:spacing w:after="0"/>
              <w:rPr>
                <w:sz w:val="20"/>
                <w:szCs w:val="20"/>
                <w:color w:val="auto"/>
              </w:rPr>
            </w:pPr>
            <w:r>
              <w:rPr>
                <w:rFonts w:ascii="Arial" w:cs="Arial" w:eastAsia="Arial" w:hAnsi="Arial"/>
                <w:sz w:val="14"/>
                <w:szCs w:val="14"/>
                <w:color w:val="auto"/>
              </w:rPr>
              <w:t>F-38</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INSEEGO CORP.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details the Company’s net revenues by geographic region based on shipping destination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4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7"/>
              </w:rPr>
              <w:t>Year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3"/>
        </w:trPr>
        <w:tc>
          <w:tcPr>
            <w:tcW w:w="74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2020</w:t>
            </w:r>
          </w:p>
        </w:tc>
      </w:tr>
      <w:tr>
        <w:trPr>
          <w:trHeight w:val="167"/>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and Canada</w:t>
            </w: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201,799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260,009</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Europe</w:t>
            </w: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21,720</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Australia</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South Africa</w:t>
            </w: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17,346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28,208</w:t>
            </w: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w:t>
            </w:r>
          </w:p>
        </w:tc>
      </w:tr>
      <w:tr>
        <w:trPr>
          <w:trHeight w:val="163"/>
        </w:trPr>
        <w:tc>
          <w:tcPr>
            <w:tcW w:w="7420" w:type="dxa"/>
            <w:vAlign w:val="bottom"/>
          </w:tcPr>
          <w:p>
            <w:pPr>
              <w:ind w:left="2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245,323</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262,399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313,832</w:t>
            </w:r>
          </w:p>
        </w:tc>
      </w:tr>
      <w:tr>
        <w:trPr>
          <w:trHeight w:val="20"/>
        </w:trPr>
        <w:tc>
          <w:tcPr>
            <w:tcW w:w="7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Concentrations of Risk</w:t>
      </w:r>
    </w:p>
    <w:p>
      <w:pPr>
        <w:spacing w:after="0" w:line="125" w:lineRule="exact"/>
        <w:rPr>
          <w:sz w:val="20"/>
          <w:szCs w:val="20"/>
          <w:color w:val="auto"/>
        </w:rPr>
      </w:pPr>
    </w:p>
    <w:p>
      <w:pPr>
        <w:jc w:val="both"/>
        <w:ind w:right="60" w:firstLine="318"/>
        <w:spacing w:after="0" w:line="321" w:lineRule="auto"/>
        <w:rPr>
          <w:sz w:val="20"/>
          <w:szCs w:val="20"/>
          <w:color w:val="auto"/>
        </w:rPr>
      </w:pPr>
      <w:r>
        <w:rPr>
          <w:rFonts w:ascii="Arial" w:cs="Arial" w:eastAsia="Arial" w:hAnsi="Arial"/>
          <w:sz w:val="13"/>
          <w:szCs w:val="13"/>
          <w:color w:val="auto"/>
        </w:rPr>
        <w:t>For the year ended December 31, 2022, two customers accounted for 35.1% and 32.2% of net revenues, respectively. For the year ended December 31, 2021, the same two customers accounted for 43.9% and 26.4% of net revenues, respectively. For the year ended December 31, 2020, only one of these two customers accounted for 54.5% of net revenues.</w:t>
      </w:r>
    </w:p>
    <w:p>
      <w:pPr>
        <w:spacing w:after="0" w:line="56" w:lineRule="exact"/>
        <w:rPr>
          <w:sz w:val="20"/>
          <w:szCs w:val="20"/>
          <w:color w:val="auto"/>
        </w:rPr>
      </w:pPr>
    </w:p>
    <w:p>
      <w:pPr>
        <w:ind w:right="100" w:firstLine="318"/>
        <w:spacing w:after="0" w:line="265" w:lineRule="auto"/>
        <w:rPr>
          <w:sz w:val="20"/>
          <w:szCs w:val="20"/>
          <w:color w:val="auto"/>
        </w:rPr>
      </w:pPr>
      <w:r>
        <w:rPr>
          <w:rFonts w:ascii="Arial" w:cs="Arial" w:eastAsia="Arial" w:hAnsi="Arial"/>
          <w:sz w:val="14"/>
          <w:szCs w:val="14"/>
          <w:color w:val="auto"/>
        </w:rPr>
        <w:t>At December 31, 2022, two customers accounted for 37.4% and 21.9% of total accounts receivable, net, respectively. At December 31, 2021, two customers accounted for 61.7% and 12.6% of total accounts receivable, net,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Retirement Savings Plan</w:t>
      </w:r>
    </w:p>
    <w:p>
      <w:pPr>
        <w:spacing w:after="0" w:line="129" w:lineRule="exact"/>
        <w:rPr>
          <w:sz w:val="20"/>
          <w:szCs w:val="20"/>
          <w:color w:val="auto"/>
        </w:rPr>
      </w:pPr>
    </w:p>
    <w:p>
      <w:pPr>
        <w:ind w:right="180" w:firstLine="318"/>
        <w:spacing w:after="0" w:line="251" w:lineRule="auto"/>
        <w:rPr>
          <w:sz w:val="20"/>
          <w:szCs w:val="20"/>
          <w:color w:val="auto"/>
        </w:rPr>
      </w:pPr>
      <w:r>
        <w:rPr>
          <w:rFonts w:ascii="Arial" w:cs="Arial" w:eastAsia="Arial" w:hAnsi="Arial"/>
          <w:sz w:val="14"/>
          <w:szCs w:val="14"/>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were $0.9 million, $0.9 million and $0.7 million for the years ended December 31, 2022, 2021 and 2020, respectively. Employer matching contributions vest immediately.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280"/>
          </w:cols>
          <w:pgMar w:left="300" w:top="507" w:right="319" w:bottom="1440"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21</w:t>
      </w:r>
    </w:p>
    <w:p>
      <w:pPr>
        <w:spacing w:after="0" w:line="112" w:lineRule="exact"/>
        <w:rPr>
          <w:sz w:val="20"/>
          <w:szCs w:val="20"/>
          <w:color w:val="auto"/>
        </w:rPr>
      </w:pPr>
    </w:p>
    <w:tbl>
      <w:tblPr>
        <w:tblLayout w:type="fixed"/>
        <w:tblInd w:w="380" w:type="dxa"/>
        <w:tblCellMar>
          <w:top w:w="0" w:type="dxa"/>
          <w:left w:w="0" w:type="dxa"/>
          <w:bottom w:w="0" w:type="dxa"/>
          <w:right w:w="0" w:type="dxa"/>
        </w:tblCellMar>
      </w:tblPr>
      <w:tr>
        <w:trPr>
          <w:trHeight w:val="15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Subsidiary</w:t>
            </w:r>
          </w:p>
        </w:tc>
        <w:tc>
          <w:tcPr>
            <w:tcW w:w="100" w:type="dxa"/>
            <w:vAlign w:val="bottom"/>
            <w:tcBorders>
              <w:bottom w:val="single" w:sz="8" w:color="CCEEFF"/>
            </w:tcBorders>
          </w:tcPr>
          <w:p>
            <w:pPr>
              <w:spacing w:after="0"/>
              <w:rPr>
                <w:sz w:val="13"/>
                <w:szCs w:val="13"/>
                <w:color w:val="auto"/>
              </w:rPr>
            </w:pPr>
          </w:p>
        </w:tc>
        <w:tc>
          <w:tcPr>
            <w:tcW w:w="290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Jurisdiction of Incorporation or Organization</w:t>
            </w:r>
          </w:p>
        </w:tc>
      </w:tr>
      <w:tr>
        <w:trPr>
          <w:trHeight w:val="17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Inseego Wireless, Inc.</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Inseego (UK) Ltd</w:t>
            </w:r>
          </w:p>
        </w:tc>
        <w:tc>
          <w:tcPr>
            <w:tcW w:w="2900" w:type="dxa"/>
            <w:vAlign w:val="bottom"/>
          </w:tcPr>
          <w:p>
            <w:pPr>
              <w:spacing w:after="0"/>
              <w:rPr>
                <w:sz w:val="20"/>
                <w:szCs w:val="20"/>
                <w:color w:val="auto"/>
              </w:rPr>
            </w:pPr>
            <w:r>
              <w:rPr>
                <w:rFonts w:ascii="Arial" w:cs="Arial" w:eastAsia="Arial" w:hAnsi="Arial"/>
                <w:sz w:val="13"/>
                <w:szCs w:val="13"/>
                <w:color w:val="auto"/>
              </w:rPr>
              <w:t>United Kingdom</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Inseego Japan K K</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Novatel Wireless Australia Pty Ltd</w:t>
            </w:r>
          </w:p>
        </w:tc>
        <w:tc>
          <w:tcPr>
            <w:tcW w:w="2900" w:type="dxa"/>
            <w:vAlign w:val="bottom"/>
          </w:tcPr>
          <w:p>
            <w:pPr>
              <w:spacing w:after="0"/>
              <w:rPr>
                <w:sz w:val="20"/>
                <w:szCs w:val="20"/>
                <w:color w:val="auto"/>
              </w:rPr>
            </w:pPr>
            <w:r>
              <w:rPr>
                <w:rFonts w:ascii="Arial" w:cs="Arial" w:eastAsia="Arial" w:hAnsi="Arial"/>
                <w:sz w:val="13"/>
                <w:szCs w:val="13"/>
                <w:color w:val="auto"/>
              </w:rPr>
              <w:t>Australia</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Novatel Wireless Asia Ltd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Hong Kong</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Novatel Wireless (Shanghai) Co. Ltd.</w:t>
            </w:r>
          </w:p>
        </w:tc>
        <w:tc>
          <w:tcPr>
            <w:tcW w:w="2900" w:type="dxa"/>
            <w:vAlign w:val="bottom"/>
          </w:tcPr>
          <w:p>
            <w:pPr>
              <w:spacing w:after="0"/>
              <w:rPr>
                <w:sz w:val="20"/>
                <w:szCs w:val="20"/>
                <w:color w:val="auto"/>
              </w:rPr>
            </w:pPr>
            <w:r>
              <w:rPr>
                <w:rFonts w:ascii="Arial" w:cs="Arial" w:eastAsia="Arial" w:hAnsi="Arial"/>
                <w:sz w:val="13"/>
                <w:szCs w:val="13"/>
                <w:color w:val="auto"/>
              </w:rPr>
              <w:t>China</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R.E.R. Enterprises, Inc.</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Oregon</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Inseego North America, LLC</w:t>
            </w:r>
          </w:p>
        </w:tc>
        <w:tc>
          <w:tcPr>
            <w:tcW w:w="2900" w:type="dxa"/>
            <w:vAlign w:val="bottom"/>
          </w:tcPr>
          <w:p>
            <w:pPr>
              <w:spacing w:after="0"/>
              <w:rPr>
                <w:sz w:val="20"/>
                <w:szCs w:val="20"/>
                <w:color w:val="auto"/>
              </w:rPr>
            </w:pPr>
            <w:r>
              <w:rPr>
                <w:rFonts w:ascii="Arial" w:cs="Arial" w:eastAsia="Arial" w:hAnsi="Arial"/>
                <w:sz w:val="13"/>
                <w:szCs w:val="13"/>
                <w:color w:val="auto"/>
              </w:rPr>
              <w:t>Oregon</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Holdings (Pty) Ltd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South Africa</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Dedical (Pty) Ltd</w:t>
            </w:r>
          </w:p>
        </w:tc>
        <w:tc>
          <w:tcPr>
            <w:tcW w:w="2900" w:type="dxa"/>
            <w:vAlign w:val="bottom"/>
          </w:tcPr>
          <w:p>
            <w:pPr>
              <w:spacing w:after="0"/>
              <w:rPr>
                <w:sz w:val="20"/>
                <w:szCs w:val="20"/>
                <w:color w:val="auto"/>
              </w:rPr>
            </w:pPr>
            <w:r>
              <w:rPr>
                <w:rFonts w:ascii="Arial" w:cs="Arial" w:eastAsia="Arial" w:hAnsi="Arial"/>
                <w:sz w:val="13"/>
                <w:szCs w:val="13"/>
                <w:color w:val="auto"/>
              </w:rPr>
              <w:t>South Africa</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DigiCore Properties (Pty) Ltd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South Africa</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DigiCore International (Pty) Ltd</w:t>
            </w:r>
          </w:p>
        </w:tc>
        <w:tc>
          <w:tcPr>
            <w:tcW w:w="2900" w:type="dxa"/>
            <w:vAlign w:val="bottom"/>
          </w:tcPr>
          <w:p>
            <w:pPr>
              <w:spacing w:after="0"/>
              <w:rPr>
                <w:sz w:val="20"/>
                <w:szCs w:val="20"/>
                <w:color w:val="auto"/>
              </w:rPr>
            </w:pPr>
            <w:r>
              <w:rPr>
                <w:rFonts w:ascii="Arial" w:cs="Arial" w:eastAsia="Arial" w:hAnsi="Arial"/>
                <w:sz w:val="13"/>
                <w:szCs w:val="13"/>
                <w:color w:val="auto"/>
              </w:rPr>
              <w:t>South Africa</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International Holdings Ltd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Ctrack Europe Holdings Limited</w:t>
            </w:r>
          </w:p>
        </w:tc>
        <w:tc>
          <w:tcPr>
            <w:tcW w:w="2900" w:type="dxa"/>
            <w:vAlign w:val="bottom"/>
          </w:tcPr>
          <w:p>
            <w:pPr>
              <w:spacing w:after="0"/>
              <w:rPr>
                <w:sz w:val="20"/>
                <w:szCs w:val="20"/>
                <w:color w:val="auto"/>
              </w:rPr>
            </w:pPr>
            <w:r>
              <w:rPr>
                <w:rFonts w:ascii="Arial" w:cs="Arial" w:eastAsia="Arial" w:hAnsi="Arial"/>
                <w:sz w:val="13"/>
                <w:szCs w:val="13"/>
                <w:color w:val="auto"/>
              </w:rPr>
              <w:t>United Kingdom</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UK Ltd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Ctrack Ireland Ltd</w:t>
            </w:r>
          </w:p>
        </w:tc>
        <w:tc>
          <w:tcPr>
            <w:tcW w:w="2900" w:type="dxa"/>
            <w:vAlign w:val="bottom"/>
          </w:tcPr>
          <w:p>
            <w:pPr>
              <w:spacing w:after="0"/>
              <w:rPr>
                <w:sz w:val="20"/>
                <w:szCs w:val="20"/>
                <w:color w:val="auto"/>
              </w:rPr>
            </w:pPr>
            <w:r>
              <w:rPr>
                <w:rFonts w:ascii="Arial" w:cs="Arial" w:eastAsia="Arial" w:hAnsi="Arial"/>
                <w:sz w:val="13"/>
                <w:szCs w:val="13"/>
                <w:color w:val="auto"/>
              </w:rPr>
              <w:t>Ireland</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Digicore Deutschland GmbH</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DigiCore Europe BV</w:t>
            </w:r>
          </w:p>
        </w:tc>
        <w:tc>
          <w:tcPr>
            <w:tcW w:w="2900" w:type="dxa"/>
            <w:vAlign w:val="bottom"/>
          </w:tcPr>
          <w:p>
            <w:pPr>
              <w:spacing w:after="0"/>
              <w:rPr>
                <w:sz w:val="20"/>
                <w:szCs w:val="20"/>
                <w:color w:val="auto"/>
              </w:rPr>
            </w:pPr>
            <w:r>
              <w:rPr>
                <w:rFonts w:ascii="Arial" w:cs="Arial" w:eastAsia="Arial" w:hAnsi="Arial"/>
                <w:sz w:val="13"/>
                <w:szCs w:val="13"/>
                <w:color w:val="auto"/>
              </w:rPr>
              <w:t>Netherlands</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Benelux BV</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Netherlands</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DigiCore International Holdings BV</w:t>
            </w:r>
          </w:p>
        </w:tc>
        <w:tc>
          <w:tcPr>
            <w:tcW w:w="2900" w:type="dxa"/>
            <w:vAlign w:val="bottom"/>
          </w:tcPr>
          <w:p>
            <w:pPr>
              <w:spacing w:after="0"/>
              <w:rPr>
                <w:sz w:val="20"/>
                <w:szCs w:val="20"/>
                <w:color w:val="auto"/>
              </w:rPr>
            </w:pPr>
            <w:r>
              <w:rPr>
                <w:rFonts w:ascii="Arial" w:cs="Arial" w:eastAsia="Arial" w:hAnsi="Arial"/>
                <w:sz w:val="13"/>
                <w:szCs w:val="13"/>
                <w:color w:val="auto"/>
              </w:rPr>
              <w:t>Netherlands</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New Zealand Limited</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New Zealand</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Ctrack (Pty) Ltd</w:t>
            </w:r>
          </w:p>
        </w:tc>
        <w:tc>
          <w:tcPr>
            <w:tcW w:w="2900" w:type="dxa"/>
            <w:vAlign w:val="bottom"/>
          </w:tcPr>
          <w:p>
            <w:pPr>
              <w:spacing w:after="0"/>
              <w:rPr>
                <w:sz w:val="20"/>
                <w:szCs w:val="20"/>
                <w:color w:val="auto"/>
              </w:rPr>
            </w:pPr>
            <w:r>
              <w:rPr>
                <w:rFonts w:ascii="Arial" w:cs="Arial" w:eastAsia="Arial" w:hAnsi="Arial"/>
                <w:sz w:val="13"/>
                <w:szCs w:val="13"/>
                <w:color w:val="auto"/>
              </w:rPr>
              <w:t>Australia</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Belgium BVBA</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Belgium</w:t>
            </w:r>
          </w:p>
        </w:tc>
      </w:tr>
      <w:tr>
        <w:trPr>
          <w:trHeight w:val="168"/>
        </w:trPr>
        <w:tc>
          <w:tcPr>
            <w:tcW w:w="5360" w:type="dxa"/>
            <w:vAlign w:val="bottom"/>
            <w:gridSpan w:val="2"/>
          </w:tcPr>
          <w:p>
            <w:pPr>
              <w:ind w:left="20"/>
              <w:spacing w:after="0"/>
              <w:rPr>
                <w:sz w:val="20"/>
                <w:szCs w:val="20"/>
                <w:color w:val="auto"/>
              </w:rPr>
            </w:pPr>
            <w:r>
              <w:rPr>
                <w:rFonts w:ascii="Arial" w:cs="Arial" w:eastAsia="Arial" w:hAnsi="Arial"/>
                <w:sz w:val="13"/>
                <w:szCs w:val="13"/>
                <w:color w:val="auto"/>
              </w:rPr>
              <w:t>Ctrack France SARL</w:t>
            </w:r>
          </w:p>
        </w:tc>
        <w:tc>
          <w:tcPr>
            <w:tcW w:w="2900" w:type="dxa"/>
            <w:vAlign w:val="bottom"/>
          </w:tcPr>
          <w:p>
            <w:pPr>
              <w:spacing w:after="0"/>
              <w:rPr>
                <w:sz w:val="20"/>
                <w:szCs w:val="20"/>
                <w:color w:val="auto"/>
              </w:rPr>
            </w:pPr>
            <w:r>
              <w:rPr>
                <w:rFonts w:ascii="Arial" w:cs="Arial" w:eastAsia="Arial" w:hAnsi="Arial"/>
                <w:sz w:val="13"/>
                <w:szCs w:val="13"/>
                <w:color w:val="auto"/>
              </w:rPr>
              <w:t>France</w:t>
            </w:r>
          </w:p>
        </w:tc>
      </w:tr>
      <w:tr>
        <w:trPr>
          <w:trHeight w:val="17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Ctrack Ltd UK Trading</w:t>
            </w: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r>
    </w:tbl>
    <w:p>
      <w:pPr>
        <w:sectPr>
          <w:pgSz w:w="11900" w:h="16838" w:orient="portrait"/>
          <w:cols w:equalWidth="0" w:num="1">
            <w:col w:w="10140"/>
          </w:cols>
          <w:pgMar w:left="1440" w:top="729"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w:t>
      </w:r>
    </w:p>
    <w:p>
      <w:pPr>
        <w:spacing w:after="0" w:line="186"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Registration Statement (Form S-3 No. 333-207255) of Novatel Wireless, Inc. (predecessor issuer to Inseego Corp.);</w:t>
      </w:r>
    </w:p>
    <w:p>
      <w:pPr>
        <w:spacing w:after="0" w:line="186" w:lineRule="exact"/>
        <w:rPr>
          <w:rFonts w:ascii="Arial" w:cs="Arial" w:eastAsia="Arial" w:hAnsi="Arial"/>
          <w:sz w:val="17"/>
          <w:szCs w:val="17"/>
          <w:color w:val="auto"/>
        </w:rPr>
      </w:pPr>
    </w:p>
    <w:p>
      <w:pPr>
        <w:ind w:left="520" w:hanging="260"/>
        <w:spacing w:after="0" w:line="258" w:lineRule="auto"/>
        <w:tabs>
          <w:tab w:leader="none" w:pos="5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Registration Statements (Form S-3 Nos. 333-239728, 333-238057, 333-233206, 333-231350, 333-228315, 333-226753, and 333-221404) of Inseego Corp.; and</w:t>
      </w:r>
    </w:p>
    <w:p>
      <w:pPr>
        <w:spacing w:after="0" w:line="152" w:lineRule="exact"/>
        <w:rPr>
          <w:rFonts w:ascii="Arial" w:cs="Arial" w:eastAsia="Arial" w:hAnsi="Arial"/>
          <w:sz w:val="17"/>
          <w:szCs w:val="17"/>
          <w:color w:val="auto"/>
        </w:rPr>
      </w:pPr>
    </w:p>
    <w:p>
      <w:pPr>
        <w:ind w:left="520" w:hanging="260"/>
        <w:spacing w:after="0" w:line="245" w:lineRule="auto"/>
        <w:tabs>
          <w:tab w:leader="none" w:pos="5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Registration Statements (Form S-8 Nos. 333-266721, 333-263381, 333-246367, 333-226754, 333-214965, 333-207233, 333-202648, 333-190879, 333-176489, 333-163033, 333-145482, 333-139730, and 333-53692) of Inseego Corp.,</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of our report dated March 2, 2023, with respect to our audits of the consolidated financial statements of Inseego Corp. as of December 31, 2022 and 2021 and for each of the three years in the period ended December 31, 2022 and our report dated March 2, 2023 with respect to our audit of internal control over financial reporting of Inseego Corp. as of December 31, 2022, which reports are included in this Annual Report on Form 10-K of Inseego Corp.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Marcum </w:t>
      </w:r>
      <w:r>
        <w:rPr>
          <w:rFonts w:ascii="Arial" w:cs="Arial" w:eastAsia="Arial" w:hAnsi="Arial"/>
          <w:sz w:val="14"/>
          <w:szCs w:val="14"/>
          <w:color w:val="auto"/>
        </w:rPr>
        <w:t>LLP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4"/>
          <w:szCs w:val="14"/>
          <w:color w:val="auto"/>
        </w:rPr>
        <w:t>LLP</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rPr>
          <w:sz w:val="20"/>
          <w:szCs w:val="20"/>
          <w:color w:val="auto"/>
        </w:rPr>
      </w:pPr>
      <w:r>
        <w:rPr>
          <w:rFonts w:ascii="Arial" w:cs="Arial" w:eastAsia="Arial" w:hAnsi="Arial"/>
          <w:sz w:val="17"/>
          <w:szCs w:val="17"/>
          <w:color w:val="auto"/>
        </w:rPr>
        <w:t>March 2, 2023</w:t>
      </w:r>
    </w:p>
    <w:p>
      <w:pPr>
        <w:sectPr>
          <w:pgSz w:w="11900" w:h="16838" w:orient="portrait"/>
          <w:cols w:equalWidth="0" w:num="1">
            <w:col w:w="11280"/>
          </w:cols>
          <w:pgMar w:left="300" w:top="1205"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Ashish Sharma, certify that:</w:t>
      </w:r>
    </w:p>
    <w:p>
      <w:pPr>
        <w:spacing w:after="0" w:line="136" w:lineRule="exact"/>
        <w:rPr>
          <w:sz w:val="20"/>
          <w:szCs w:val="20"/>
          <w:color w:val="auto"/>
        </w:rPr>
      </w:pPr>
    </w:p>
    <w:p>
      <w:pPr>
        <w:ind w:left="520" w:hanging="133"/>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Inseego Corp.;</w:t>
      </w:r>
    </w:p>
    <w:p>
      <w:pPr>
        <w:spacing w:after="0" w:line="136" w:lineRule="exact"/>
        <w:rPr>
          <w:rFonts w:ascii="Arial" w:cs="Arial" w:eastAsia="Arial" w:hAnsi="Arial"/>
          <w:sz w:val="14"/>
          <w:szCs w:val="14"/>
          <w:color w:val="auto"/>
        </w:rPr>
      </w:pPr>
    </w:p>
    <w:p>
      <w:pPr>
        <w:ind w:right="720" w:firstLine="387"/>
        <w:spacing w:after="0" w:line="281" w:lineRule="auto"/>
        <w:tabs>
          <w:tab w:leader="none" w:pos="523"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180" w:firstLine="387"/>
        <w:spacing w:after="0" w:line="281" w:lineRule="auto"/>
        <w:tabs>
          <w:tab w:leader="none" w:pos="523"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20" w:firstLine="387"/>
        <w:spacing w:after="0" w:line="281" w:lineRule="auto"/>
        <w:tabs>
          <w:tab w:leader="none" w:pos="523"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jc w:val="both"/>
        <w:ind w:left="1060" w:right="320" w:hanging="176"/>
        <w:spacing w:after="0" w:line="231" w:lineRule="auto"/>
        <w:tabs>
          <w:tab w:leader="none" w:pos="10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4"/>
          <w:szCs w:val="14"/>
          <w:color w:val="auto"/>
        </w:rPr>
      </w:pPr>
    </w:p>
    <w:p>
      <w:pPr>
        <w:jc w:val="both"/>
        <w:ind w:left="1060" w:right="520" w:hanging="184"/>
        <w:spacing w:after="0" w:line="231" w:lineRule="auto"/>
        <w:tabs>
          <w:tab w:leader="none" w:pos="10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4"/>
          <w:szCs w:val="14"/>
          <w:color w:val="auto"/>
        </w:rPr>
      </w:pPr>
    </w:p>
    <w:p>
      <w:pPr>
        <w:ind w:left="1060" w:right="120" w:hanging="176"/>
        <w:spacing w:after="0" w:line="236" w:lineRule="auto"/>
        <w:tabs>
          <w:tab w:leader="none" w:pos="10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4"/>
          <w:szCs w:val="14"/>
          <w:color w:val="auto"/>
        </w:rPr>
      </w:pPr>
    </w:p>
    <w:p>
      <w:pPr>
        <w:ind w:left="1060" w:right="100" w:hanging="184"/>
        <w:spacing w:after="0" w:line="312" w:lineRule="auto"/>
        <w:tabs>
          <w:tab w:leader="none" w:pos="10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2"/>
          <w:szCs w:val="12"/>
          <w:color w:val="auto"/>
        </w:rPr>
      </w:pPr>
    </w:p>
    <w:p>
      <w:pPr>
        <w:ind w:right="520" w:firstLine="387"/>
        <w:spacing w:after="0" w:line="281" w:lineRule="auto"/>
        <w:tabs>
          <w:tab w:leader="none" w:pos="523"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4"/>
          <w:szCs w:val="14"/>
          <w:color w:val="auto"/>
        </w:rPr>
      </w:pPr>
    </w:p>
    <w:p>
      <w:pPr>
        <w:ind w:left="1060" w:right="460" w:hanging="176"/>
        <w:spacing w:after="0" w:line="236" w:lineRule="auto"/>
        <w:tabs>
          <w:tab w:leader="none" w:pos="10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4"/>
          <w:szCs w:val="14"/>
          <w:color w:val="auto"/>
        </w:rPr>
      </w:pPr>
    </w:p>
    <w:p>
      <w:pPr>
        <w:ind w:left="1060" w:hanging="184"/>
        <w:spacing w:after="0"/>
        <w:tabs>
          <w:tab w:leader="none" w:pos="10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Date: March 2, 2023</w:t>
      </w:r>
    </w:p>
    <w:p>
      <w:pPr>
        <w:spacing w:after="0" w:line="189" w:lineRule="exact"/>
        <w:rPr>
          <w:sz w:val="20"/>
          <w:szCs w:val="20"/>
          <w:color w:val="auto"/>
        </w:rPr>
      </w:pPr>
    </w:p>
    <w:p>
      <w:pPr>
        <w:ind w:left="2980"/>
        <w:spacing w:after="0"/>
        <w:tabs>
          <w:tab w:leader="none" w:pos="3220" w:val="left"/>
        </w:tabs>
        <w:rPr>
          <w:sz w:val="20"/>
          <w:szCs w:val="20"/>
          <w:color w:val="auto"/>
        </w:rPr>
      </w:pPr>
      <w:r>
        <w:rPr>
          <w:rFonts w:ascii="Arial" w:cs="Arial" w:eastAsia="Arial" w:hAnsi="Arial"/>
          <w:sz w:val="14"/>
          <w:szCs w:val="14"/>
          <w:color w:val="auto"/>
        </w:rPr>
        <w:t>/s/</w:t>
        <w:tab/>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26035</wp:posOffset>
            </wp:positionV>
            <wp:extent cx="340931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Ashish Sharma</w:t>
      </w:r>
    </w:p>
    <w:p>
      <w:pPr>
        <w:spacing w:after="0" w:line="98"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61"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 13a-14(a)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Robert G. Barbieri, certify that:</w:t>
      </w:r>
    </w:p>
    <w:p>
      <w:pPr>
        <w:spacing w:after="0" w:line="136" w:lineRule="exact"/>
        <w:rPr>
          <w:sz w:val="20"/>
          <w:szCs w:val="20"/>
          <w:color w:val="auto"/>
        </w:rPr>
      </w:pPr>
    </w:p>
    <w:p>
      <w:pPr>
        <w:ind w:left="520" w:hanging="133"/>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Inseego Corp.;</w:t>
      </w:r>
    </w:p>
    <w:p>
      <w:pPr>
        <w:spacing w:after="0" w:line="136" w:lineRule="exact"/>
        <w:rPr>
          <w:rFonts w:ascii="Arial" w:cs="Arial" w:eastAsia="Arial" w:hAnsi="Arial"/>
          <w:sz w:val="14"/>
          <w:szCs w:val="14"/>
          <w:color w:val="auto"/>
        </w:rPr>
      </w:pPr>
    </w:p>
    <w:p>
      <w:pPr>
        <w:ind w:right="720" w:firstLine="387"/>
        <w:spacing w:after="0" w:line="281" w:lineRule="auto"/>
        <w:tabs>
          <w:tab w:leader="none" w:pos="523"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180" w:firstLine="387"/>
        <w:spacing w:after="0" w:line="281" w:lineRule="auto"/>
        <w:tabs>
          <w:tab w:leader="none" w:pos="523"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20" w:firstLine="387"/>
        <w:spacing w:after="0" w:line="281" w:lineRule="auto"/>
        <w:tabs>
          <w:tab w:leader="none" w:pos="52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jc w:val="both"/>
        <w:ind w:left="1060" w:right="320" w:hanging="176"/>
        <w:spacing w:after="0" w:line="226" w:lineRule="auto"/>
        <w:tabs>
          <w:tab w:leader="none" w:pos="10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4"/>
          <w:szCs w:val="14"/>
          <w:color w:val="auto"/>
        </w:rPr>
      </w:pPr>
    </w:p>
    <w:p>
      <w:pPr>
        <w:jc w:val="both"/>
        <w:ind w:left="1060" w:right="520" w:hanging="184"/>
        <w:spacing w:after="0" w:line="226" w:lineRule="auto"/>
        <w:tabs>
          <w:tab w:leader="none" w:pos="10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4"/>
          <w:szCs w:val="14"/>
          <w:color w:val="auto"/>
        </w:rPr>
      </w:pPr>
    </w:p>
    <w:p>
      <w:pPr>
        <w:ind w:left="1060" w:right="120" w:hanging="176"/>
        <w:spacing w:after="0" w:line="236" w:lineRule="auto"/>
        <w:tabs>
          <w:tab w:leader="none" w:pos="10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4"/>
          <w:szCs w:val="14"/>
          <w:color w:val="auto"/>
        </w:rPr>
      </w:pPr>
    </w:p>
    <w:p>
      <w:pPr>
        <w:ind w:left="1060" w:right="100" w:hanging="184"/>
        <w:spacing w:after="0" w:line="312" w:lineRule="auto"/>
        <w:tabs>
          <w:tab w:leader="none" w:pos="106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2"/>
          <w:szCs w:val="12"/>
          <w:color w:val="auto"/>
        </w:rPr>
      </w:pPr>
    </w:p>
    <w:p>
      <w:pPr>
        <w:ind w:right="520" w:firstLine="387"/>
        <w:spacing w:after="0" w:line="281" w:lineRule="auto"/>
        <w:tabs>
          <w:tab w:leader="none" w:pos="52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060" w:right="460" w:hanging="176"/>
        <w:spacing w:after="0" w:line="249" w:lineRule="auto"/>
        <w:tabs>
          <w:tab w:leader="none" w:pos="10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4"/>
          <w:szCs w:val="14"/>
          <w:color w:val="auto"/>
        </w:rPr>
      </w:pPr>
    </w:p>
    <w:p>
      <w:pPr>
        <w:ind w:left="1060" w:hanging="184"/>
        <w:spacing w:after="0"/>
        <w:tabs>
          <w:tab w:leader="none" w:pos="10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Date: March 2, 2023</w:t>
      </w:r>
    </w:p>
    <w:p>
      <w:pPr>
        <w:spacing w:after="0" w:line="189" w:lineRule="exact"/>
        <w:rPr>
          <w:sz w:val="20"/>
          <w:szCs w:val="20"/>
          <w:color w:val="auto"/>
        </w:rPr>
      </w:pPr>
    </w:p>
    <w:p>
      <w:pPr>
        <w:ind w:left="2980"/>
        <w:spacing w:after="0"/>
        <w:tabs>
          <w:tab w:leader="none" w:pos="32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26035</wp:posOffset>
            </wp:positionV>
            <wp:extent cx="340931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155"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Robert G. Barbieri</w:t>
      </w:r>
    </w:p>
    <w:p>
      <w:pPr>
        <w:spacing w:after="0" w:line="98"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570"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1"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 Ashish Sharma, Chief Executive Officer of Inseego Corp.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1460" w:right="220" w:hanging="810"/>
        <w:spacing w:after="0" w:line="236" w:lineRule="auto"/>
        <w:tabs>
          <w:tab w:leader="none" w:pos="1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Annual Report on Form 10-K of the Company for the year ended December 31, 2022 (the “Report”) fully complies with the requirements of Section 13(a) or 15(d) of the Securities Exchange Act of 1934, as amended; and</w:t>
      </w:r>
    </w:p>
    <w:p>
      <w:pPr>
        <w:spacing w:after="0" w:line="192" w:lineRule="exact"/>
        <w:rPr>
          <w:rFonts w:ascii="Arial" w:cs="Arial" w:eastAsia="Arial" w:hAnsi="Arial"/>
          <w:sz w:val="14"/>
          <w:szCs w:val="14"/>
          <w:color w:val="auto"/>
        </w:rPr>
      </w:pPr>
    </w:p>
    <w:p>
      <w:pPr>
        <w:ind w:left="1460" w:hanging="810"/>
        <w:spacing w:after="0"/>
        <w:tabs>
          <w:tab w:leader="none" w:pos="1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Date: March 2, 2023</w:t>
      </w:r>
    </w:p>
    <w:p>
      <w:pPr>
        <w:spacing w:after="0" w:line="200" w:lineRule="exact"/>
        <w:rPr>
          <w:sz w:val="20"/>
          <w:szCs w:val="20"/>
          <w:color w:val="auto"/>
        </w:rPr>
      </w:pPr>
    </w:p>
    <w:p>
      <w:pPr>
        <w:ind w:left="3060"/>
        <w:spacing w:after="0"/>
        <w:tabs>
          <w:tab w:leader="none" w:pos="3300" w:val="left"/>
        </w:tabs>
        <w:rPr>
          <w:sz w:val="20"/>
          <w:szCs w:val="20"/>
          <w:color w:val="auto"/>
        </w:rPr>
      </w:pPr>
      <w:r>
        <w:rPr>
          <w:rFonts w:ascii="Arial" w:cs="Arial" w:eastAsia="Arial" w:hAnsi="Arial"/>
          <w:sz w:val="14"/>
          <w:szCs w:val="14"/>
          <w:color w:val="auto"/>
        </w:rPr>
        <w:t>/s/</w:t>
        <w:tab/>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26035</wp:posOffset>
            </wp:positionV>
            <wp:extent cx="330771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Ashish Sharma</w:t>
      </w:r>
    </w:p>
    <w:p>
      <w:pPr>
        <w:spacing w:after="0" w:line="66"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570"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20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 Robert G. Barbieri, Chief Financial Officer of Inseego Corp.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1320" w:right="160" w:hanging="824"/>
        <w:spacing w:after="0" w:line="236" w:lineRule="auto"/>
        <w:tabs>
          <w:tab w:leader="none" w:pos="1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Annual Report on Form 10-K of the Company for the year ended December 31, 2022 (the “Report”) fully complies with the requirements of Section 13(a) or 15(d) of the Securities Exchange Act of 1934, as amended; and</w:t>
      </w:r>
    </w:p>
    <w:p>
      <w:pPr>
        <w:spacing w:after="0" w:line="192" w:lineRule="exact"/>
        <w:rPr>
          <w:rFonts w:ascii="Arial" w:cs="Arial" w:eastAsia="Arial" w:hAnsi="Arial"/>
          <w:sz w:val="14"/>
          <w:szCs w:val="14"/>
          <w:color w:val="auto"/>
        </w:rPr>
      </w:pPr>
    </w:p>
    <w:p>
      <w:pPr>
        <w:ind w:left="1320" w:hanging="824"/>
        <w:spacing w:after="0"/>
        <w:tabs>
          <w:tab w:leader="none" w:pos="1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Date: March 2, 2023</w:t>
      </w:r>
    </w:p>
    <w:p>
      <w:pPr>
        <w:spacing w:after="0" w:line="200" w:lineRule="exact"/>
        <w:rPr>
          <w:sz w:val="20"/>
          <w:szCs w:val="20"/>
          <w:color w:val="auto"/>
        </w:rPr>
      </w:pPr>
    </w:p>
    <w:p>
      <w:pPr>
        <w:ind w:left="3060"/>
        <w:spacing w:after="0"/>
        <w:tabs>
          <w:tab w:leader="none" w:pos="330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26035</wp:posOffset>
            </wp:positionV>
            <wp:extent cx="330771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155"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Robert G. Barbieri</w:t>
      </w:r>
    </w:p>
    <w:p>
      <w:pPr>
        <w:spacing w:after="0" w:line="66"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80"/>
      </w:cols>
      <w:pgMar w:left="300" w:top="37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Roman"/>
      <w:start w:val="3"/>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lvl w:ilvl="1">
      <w:lvlJc w:val="left"/>
      <w:lvlText w:val="(%2)"/>
      <w:numFmt w:val="lowerLetter"/>
      <w:start w:val="2"/>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62" Type="http://schemas.openxmlformats.org/officeDocument/2006/relationships/hyperlink" Target="https://www.sec.gov/Archives/edgar/data/1022652/000102265221000009/insg20210224ex101sharepurc.htm" TargetMode="External"/><Relationship Id="rId63" Type="http://schemas.openxmlformats.org/officeDocument/2006/relationships/hyperlink" Target="https://www.sec.gov/Archives/edgar/data/0001022652/000102265221000066/insg20210630ex103firstadde.htm" TargetMode="External"/><Relationship Id="rId64" Type="http://schemas.openxmlformats.org/officeDocument/2006/relationships/hyperlink" Target="https://www.sec.gov/Archives/edgar/data/0001022652/000102265221000066/secondaddendumtospa30april.htm" TargetMode="External"/><Relationship Id="rId65" Type="http://schemas.openxmlformats.org/officeDocument/2006/relationships/hyperlink" Target="https://www.sec.gov/Archives/edgar/data/0001022652/000102265221000066/thirdaddendumtospa_executi.htm" TargetMode="External"/><Relationship Id="rId66" Type="http://schemas.openxmlformats.org/officeDocument/2006/relationships/hyperlink" Target="http://www.sec.gov/Archives/edgar/data/1022652/000119312516763609/d261554dex31.htm" TargetMode="External"/><Relationship Id="rId67" Type="http://schemas.openxmlformats.org/officeDocument/2006/relationships/hyperlink" Target="http://www.sec.gov/Archives/edgar/data/1022652/000119312516763609/d261554dex32.htm" TargetMode="External"/><Relationship Id="rId68" Type="http://schemas.openxmlformats.org/officeDocument/2006/relationships/hyperlink" Target="http://www.sec.gov/Archives/edgar/data/1022652/000119312518015371/d525985dex31.htm" TargetMode="External"/><Relationship Id="rId69" Type="http://schemas.openxmlformats.org/officeDocument/2006/relationships/hyperlink" Target="http://www.sec.gov/Archives/edgar/data/1022652/000119312519219943/d792529dex31.htm" TargetMode="External"/><Relationship Id="rId70" Type="http://schemas.openxmlformats.org/officeDocument/2006/relationships/hyperlink" Target="http://www.sec.gov/Archives/edgar/data/1022652/000119312520067668/d824727dex31.htm" TargetMode="External"/><Relationship Id="rId71" Type="http://schemas.openxmlformats.org/officeDocument/2006/relationships/hyperlink" Target="http://www.sec.gov/Archives/edgar/data/1022652/000119312516763609/d261554dex41.htm" TargetMode="External"/><Relationship Id="rId72" Type="http://schemas.openxmlformats.org/officeDocument/2006/relationships/hyperlink" Target="https://www.sec.gov/Archives/edgar/data/1022652/000102265221000017/insg20201231ex42-descrofeq.htm" TargetMode="External"/><Relationship Id="rId73" Type="http://schemas.openxmlformats.org/officeDocument/2006/relationships/hyperlink" Target="https://www.sec.gov/Archives/edgar/data/1022652/000119312520140582/d915288dex41.htm" TargetMode="External"/><Relationship Id="rId74" Type="http://schemas.openxmlformats.org/officeDocument/2006/relationships/hyperlink" Target="https://www.sec.gov/Archives/edgar/data/1022652/000119312520140582/d915288dex42.htm" TargetMode="External"/><Relationship Id="rId77" Type="http://schemas.openxmlformats.org/officeDocument/2006/relationships/hyperlink" Target="http://www.sec.gov/Archives/edgar/data/1022652/000119312518240301/d590620dex43.htm" TargetMode="External"/><Relationship Id="rId78" Type="http://schemas.openxmlformats.org/officeDocument/2006/relationships/hyperlink" Target="https://www.sec.gov/Archives/edgar/data/1022652/000168316822005449/inseego_ex1002.htm" TargetMode="External"/><Relationship Id="rId79" Type="http://schemas.openxmlformats.org/officeDocument/2006/relationships/hyperlink" Target="http://www.sec.gov/Archives/edgar/data/1022652/000102265217000075/insg20170818ex103formofind.htm" TargetMode="External"/><Relationship Id="rId80" Type="http://schemas.openxmlformats.org/officeDocument/2006/relationships/hyperlink" Target="https://www.sec.gov/Archives/edgar/data/1022652/000102265222000017/insg20220331ex107.htm" TargetMode="External"/><Relationship Id="rId81" Type="http://schemas.openxmlformats.org/officeDocument/2006/relationships/hyperlink" Target="http://www.sec.gov/Archives/edgar/data/1022652/000102265218000015/insg20171231ex1026inseegoc.htm" TargetMode="External"/><Relationship Id="rId82" Type="http://schemas.openxmlformats.org/officeDocument/2006/relationships/hyperlink" Target="http://www.sec.gov/Archives/edgar/data/1022652/000102265218000015/insg20171231ex1027inseegoc.htm" TargetMode="External"/><Relationship Id="rId83" Type="http://schemas.openxmlformats.org/officeDocument/2006/relationships/hyperlink" Target="https://www.sec.gov/Archives/edgar/data/1022652/000168316822005449/inseego_ex1001.htm" TargetMode="External"/><Relationship Id="rId84" Type="http://schemas.openxmlformats.org/officeDocument/2006/relationships/hyperlink" Target="http://www.sec.gov/Archives/edgar/data/1022652/000119312518240301/d590620dex101.htm" TargetMode="External"/><Relationship Id="rId85" Type="http://schemas.openxmlformats.org/officeDocument/2006/relationships/hyperlink" Target="https://www.sec.gov/Archives/edgar/data/1022652/000102265221000009/insg20210224ex102assignmen.htm" TargetMode="External"/><Relationship Id="rId86" Type="http://schemas.openxmlformats.org/officeDocument/2006/relationships/hyperlink" Target="https://www.sec.gov/Archives/edgar/data/1022652/000102265221000009/insg20210224ex103transitio.htm" TargetMode="External"/><Relationship Id="rId87" Type="http://schemas.openxmlformats.org/officeDocument/2006/relationships/hyperlink" Target="https://www.sec.gov/Archives/edgar/data/1022652/000102265221000009/insg20210224ex104trademark.htm" TargetMode="External"/><Relationship Id="rId88" Type="http://schemas.openxmlformats.org/officeDocument/2006/relationships/hyperlink" Target="https://www.sec.gov/Archives/edgar/data/0001022652/000119312521016610/d899647dex101.htm" TargetMode="External"/><Relationship Id="rId89" Type="http://schemas.openxmlformats.org/officeDocument/2006/relationships/hyperlink" Target="https://www.sec.gov/Archives/edgar/data/0001022652/000168316821002449/inseego_8k-ex1001.htm" TargetMode="External"/><Relationship Id="rId90" Type="http://schemas.openxmlformats.org/officeDocument/2006/relationships/hyperlink" Target="https://www.sec.gov/Archives/edgar/data/0001022652/000168316821005022/inseego_ex1001.htm" TargetMode="External"/><Relationship Id="rId91" Type="http://schemas.openxmlformats.org/officeDocument/2006/relationships/hyperlink" Target="https://www.sec.gov/Archives/edgar/data/0001022652/000168316821005022/inseego_ex1002.htm" TargetMode="External"/><Relationship Id="rId92" Type="http://schemas.openxmlformats.org/officeDocument/2006/relationships/hyperlink" Target="https://www.sec.gov/Archives/edgar/data/0001022652/000168316821005022/inseego_ex1003.htm" TargetMode="External"/><Relationship Id="rId93" Type="http://schemas.openxmlformats.org/officeDocument/2006/relationships/hyperlink" Target="https://www.sec.gov/Archives/edgar/data/1022652/000102265222000037/loanandsecurity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2023-03-03T05:13:08Z</dcterms:created>
  <dcterms:modified xsi:type="dcterms:W3CDTF">2023-03-03T05:13:08Z</dcterms:modified>
</cp:coreProperties>
</file>