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580" w:right="4280" w:hanging="572"/>
        <w:spacing w:after="0" w:line="262"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fiscal year ended December 31, 2013</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230" w:right="259" w:bottom="1440" w:gutter="0" w:footer="0" w:header="0"/>
        </w:sectPr>
      </w:pPr>
    </w:p>
    <w:p>
      <w:pPr>
        <w:ind w:left="33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6080" w:space="720"/>
            <w:col w:w="4600"/>
          </w:cols>
          <w:pgMar w:left="240" w:top="230"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000-31659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NOVATEL WIRELESS,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00"/>
          </w:cols>
          <w:pgMar w:left="240" w:top="230" w:right="259" w:bottom="1440" w:gutter="0" w:footer="0" w:header="0"/>
          <w:type w:val="continuous"/>
        </w:sectPr>
      </w:pPr>
    </w:p>
    <w:p>
      <w:pPr>
        <w:spacing w:after="0" w:line="27"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86-0824673</w:t>
      </w:r>
    </w:p>
    <w:p>
      <w:pPr>
        <w:spacing w:after="0" w:line="47" w:lineRule="exact"/>
        <w:rPr>
          <w:sz w:val="24"/>
          <w:szCs w:val="24"/>
          <w:color w:val="auto"/>
        </w:rPr>
      </w:pPr>
    </w:p>
    <w:p>
      <w:pPr>
        <w:sectPr>
          <w:pgSz w:w="11900" w:h="16838" w:orient="portrait"/>
          <w:cols w:equalWidth="0" w:num="2">
            <w:col w:w="7540" w:space="720"/>
            <w:col w:w="3140"/>
          </w:cols>
          <w:pgMar w:left="240" w:top="230" w:right="259" w:bottom="1440" w:gutter="0" w:footer="0" w:header="0"/>
          <w:type w:val="continuous"/>
        </w:sectPr>
      </w:pPr>
    </w:p>
    <w:p>
      <w:pPr>
        <w:jc w:val="center"/>
        <w:ind w:right="1700"/>
        <w:spacing w:after="0"/>
        <w:rPr>
          <w:sz w:val="20"/>
          <w:szCs w:val="20"/>
          <w:color w:val="auto"/>
        </w:rPr>
      </w:pPr>
      <w:r>
        <w:rPr>
          <w:rFonts w:ascii="Arial" w:cs="Arial" w:eastAsia="Arial" w:hAnsi="Arial"/>
          <w:sz w:val="14"/>
          <w:szCs w:val="14"/>
          <w:b w:val="1"/>
          <w:bCs w:val="1"/>
          <w:color w:val="auto"/>
        </w:rPr>
        <w:t>(State or Other Jurisdiction</w:t>
      </w:r>
    </w:p>
    <w:p>
      <w:pPr>
        <w:jc w:val="center"/>
        <w:ind w:right="170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420" w:space="720"/>
            <w:col w:w="3260"/>
          </w:cols>
          <w:pgMar w:left="240" w:top="230" w:right="259" w:bottom="1440" w:gutter="0" w:footer="0" w:header="0"/>
          <w:type w:val="continuous"/>
        </w:sectPr>
      </w:pPr>
    </w:p>
    <w:p>
      <w:pPr>
        <w:spacing w:after="0" w:line="25"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9645 Scranton Road</w:t>
      </w:r>
    </w:p>
    <w:p>
      <w:pPr>
        <w:spacing w:after="0" w:line="44" w:lineRule="exact"/>
        <w:rPr>
          <w:sz w:val="24"/>
          <w:szCs w:val="24"/>
          <w:color w:val="auto"/>
        </w:rPr>
      </w:pPr>
    </w:p>
    <w:p>
      <w:pPr>
        <w:ind w:left="2060"/>
        <w:spacing w:after="0"/>
        <w:rPr>
          <w:sz w:val="20"/>
          <w:szCs w:val="20"/>
          <w:color w:val="auto"/>
        </w:rPr>
      </w:pPr>
      <w:r>
        <w:rPr>
          <w:rFonts w:ascii="Arial" w:cs="Arial" w:eastAsia="Arial" w:hAnsi="Arial"/>
          <w:sz w:val="16"/>
          <w:szCs w:val="16"/>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92121</w:t>
      </w:r>
    </w:p>
    <w:p>
      <w:pPr>
        <w:spacing w:after="0" w:line="56" w:lineRule="exact"/>
        <w:rPr>
          <w:sz w:val="24"/>
          <w:szCs w:val="24"/>
          <w:color w:val="auto"/>
        </w:rPr>
      </w:pPr>
    </w:p>
    <w:p>
      <w:pPr>
        <w:sectPr>
          <w:pgSz w:w="11900" w:h="16838" w:orient="portrait"/>
          <w:cols w:equalWidth="0" w:num="2">
            <w:col w:w="7740" w:space="720"/>
            <w:col w:w="2940"/>
          </w:cols>
          <w:pgMar w:left="240" w:top="230" w:right="2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90" w:lineRule="exact"/>
        <w:rPr>
          <w:sz w:val="24"/>
          <w:szCs w:val="24"/>
          <w:color w:val="auto"/>
        </w:rPr>
      </w:pPr>
    </w:p>
    <w:p>
      <w:pPr>
        <w:sectPr>
          <w:pgSz w:w="11900" w:h="16838" w:orient="portrait"/>
          <w:cols w:equalWidth="0" w:num="2">
            <w:col w:w="7680" w:space="720"/>
            <w:col w:w="3000"/>
          </w:cols>
          <w:pgMar w:left="240" w:top="230"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Registrant’s telephone number, including area code: (858) 812-3400</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 None</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ectPr>
          <w:pgSz w:w="11900" w:h="16838" w:orient="portrait"/>
          <w:cols w:equalWidth="0" w:num="1">
            <w:col w:w="11400"/>
          </w:cols>
          <w:pgMar w:left="240" w:top="230" w:right="259" w:bottom="1440" w:gutter="0" w:footer="0" w:header="0"/>
          <w:type w:val="continuous"/>
        </w:sectPr>
      </w:pPr>
    </w:p>
    <w:p>
      <w:pPr>
        <w:spacing w:after="0" w:line="43"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134" w:lineRule="exact"/>
        <w:rPr>
          <w:sz w:val="24"/>
          <w:szCs w:val="24"/>
          <w:color w:val="auto"/>
        </w:rPr>
      </w:pPr>
    </w:p>
    <w:p>
      <w:pPr>
        <w:sectPr>
          <w:pgSz w:w="11900" w:h="16838" w:orient="portrait"/>
          <w:cols w:equalWidth="0" w:num="4">
            <w:col w:w="8940" w:space="100"/>
            <w:col w:w="140" w:space="180"/>
            <w:col w:w="220" w:space="100"/>
            <w:col w:w="1720"/>
          </w:cols>
          <w:pgMar w:left="240" w:top="230" w:right="259" w:bottom="1440" w:gutter="0" w:footer="0" w:header="0"/>
          <w:type w:val="continuous"/>
        </w:sectPr>
      </w:pPr>
    </w:p>
    <w:p>
      <w:pPr>
        <w:spacing w:after="0" w:line="1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4">
            <w:col w:w="9100" w:space="100"/>
            <w:col w:w="140" w:space="180"/>
            <w:col w:w="220" w:space="80"/>
            <w:col w:w="1580"/>
          </w:cols>
          <w:pgMar w:left="240" w:top="230" w:right="259" w:bottom="1440" w:gutter="0" w:footer="0" w:header="0"/>
          <w:type w:val="continuous"/>
        </w:sect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firstLine="342"/>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360"/>
        <w:spacing w:after="0" w:line="207" w:lineRule="exact"/>
        <w:tabs>
          <w:tab w:leader="none" w:pos="2320" w:val="left"/>
          <w:tab w:leader="none" w:pos="3920" w:val="left"/>
          <w:tab w:leader="none" w:pos="5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 w:lineRule="exact"/>
        <w:rPr>
          <w:sz w:val="24"/>
          <w:szCs w:val="24"/>
          <w:color w:val="auto"/>
        </w:rPr>
      </w:pPr>
    </w:p>
    <w:p>
      <w:pPr>
        <w:ind w:left="360"/>
        <w:spacing w:after="0" w:line="184" w:lineRule="exact"/>
        <w:tabs>
          <w:tab w:leader="none" w:pos="90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7" w:lineRule="exact"/>
        <w:rPr>
          <w:sz w:val="24"/>
          <w:szCs w:val="24"/>
          <w:color w:val="auto"/>
        </w:rPr>
      </w:pPr>
    </w:p>
    <w:p>
      <w:pPr>
        <w:ind w:firstLine="342"/>
        <w:spacing w:after="0" w:line="295"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30, 2013, as reported by The Nasdaq Global Select Market, was approximately $130,109,295.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stock issued or outstanding.</w:t>
      </w:r>
    </w:p>
    <w:p>
      <w:pPr>
        <w:jc w:val="right"/>
        <w:ind w:left="360" w:right="3600"/>
        <w:spacing w:after="0" w:line="297" w:lineRule="auto"/>
        <w:rPr>
          <w:sz w:val="20"/>
          <w:szCs w:val="20"/>
          <w:color w:val="auto"/>
        </w:rPr>
      </w:pPr>
      <w:r>
        <w:rPr>
          <w:rFonts w:ascii="Arial" w:cs="Arial" w:eastAsia="Arial" w:hAnsi="Arial"/>
          <w:sz w:val="18"/>
          <w:szCs w:val="18"/>
          <w:color w:val="auto"/>
        </w:rPr>
        <w:t xml:space="preserve">The number of shares of the Registrant’s common stock outstanding as of March 6, 2014 was 34,192,139.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ind w:right="860" w:firstLine="342"/>
        <w:spacing w:after="0" w:line="332" w:lineRule="auto"/>
        <w:rPr>
          <w:sz w:val="20"/>
          <w:szCs w:val="20"/>
          <w:color w:val="auto"/>
        </w:rPr>
      </w:pPr>
      <w:r>
        <w:rPr>
          <w:rFonts w:ascii="Arial" w:cs="Arial" w:eastAsia="Arial" w:hAnsi="Arial"/>
          <w:sz w:val="16"/>
          <w:szCs w:val="16"/>
          <w:color w:val="auto"/>
        </w:rPr>
        <w:t>Portions of the Registrant’s definitive proxy statement for the 2014 Annual Meeting of Stockholders to be filed with the Securities and Exchange Commission pursuant to Regulation 14A are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540" w:type="dxa"/>
            <w:vAlign w:val="bottom"/>
            <w:gridSpan w:val="8"/>
          </w:tcPr>
          <w:p>
            <w:pPr>
              <w:ind w:left="3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r>
      <w:tr>
        <w:trPr>
          <w:trHeight w:val="353"/>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302"/>
        </w:trPr>
        <w:tc>
          <w:tcPr>
            <w:tcW w:w="11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160" w:type="dxa"/>
            <w:vAlign w:val="bottom"/>
            <w:gridSpan w:val="2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8900" w:type="dxa"/>
            <w:vAlign w:val="bottom"/>
            <w:gridSpan w:val="18"/>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1B.</w:t>
            </w:r>
          </w:p>
        </w:tc>
        <w:tc>
          <w:tcPr>
            <w:tcW w:w="98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80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Legal Proceedings</w:t>
              </w:r>
            </w:hyperlink>
          </w:p>
        </w:tc>
        <w:tc>
          <w:tcPr>
            <w:tcW w:w="8480" w:type="dxa"/>
            <w:vAlign w:val="bottom"/>
            <w:gridSpan w:val="1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98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3"/>
        </w:trPr>
        <w:tc>
          <w:tcPr>
            <w:tcW w:w="11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5.</w:t>
            </w:r>
          </w:p>
        </w:tc>
        <w:tc>
          <w:tcPr>
            <w:tcW w:w="98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7.</w:t>
            </w:r>
          </w:p>
        </w:tc>
        <w:tc>
          <w:tcPr>
            <w:tcW w:w="980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350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24"/>
                <w:szCs w:val="24"/>
                <w:color w:val="auto"/>
              </w:rPr>
            </w:pPr>
          </w:p>
        </w:tc>
        <w:tc>
          <w:tcPr>
            <w:tcW w:w="554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9.</w:t>
            </w:r>
          </w:p>
        </w:tc>
        <w:tc>
          <w:tcPr>
            <w:tcW w:w="9800" w:type="dxa"/>
            <w:vAlign w:val="bottom"/>
            <w:gridSpan w:val="2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Changes in and Disagreements With Accountants on Accounting and Financial Disclosure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46">
              <w:r>
                <w:rPr>
                  <w:rFonts w:ascii="Arial" w:cs="Arial" w:eastAsia="Arial" w:hAnsi="Arial"/>
                  <w:sz w:val="18"/>
                  <w:szCs w:val="18"/>
                  <w:color w:val="0000EE"/>
                  <w:w w:val="86"/>
                </w:rPr>
                <w:t>Controls and Procedures</w:t>
              </w:r>
            </w:hyperlink>
          </w:p>
        </w:tc>
        <w:tc>
          <w:tcPr>
            <w:tcW w:w="4620" w:type="dxa"/>
            <w:vAlign w:val="bottom"/>
            <w:tcBorders>
              <w:top w:val="single" w:sz="8" w:color="0000EE"/>
            </w:tcBorders>
            <w:gridSpan w:val="11"/>
          </w:tcPr>
          <w:p>
            <w:pPr>
              <w:spacing w:after="0"/>
              <w:rPr>
                <w:sz w:val="24"/>
                <w:szCs w:val="24"/>
                <w:color w:val="auto"/>
              </w:rPr>
            </w:pPr>
          </w:p>
        </w:tc>
        <w:tc>
          <w:tcPr>
            <w:tcW w:w="344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9B.</w:t>
            </w:r>
          </w:p>
        </w:tc>
        <w:tc>
          <w:tcPr>
            <w:tcW w:w="980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43"/>
        </w:trPr>
        <w:tc>
          <w:tcPr>
            <w:tcW w:w="1160" w:type="dxa"/>
            <w:vAlign w:val="bottom"/>
            <w:gridSpan w:val="2"/>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10.</w:t>
            </w:r>
          </w:p>
        </w:tc>
        <w:tc>
          <w:tcPr>
            <w:tcW w:w="980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Directors, Executive Officers and Corporate Governance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11.</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80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12.</w:t>
            </w:r>
          </w:p>
        </w:tc>
        <w:tc>
          <w:tcPr>
            <w:tcW w:w="980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Security Ownership of Certain Beneficial Owners and Management and Related Stockholder Matters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Certain Relationships and Related Transactions, and Director Independence</w:t>
              </w:r>
            </w:hyperlink>
          </w:p>
        </w:tc>
        <w:tc>
          <w:tcPr>
            <w:tcW w:w="268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Principal Accountant Fees and Services</w:t>
              </w:r>
            </w:hyperlink>
          </w:p>
        </w:tc>
        <w:tc>
          <w:tcPr>
            <w:tcW w:w="448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43"/>
        </w:trPr>
        <w:tc>
          <w:tcPr>
            <w:tcW w:w="116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160" w:type="dxa"/>
            <w:vAlign w:val="bottom"/>
            <w:gridSpan w:val="2"/>
          </w:tcPr>
          <w:p>
            <w:pPr>
              <w:ind w:left="240"/>
              <w:spacing w:after="0"/>
              <w:rPr>
                <w:sz w:val="20"/>
                <w:szCs w:val="20"/>
                <w:color w:val="auto"/>
              </w:rPr>
            </w:pPr>
            <w:r>
              <w:rPr>
                <w:rFonts w:ascii="Arial" w:cs="Arial" w:eastAsia="Arial" w:hAnsi="Arial"/>
                <w:sz w:val="18"/>
                <w:szCs w:val="18"/>
                <w:color w:val="auto"/>
              </w:rPr>
              <w:t>Item 15.</w:t>
            </w:r>
          </w:p>
        </w:tc>
        <w:tc>
          <w:tcPr>
            <w:tcW w:w="9800" w:type="dxa"/>
            <w:vAlign w:val="bottom"/>
            <w:gridSpan w:val="2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 and Financial Statement Schedules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160" w:type="dxa"/>
            <w:vAlign w:val="bottom"/>
            <w:gridSpan w:val="2"/>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080" w:type="dxa"/>
            <w:vAlign w:val="bottom"/>
            <w:shd w:val="clear" w:color="auto" w:fill="0000EE"/>
          </w:tcPr>
          <w:p>
            <w:pPr>
              <w:spacing w:after="0" w:line="20" w:lineRule="exact"/>
              <w:rPr>
                <w:sz w:val="1"/>
                <w:szCs w:val="1"/>
                <w:color w:val="auto"/>
              </w:rPr>
            </w:pPr>
          </w:p>
        </w:tc>
        <w:tc>
          <w:tcPr>
            <w:tcW w:w="3280" w:type="dxa"/>
            <w:vAlign w:val="bottom"/>
            <w:gridSpan w:val="13"/>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43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INDEX TO CONSOLIDATED FINANCIAL STATEMENTS</w:t>
              </w:r>
            </w:hyperlink>
          </w:p>
        </w:tc>
        <w:tc>
          <w:tcPr>
            <w:tcW w:w="6600" w:type="dxa"/>
            <w:vAlign w:val="bottom"/>
            <w:gridSpan w:val="9"/>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00"/>
          </w:cols>
          <w:pgMar w:left="24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and M2M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integrate the operations of Enfora and any other business, products, technologies or personnel that we may acquire in the future;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cost containment initiatives and operating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marketability of our products is dependent on wireless telecommunication operators delivering acceptable wireless services;</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both mobile broadband and M2M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introducing new products that could contain errors or defects;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this report.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“Novatel Wireless”, the Novatel Wireless logo, “MiFi”, “MiFi Intelligent Mobile Hotspot”, “MiFi OS”, “MiFi Powered”, “MiFi Home”, “MobiLink”, “Ovation,” “Expedite” and “MiFi.Freedom. My Way” are trademarks of Novatel Wireless, Inc. “Enfora”, the Enfora logo, “Spider”, “Enabling Information Anywhere”, “Enabler” and “N4A” are trademarks of Enfora, Inc. Other trademarks, trade names or service marks used in this report are the property of their respective owners.</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for machine-to-machine (M2M) and mobile computing OEMs, integrated asset-management M2M devices, and communications and applications software.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mainstream Mobile Computing Products currently support Long Term Evolution (LTE) platforms and other major cellular wireless technology platforms as required by our global carrier customers. Our mobile hotspots, embedded modules, and modems provide subscribers with secure and convenient high-speed access to corporate, public and personal information through the Internet and enterprise networks. Our mobile computing customer base is comprised of wireless operators, including AT&amp;T, Sprint, and Verizon Wireless; laptop PC and other original equipment manufacturers, or OEMs, including Dell and Hewlett-Packard; as well as distributors.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M2M products enable devices to communicate with each other and with server or cloud-based application infrastructure. Our M2M customer base is comprised of transportation companies, industrial companies, manufacturers, application service providers and distributors. Our solutions address multiple vertical markets for our customers including commercial telematics, after market telematics, remote monitoring and control, security and connected home. We have strategic relationships with several of these customers that provide input and validation of our product requirements across the various vertical markets.</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the years ended December 31, 2013, 2012, and 2011, net revenues recognized from sales of our products were $335.1 million, $344.3 million, and $402.9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were incorporated in 1996 under the laws of the State of Delaware.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objective is to be a leading provider of intelligent wireless solutions. The key elements of our strategy are to:</w:t>
      </w:r>
    </w:p>
    <w:p>
      <w:pPr>
        <w:spacing w:after="0" w:line="90" w:lineRule="exact"/>
        <w:rPr>
          <w:sz w:val="20"/>
          <w:szCs w:val="20"/>
          <w:color w:val="auto"/>
        </w:rPr>
      </w:pPr>
    </w:p>
    <w:p>
      <w:pPr>
        <w:ind w:left="900" w:right="14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Mobile Computing Expertise and Technology Platforms to Expand Our M2M Portfolio. </w:t>
      </w:r>
      <w:r>
        <w:rPr>
          <w:rFonts w:ascii="Arial" w:cs="Arial" w:eastAsia="Arial" w:hAnsi="Arial"/>
          <w:sz w:val="16"/>
          <w:szCs w:val="16"/>
          <w:color w:val="auto"/>
        </w:rPr>
        <w:t>We are leveraging our Mobile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expertise such as cellular wireless engineering radio development and the MiFi technology platform to expand our M2M portfolio. This enables us to leverage our development efforts, improve time-to-market and expand our portfolio in key markets.</w:t>
      </w:r>
    </w:p>
    <w:p>
      <w:pPr>
        <w:spacing w:after="0" w:line="25"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Broaden Our M2M Product Offerings. </w:t>
      </w:r>
      <w:r>
        <w:rPr>
          <w:rFonts w:ascii="Arial" w:cs="Arial" w:eastAsia="Arial" w:hAnsi="Arial"/>
          <w:sz w:val="16"/>
          <w:szCs w:val="16"/>
          <w:color w:val="auto"/>
        </w:rPr>
        <w:t>We intend to diversify and continue to broaden our integrated solutions and embedded module product lines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commercial telematics, after market telematics, remote monitoring and control, security, and connected home.</w:t>
      </w:r>
    </w:p>
    <w:p>
      <w:pPr>
        <w:spacing w:after="0" w:line="4" w:lineRule="exact"/>
        <w:rPr>
          <w:rFonts w:ascii="Arial" w:cs="Arial" w:eastAsia="Arial" w:hAnsi="Arial"/>
          <w:sz w:val="16"/>
          <w:szCs w:val="16"/>
          <w:color w:val="auto"/>
        </w:rPr>
      </w:pPr>
    </w:p>
    <w:p>
      <w:pPr>
        <w:ind w:left="900" w:right="4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Enhance Our M2M Software Support Through Our Device Manager or Service Delivery Platform</w:t>
      </w:r>
      <w:r>
        <w:rPr>
          <w:rFonts w:ascii="Arial" w:cs="Arial" w:eastAsia="Arial" w:hAnsi="Arial"/>
          <w:sz w:val="18"/>
          <w:szCs w:val="18"/>
          <w:color w:val="auto"/>
        </w:rPr>
        <w:t>. Through our N4A™ Device Manager (DM) and</w:t>
      </w:r>
      <w:r>
        <w:rPr>
          <w:rFonts w:ascii="Arial" w:cs="Arial" w:eastAsia="Arial" w:hAnsi="Arial"/>
          <w:sz w:val="18"/>
          <w:szCs w:val="18"/>
          <w:i w:val="1"/>
          <w:iCs w:val="1"/>
          <w:color w:val="auto"/>
        </w:rPr>
        <w:t xml:space="preserve"> </w:t>
      </w:r>
      <w:r>
        <w:rPr>
          <w:rFonts w:ascii="Arial" w:cs="Arial" w:eastAsia="Arial" w:hAnsi="Arial"/>
          <w:sz w:val="18"/>
          <w:szCs w:val="18"/>
          <w:color w:val="auto"/>
        </w:rPr>
        <w:t>N4A™ Communication and Management Software (CMS) we enable our customers’ applications to support their specific business needs. Data such as driver location, driving behavior, driver ID, vehicle status, and OBD status is gathered from our integrated products and delivered to our software applications or service delivery platform.</w:t>
      </w:r>
    </w:p>
    <w:p>
      <w:pPr>
        <w:spacing w:after="0" w:line="183" w:lineRule="exact"/>
        <w:rPr>
          <w:rFonts w:ascii="Arial" w:cs="Arial" w:eastAsia="Arial" w:hAnsi="Arial"/>
          <w:sz w:val="18"/>
          <w:szCs w:val="18"/>
          <w:color w:val="auto"/>
        </w:rPr>
      </w:pPr>
    </w:p>
    <w:p>
      <w:pPr>
        <w:ind w:left="900" w:right="16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Align Our Mobile Computing Product Offerings With Key Carrier Customers</w:t>
      </w:r>
      <w:r>
        <w:rPr>
          <w:rFonts w:ascii="Arial" w:cs="Arial" w:eastAsia="Arial" w:hAnsi="Arial"/>
          <w:sz w:val="18"/>
          <w:szCs w:val="18"/>
          <w:color w:val="auto"/>
        </w:rPr>
        <w:t>. Leveraging our expertise in delivering wireless broadband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our key carrier customers with innovation and product portfolio flexibility enabling them to address both premium and value segments for their markets. Our products operate on the major wireless technology platforms, including Second Generation (2G) networks: GSM, CDMA, GPRS; Third Generation (3G) networks: CDMA2000 1xEV-DO, HSDPA and HSUPA; and Fourth Generation (4G) networks: LTE, dual carrier HSPA+, and WiMAX.</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Lead the Intelligent Mobile Hotspot Product Category</w:t>
      </w:r>
      <w:r>
        <w:rPr>
          <w:rFonts w:ascii="Arial" w:cs="Arial" w:eastAsia="Arial" w:hAnsi="Arial"/>
          <w:sz w:val="16"/>
          <w:szCs w:val="16"/>
          <w:color w:val="auto"/>
        </w:rPr>
        <w:t>. We invented and developed the MiFi</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Intelligent Mobile Hotspot, a new category in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mobile data devices. In May 2009, the first nationwide commercial deployment of MiFi hotspots was launched by Verizon Wireless. In 2013, we announced software enhancements to the MiFi Technology Platform which allowed us to differentiate our MiFi family of products related to key performance indicators such as usage time, throughput and value added software applications. During 2013, we shipped MiFi Intelligent Mobile Hotspots to all three leading US carriers Verizon Wireless, AT&amp;T and Sprint.</w:t>
      </w:r>
    </w:p>
    <w:p>
      <w:pPr>
        <w:spacing w:after="0" w:line="34" w:lineRule="exact"/>
        <w:rPr>
          <w:rFonts w:ascii="Arial" w:cs="Arial" w:eastAsia="Arial" w:hAnsi="Arial"/>
          <w:sz w:val="16"/>
          <w:szCs w:val="16"/>
          <w:color w:val="auto"/>
        </w:rPr>
      </w:pPr>
    </w:p>
    <w:p>
      <w:pPr>
        <w:ind w:left="900" w:right="3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Direct Relationships with Wireless Operators. </w:t>
      </w:r>
      <w:r>
        <w:rPr>
          <w:rFonts w:ascii="Arial" w:cs="Arial" w:eastAsia="Arial" w:hAnsi="Arial"/>
          <w:sz w:val="16"/>
          <w:szCs w:val="16"/>
          <w:color w:val="auto"/>
        </w:rPr>
        <w:t>We intend to continue to capitalize on our direct and long-standing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with wireless operators in order to increase our worldwide market position. In the United States and internationally, we are working closely with wireless operators to provide the best mobile computing solutions and relevant M2M solutions to consumers and enterprise customers.</w:t>
      </w:r>
    </w:p>
    <w:p>
      <w:pPr>
        <w:spacing w:after="0" w:line="25" w:lineRule="exact"/>
        <w:rPr>
          <w:rFonts w:ascii="Arial" w:cs="Arial" w:eastAsia="Arial" w:hAnsi="Arial"/>
          <w:sz w:val="16"/>
          <w:szCs w:val="16"/>
          <w:color w:val="auto"/>
        </w:rPr>
      </w:pPr>
    </w:p>
    <w:p>
      <w:pPr>
        <w:ind w:left="900" w:right="380" w:hanging="325"/>
        <w:spacing w:after="0" w:line="25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Leverage Strategic Relationships. </w:t>
      </w:r>
      <w:r>
        <w:rPr>
          <w:rFonts w:ascii="Arial" w:cs="Arial" w:eastAsia="Arial" w:hAnsi="Arial"/>
          <w:sz w:val="18"/>
          <w:szCs w:val="18"/>
          <w:color w:val="auto"/>
        </w:rPr>
        <w:t>We believe that strategic relationships with wireless carriers and enterprises that utilize mobile computing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M2M technology are critical to our ability to leverage sales opportunities and ensure that our technology investments address customer needs. Through strategic relationships, we believe that we can increase market penetration and differentiate our products by leveraging resources and knowledge including sales, marketing, and distribution systems. We are also addressing new market opportunities through innovation with our strategic partners.</w:t>
      </w:r>
    </w:p>
    <w:p>
      <w:pPr>
        <w:spacing w:after="0" w:line="61"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Continue to Target Key Vertical Market Opportunities and Penetrate New M2M Markets. </w:t>
      </w:r>
      <w:r>
        <w:rPr>
          <w:rFonts w:ascii="Arial" w:cs="Arial" w:eastAsia="Arial" w:hAnsi="Arial"/>
          <w:sz w:val="18"/>
          <w:szCs w:val="18"/>
          <w:color w:val="auto"/>
        </w:rPr>
        <w:t>We believe that continuing developments in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will create additional vertical market opportunities and more applications for our products. Currently, we market our M2M solutions to key vertical industry segments by offering innovative solutions that are intended to increase productivity, reduce costs and create operational efficiencies.</w:t>
      </w:r>
    </w:p>
    <w:p>
      <w:pPr>
        <w:spacing w:after="0" w:line="62" w:lineRule="exact"/>
        <w:rPr>
          <w:rFonts w:ascii="Arial" w:cs="Arial" w:eastAsia="Arial" w:hAnsi="Arial"/>
          <w:sz w:val="18"/>
          <w:szCs w:val="18"/>
          <w:color w:val="auto"/>
        </w:rPr>
      </w:pPr>
    </w:p>
    <w:p>
      <w:pPr>
        <w:ind w:left="900" w:right="26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Increase the Value of Our Products</w:t>
      </w:r>
      <w:r>
        <w:rPr>
          <w:rFonts w:ascii="Arial" w:cs="Arial" w:eastAsia="Arial" w:hAnsi="Arial"/>
          <w:sz w:val="16"/>
          <w:szCs w:val="16"/>
          <w:color w:val="auto"/>
        </w:rPr>
        <w:t>. We will continue to add new features, functionality and intellectual property to our products and develop new</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software applications to enhance the overall value and ease of use that our products provide to our customers and end users.</w:t>
      </w:r>
    </w:p>
    <w:p>
      <w:pPr>
        <w:spacing w:after="0" w:line="4" w:lineRule="exact"/>
        <w:rPr>
          <w:rFonts w:ascii="Arial" w:cs="Arial" w:eastAsia="Arial" w:hAnsi="Arial"/>
          <w:sz w:val="16"/>
          <w:szCs w:val="16"/>
          <w:color w:val="auto"/>
        </w:rPr>
      </w:pPr>
    </w:p>
    <w:p>
      <w:pPr>
        <w:ind w:left="900" w:right="4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Acquire Companies that Accelerate the Growth of Our Business</w:t>
      </w:r>
      <w:r>
        <w:rPr>
          <w:rFonts w:ascii="Arial" w:cs="Arial" w:eastAsia="Arial" w:hAnsi="Arial"/>
          <w:sz w:val="18"/>
          <w:szCs w:val="18"/>
          <w:color w:val="auto"/>
        </w:rPr>
        <w:t>. We will continue to seek strategic acquisitions of companies in closely aligned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and technologies that will provide synergistic growth in revenue and profitability.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the wireless communications industry in the following reportable segments:</w:t>
      </w:r>
    </w:p>
    <w:p>
      <w:pPr>
        <w:spacing w:after="0" w:line="90" w:lineRule="exact"/>
        <w:rPr>
          <w:sz w:val="20"/>
          <w:szCs w:val="20"/>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Computing Products—includes our MiFi Intelligent Mobile Hotspot devices, USB and PC-card modems and embedded modules that enable internet access and data transmission and services via cellular wireless networks.</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M2M Products and Solutions—includes our M2M embedded modules, integrated M2M communications devices and our service delivery platform— the N4A™ Device Manager (DM) and N4A™ Communication and Management Software (CMS) that provides easy device management and service enablement.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our segments, see Note 12 to our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Mobile Computing Products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a growing portfolio of leading-edge technology solutions that enable data transmission and services via cellular wireless networks. In 2013, we launched new products in our line of MiFi mobile hotspots that provided LTE multi-mode support for CDMA and GSM networks.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our major Mobile Computing product lines:</w:t>
      </w:r>
    </w:p>
    <w:p>
      <w:pPr>
        <w:spacing w:after="0" w:line="14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6"/>
          <w:szCs w:val="16"/>
          <w:b w:val="1"/>
          <w:bCs w:val="1"/>
          <w:i w:val="1"/>
          <w:iCs w:val="1"/>
          <w:color w:val="auto"/>
        </w:rPr>
        <w:t>MiFi</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Intelligent Mobile Hotspot </w:t>
      </w:r>
      <w:r>
        <w:rPr>
          <w:rFonts w:ascii="Arial" w:cs="Arial" w:eastAsia="Arial" w:hAnsi="Arial"/>
          <w:sz w:val="16"/>
          <w:szCs w:val="16"/>
          <w:color w:val="auto"/>
        </w:rPr>
        <w:t>is our flagship product. Introduced in 2009, it has quickly become a leading brand in mobile communications. MiFi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hotspots are gaining acceptance as a standard connectivity option for Wi-Fi-enabled devices such as the iPad, Kindle, tablets, PCs, MP3 players, and gaming devices. MiFi hotspots function by connecting to a cellular-wireless network and creating a secure Wi-Fi signal that can connect to as many as 10 devices simultaneously. MiFi hotspots accounted for 74%, 72%, and 63% of revenue in 2013, 2012, and 2011, respectively.</w:t>
      </w:r>
    </w:p>
    <w:p>
      <w:pPr>
        <w:spacing w:after="0" w:line="14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strategy for the MiFi platform is to continue to innovate with a focus on ease of use, key performance indicators and value added features that take the device beyond just basic connectivity. In 2013, we launched the MiFi 5510L Intelligent Mobile Hotspot with Verizon Wireless, the LTE MiFi 500 with Sprint, and the MiFi 2 Touchscreen intelligent mobile hotspot with Bell Canada.</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4G LTE Gateway </w:t>
      </w:r>
      <w:r>
        <w:rPr>
          <w:rFonts w:ascii="Arial" w:cs="Arial" w:eastAsia="Arial" w:hAnsi="Arial"/>
          <w:sz w:val="18"/>
          <w:szCs w:val="18"/>
          <w:color w:val="auto"/>
        </w:rPr>
        <w:t>branded MiFi Home™, launched with Verizon branded as the 4G LTE Broadband Router With Voice, is a wireless solution that supports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wireless voice and data. The wireless data support provides internet access over LTE and 1xRTT voice which is software upgradable to support high definition voice as VoLTE support becomes available on the carrier network.</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Modems </w:t>
      </w:r>
      <w:r>
        <w:rPr>
          <w:rFonts w:ascii="Arial" w:cs="Arial" w:eastAsia="Arial" w:hAnsi="Arial"/>
          <w:sz w:val="18"/>
          <w:szCs w:val="18"/>
          <w:color w:val="auto"/>
        </w:rPr>
        <w:t>continue to be used to access wireless broadband networks. We originally introduced USB and PC-Card modems in North America, and continue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provide advanced wireless access in the industry. USB and PC-Card Modems accounted for 9%, 11%, and 20% of revenue in 2013, 2012, and 2011, respectively.</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Embedded Modules </w:t>
      </w:r>
      <w:r>
        <w:rPr>
          <w:rFonts w:ascii="Arial" w:cs="Arial" w:eastAsia="Arial" w:hAnsi="Arial"/>
          <w:sz w:val="16"/>
          <w:szCs w:val="16"/>
          <w:color w:val="auto"/>
        </w:rPr>
        <w:t>are utilized in a wide range of computing devices, such as laptop PCs, netbooks, tablets, and various other electronic products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wireless broadband access. Embedded modules accounted for 5%, 5%, and 4% of revenue in 2013, 2012, and 2011, respectively.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M2M Products and Solutions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2013, we have expanded our M2M portfolio significantly by adding additional technologies and features to our line of embedded integrated devices and embedded modules to improve performance, and strengthen the competitive advantages of our solutions. M2M products and solutions accounted for 11%, 9%, and 11% of revenue in 2013, 2012, and 2011, respectively. M2M product lines consist of the following:</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MT, SA &amp; AT Integrated Solutions </w:t>
      </w:r>
      <w:r>
        <w:rPr>
          <w:rFonts w:ascii="Arial" w:cs="Arial" w:eastAsia="Arial" w:hAnsi="Arial"/>
          <w:sz w:val="16"/>
          <w:szCs w:val="16"/>
          <w:color w:val="auto"/>
        </w:rPr>
        <w:t>bring together essential elements for monitoring and managing mobile and fixed assets, vehicle tracking and telemetric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functions, along with workforce tracking and management. We add value by developing solutions to meet the needs of specific customers with a particular emphasis on select vertical markets including: transportation and logistics, usage-based-insurance, security and asset tracking, industrial automation and smart grid, and remote patient monitoring. These solutions can be scaled from a small fleet customer to company-wide enterprise deployments. Our M2M solutions can be coupled with our robust N4A™ Device Manager and N4A™ Communications and Management Software (CMS) platform and be monitored, managed and reconfigured remotely from almost anywhere in the world. By combining the N4A CMS platform with the intelligence of the integrated M2M devices, customers will gain a solution that offers ease-of-deployment and superior, reliable performance in small and flexible packages.</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2013 we certified the MT3050 with Verizon Wireless and subsequently expanded the feature set in alignment with the requirements of our key customers and launched the MT3060. These products are well positioned for the insurance telematics market, including usage-based-insurance applications and fleet management markets. The MT3060 is a plug-and-play device that can be self-installed into a vehicle’s OBD-II port and supports advanced features for crash detection and driver behavior. The devices also support access to cloud applications for over-the-air device management and data acquisition to support third party or customer applications.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also launched the MiFi Powered ™ SA 2100 product which addresses vertical markets such as connected car, fleet management and fixed telemetry. The SA 2100 supports internet connectivity through WiFi to the carrier LTE network. We offer configurations supporting GPS and accelerometer applications for fleet management and connected car applications as well as Ethernet interfaces for Telemetry applications.</w:t>
      </w:r>
    </w:p>
    <w:p>
      <w:pPr>
        <w:spacing w:after="0" w:line="107"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N4A™ Software and Design Services </w:t>
      </w:r>
      <w:r>
        <w:rPr>
          <w:rFonts w:ascii="Arial" w:cs="Arial" w:eastAsia="Arial" w:hAnsi="Arial"/>
          <w:sz w:val="18"/>
          <w:szCs w:val="18"/>
          <w:color w:val="auto"/>
        </w:rPr>
        <w:t>include our N4A™ Device Manager and N4A™ Communications &amp; Management Software, or N4A™ CMS,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 services that we provide to other companies, primarily for asset management solutions. Our N4A CMS 4.1 platform is a next-generation service delivery platform that eases the development, deployment, and operation of asset-management applications. N4A CMS provides a standardized, scalable way to connect and manage remote assets and improve business operations. The platform is flexible and supports both on-premise server or cloud-based deployments and is the basis for delivery of a wide range of M2M services.</w:t>
      </w:r>
    </w:p>
    <w:p>
      <w:pPr>
        <w:spacing w:after="0" w:line="117" w:lineRule="exact"/>
        <w:rPr>
          <w:sz w:val="20"/>
          <w:szCs w:val="20"/>
          <w:color w:val="auto"/>
        </w:rPr>
      </w:pPr>
    </w:p>
    <w:p>
      <w:pPr>
        <w:ind w:right="40" w:firstLine="456"/>
        <w:spacing w:after="0" w:line="267" w:lineRule="auto"/>
        <w:rPr>
          <w:sz w:val="20"/>
          <w:szCs w:val="20"/>
          <w:color w:val="auto"/>
        </w:rPr>
      </w:pPr>
      <w:r>
        <w:rPr>
          <w:rFonts w:ascii="Arial" w:cs="Arial" w:eastAsia="Arial" w:hAnsi="Arial"/>
          <w:sz w:val="16"/>
          <w:szCs w:val="16"/>
          <w:b w:val="1"/>
          <w:bCs w:val="1"/>
          <w:i w:val="1"/>
          <w:iCs w:val="1"/>
          <w:color w:val="auto"/>
        </w:rPr>
        <w:t>Enabler</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III &amp; HS Embedded Solutions </w:t>
      </w:r>
      <w:r>
        <w:rPr>
          <w:rFonts w:ascii="Arial" w:cs="Arial" w:eastAsia="Arial" w:hAnsi="Arial"/>
          <w:sz w:val="16"/>
          <w:szCs w:val="16"/>
          <w:color w:val="auto"/>
        </w:rPr>
        <w:t>are integrated into various products or equipment so that those assets may communicate with other computers.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“machine-to-machine” applications enable back-end IT systems to receive data from remote assets. A common example is vehicle modules that transmit data about location, engine conditions, and abnormal situations to critical decision support or monitoring systems. During 2012, we launched the Enabler HS 3001 (1X) module, and during 2013 we launched the HS 3002 (HSDPA) module. These two modules build on the legacy proven design of the Enfora Enabler series. Our CDMA2000 1X and GSM/GPRS/EDGE/HSDPA low power platforms deliver small size and industry-leading performance, reliable connectivity, and device intelligence needed for today’s demanding M2M applications. These solutions are ideal for markets including but not limited to security, telemetry, POS, mHealth, AVL and AMI/AMR market segments looking for high reliability and a common design across multiple technologies.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customer base is comprised of wireless operators, distributors, OEMs, and various companies in vertical markets. Our tier-one wireless-operator customers include AT&amp;T, Sprint, and Verizon Wireless. OEM customers include Dell and Hewlett-Packard. Our M2M customer base is a mix across various verticals including customers such as RAC Monitoring Services, Telogis, Linear Technology, Vehicle Tracking Solutions LLC, Fleetmatics, DigiCore Holdings Ltd., and Nextraq.</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have strategic technology, development and marketing relationships with several of our customers.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strong customer relationships provide us with the opportunity to expand our market reach and sales.</w:t>
      </w:r>
    </w:p>
    <w:p>
      <w:pPr>
        <w:spacing w:after="0" w:line="90" w:lineRule="exact"/>
        <w:rPr>
          <w:sz w:val="20"/>
          <w:szCs w:val="20"/>
          <w:color w:val="auto"/>
        </w:rPr>
      </w:pPr>
    </w:p>
    <w:p>
      <w:pPr>
        <w:ind w:left="900" w:right="14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Wireless Operators and Distributors</w:t>
      </w:r>
      <w:r>
        <w:rPr>
          <w:rFonts w:ascii="Arial" w:cs="Arial" w:eastAsia="Arial" w:hAnsi="Arial"/>
          <w:sz w:val="18"/>
          <w:szCs w:val="18"/>
          <w:color w:val="auto"/>
        </w:rPr>
        <w:t>. By working closely with our wireless operator and distributor customers, we are able to drive demand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by combining our expertise in wireless technologies with our customers’ sales and marketing reach over a global subscriber base. Our customers also provide us with important services, including field trial participation, technical support, wireless data marketing and access to additional indirect distribution channels.</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M2M Customers</w:t>
      </w:r>
      <w:r>
        <w:rPr>
          <w:rFonts w:ascii="Arial" w:cs="Arial" w:eastAsia="Arial" w:hAnsi="Arial"/>
          <w:sz w:val="16"/>
          <w:szCs w:val="16"/>
          <w:color w:val="auto"/>
        </w:rPr>
        <w:t>. We believe the M2M market provides substantial opportunities for growth. Machine-to-machine and smart-systems technologies</w:t>
      </w:r>
      <w:r>
        <w:rPr>
          <w:rFonts w:ascii="Arial" w:cs="Arial" w:eastAsia="Arial" w:hAnsi="Arial"/>
          <w:sz w:val="16"/>
          <w:szCs w:val="16"/>
          <w:i w:val="1"/>
          <w:iCs w:val="1"/>
          <w:color w:val="auto"/>
        </w:rPr>
        <w:t xml:space="preserve"> </w:t>
      </w:r>
      <w:r>
        <w:rPr>
          <w:rFonts w:ascii="Arial" w:cs="Arial" w:eastAsia="Arial" w:hAnsi="Arial"/>
          <w:sz w:val="16"/>
          <w:szCs w:val="16"/>
          <w:color w:val="auto"/>
        </w:rPr>
        <w:t>are being integrated into a growing number of manufactured devices and machines—whether fixed, movable or fully mobile. We have a growing market presence in many of the high-growth segments of the M2M market. These include commercial telematics, after market telematics, remote monitoring and control, security, and connected home. We expect to work with these customers to develop customized solutions that incorporate our software and other intellectual property, providing significant product differentiation.</w:t>
      </w:r>
    </w:p>
    <w:p>
      <w:pPr>
        <w:spacing w:after="0" w:line="34" w:lineRule="exact"/>
        <w:rPr>
          <w:rFonts w:ascii="Arial" w:cs="Arial" w:eastAsia="Arial" w:hAnsi="Arial"/>
          <w:sz w:val="16"/>
          <w:szCs w:val="16"/>
          <w:color w:val="auto"/>
        </w:rPr>
      </w:pPr>
    </w:p>
    <w:p>
      <w:pPr>
        <w:ind w:left="900" w:right="24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OEMs</w:t>
      </w:r>
      <w:r>
        <w:rPr>
          <w:rFonts w:ascii="Arial" w:cs="Arial" w:eastAsia="Arial" w:hAnsi="Arial"/>
          <w:sz w:val="16"/>
          <w:szCs w:val="16"/>
          <w:color w:val="auto"/>
        </w:rPr>
        <w:t>. Our OEM customers integrate our products into devices that they manufacture and sell through their own direct sales forces and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channels. Our products are capable of being integrated into a broad range of devices that utilize wireless-data capabilities. We seek to build strong relationships with our OEM partners by working closely with them and providing radio frequency, or RF, design consulting, performance optimization, software integration and customization and application engineering support during the integration of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continue to develop and maintain strategic relationships with wireless and computer industry leaders like QUALCOMM, Sprint, AT&amp;T, Verizon Wireless and major software vendors. Through strategic relationships, we have been able to increase market penetration by leveraging the resources, knowledge and technology of our channel partners.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color w:val="auto"/>
        </w:rPr>
        <w:t>We sell our Mobile Computing Products primarily to wireless operators either directly or through strategic relationships, as well as to OEM partners and distributors located worldwide. Most of our Mobile Computing Products are sold directly by our sales force, or to a lesser degree, through distributors.</w:t>
      </w:r>
    </w:p>
    <w:p>
      <w:pPr>
        <w:spacing w:after="0" w:line="8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order to maintain strong sales relationships, we provide co-marketing, trade show support, product training and demo units for merchandising. We are also engaged in a wide variety of activities, such as awareness and lead-generation programs, as well as product marketing. Other marketing initiatives include public relations, seminars and co-branding with partners.</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sell our M2M Products and Solutions primarily to enterprises in the following industries: transportation; energy and industrial automation; security and safety; and medical monitoring. We sell our M2M Products and Solutions through our direct sales force and through distributors.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significant portion of our revenue comes from a small number of customers. Our revenues from sales to Verizon Wireless represented approximately 58% of our total revenues for the year ended December 31, 2013.</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substantial majority of our revenue is derived from sales in the U.S. See Note 12 to our consolidated financial statements for a discussion of our revenue and asset concentrations by geographic location.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Research and Development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research and development efforts are focused on developing innovative new wireless products and improving the functionality, design and performance of our existing products. Our research and development expenses for the years ended December 31, 2013, 2012, and 2011 were $48.2 million, $60.4 million, and $61.4 million, respectively.</w:t>
      </w:r>
    </w:p>
    <w:p>
      <w:pPr>
        <w:spacing w:after="0" w:line="14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In both segments, we intend to continue to identify and respond to our customers’ needs by introducing new product designs with an emphasis on supporting cutting edge wireless data technology, ease-of-use, performance, weight, cost and power consumption.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manage our products through a structured life-cycle process, from identifying initial customer requirements through development and commercial introduction to eventual phase-out. During product development, emphasis is placed on innovation, time-to-market, performance, meeting industry standards and customer-product specifications, ease of integration, cost reduction, manufacturability, quality and reliability.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development efforts leverage our core expertise in the following key technology areas:</w:t>
      </w:r>
    </w:p>
    <w:p>
      <w:pPr>
        <w:spacing w:after="0" w:line="90" w:lineRule="exact"/>
        <w:rPr>
          <w:sz w:val="20"/>
          <w:szCs w:val="20"/>
          <w:color w:val="auto"/>
        </w:rPr>
      </w:pPr>
    </w:p>
    <w:p>
      <w:pPr>
        <w:ind w:left="90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Advanced Radio Frequency and Hardware Design. </w:t>
      </w:r>
      <w:r>
        <w:rPr>
          <w:rFonts w:ascii="Arial" w:cs="Arial" w:eastAsia="Arial" w:hAnsi="Arial"/>
          <w:sz w:val="18"/>
          <w:szCs w:val="18"/>
          <w:color w:val="auto"/>
        </w:rPr>
        <w:t>Advanced RF design is a key technology that determines the performance of wireless devices.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specialized in 700/800/900/1800/1900/2100/2500 MHz and AWS designs for digital cellular, packet data, CDMA, HSPA, WiMAX, and LTE technologies. Our expertise in RF, baseband, and firmware technology contributes to the performance, cost advantages and small size of our products.</w:t>
      </w:r>
    </w:p>
    <w:p>
      <w:pPr>
        <w:spacing w:after="0" w:line="62"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Miniaturization and System Integration</w:t>
      </w:r>
      <w:r>
        <w:rPr>
          <w:rFonts w:ascii="Arial" w:cs="Arial" w:eastAsia="Arial" w:hAnsi="Arial"/>
          <w:sz w:val="16"/>
          <w:szCs w:val="16"/>
          <w:color w:val="auto"/>
        </w:rPr>
        <w:t>. Our expertise includes the integration of RF and baseband chipsets and printed circuit board, or PCB</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We will continue to augment our miniaturization technology, working to further reduce the size and cost of current and future products.</w:t>
      </w:r>
    </w:p>
    <w:p>
      <w:pPr>
        <w:spacing w:after="0" w:line="4" w:lineRule="exact"/>
        <w:rPr>
          <w:rFonts w:ascii="Arial" w:cs="Arial" w:eastAsia="Arial" w:hAnsi="Arial"/>
          <w:sz w:val="16"/>
          <w:szCs w:val="16"/>
          <w:color w:val="auto"/>
        </w:rPr>
      </w:pPr>
    </w:p>
    <w:p>
      <w:pPr>
        <w:ind w:left="900" w:right="6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Software Development. </w:t>
      </w:r>
      <w:r>
        <w:rPr>
          <w:rFonts w:ascii="Arial" w:cs="Arial" w:eastAsia="Arial" w:hAnsi="Arial"/>
          <w:sz w:val="18"/>
          <w:szCs w:val="18"/>
          <w:color w:val="auto"/>
        </w:rPr>
        <w:t>We specialize in integrating and customizing 3G and 4G software to meet carrier and regulatory requirements. We supply</w:t>
      </w:r>
      <w:r>
        <w:rPr>
          <w:rFonts w:ascii="Arial" w:cs="Arial" w:eastAsia="Arial" w:hAnsi="Arial"/>
          <w:sz w:val="18"/>
          <w:szCs w:val="18"/>
          <w:i w:val="1"/>
          <w:iCs w:val="1"/>
          <w:color w:val="auto"/>
        </w:rPr>
        <w:t xml:space="preserve"> </w:t>
      </w:r>
      <w:r>
        <w:rPr>
          <w:rFonts w:ascii="Arial" w:cs="Arial" w:eastAsia="Arial" w:hAnsi="Arial"/>
          <w:sz w:val="18"/>
          <w:szCs w:val="18"/>
          <w:color w:val="auto"/>
        </w:rPr>
        <w:t>end-to-end solutions to enable our customers to achieve a time-to-market advantage. This includes firmware that runs on a modem processor, drivers for various host operating systems, software development kits, or SDK, modem-manager software that controls modem operation, and server applications for over-the-air updates.</w:t>
      </w:r>
    </w:p>
    <w:p>
      <w:pPr>
        <w:spacing w:after="0" w:line="62"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Embedded Operating System. </w:t>
      </w:r>
      <w:r>
        <w:rPr>
          <w:rFonts w:ascii="Arial" w:cs="Arial" w:eastAsia="Arial" w:hAnsi="Arial"/>
          <w:sz w:val="18"/>
          <w:szCs w:val="18"/>
          <w:color w:val="auto"/>
        </w:rPr>
        <w:t>We have developed an embedded operating system that runs applications on our mobile hotspot products and allows us</w:t>
      </w:r>
      <w:r>
        <w:rPr>
          <w:rFonts w:ascii="Arial" w:cs="Arial" w:eastAsia="Arial" w:hAnsi="Arial"/>
          <w:sz w:val="18"/>
          <w:szCs w:val="18"/>
          <w:i w:val="1"/>
          <w:iCs w:val="1"/>
          <w:color w:val="auto"/>
        </w:rPr>
        <w:t xml:space="preserve"> </w:t>
      </w:r>
      <w:r>
        <w:rPr>
          <w:rFonts w:ascii="Arial" w:cs="Arial" w:eastAsia="Arial" w:hAnsi="Arial"/>
          <w:sz w:val="18"/>
          <w:szCs w:val="18"/>
          <w:color w:val="auto"/>
        </w:rPr>
        <w:t>to introduce innovative applications.</w:t>
      </w:r>
    </w:p>
    <w:p>
      <w:pPr>
        <w:spacing w:after="0" w:line="50" w:lineRule="exact"/>
        <w:rPr>
          <w:rFonts w:ascii="Arial" w:cs="Arial" w:eastAsia="Arial" w:hAnsi="Arial"/>
          <w:sz w:val="18"/>
          <w:szCs w:val="18"/>
          <w:color w:val="auto"/>
        </w:rPr>
      </w:pPr>
    </w:p>
    <w:p>
      <w:pPr>
        <w:ind w:left="900" w:right="68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M2M Solutions. </w:t>
      </w:r>
      <w:r>
        <w:rPr>
          <w:rFonts w:ascii="Arial" w:cs="Arial" w:eastAsia="Arial" w:hAnsi="Arial"/>
          <w:sz w:val="16"/>
          <w:szCs w:val="16"/>
          <w:color w:val="auto"/>
        </w:rPr>
        <w:t>We have developed customized asset-tracking systems and service-delivery platforms that utilize advanced radio-frequency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and specialized software that interfaces with the information technology systems of our customers.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We currently have manufacturing agreements in place with the following companies: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Mobile Computing Products and M2M Products and Solutions</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Inventec Appliances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Hon Hai Precision Industry Co., Ltd.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M2M Products and Solutions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Benchmark Electronics</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These contract manufacturers are located in China and Thailand, and are able to produce our products using modern state-of-the-art equipment and facilities and relatively low-cost labor.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outsource our manufacturing in an effort to:</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believe that additional manufacturing efficiencies are realized due to our product architecture and our commitment to process design. Direct materials for our products consist of custom tooled parts such as printed circuit boards, molded plastic components and fabricated metal components, semi-custom parts such as batteries and cables, as well as industry-standard components such as Application Specific Integrated Circuits or ASICs, RF power amplifiers, flash memory, transistors, integrated circuits, piezo-electric filters, duplexers, inductors, resistors and capacitors. Many of the components used in our products are similar to those used in cellular telephone handsets, helping to reduce our component costs through the use of standard parts.</w:t>
      </w:r>
    </w:p>
    <w:p>
      <w:pPr>
        <w:spacing w:after="0" w:line="1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operations organization manages our relationships with the contract manufacturers as well as other key suppliers. Our operations team focuses on supply chain management, quality, cost optimization, customer order management and new product introduction.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Computing Products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wireless broadband access solutions rely on and benefit from our portfolio of intellectual property, including patents and trademarks. We currently own 50 United States patents. In addition, we currently have 50 patent applications pending. From time to time, we also seek to have our patents registered in selected foreign jurisdictions. The patents that we currently own expire at various times between 2014 and 2031.</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licensed software and other intellectual property for use in our products from third-parties, such as QUALCOMM. In the case of QUALCOMM, these licenses allow us to manufacture CDMA, UMTS, HSPA, EV-DO, and LTE-based wireless modems and to sell or distribute them worldwide. In connection with such sales, we pay royalties to QUALCOMM. The license from QUALCOMM does not have a specified term and may be terminated by us or by QUALCOMM for cause or upon the occurrence of other specified events. In addition, we may terminate the licenses for any reason upon 60 days prior written notice. We have also granted to QUALCOMM a nontransferable, worldwide, nonexclusive, fully-paid and royalty-free license to use, in connection with wireless communications applications, certain of our intellectual property that incorporates the technology licensed to us by QUALCOMM. This license allows QUALCOMM to make, use, sell or dispose of such products and the related components. We also hold a number of trademarks including Expedite, MiFi, MiFi OS, MiFi Intelligent Mobile Hotspot, MobiLink and Ovation.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M2M Products and Solutions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M2M products and solutions incorporate patents, licensed technology, and trade secrets gained from our deep experience in providing customized solutions to our customers.</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currently own 9 United States patents related to M2M products and solutions. In addition, we currently have 19 patent applications pending. From time to time, we also seek to have our patents registered in selected foreign jurisdictions. The patents that we currently own expire at various times between 2020 and 2031.</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licensed software and other intellectual property for use in our products from various third-parties, such as Ericsson, Siemens, NEC and Interdigital Communications Corporation. These licenses allow us to use the licensed intellectual property for the worldwide manufacture and sale of GSM-based wireless devices. We pay royalties in connection with such sales. The licenses do not have a specified term and may be terminated by either party for cause or upon the occurrence of other specified events.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hold a number of trademarks including Enfora, Spider, Enabling Information Anywhere, Enabler, and N4A.</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do not believe that backlog is currently a meaningful indicator of our future business prospects due to the many variables, some of which are outside of our control, which could cause the actual volume of our product shipments to differ from those that comprise our backlog. Additionally, we sometimes have relatively short lead times between receipt of customer purchase orders and shipment of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market for wireless broadband access and M2M solutions is rapidly evolving and highly competitive. It is likely to continue to be significantly affected by the evolution of new wireless technology standards, additional companies entering the market, new product introductions and the product pricing and other market activities of industry participants.</w:t>
      </w:r>
    </w:p>
    <w:p>
      <w:pPr>
        <w:spacing w:after="0" w:line="140"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We believe the principal competitive factors impacting the market for our products are price, form factor, time-to-market, features and functionality, performance, quality, and brand. To maintain and improve our competitive position, we must continue to develop new products and solutions, expand our customer base, grow our distribution network, and leverage our strategic relationships and our investment in R&amp;D.</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M2M wireless solutions. Our current competitors include:</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wireless data modem and mobile hotspot providers, such as Huawei, ZTE, Sierra Wireless, PCD, LG Innotek, Samsung and Franklin Wireless;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handset manufacturers, such as HTC, Apple, Motorola, Nokia, and Samsung;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M2M solution providers, such as Sierra Wireless, Telit Wireless Solutions, Gemalto, CalAmp and Huawei.</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believe that we have advantages over each of our primary competitors due in varying measure to the technical and engineering design of our products, the broad range of customized solutions that we offer, the ease-of-use of our products, our ability to adapt our products to specific customer needs and our competitive pricing. As the market for wireless data solutions expands, other entrants may seek to compete with us either directly or indirectly.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As of December 31, 2013, we had 316 employees. By segment, Mobile Computing Products had 263 employees, including corporate functions, and M2M Products and Solutions had 53 employees. By function, we had 178 employees in research and development, 55 in sales and marketing, 41 in operations, and 42 in general and administrative functions. We also use the services of consultants and temporary workers from time to time. Our employees are not represented by any collective bargaining unit and we consider our relationship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96"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 xml:space="preserve">We maintain an Internet website at </w:t>
      </w:r>
      <w:r>
        <w:rPr>
          <w:rFonts w:ascii="Arial" w:cs="Arial" w:eastAsia="Arial" w:hAnsi="Arial"/>
          <w:sz w:val="15"/>
          <w:szCs w:val="15"/>
          <w:i w:val="1"/>
          <w:iCs w:val="1"/>
          <w:u w:val="single" w:color="auto"/>
          <w:color w:val="auto"/>
        </w:rPr>
        <w:t>www.novatelwireless.com</w:t>
      </w:r>
      <w:r>
        <w:rPr>
          <w:rFonts w:ascii="Arial" w:cs="Arial" w:eastAsia="Arial" w:hAnsi="Arial"/>
          <w:sz w:val="15"/>
          <w:szCs w:val="15"/>
          <w:color w:val="auto"/>
        </w:rPr>
        <w:t>. The information contained on our website or that can be accessed through our website does not constitute a part of this report. We make available, free of charge through our Internet website, our annual reports on Form 10-K, quarterly reports on Form</w:t>
      </w:r>
    </w:p>
    <w:p>
      <w:pPr>
        <w:ind w:right="20"/>
        <w:spacing w:after="0" w:line="255" w:lineRule="auto"/>
        <w:rPr>
          <w:sz w:val="20"/>
          <w:szCs w:val="20"/>
          <w:color w:val="auto"/>
        </w:rPr>
      </w:pPr>
      <w:r>
        <w:rPr>
          <w:rFonts w:ascii="Arial" w:cs="Arial" w:eastAsia="Arial" w:hAnsi="Arial"/>
          <w:sz w:val="18"/>
          <w:szCs w:val="18"/>
          <w:color w:val="auto"/>
        </w:rPr>
        <w:t>10-Q, current reports on Form 8-K, and amendments to those reports filed or furnished pursuant to Section 13(a) or 15(d) of the Securities Exchange Act of 1934, as amended, or the Exchange Act, as soon as reasonably practicable after we electronically file or furnish this information to the Securities and Exchange Commission, or SEC.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An investment in our common stock involves various risks. Before deciding to purchase, hold or sell our common stock, you should carefully consider the risks described below in addition to the other cautionary statements and risks described elsewhere in this report and in the documents incorporated by reference herein and therein. 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10-K, including our consolidated financial statements and the related notes.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wireless broadband data access products and services is rapidly evolving and highly competitive. We may be unable to compete effectively.</w:t>
      </w:r>
    </w:p>
    <w:p>
      <w:pPr>
        <w:spacing w:after="0" w:line="12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market for wireless broadband data access products and services is rapidly evolving and highly competitive.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to the development, manufacture, promotion, sale, and post-sale support of their respective products and services.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M2M wireless solutions. Our current competitors include:</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wireless data modem and mobile hotspot providers, such as Huawei, ZTE, Sierra Wireless, PCD, LG Innotek, Samsung and Franklin Wireless;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handset manufacturers, such as HTC, Apple, Motorola, Nokia, and Samsung;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M2M solution providers, such as Sierra Wireless, Telit Wireless Solutions, Gemalto, CalAmp and Huawei.</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support. We cannot be sure that we will have or will continue to have sufficient resources to make these investments or that we will be able to make the technological advances necessary for our products to remain competitive. Increased competition could result in price reductions, fewer or smaller customer orders, reduced product margins and loss of our market share. Our failure to compete successfully could seriously harm our business,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develop and timely introduce new products successfully, we may lose key customers or product orders and our business could be harmed.</w:t>
      </w:r>
    </w:p>
    <w:p>
      <w:pPr>
        <w:spacing w:after="0" w:line="12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that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and might impact the timing of the product development and customer approval process. In addition, as we introduce new products or new versions of our existing products,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Further, as part of our business, we may enter into contracts with some customers in which we would agree to develop products that we would sell to that customer. Our ability to generate future revenue and operating income under any such contracts would depend upon, among other factors, our ability to timely and profitably develop products that are suitable for manufacturing in a cost effective manner and that meet defined product design, technical and performance specifications.</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In November 2010, we completed our acquisition of Enfora. We may acquire additional businesses, assets, or technologies in the future. If we make any acquisitions, we could take any or all of the following actions, any one of which could adversely affect our business, financial condition, results of operations or share price:</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Acquisitions, including the Enfora acquisition, also entail numerous other risks, including: difficulties in assimilating acquired operations, products, technologies and personnel; unanticipated costs; diversion of management’s attention from existing operations; adverse effects on existing business relationships with suppliers and customers; risks of entering markets in which we have limited or no prior experience; and potential loss of key employees from either our existing business or the acquired organization. Acquisitions may result in substantial accounting charges for restructuring and other expenses, amortization of purchased technology and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intangible assets and stock-based compensation expense, any of which could materially adversely affect our operating results. We may not be able to realize the anticipated benefits of or successfully integrate with our existing business the businesses, products, technologies or personnel that we acquire, and our failure to do so could harm our business and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Weakness or deterioration in global economic conditions could have a material adverse effect on our results of operations and financial condition.</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a result of weak or deteriorating economic conditions globally, we could experience lower demand for our products, which could adversely impact our results of operations.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Additionally, there could be a number of related effects on our business resulting from weak economic conditions, including the insolvency of one or more of our parts suppliers resulting in product launch or product delivery delays, customer insolvencies resulting in that customer’s inability to order products from us or pay for already delivered product, an inability on the part of our customers to obtain credit to finance purchases of our products and reduced demand by the ultimate end-users of our products.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we continue to monitor market conditions, we cannot predict future market conditions or their impact on demand for our products.</w:t>
      </w:r>
    </w:p>
    <w:p>
      <w:pPr>
        <w:spacing w:after="0" w:line="27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failure to predict carrier and end user customer preferences among the many evolving wireless industry standards could hurt our ability to introduce and sell new products.</w:t>
      </w:r>
    </w:p>
    <w:p>
      <w:pPr>
        <w:spacing w:after="0" w:line="5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these standards in relevant respects. We are currently focused on engineering and manufacturing products that comply with several different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key element of our business strategy is to penetrate new markets by developing new products through strategic relationships with industry participants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expect to continue to depend upon only a small number of our customers for a substantial portion of our revenues. Our business could be negatively affected by an adverse change in our dealings with these customers.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our net revenues come from only a few customers. Our revenue could be materially adversely affected if we are unable to retain the level of business of any of our significant customers and if we are unable to offset this loss fully from alternative customers. We expect that a small number of customers will continue to account for a substantial portion of our revenue for the foreseeable future and any impairment of our relationship with, or the material financial impairment of, these customers could adversely affect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a majority of our current customers purchase our products pursuant to contracts that do not require them to purchase any specific minimum quantity of units other than the number of units ordered on an individual purchase order that might be issued to us from time to time. These customers have no contractual obligation to continue to purchase our products and if they do not continue to make purchases consistent with their historical purchase levels, our net revenue would decline if we are unable to increase sales from other existing or new customers.</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light of the limited number of leading wireless operators and OEMs that form our primary customer base, many of whom are already customers, it would be difficult to replace revenue resulting from the loss of any significant existing customer or from a material reduction in the volume of business we conduct with any significant existing customer. Consolidation among our customers may further concentrate our business to a more limited number of customers and expose us to increased risks relating to dependence on a limited number of customers, which dependence could adversely affect our operating results.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have had to qualify, and are required to maintain our status, as a supplier for each of our customers. This is a lengthy process that involves the inspection and approval by each customer of our engineering, documentation, manufacturing and quality control procedures before that customer will place volume orders. Attempts to lessen the adverse effect of any loss of, or any material reduction in the volume of business we conduct with, any significant existing customer through the rapid addition of one or more new customers would be difficult because of these qualification requirements. Consequently, our business and operating results could be adversely affected by the loss of, or any material reduction in the volume of business we conduct with, any existing significant 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markets for broadband wireless access solutions are rapidly evolving, both technologically and competitively, and the successful sale of related products and services depends in part on the strength of the demand for wireless access to both enterprise networks and the Internet. At times,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occurs, or if for any other reason the demand for wireless data access fails to grow, sales of our products will decline or remain stagnant and our business could be harmed.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51"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Various risks arise if companies and industries quickly evolve. If our business or industry develops more quickly than our ability to respond, our ability to meet customer demand in a timely and efficient manner could be challenged. We may also experience development, certification or production delays as we seek to meet increased demand for our products or unanticipated product requirements. Our failure to properly manage the developments that we or our industry might experience could negatively impact our ability to execute on our operating plan then in effect and, accordingly, could have an adverse impact on our business, our cash flow and results of operations, and our reputation with our current or potential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currently rely on third parties to manufacture and warehouse our products, which exposes us to a number of risks and uncertainties outside our control.</w:t>
      </w:r>
    </w:p>
    <w:p>
      <w:pPr>
        <w:spacing w:after="0" w:line="1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currently outsource our manufacturing to Inventec Appliances Corporation, Hon Hai Precision Industry Co., Ltd., and Benchmark Electronics. These contract manufacturers have operations in China and Thailand and, in 2011, severe flooding in Thailand caused damage to infrastructure and factories and affected our supply of products from our contract manufacturer located in Thailand, which constrained our revenue in 2011. If one of these third-party manufacturers were to experience delays, disruptions, capacity constraints or quality control problems in its manufacturing operations, product shipments to our customers could be delayed or rejected by them or our customers could consequently elect to cancel the underlying product purchase order. These disruptions would negatively impact our revenues,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may submit to them and that has been accepted.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we generally do not enter into long-term contracts with our manufacturers. As a result, we are subject to price increases due to the availability and price volatility in the marketplace of the components and materials needed to manufacture our products. If a third-party manufacturer were to negatively change the product pricing and other terms under which it agrees to manufacture for us and we are unable to locate a suitable alternative manufacturer, our manufacturing costs could significantly increase.</w:t>
      </w:r>
    </w:p>
    <w:p>
      <w:pPr>
        <w:spacing w:after="0" w:line="12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may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customer demand incorrectly and order the manufacture of excess or insufficient quantities of particular products.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historically placed purchase orders with our manufacturers at least three months prior to the scheduled delivery of the corresponding finished goods to our customer. In some instances, due to the length of component lead times, we might need to place manufacturing orders with our contract manufacturers solely on the basis of our receipt of a good-faith but non-binding customer forecast of the quantity and timing of the customer’s expected purchases from us. Accordingly, if the actual number and timing of delivery of units that a customer orders from us on the subsequently issued purchase order differs materially from the number of units in respect of which we contractually ordered our manufacturer to procure component parts, we might be unable to obtain adequate quantities of components in time to meet our customers’ binding delivery requirements or, alternatively, we might accumulate excess inventory that we are unable to timely use or resell, if at all. Our operating results and financial condition have been in the past and may in the future be materially adversely affected by our ability to manage our current or finished goods inventory levels and respond to short-term or unexpected shifts in customer demand as to quantities or our customer’s product delivery schedule.</w:t>
      </w:r>
    </w:p>
    <w:p>
      <w:pPr>
        <w:spacing w:after="0" w:line="201"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b w:val="1"/>
          <w:bCs w:val="1"/>
          <w:i w:val="1"/>
          <w:iCs w:val="1"/>
          <w:color w:val="auto"/>
        </w:rPr>
        <w:t>We depend on sole source suppliers for some components used in our products. The availability and sale of those finished products would be harmed if any of these suppliers is not able to meet our demand and production schedule and alternative suitable components are not available on acceptable terms, if at all.</w:t>
      </w:r>
    </w:p>
    <w:p>
      <w:pPr>
        <w:ind w:firstLine="456"/>
        <w:spacing w:after="0" w:line="287" w:lineRule="auto"/>
        <w:rPr>
          <w:sz w:val="20"/>
          <w:szCs w:val="20"/>
          <w:color w:val="auto"/>
        </w:rPr>
      </w:pPr>
      <w:r>
        <w:rPr>
          <w:rFonts w:ascii="Arial" w:cs="Arial" w:eastAsia="Arial" w:hAnsi="Arial"/>
          <w:sz w:val="16"/>
          <w:szCs w:val="16"/>
          <w:color w:val="auto"/>
        </w:rPr>
        <w:t>Our products contain a variety of components, some of which are procured from single suppliers. These components include both tooled parts and industry-standard parts, some of which are also used in cellular telephone handsets. From time to time, certain components used in our products have been in short supply worldwide or their anticipated commercial introduction has been delayed or their availability has been subsequently interrupted for reasons outside our control. For example, some of our product components are manufactured in Japan, which experienced a significant earthquake in 2011. Although our suppliers’ facilities were undamaged, some manufacturers experienced temporary suspension of production due to power outages. If there is a shortage or interruption in the availability to us of any such components, and we cannot timely obtain a commercially and technologically suitable substitute or make sufficient and timely design or other product modifications to permit the use of such a substitute component, we may not be able to timely deliver sufficient quantities of our products to satisfy our contractual obligations and particular revenue expectations. Moreover, even if we timely locate a substitute part (or locate the originally specified component from a parts broker) and its price materially exceeds the original cost of the component in our costed bill of materials, then our results of operations would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party to litigation that could be costly to defend and distracting to management.</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of the date of this report, a class action lawsuit has been filed on behalf of persons who allegedly purchased our common stock between February 27, 2007 and September 15, 2008. The lawsuit names us and certain of our current and former officers as defendants. On December 6, 2013, counsel for the defendants and counsel for the lead plaintiffs, entered into a binding memorandum of understanding reflecting a proposed settlement of the class action. On March 7, 2014, the federal court handling this case entered an order giving its preliminary approval to the settlement as set forth in the memorandum of understanding. The court set a hearing date of June 20, 2014, for the final approval of the settlement.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Additional litigation may be initiated against us based on the alleged false statements at issue in the pending litigation. Although we believe the existing lawsuit is likely to be resolved at the court’s hearing on June 20, 2014, we cannot predict the likelihood that further proceedings will be instituted against us. The cost of defending any future lawsuits may be high, and these legal proceedings may also result in the diversion of our management’s time and attention away from our business. In the event that there is an adverse ruling in any legal proceeding, we may be required to make payments to third parties that could harm our business or financial results.</w:t>
      </w:r>
    </w:p>
    <w:p>
      <w:pPr>
        <w:spacing w:after="0" w:line="224"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b w:val="1"/>
          <w:bCs w:val="1"/>
          <w:i w:val="1"/>
          <w:iCs w:val="1"/>
          <w:color w:val="auto"/>
        </w:rPr>
        <w:t>Third parties may claim that our products, or components within our products, infringe on their intellectual property rights. These claims may result in substantial costs, diversion of resources and management attention, harm to our reputation or interference with our current or prospective customer or supplier relations.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Third parties have in the past and may claim in the future that we, or our customers or suppliers, have violated their intellectual property rights. Defending an infringement or misappropriation claim, for example, regardless of the merits or success of the claim, could result in our incurring substantial legal and other costs. These claims could also divert our engineering and other human resources and management attention and cause harm to our reputation. These claims can be difficult and costly to assess and defend. A successful infringement claim related to our products could result in, among other things, our becoming liable for damages and litigation costs or unexpected and costly engineering changes to affected products.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any finding that our products infringe (or in some instances, our customer’s reasonable conclusion that a bona fide infringement claim is likely to be made with respect to such products) could have other negative consequences. Those consequences could include prohibiting us from further use of the intellectual property, causing us to have to modify our product design, if possible, so it does not infringe, or causing us to have to license the intellectual property at issue, incurring licensing fees, some of which could be retroactive. Upon a finding of infringement, we or one of our suppliers may also have to develop a non-infringing alternative, which if available could be costly, and delay or prevent sales of affected products.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number of putative patent infringement claims have been filed by various plaintiffs in a number of U.S. District Courts against us and/or numerous third parties, some of whom are our customers. These cases generally allege that the defendants’ use, sale and importation of specified products and/or processes constitutes infringement of certain U.S. patents allegedly owned or exclusively licensed by each plaintiff. Under certain circumstances, we may have an obligation to indemnify and/or defend our customers against these lawsuits.</w:t>
      </w:r>
    </w:p>
    <w:p>
      <w:pPr>
        <w:spacing w:after="0" w:line="22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business depends on our continued ability to license necessary third-party technology, which we may not be able to do on commercially competitive terms, if at all.</w:t>
      </w:r>
    </w:p>
    <w:p>
      <w:pPr>
        <w:spacing w:after="0" w:line="5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license technology from third parties for the development of our products. We have licensed from third parties, such as QUALCOMM, software, patents and other intellectual property for use in our products and from time to time we may elect or be required to license additional intellectual property. There can be no assurance that we will be able to maintain our third-party licenses or that these licenses or the technologies that are the subject of these licenses will not be the subject of dispute or litigation,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prospects.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internationally.</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to our manufacturing activities in Asia, we have staff located in Canada, China and Europe. We also sell our products outside the U.S. These international business activities expose the Company to additional business risks, including:</w:t>
      </w:r>
    </w:p>
    <w:p>
      <w:pPr>
        <w:spacing w:after="0" w:line="51" w:lineRule="exact"/>
        <w:rPr>
          <w:sz w:val="20"/>
          <w:szCs w:val="20"/>
          <w:color w:val="auto"/>
        </w:rPr>
      </w:pPr>
    </w:p>
    <w:p>
      <w:pPr>
        <w:ind w:left="5620" w:right="1640" w:hanging="5045"/>
        <w:spacing w:after="0" w:line="440" w:lineRule="auto"/>
        <w:tabs>
          <w:tab w:leader="none" w:pos="8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managing sales, research and development operations and post-sales logistics and support across these continents; 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processes, standards and expectations;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or damage to products in transit;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 and</w:t>
      </w:r>
    </w:p>
    <w:p>
      <w:pPr>
        <w:spacing w:after="0" w:line="9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court ordered injunctions in a given jurisdiction in connection with alleged intellectual property rights infringement by our products or components contained with our products which might prohibit the importation, sale or offer for sale of our products in the jurisdiction subject to such injunction.</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international business activities expose the Company to fluctuations in exchange rates between the United States dollar and foreign currencies which may affect our operating results.</w:t>
      </w:r>
    </w:p>
    <w:p>
      <w:pPr>
        <w:spacing w:after="0" w:line="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portion of our revenues are generated from sales agreements denominated in foreign currencies, and we expect to enter into additional such agreements as we expand our international customer base. As a result, we are exposed to changes in foreign currency exchange rates. At times, we may attempt to manage this risk, in part, by minimizing the effects of volatility on cash flows by identifying forecasted transactions exposed to these risks and using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1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products, including our proprietary or third party software contained in 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products are technologically complex and must meet stringent industry, regulatory and customer requirements. We must develop our hardware and software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at the time commercial shipments have begun, which could result in the rejection of our products, the loss of an existing or potential customer or the failure to obtain one, damage to our reputation, lost revenue, diverted development resources, increased customer service and support costs, unanticipated warranty claims, and the payment of monetary damages to our customers.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59" w:lineRule="exact"/>
        <w:rPr>
          <w:sz w:val="20"/>
          <w:szCs w:val="20"/>
          <w:color w:val="auto"/>
        </w:rPr>
      </w:pPr>
    </w:p>
    <w:p>
      <w:pPr>
        <w:ind w:left="90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and marketing, research and development and general and administrative costs are fixed, at least in the short term. If revenue decreases, due to pricing pressures or otherwise, or does not increase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sales varies from quarter to quarter, our operating results will likely fluctuate in ways that might not be directly proportionate to the fluctuation in revenue.</w:t>
      </w:r>
    </w:p>
    <w:p>
      <w:pPr>
        <w:spacing w:after="0" w:line="59" w:lineRule="exact"/>
        <w:rPr>
          <w:rFonts w:ascii="Arial" w:cs="Arial" w:eastAsia="Arial" w:hAnsi="Arial"/>
          <w:sz w:val="18"/>
          <w:szCs w:val="18"/>
          <w:color w:val="auto"/>
        </w:rPr>
      </w:pPr>
    </w:p>
    <w:p>
      <w:pPr>
        <w:ind w:left="900" w:right="32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900" w:right="100" w:hanging="325"/>
        <w:spacing w:after="0" w:line="291"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Lengthy sales cycle. </w:t>
      </w:r>
      <w:r>
        <w:rPr>
          <w:rFonts w:ascii="Arial" w:cs="Arial" w:eastAsia="Arial" w:hAnsi="Arial"/>
          <w:sz w:val="16"/>
          <w:szCs w:val="16"/>
          <w:color w:val="auto"/>
        </w:rPr>
        <w:t>The length of time between the date of initial contact with a potential customer and the execution of and product delivery under</w:t>
      </w:r>
      <w:r>
        <w:rPr>
          <w:rFonts w:ascii="Arial" w:cs="Arial" w:eastAsia="Arial" w:hAnsi="Arial"/>
          <w:sz w:val="16"/>
          <w:szCs w:val="16"/>
          <w:i w:val="1"/>
          <w:iCs w:val="1"/>
          <w:color w:val="auto"/>
        </w:rPr>
        <w:t xml:space="preserve"> </w:t>
      </w:r>
      <w:r>
        <w:rPr>
          <w:rFonts w:ascii="Arial" w:cs="Arial" w:eastAsia="Arial" w:hAnsi="Arial"/>
          <w:sz w:val="16"/>
          <w:szCs w:val="16"/>
          <w:color w:val="auto"/>
        </w:rPr>
        <w:t>a contract may take several months or longer, and is subject to delays or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39"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Foreign currency</w:t>
      </w:r>
      <w:r>
        <w:rPr>
          <w:rFonts w:ascii="Arial" w:cs="Arial" w:eastAsia="Arial" w:hAnsi="Arial"/>
          <w:sz w:val="18"/>
          <w:szCs w:val="18"/>
          <w:color w:val="auto"/>
        </w:rPr>
        <w:t>. We are exposed to market risk from changes in foreign currency exchange rates. Our attempts to minimize the effects of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foreign currencies on cash flows may not be successful.</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The success of our acquisitions, such as Enfora, depends in part on our retention and integration of key personnel from the acquired company or business. Recruiting and retaining skilled personnel in the wireless communications industry, including software and hardware engineers, is highly competitive.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in the future, currently only Peter Leparulo, the Company’s Chairman and CEO, is a party to an employment agreement. If we are not able to attract or retain qualified personnel in the future, or if we experience delays in hiring required personnel, particularly qualified engineers, we may not be able to maintain and expand our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or circumvention of our controls and procedures could seriously harm our business.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Any system of control and procedures, however well designed and operated, is based in part on certain assumptions and can provide only reasonable, and not absolute, assurances that the objectives of the controls and procedures are met. Acquired companies or businesses are likely to have different standards, controls, contracts, procedures and policies, making it more difficult to implement and harmonize company-wide financial, accounting, billing, information and other systems. Acquisitions of privately held companies, such as Enfora, and/or non-US companies are particularly challenging because their prior practices in these areas may not meet the requirements of the Sarbanes-Oxley Act and public accounting standards. The failure or circumvention of our controls, policies and procedures could have a material adverse effect on our business, results of operations and financial position.</w:t>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System security risks, data protection breaches, cyber-attacks and systems integration issues could disrupt our internal operations or information technology services provided to customers, and any such disruption could reduce our expected revenue, increase our expenses, damage our reputation and adversely affect our stock price.</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Experienced 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software and applications that we produce or procure from third parties may contain defects in design or manufacture, including “bugs” and other problems that could unexpectedly interfere with the operation of our or our customers’ systems.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manage and store various proprietary information and sensitive or confidential data relating to our business. Breaches of our security measures or the accidental loss, inadvertent disclosure or unapproved dissemination of proprietary information or sensitive or confidential data about us or our clients, including the potential loss or disclosure of such information or data as a result of fraud, trickery or other forms of deception, could expose us or our customers affected to a risk of loss or misuse of this information, result in litigation and potential liability for us, damage our brand and reputation or otherwise harm our business. In addition, the cost and operational consequences of implementing further data protection measures could be significant.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have adversely affected in the past, and in the future could adversely affect, our financial results, stock price and reputation.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the market values of our portfolio investments and in interest rates.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At December 31, 2013, we had $23.0 million in cash, cash equivalents and marketable securities, excluding restricted marketable securities of $2.6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marketable securities are invested in fixed income securities.</w:t>
      </w:r>
    </w:p>
    <w:p>
      <w:pPr>
        <w:spacing w:after="0" w:line="16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Investments in fixed-rate instruments carry a degree of interest rate risk. The market value of fixed-rate securities may be adversely impacted due to an increase in interest rates, while floating rate securities may produce less income than expected if interest rates decline. Due in part to these factors, our future investment market values and income may fall short of expectations due to changes in interest rates or if the decline in fair value of our publicly traded debt instruments is judged to be other-than-temporary.</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may also suffer losses in principal if we are forced to sell securities that decline in market value due to changes in interest rates or if declines in value are determined to be other-than-temporary.</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Our principal executive offices are located in San Diego, California where we lease approximately 96,000 square feet under an arrangement that expires in December 2016. In connection with our acquisition of Enfora, Inc., we currently lease approximately 21,000 square feet in Richardson, Texas under a lease arrangement that expires in June 2020. In Calgary, Canada, we lease approximately 24,000 square feet under a lease that expires in September 2017. In Shanghai, China, we lease approximately 1,200 square meters for our Chinese staff under a lease agreement that expires in April 2015. We also lease space in various geographic locations abroad primarily for sales and support personnel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September 15, 2008 and September 18, 2008, two putative securities class action lawsuits were filed in the United States District Court for the Southern District of California (the “Court”) on behalf of alleged stockholders of the Company. On December 11, 2008, these lawsuits were consolidated into a single action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in May 2010, the consolidated lawsuits were captioned the case </w:t>
      </w:r>
      <w:r>
        <w:rPr>
          <w:rFonts w:ascii="Arial" w:cs="Arial" w:eastAsia="Arial" w:hAnsi="Arial"/>
          <w:sz w:val="18"/>
          <w:szCs w:val="18"/>
          <w:i w:val="1"/>
          <w:iCs w:val="1"/>
          <w:color w:val="auto"/>
        </w:rPr>
        <w:t>In re Novatel Wireless Securities Litigation (the “Litigation”)</w:t>
      </w:r>
      <w:r>
        <w:rPr>
          <w:rFonts w:ascii="Arial" w:cs="Arial" w:eastAsia="Arial" w:hAnsi="Arial"/>
          <w:sz w:val="18"/>
          <w:szCs w:val="18"/>
          <w:color w:val="auto"/>
        </w:rPr>
        <w:t>. The Litigation is being pursued on behalf of persons who purchased the Company’s common stock between February 27, 2007 and September 15, 2008.</w:t>
      </w:r>
    </w:p>
    <w:p>
      <w:pPr>
        <w:spacing w:after="0" w:line="13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As previously disclosed, on December 6, 2013, to avoid the costs, disruption and distraction of further litigation, legal counsel for the defendants entered into a binding Memorandum of Understanding (“MOU”) with legal counsel for the lead plaintiffs, reflecting a proposed agreement to settle the Litigation. The proposed agreement did not admit any liability and the Company and the individual defendants continue to deny any and all liability.</w:t>
      </w:r>
    </w:p>
    <w:p>
      <w:pPr>
        <w:spacing w:after="0" w:line="10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Under the terms of the proposed settlement, the Company would pay $6 million in cash, $5 million in the Company’s common stock and a $5 million secured promissory note, to resolve all claims asserted in the Litigation on behalf of class members. A portion of the $6 million in cash would be funded by insurers for the Company. The $5 million in shares of the Company’s common stock would be unrestricted and freely tradable shares and either registered or exempt from registration at the time of issuance and distribution to class members, which would occur within 10 business days after the entry of a final order of approval by the Court. The $5 million secured note, with a 5% interest rate, would have a 30 month maturity and be secured by the Company’s accounts receivables. The Company has the right, at its sole option, to substitute cash for the note prior to the entry of final approval by the Court.</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settlement is subject to the following conditions: (1) the funding by the Company of the settlement; (2) the Company’s right to terminate the settlement if an agreed upon portion of the class members deliver timely and valid requests for exclusion from the class; (3) entry of final judgment by the Court approving the settlement; and (4) satisfaction of waiver of all covenants in the MOU.</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March 7, 2014, the Court entered an order giving preliminary approval to the settlement. The Court set a hearing for June 20, 2014, for final approval of the settlement of the Litigation.</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On September 24, 2010, NovAtel, Inc., a Canadian company (“NovAtel Canada”) filed a trademark infringement lawsuit entitled </w:t>
      </w:r>
      <w:r>
        <w:rPr>
          <w:rFonts w:ascii="Arial" w:cs="Arial" w:eastAsia="Arial" w:hAnsi="Arial"/>
          <w:sz w:val="16"/>
          <w:szCs w:val="16"/>
          <w:i w:val="1"/>
          <w:iCs w:val="1"/>
          <w:color w:val="auto"/>
        </w:rPr>
        <w:t>NovAtel, Inc. v. Novatel</w:t>
      </w:r>
      <w:r>
        <w:rPr>
          <w:rFonts w:ascii="Arial" w:cs="Arial" w:eastAsia="Arial" w:hAnsi="Arial"/>
          <w:sz w:val="16"/>
          <w:szCs w:val="16"/>
          <w:color w:val="auto"/>
        </w:rPr>
        <w:t xml:space="preserve"> </w:t>
      </w:r>
      <w:r>
        <w:rPr>
          <w:rFonts w:ascii="Arial" w:cs="Arial" w:eastAsia="Arial" w:hAnsi="Arial"/>
          <w:sz w:val="16"/>
          <w:szCs w:val="16"/>
          <w:i w:val="1"/>
          <w:iCs w:val="1"/>
          <w:color w:val="auto"/>
        </w:rPr>
        <w:t>Wireless Technologies, Ltd., et al</w:t>
      </w:r>
      <w:r>
        <w:rPr>
          <w:rFonts w:ascii="Arial" w:cs="Arial" w:eastAsia="Arial" w:hAnsi="Arial"/>
          <w:sz w:val="16"/>
          <w:szCs w:val="16"/>
          <w:color w:val="auto"/>
        </w:rPr>
        <w:t>, Action No. 1001-14265 in the Court of Queens Bench of Alberta Canada, Judicial District of Calgary. The Statement of Claim</w:t>
      </w:r>
      <w:r>
        <w:rPr>
          <w:rFonts w:ascii="Arial" w:cs="Arial" w:eastAsia="Arial" w:hAnsi="Arial"/>
          <w:sz w:val="16"/>
          <w:szCs w:val="16"/>
          <w:i w:val="1"/>
          <w:iCs w:val="1"/>
          <w:color w:val="auto"/>
        </w:rPr>
        <w:t xml:space="preserve"> </w:t>
      </w:r>
      <w:r>
        <w:rPr>
          <w:rFonts w:ascii="Arial" w:cs="Arial" w:eastAsia="Arial" w:hAnsi="Arial"/>
          <w:sz w:val="16"/>
          <w:szCs w:val="16"/>
          <w:color w:val="auto"/>
        </w:rPr>
        <w:t>alleges that Novatel Wireless Technologies, Ltd., Novatel Wireless Solutions, Inc. and Novatel Wireless, Inc., or collectively, the Company, are infringing NovAtel Canada’s purported rights in the “Novatel” trademark in breach of a settlement agreement between NovAtel Canada and the Company. The parties resolved all claims alleged in this matter without any payment by the Company. The matter was dismissed on March 12, 2013.</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2160"/>
        <w:spacing w:after="0" w:line="34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Common Stock Data</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Shares of our common stock are quoted and traded on The Nasdaq Global Select Market under the symbol “NVTL.” The following table sets forth, for the periods indicated, the high and low sales prices of our common stock as reported by The Nasdaq Global Select Market.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 xml:space="preserve">High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 xml:space="preserve">Low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r>
      <w:tr>
        <w:trPr>
          <w:trHeight w:val="196"/>
        </w:trPr>
        <w:tc>
          <w:tcPr>
            <w:tcW w:w="8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2.44</w:t>
            </w: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4.43</w:t>
            </w: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349"/>
        </w:trPr>
        <w:tc>
          <w:tcPr>
            <w:tcW w:w="886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c>
          <w:tcPr>
            <w:tcW w:w="5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outstanding capital stock consists of a single class of common stock. As of March 6, 2014, there were approximately 43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following graph compares the cumulative total stockholder return on the Company’s common stock between December 31, 2008 and December 31, 2013 with the cumulative total return of (i) the Nasdaq Stock Market (U.S.) Index or the Nasdaq Composite Index, and (ii) the Nasdaq Telecommunications Index, or the Nasdaq Telecom Index, over the same period. This graph assumes the investment of $100.00 on December 31, 2008 in the common stock of the Company, the Nasdaq Composite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122555</wp:posOffset>
            </wp:positionV>
            <wp:extent cx="4768215" cy="3644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821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6"/>
              </w:rPr>
              <w:t>Cumulative Total Return</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12/08</w:t>
            </w:r>
          </w:p>
        </w:tc>
        <w:tc>
          <w:tcPr>
            <w:tcW w:w="200" w:type="dxa"/>
            <w:vAlign w:val="bottom"/>
          </w:tcPr>
          <w:p>
            <w:pPr>
              <w:spacing w:after="0"/>
              <w:rPr>
                <w:sz w:val="12"/>
                <w:szCs w:val="12"/>
                <w:color w:val="auto"/>
              </w:rPr>
            </w:pPr>
          </w:p>
        </w:tc>
        <w:tc>
          <w:tcPr>
            <w:tcW w:w="5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12/09</w:t>
            </w:r>
          </w:p>
        </w:tc>
        <w:tc>
          <w:tcPr>
            <w:tcW w:w="7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12/10</w:t>
            </w:r>
          </w:p>
        </w:tc>
        <w:tc>
          <w:tcPr>
            <w:tcW w:w="200" w:type="dxa"/>
            <w:vAlign w:val="bottom"/>
          </w:tcPr>
          <w:p>
            <w:pPr>
              <w:spacing w:after="0"/>
              <w:rPr>
                <w:sz w:val="12"/>
                <w:szCs w:val="12"/>
                <w:color w:val="auto"/>
              </w:rPr>
            </w:pPr>
          </w:p>
        </w:tc>
        <w:tc>
          <w:tcPr>
            <w:tcW w:w="6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12/11</w:t>
            </w:r>
          </w:p>
        </w:tc>
        <w:tc>
          <w:tcPr>
            <w:tcW w:w="200" w:type="dxa"/>
            <w:vAlign w:val="bottom"/>
          </w:tcPr>
          <w:p>
            <w:pPr>
              <w:spacing w:after="0"/>
              <w:rPr>
                <w:sz w:val="12"/>
                <w:szCs w:val="12"/>
                <w:color w:val="auto"/>
              </w:rPr>
            </w:pPr>
          </w:p>
        </w:tc>
        <w:tc>
          <w:tcPr>
            <w:tcW w:w="6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12/12</w:t>
            </w:r>
          </w:p>
        </w:tc>
        <w:tc>
          <w:tcPr>
            <w:tcW w:w="220" w:type="dxa"/>
            <w:vAlign w:val="bottom"/>
          </w:tcPr>
          <w:p>
            <w:pPr>
              <w:spacing w:after="0"/>
              <w:rPr>
                <w:sz w:val="12"/>
                <w:szCs w:val="12"/>
                <w:color w:val="auto"/>
              </w:rPr>
            </w:pPr>
          </w:p>
        </w:tc>
        <w:tc>
          <w:tcPr>
            <w:tcW w:w="6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12/13</w:t>
            </w:r>
          </w:p>
        </w:tc>
        <w:tc>
          <w:tcPr>
            <w:tcW w:w="120" w:type="dxa"/>
            <w:vAlign w:val="bottom"/>
          </w:tcPr>
          <w:p>
            <w:pPr>
              <w:spacing w:after="0"/>
              <w:rPr>
                <w:sz w:val="12"/>
                <w:szCs w:val="12"/>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Novatel Wireless, Inc.</w:t>
            </w:r>
          </w:p>
        </w:tc>
        <w:tc>
          <w:tcPr>
            <w:tcW w:w="2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171.77</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205.82</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67.46</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28.66</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NASDAQ Composite</w:t>
            </w:r>
          </w:p>
        </w:tc>
        <w:tc>
          <w:tcPr>
            <w:tcW w:w="35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100.00</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144.88</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170.58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171.30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199.99</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283.39</w:t>
            </w:r>
          </w:p>
        </w:tc>
        <w:tc>
          <w:tcPr>
            <w:tcW w:w="1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Telecommunications</w:t>
            </w:r>
          </w:p>
        </w:tc>
        <w:tc>
          <w:tcPr>
            <w:tcW w:w="3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137.81</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148.84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131.52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136.58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189.00</w:t>
            </w:r>
          </w:p>
        </w:tc>
        <w:tc>
          <w:tcPr>
            <w:tcW w:w="120" w:type="dxa"/>
            <w:vAlign w:val="bottom"/>
            <w:shd w:val="clear" w:color="auto" w:fill="CCEEFF"/>
          </w:tcPr>
          <w:p>
            <w:pPr>
              <w:spacing w:after="0"/>
              <w:rPr>
                <w:sz w:val="18"/>
                <w:szCs w:val="18"/>
                <w:color w:val="auto"/>
              </w:rPr>
            </w:pPr>
          </w:p>
        </w:tc>
      </w:tr>
      <w:tr>
        <w:trPr>
          <w:trHeight w:val="363"/>
        </w:trPr>
        <w:tc>
          <w:tcPr>
            <w:tcW w:w="3980" w:type="dxa"/>
            <w:vAlign w:val="bottom"/>
          </w:tcPr>
          <w:p>
            <w:pPr>
              <w:spacing w:after="0"/>
              <w:rPr>
                <w:sz w:val="24"/>
                <w:szCs w:val="24"/>
                <w:color w:val="auto"/>
              </w:rPr>
            </w:pPr>
          </w:p>
        </w:tc>
        <w:tc>
          <w:tcPr>
            <w:tcW w:w="2760" w:type="dxa"/>
            <w:vAlign w:val="bottom"/>
          </w:tcPr>
          <w:p>
            <w:pPr>
              <w:jc w:val="right"/>
              <w:ind w:right="852"/>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and the related notes and “Management’s Discussion and Analysis of Financial Condition and Results of Operations” appearing elsewhere in this report. The selected consolidated statements of operations data presented below for each of the years ended December 31, 2013, 2012, and 2011, and the consolidated balance sheet data at December 31, 2013 and 2012 are derived from our consolidated financial statements included elsewhere in this report. The selected consolidated statements of operations data for the years ended December 31, 2010 and 2009 and consolidated balance sheet data at December 31, 2011, 2010, and 2009 are derived from the audited consolidated financial statements not included in this report.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40" w:type="dxa"/>
            <w:vAlign w:val="bottom"/>
            <w:gridSpan w:val="9"/>
          </w:tcPr>
          <w:p>
            <w:pPr>
              <w:jc w:val="center"/>
              <w:ind w:right="52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revenues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335,053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344,288</w:t>
            </w:r>
          </w:p>
        </w:tc>
        <w:tc>
          <w:tcPr>
            <w:tcW w:w="1320" w:type="dxa"/>
            <w:vAlign w:val="bottom"/>
            <w:gridSpan w:val="4"/>
          </w:tcPr>
          <w:p>
            <w:pPr>
              <w:jc w:val="right"/>
              <w:ind w:right="420"/>
              <w:spacing w:after="0"/>
              <w:rPr>
                <w:sz w:val="20"/>
                <w:szCs w:val="20"/>
                <w:color w:val="auto"/>
              </w:rPr>
            </w:pPr>
            <w:r>
              <w:rPr>
                <w:rFonts w:ascii="Arial" w:cs="Arial" w:eastAsia="Arial" w:hAnsi="Arial"/>
                <w:sz w:val="18"/>
                <w:szCs w:val="18"/>
                <w:color w:val="auto"/>
              </w:rPr>
              <w:t>$402,862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338,942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337,422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 of net revenues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266,759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271,845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318,270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272,648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860"/>
              <w:spacing w:after="0"/>
              <w:rPr>
                <w:sz w:val="20"/>
                <w:szCs w:val="20"/>
                <w:color w:val="auto"/>
              </w:rPr>
            </w:pPr>
            <w:r>
              <w:rPr>
                <w:rFonts w:ascii="Arial" w:cs="Arial" w:eastAsia="Arial" w:hAnsi="Arial"/>
                <w:sz w:val="18"/>
                <w:szCs w:val="18"/>
                <w:color w:val="auto"/>
              </w:rPr>
              <w:t>Gross profit</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68,294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72,443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84,592</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66,294</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48,246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60,422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61,392</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48,906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27,501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20,978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24,179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22,668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21,600</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21,233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intangible assets impairment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49,521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3,277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1,074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Contingent loss for litigation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111,515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161,186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118,319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91,296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(43,221)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(88,743)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(33,727)</w:t>
            </w: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(25,002)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(43,330)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(88,655)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(34,395)</w:t>
            </w: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(25,557)</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7,893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(43,413)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(89,266)</w:t>
            </w:r>
          </w:p>
        </w:tc>
        <w:tc>
          <w:tcPr>
            <w:tcW w:w="1320" w:type="dxa"/>
            <w:vAlign w:val="bottom"/>
            <w:gridSpan w:val="4"/>
          </w:tcPr>
          <w:p>
            <w:pPr>
              <w:jc w:val="right"/>
              <w:ind w:right="380"/>
              <w:spacing w:after="0"/>
              <w:rPr>
                <w:sz w:val="20"/>
                <w:szCs w:val="20"/>
                <w:color w:val="auto"/>
              </w:rPr>
            </w:pPr>
            <w:r>
              <w:rPr>
                <w:rFonts w:ascii="Arial" w:cs="Arial" w:eastAsia="Arial" w:hAnsi="Arial"/>
                <w:sz w:val="18"/>
                <w:szCs w:val="18"/>
                <w:color w:val="auto"/>
              </w:rPr>
              <w:t>$ (24,892)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(33,450)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Basic</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(2.72)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(2.72)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32,852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31,494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32,852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32,043</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31,494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 xml:space="preserve">Cash and cash equivalents and marketable securities </w:t>
            </w:r>
            <w:r>
              <w:rPr>
                <w:rFonts w:ascii="Arial" w:cs="Arial" w:eastAsia="Arial" w:hAnsi="Arial"/>
                <w:sz w:val="11"/>
                <w:szCs w:val="11"/>
                <w:color w:val="auto"/>
              </w:rPr>
              <w:t>(1)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25,532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55,309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88,831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97,826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67,199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81,113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87,174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111,465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161,531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249,179</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302,108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44,916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85,447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166,025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185,403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Long-term liabilities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11,848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2,552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12,886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restricted marketable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We are not obligated to update this information, whether as a result of new information, future events or otherwise, except to the extent we are required to by law. For a discussion of the important risks related to our business and future operating performance, see the discussion under the caption “Item 1A. Risk Factors” and under the caption “Factors Which May Influence Future Results of Operations” below. In light of these risks, uncertainties and assumptions, the forward-looking events discussed in this report might not occur.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for machine-to-machine (M2M) and mobile computing OEMs, integrated asset-management M2M devices, and communications and applications software.</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mobile-hotspot and modem customer base is comprised of wireless operators, including AT&amp;T, Sprint, and Verizon Wireless; laptop PC and other original equipment manufacturers, or OEMs, including Dell and Hewlett-Packard; as well as distributors and various companies in other vertical markets. Our M2M customer base is comprised of transportation companies, industrial companies, manufacturers, application service providers and distributors. Our solutions address multiple verticle markets for our customers including commercial telematics, after market telematics, remote monitoring and control, security and connected home. We have strategic relationships with several of these customers that provide input and validation of our product requirements across the various verticle markets.</w:t>
      </w:r>
    </w:p>
    <w:p>
      <w:pPr>
        <w:spacing w:after="0" w:line="14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hardware used in our solutions is produced by contract manufacturers. Their services include component procurement, assembly, testing, quality control, and fulfillment. We have agreements with Inventec Appliances Corporation, or IAC; Hon Hai Precision Industry co., LTD; and Benchmark Electronics for the outsourced manufacturing of our products. Under our manufacturing agreements, contract manufacturers provide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us with services including component procurement, product manufacturing, final assembly, testing, quality control, and fulfillment. In addition, we have an agreement with Mobiltron for certain distribution, fulfillment and repair services related to our business in Europe, the Middle East and Africa, or EMEA.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increased competition from other wireless data device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EV-DO and HSPA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Sprint, Verizon Wireless, AT&amp;T, and major software vendors. Through strategic relationships, we have been able to maintain market penetration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prices of our products. This pressure has the potential to materially adversely affect our results of operations and financial condition in future periods and we cannot predict the magnitude or timing of future reductions in the average selling prices of our products.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overhead,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We have incurred these expenses in the past and expect to continue to incur these expenses in future periods prior to recognizing net revenues from sales of these products.</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purchased intangibles.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Research and development are at the core of our ability to produce innovative, leading-edge products. This category consists primarily of engineers and technicians who design and test our highly complex products and the acquisition of testing and certification services.</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General and administrative expenses include primarily corporate functions such as accounting, human resources, legal fees, administrative support, and professional fees. This category also includes the expenses needed to operate as a publicly-traded company, including Sarbanes-Oxley compliance, SEC filings, stock-exchange fees, and investor-relations expense. Although general and administrative expenses are not directly related to revenue levels, certain expenses such as litigation settlements, legal expenses, and provisions for bad debts may cause significant volatility in future general and administrative expenses.</w:t>
      </w:r>
    </w:p>
    <w:p>
      <w:pPr>
        <w:spacing w:after="0" w:line="9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Amortization of purchased intangibles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subject our intangible assets and goodwill to impairment assessments when required which can result in charges when impairment occurs.</w:t>
      </w:r>
    </w:p>
    <w:p>
      <w:pPr>
        <w:spacing w:after="0" w:line="19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have undertaken certain restructuring activities and cost reduction initiatives in an effort to better align our organizational structure and costs with our strategy. Restructuring activities consist primarily of severance costs incurred in connection with the reduction of our workforce and facility exit related costs.</w:t>
      </w:r>
    </w:p>
    <w:p>
      <w:pPr>
        <w:spacing w:after="0" w:line="85"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Merger &amp; Acquisition Activities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Acquisition of Enfora</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On November 30, 2010, the Company completed its acquisition of Enfora, a provider of intelligent asset-management solutions utilizing wireless technology and M2M communications. The acquisition of Enfora diversifies the Company’s customer base and product lines into adjacent markets and advances the Company’s strategy of providing intelligent devices to more end markets—enterprise, consumer and vertical applications. Enfora’s results of operations and estimated fair value of assets acquired and liabilities assumed are included in the Company’s consolidated financial statements from the date of acquisition.</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the acquisition agreement, the Company paid cash consideration of $64.5 million and additional cash consideration of $13.0 million in exchange for an agreed upon amount of Enfora working capital. The Company also agreed to pay additional cash consideration, or contingent consideration, of up to $6.0 million based on the operating results of Enfora for the 15 month period from October 1, 2010 to December 31, 2011. At December 31, 2010, the estimated fair value of this contingent consideration at the acquisition date was $0.9 million, resulting in total estimated cash to be paid of $78.4 million. During the quarter ended March 31, 2011, the Company revised its estimate of contingent consideration to $0 and accordingly reflected this change as a benefit to general and administrative expenses for the quarter ended March 31, 2011. At December 31, 2011, the operating results necessary to receive payment of the contingent consideration were not achieved.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consolidated statements of operations expressed as a percentage of net revenues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54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left="415"/>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(as a percent of net revenues)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Cost of net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79.0</w:t>
            </w:r>
          </w:p>
        </w:tc>
        <w:tc>
          <w:tcPr>
            <w:tcW w:w="7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7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Goodwill and intangible assets impairment</w:t>
            </w: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7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Contingent loss for litigation</w:t>
            </w: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7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46.8</w:t>
            </w:r>
          </w:p>
        </w:tc>
        <w:tc>
          <w:tcPr>
            <w:tcW w:w="7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(12.9)</w:t>
            </w: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Interest income, net</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6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60" w:type="dxa"/>
            <w:vAlign w:val="bottom"/>
            <w:gridSpan w:val="2"/>
            <w:vMerge w:val="continue"/>
          </w:tcPr>
          <w:p>
            <w:pPr>
              <w:spacing w:after="0"/>
              <w:rPr>
                <w:sz w:val="19"/>
                <w:szCs w:val="19"/>
                <w:color w:val="auto"/>
              </w:rPr>
            </w:pP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(12.9)</w:t>
            </w: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(25.8)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gridSpan w:val="2"/>
            <w:vMerge w:val="continue"/>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(25.9)%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Compared to Year Ended December 31,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were approximately $335.1 million during 2013, a decrease of approximately $9.2 million or 2.7% compared to 2012.</w:t>
      </w:r>
    </w:p>
    <w:p>
      <w:pPr>
        <w:spacing w:after="0" w:line="19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product categories during the years ended December 31, 2013 and 2012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436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$297,499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$312,508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4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37,554</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4"/>
          </w:tcPr>
          <w:p>
            <w:pPr>
              <w:spacing w:after="0"/>
              <w:rPr>
                <w:sz w:val="20"/>
                <w:szCs w:val="20"/>
                <w:color w:val="auto"/>
              </w:rPr>
            </w:pPr>
            <w:r>
              <w:rPr>
                <w:rFonts w:ascii="Arial" w:cs="Arial" w:eastAsia="Arial" w:hAnsi="Arial"/>
                <w:sz w:val="18"/>
                <w:szCs w:val="18"/>
                <w:color w:val="auto"/>
              </w:rPr>
              <w:t>Total</w:t>
            </w:r>
          </w:p>
        </w:tc>
        <w:tc>
          <w:tcPr>
            <w:tcW w:w="4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335,053</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product categories:</w:t>
            </w:r>
          </w:p>
        </w:tc>
        <w:tc>
          <w:tcPr>
            <w:tcW w:w="13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36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$277,415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$287,572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Asset Management Solutions and Services</w:t>
            </w:r>
          </w:p>
        </w:tc>
        <w:tc>
          <w:tcPr>
            <w:tcW w:w="4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20,949</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335,053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360" w:type="dxa"/>
            <w:vAlign w:val="bottom"/>
            <w:vMerge w:val="restart"/>
          </w:tcPr>
          <w:p>
            <w:pPr>
              <w:jc w:val="right"/>
              <w:ind w:right="3012"/>
              <w:spacing w:after="0"/>
              <w:rPr>
                <w:sz w:val="20"/>
                <w:szCs w:val="20"/>
                <w:color w:val="auto"/>
              </w:rPr>
            </w:pPr>
            <w:r>
              <w:rPr>
                <w:rFonts w:ascii="Arial" w:cs="Arial" w:eastAsia="Arial" w:hAnsi="Arial"/>
                <w:sz w:val="18"/>
                <w:szCs w:val="18"/>
                <w:color w:val="auto"/>
              </w:rPr>
              <w:t>27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Mobile Computing Products. </w:t>
      </w:r>
      <w:r>
        <w:rPr>
          <w:rFonts w:ascii="Arial" w:cs="Arial" w:eastAsia="Arial" w:hAnsi="Arial"/>
          <w:sz w:val="16"/>
          <w:szCs w:val="16"/>
          <w:color w:val="auto"/>
        </w:rPr>
        <w:t>Net revenues from our Mobile Computing Products segment for the year ended December 31, 2013 were $297.5 million,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$15.0 million or 4.8% compared to the same period in 2012. The decrease is primarily attributable to lower sales of Mobile Broadband devices caused by increased market competition at our largest customer and lower average sales prices during the period.</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year ended December 31, 2013 were $37.6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$5.8 million or 18.2% compared to the same period in 2012. The increase is primarily due to increased sales of our HS3001 module launched in the first quarter of 2013.</w:t>
      </w:r>
    </w:p>
    <w:p>
      <w:pPr>
        <w:spacing w:after="0" w:line="140"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i w:val="1"/>
          <w:iCs w:val="1"/>
          <w:color w:val="auto"/>
        </w:rPr>
        <w:t xml:space="preserve">Product Categories. </w:t>
      </w:r>
      <w:r>
        <w:rPr>
          <w:rFonts w:ascii="Arial" w:cs="Arial" w:eastAsia="Arial" w:hAnsi="Arial"/>
          <w:sz w:val="15"/>
          <w:szCs w:val="15"/>
          <w:color w:val="auto"/>
        </w:rPr>
        <w:t>We have categorized the combined product portfolios of the mobile computing and M2M businesses into three categories (1) Mobile</w:t>
      </w:r>
      <w:r>
        <w:rPr>
          <w:rFonts w:ascii="Arial" w:cs="Arial" w:eastAsia="Arial" w:hAnsi="Arial"/>
          <w:sz w:val="15"/>
          <w:szCs w:val="15"/>
          <w:i w:val="1"/>
          <w:iCs w:val="1"/>
          <w:color w:val="auto"/>
        </w:rPr>
        <w:t xml:space="preserve"> </w:t>
      </w:r>
      <w:r>
        <w:rPr>
          <w:rFonts w:ascii="Arial" w:cs="Arial" w:eastAsia="Arial" w:hAnsi="Arial"/>
          <w:sz w:val="15"/>
          <w:szCs w:val="15"/>
          <w:color w:val="auto"/>
        </w:rPr>
        <w:t>Broadband Devices, (2) Embedded Solutions and (3) Asset Management Solutions and Services. These categories were established due to the different markets and sales channels served. We believe this product categorization facilitates the analysis of our operating trends and enhances our segment disclosures.</w:t>
      </w:r>
    </w:p>
    <w:p>
      <w:pPr>
        <w:spacing w:after="0" w:line="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Mobile Broadband Devices category includes all external data modems including MiFi intelligent hotspots, USB modems and PC cards. These devices are sold primarily through wireless operator enterprise and retail channels, telecom equipment distributors and consumer retail chains.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Embedded Solutions products include wireless-broadband modules and related software and services sold to manufacturers of laptop computers, tablets, and other wireless computer devices. This product category also includes M2M modules sold to manufacturers of various asset tracking and monitoring products. Our products are sold directly to OEMs or through distributor channels.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Asset Management Solutions and Services are mobile intelligent wireless broadband terminal devices and communication management software, or CMS, that transmit information about the assets into which these products are integrated. These hardware and software products can be bundled or sold separately. The CMS software activates the terminal device onto the wireless network and manages its functionality.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revenues from our Mobile Broadband Devices category for the year ended December 31, 2013 were $277.4 million, a decrease of $10.2 million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3.5% compared to the same period in 2012. The decrease is primarily attributable to increased competition at our largest customer and lower average sales prices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Embedded Solutions category accounted for $36.7 million, an increase of $6.7 million or 22.5% compared to the same period in 2012. This included $18.8 million in sales of M2M modules and $17.9 million of embedded modules for OEM computing devices.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Net revenues from Asset Management Solutions &amp; Services were $20.9 million, a decrease of $5.8 million or 21.7% compared to the same period in 2012. These sales were predominantly comprised of integrated product hardware sales. Sales of CMS software were not significant for the years ended December 31, 2013 and 2012.</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year ended December 31, 2013 was approximately $266.8 million, or 79.6% of net revenues,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approximately $271.8 million, or 79.0% of net revenues in 2012. The cost of net revenues as a percentage of net revenues increased compared to the same period in 2012 primarily due to the reduction of average sales prices of 4G products in our Mobile Computing Products segment and an increase in the inventory obsolescence provision, partially offset by lower amortization costs associated with purchased intangible assets and by reduced labor cost attributed to headcount reductions and decreased share-based compensation expense. Cost of net revenues as a percentage of net revenues is expected to fluctuate in future quarters depending on revenue levels, the mix of products sold, competitive pricing, new product introduction costs and other factors.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year ended December 31, 2013 was approximately $68.3 million, or 20.4% of net revenues, as compared to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$72.4 million, or 21.0% of net revenues in 2012. The gross profit percentage decrease compared to the same period in 2012 was primarily attributable to the changes in net revenues and cost of net revenues as discussed above. We expect that our gross profit percentage will continue to fluctuate from quarter to quarter depending on product mix, competitive selling prices, our ability to reduce product costs and changes in unit volume.</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2013 were approximately $48.2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14.4% of net revenues, compared to approximately $60.4 million, or 17.5% of net revenues in 2012. Research and development expenses for the year ended December 31, 2013 were lower as compared to the same period in 2012 due to reduced labor cost attributed to headcount reductions, as well as lower share-based compensation expenses which was primarily related to additional expense in 2012 for the termination of our 2000 Employee Stock Purchase Plan in the fourth quarter of 2012.</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periods depending on the amount of revenue recognized, and potential variation in the costs associated with the development of our products, including the number and complexity of the products under development and the progress of the development activities with respect to those products.</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2013 were approximately $20.9 million, or 6.2%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approximately $27.5 million or 8.0% of net revenues in 2012. Sales and marketing expenses were lower as compared to the same period in 2012, primarily due to headcount reductions, resulting in a decrease in salaries and related expenditures and share-based compensation expenses.</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2013 were approximately $24.2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7.2% of net revenues, compared to approximately $22.7 million, or 6.6% of net revenues in 2012. The increase was due primarily to litigation settlements reached during the year, as well as increased legal fees and an increase to our allowance for doubtful accounts receivable, partially offset by reduced salaries and related expenditures attributed to headcount reductions and decreased share-based compensation expense.</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Goodwill and intangible assets impairments. </w:t>
      </w:r>
      <w:r>
        <w:rPr>
          <w:rFonts w:ascii="Arial" w:cs="Arial" w:eastAsia="Arial" w:hAnsi="Arial"/>
          <w:sz w:val="16"/>
          <w:szCs w:val="16"/>
          <w:color w:val="auto"/>
        </w:rPr>
        <w:t>No impairments were recorded during the year ended December 31, 2013. During the first and third quarters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2012, based on actual operating results, and reductions in management’s estimates of forecasted operating results of the M2M Products and Solutions reporting unit principally due to an updated view of competitive pressures impacting average selling prices and forecasted sales volumes, customer product and technology selections, and the loss of certain customers, the Company determined there were sufficient indicators of impairment present to require an interim impairment analysis. Based on the fair value tests performed during the first quarter of 2012, the Company recorded a pre-tax goodwill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impairment charge of $6.6 million and a purchased intangible asset charge of $22.8 million. Based on the fair value tests performed during the third quarter of 2012, the Company recorded a preliminary pre-tax goodwill impairment charge of $13.2 million and a preliminary purchased intangible asset charge of $7.3 million. During the fourth quarter of 2012, the Company completed the third quarter impairment analysis and reduced the purchased intangible asset impairment by $300,000.</w:t>
      </w:r>
    </w:p>
    <w:p>
      <w:pPr>
        <w:spacing w:after="0" w:line="137" w:lineRule="exact"/>
        <w:rPr>
          <w:sz w:val="20"/>
          <w:szCs w:val="20"/>
          <w:color w:val="auto"/>
        </w:rPr>
      </w:pPr>
    </w:p>
    <w:p>
      <w:pPr>
        <w:jc w:val="both"/>
        <w:ind w:right="240" w:firstLine="456"/>
        <w:spacing w:after="0" w:line="26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 ended December 31, 2013 was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$562,000, compared to approximately $1.1 million in 2012. The decrease in amortization expense was due to the lower net asset value of the intangible assets resulting from impairment charges in the first and third quarters of 2012.</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Contingent loss for litigation. </w:t>
      </w:r>
      <w:r>
        <w:rPr>
          <w:rFonts w:ascii="Arial" w:cs="Arial" w:eastAsia="Arial" w:hAnsi="Arial"/>
          <w:sz w:val="16"/>
          <w:szCs w:val="16"/>
          <w:color w:val="auto"/>
        </w:rPr>
        <w:t>The contingent loss for litigation for the year ended December 31, 2013 was $14.3 million related to the securities litigation.</w:t>
      </w:r>
    </w:p>
    <w:p>
      <w:pPr>
        <w:spacing w:after="0" w:line="194"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Restructuring charges. </w:t>
      </w:r>
      <w:r>
        <w:rPr>
          <w:rFonts w:ascii="Arial" w:cs="Arial" w:eastAsia="Arial" w:hAnsi="Arial"/>
          <w:sz w:val="16"/>
          <w:szCs w:val="16"/>
          <w:color w:val="auto"/>
        </w:rPr>
        <w:t>Restructuring expenses for the year ended December 31, 2013 were $3.3 million, and predominantly consist of severance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incurred in connection with the reduction of our workforce and facility exit related costs. In September 2013, the Company commenced certain restructuring initiatives, including the closure of the Company’s development site in Calgary, Canada, and the consolidation of certain supply chain management activities, resulting in a reduction in force of 72 employees across all functional areas of the Company.</w:t>
      </w:r>
    </w:p>
    <w:p>
      <w:pPr>
        <w:spacing w:after="0" w:line="11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net, for the year ended December 31, 2013 was $113,000 as compared to $291,000 for the same period in 2012.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interest income during 2013 and 2012 was primarily related to interest earned on our marketable securities. The decrease in our interest income during 2013 was primarily related to the decrease in net asset values of our marketable securities compared to the same period in 2012.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year ended December 31, 2013 was $222,000 as compared to $203,000 for the same period in 2012.</w:t>
      </w:r>
    </w:p>
    <w:p>
      <w:pPr>
        <w:spacing w:after="0" w:line="19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was approximately $83,000 for fiscal 2013, compared to an expense of $611,000 in 2012.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difference between the federal and state statutory combined benefit rate of 36% and our effective tax rate for 2013 is primarily due to a full valuation allowance on the U.S.-based deferred tax assets generated in 2013. The income tax expense for 2012 was primarily due to a full valuation allowance on the U.S.-based deferred tax assets generated in 2012, and a $0.4 million expense related to an increase in the Company’s valuation allowance on the Canadian-based deferred tax assets.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year ended December 31, 2013, we reported a net loss of approximately $43.4 million, as compared to net loss of approximately $89.3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2012. Net income for the year ended December 31, 2013 was significantly impacted due to the contingent loss for litigation of $14.3 million recognized in the fourth quarter of 2013. Net income for the year ended December 31, 2012 was significantly impacted due to the impairment charges recognized in the first and third quarters of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were approximately $344.3 million during 2012, a decrease of approximately $58.6 million or 14.5% compared to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product categories during the years ended December 31, 2012 and 2011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27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56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$312,508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$358,106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100" w:type="dxa"/>
            <w:vAlign w:val="bottom"/>
            <w:shd w:val="clear" w:color="auto" w:fill="CCEEFF"/>
          </w:tcPr>
          <w:p>
            <w:pPr>
              <w:spacing w:after="0"/>
              <w:rPr>
                <w:sz w:val="18"/>
                <w:szCs w:val="18"/>
                <w:color w:val="auto"/>
              </w:rPr>
            </w:pPr>
          </w:p>
        </w:tc>
      </w:tr>
      <w:tr>
        <w:trPr>
          <w:trHeight w:val="222"/>
        </w:trPr>
        <w:tc>
          <w:tcPr>
            <w:tcW w:w="8440" w:type="dxa"/>
            <w:vAlign w:val="bottom"/>
            <w:gridSpan w:val="4"/>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344,288</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402,862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2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product categories:</w:t>
            </w:r>
          </w:p>
        </w:tc>
        <w:tc>
          <w:tcPr>
            <w:tcW w:w="57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$287,572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$336,730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39,793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Asset Management Solutions and Services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26,756</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344,288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402,862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year ended December 31, 2012 were $312.5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$45.6 million or 12.7% compared to the same period in 2011. The decrease is primarily attributable to lower sales of Mobile Broadband devices caused by increased market competition at our largest customer.</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year ended December 31, 2012 were $31.8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$13.0 million compared with $44.8 million in net revenues for the previous year. The decrease is primarily due to the reduced sales volume and pricing of our 2G GPRS M2M modules in the North American market as it transitions away from 2G GSM networks, and the loss of one of our larger customers for the M2M segment.</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Net revenues from our Mobile Broadband Devices category for the year ended December 31, 2012 were $287.6 million, a decrease of $49.2 million or 14.6% compared to the same period in 2011. The decrease is primarily attributable to increased competition at our largest customer.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Embedded Solutions category accounted for $30.0 million, or 8.7% of total net revenues for the year ended December 31, 2012, a decrease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$9.8 million compared to the same period in 2011. This included $13.7 million in sales of M2M modules and $16.3 million of embedded modules for OEM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computing devices.</w:t>
      </w:r>
    </w:p>
    <w:p>
      <w:pPr>
        <w:spacing w:after="0" w:line="16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Net revenues from Asset Management Solutions &amp; Services were $26.8 million and accounted for approximately 7.8% of total net revenues for the year ended December 31, 2012, an increase of $417,000 compared to the same period in 2011. These sales were predominantly comprised of integrated product hardware sales. Sales of CMS software were not significant for the years ended December 31, 2012 and 2011.</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year ended December 31, 2012 was approximately $271.8 million, or 79.0% of net revenues,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approximately $318.3 million, or 79.0% of net revenues in 2011. The cost of net revenues as a percentage of net revenues remained flat compared to the same period in 2011. The reduction of average sales prices of 4G products in our Mobile Computing Products segment compared to the same period in 2011 was offset by lower amortization costs associated with purchased intangible assets. Cost of net revenues as a percentage of net revenues is expected to fluctuate in future quarters depending on revenue levels, the mix of products sold, competitive pricing, new product introduction costs and other factors.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year ended December 31, 2012 was approximately $72.4 million, or 21.0% of net revenues, as compared to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$84.6 million, or 21.0% of net revenues in 2011. The gross profit percentage remained flat as compared to the same period in 2011.</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year ended December 31, 2012 were approximately $60.4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17.5% of net revenues, compared to approximately $61.4 million, or 15.2% of net revenues in 2011. Research and development expenses for the year ended December 31, 2012 were lower as compared to the same period in 2011 due to reduced labor cost attributed to headcount reductions, lower software amortization costs, and lower engineering build materials and outside testing services. This decrease was partially offset by an increase in share based compensation expenses primarily related to the termination of our 2000 Employee Stock Purchase Plan in the fourth quarter of 2012.</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2012 were approximately $27.5 million, or 8.0%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approximately $29.8 million or 7.4% of net revenues in 2011. The dollar decrease was due primarily to lower labor cost as a result of reductions in headcount and decreased cooperative advertising and joint marketing expenses compared to the same period in 2011.</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2012 were approximately $22.7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6.6% of net revenues, compared to approximately $21.6 million, or 5.4% of net revenues in 2011. The increase was due primarily to legal expenses related to IP defense and litigation settlements, and an increase in bad debt reserve compared to the same period in 2011.</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Goodwill and intangible assets impairments. </w:t>
      </w:r>
      <w:r>
        <w:rPr>
          <w:rFonts w:ascii="Arial" w:cs="Arial" w:eastAsia="Arial" w:hAnsi="Arial"/>
          <w:sz w:val="16"/>
          <w:szCs w:val="16"/>
          <w:color w:val="auto"/>
        </w:rPr>
        <w:t>During the first and third quarters of 2012, based on actual operating results, and reductions in management’s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estimates of forecasted operating results of the M2M Products and Solutions reporting unit principally due to an updated view of competitive pressures impacting average selling prices and forecasted sales volumes, customer product and technology selections, and the loss of certain customers, the Company determined there were sufficient indicators of impairment present to require an interim impairment analysis. Based on the fair value tests performed during the first quarter of 2012, the Company recorded a pre-tax goodwill impairment charge of $6.6 million and a purchased intangible asset charge of $22.8 million. Based on the fair value tests performed during the third quarter of 2012, the Company recorded a preliminary pre-tax goodwill impairment charge of $13.2 million and a preliminary purchased intangible asset charge of $7.3 million. During the fourth quarter of 2012, the Company completed the third quarter impairment analysis and reduced the purchased intangible asset impairment by $300,000. During the third quarter of 2011, we performed an interim assessment of impairment for goodwill and recorded an impairment charge of $3.5 million. During the fourth quarter of 2011, we completed the impairment analysis and reduced the impairment by $237,000.</w:t>
      </w:r>
    </w:p>
    <w:p>
      <w:pPr>
        <w:spacing w:after="0" w:line="117"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 ended December 31, 2012 was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million, compared to approximately $2.2 million in 2011. The decrease in amortization expense was due to the lower net asset value of the intangible assets resulting from impairment charges in the first and third quarters of 2012.</w:t>
      </w:r>
    </w:p>
    <w:p>
      <w:pPr>
        <w:spacing w:after="0" w:line="13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year ended December 31, 2012 was $291,000 as compared to $384,000 for the same period in 2011.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interest income during 2012 and 2011 was primarily related to interest earned on our marketable securities.</w:t>
      </w:r>
    </w:p>
    <w:p>
      <w:pPr>
        <w:spacing w:after="0" w:line="132"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b w:val="1"/>
          <w:bCs w:val="1"/>
          <w:i w:val="1"/>
          <w:iCs w:val="1"/>
          <w:color w:val="auto"/>
        </w:rPr>
        <w:t xml:space="preserve">Other expense, net. </w:t>
      </w:r>
      <w:r>
        <w:rPr>
          <w:rFonts w:ascii="Arial" w:cs="Arial" w:eastAsia="Arial" w:hAnsi="Arial"/>
          <w:sz w:val="15"/>
          <w:szCs w:val="15"/>
          <w:color w:val="auto"/>
        </w:rPr>
        <w:t>Other expense, net for the year ended December 31, 2012 was $203,000 as compared to $1.1 million for the same period in 2011.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net other expenses for 2011 were primarily related to foreign currency losses on South Korean Won denominated trade payables, foreign exchange currency losses on our foreign denominated bank accounts and trade receivables, and other-than-temporary loss recognized on our marketable equity securities.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was approximately $611,000 for fiscal 2012, compared to a benefit of $9.5 million in 2011.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difference between the federal and state statutory combined benefit rate of 35% and our effective tax rate for 2012 is primarily due to a full valuation allowance on the U.S.-based deferred tax assets generated in 2012, and a $0.4 million expense related to an increase in the Company’s valuation allowance on the Canadian-based deferred tax assets. The income tax benefit for 2011 was primarily due to an $11.8 million income tax benefit related to the recognition of uncertain tax positions. U.S.-based deferred tax assets generated in 2011 resulting from the Company’s operating losses did not result in a net tax benefit due to an offsetting full valuation allowance on the deferred tax assets.</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year ended December 31, 2012, we reported a net loss of approximately $89.3 million, as compared to net loss of approximately $24.9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2011. Net income was significantly impacted due to the impairment charges recognized in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To address short term liquidity requirements resulting from working capital changes the Company entered into a margin credit facility with a bank in 2011. The use of this margin credit facility allows the Company to meet short-term cash requirements and avoid selling cash equivalents and marketable securities. Borrowings under this facility are collateralized by Company cash and cash equivalents and marketable securities on deposit at the bank. During the twelve months ended December 31, 2012, the Company borrowed $14.0 million against the facility and repaid the entire amount during the same period. The Company had no outstanding borrowings under this facility at December 31, 2012. During the twelve months ended December 31, 2013, the Company borrowed $20.3 million against the facility and had outstanding borrowings of $2.6 million under this facility at December 31, 2013. Under the terms of the credit facility, the bank may liquidate any of the Company’s cash equivalents or marketable securities held at any time in order to recoup the outstanding balance of the facility. Accordingly, a like amount of marketable equity securities have been classified by the Company as restricted marketable securities on the balance sheet at December 31, 2013. At December 31, 2013 the Company had no cash equivalents held at this bank. The Company’s unused borrowing capacity at December 31, 2013 under the credit facility was $1.8 million.</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0" w:type="dxa"/>
            <w:vAlign w:val="bottom"/>
            <w:gridSpan w:val="6"/>
          </w:tcPr>
          <w:p>
            <w:pPr>
              <w:jc w:val="center"/>
              <w:ind w:right="618"/>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122"/>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Increase /</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2013</w:t>
            </w:r>
          </w:p>
        </w:tc>
        <w:tc>
          <w:tcPr>
            <w:tcW w:w="10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8"/>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11"/>
                <w:szCs w:val="11"/>
                <w:color w:val="auto"/>
              </w:rPr>
              <w:t>(1)</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40,928</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67,199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(26,271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360" w:type="dxa"/>
            <w:vAlign w:val="bottom"/>
            <w:gridSpan w:val="4"/>
            <w:vMerge w:val="restart"/>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60" w:type="dxa"/>
            <w:vAlign w:val="bottom"/>
            <w:gridSpan w:val="4"/>
            <w:vMerge w:val="continue"/>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$16,044</w:t>
            </w:r>
          </w:p>
        </w:tc>
        <w:tc>
          <w:tcPr>
            <w:tcW w:w="2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(13,133)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(2)(3)</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16,612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38,064</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22,966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55,309</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(32,343)</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40" w:type="dxa"/>
            <w:vAlign w:val="bottom"/>
            <w:gridSpan w:val="2"/>
          </w:tcPr>
          <w:p>
            <w:pPr>
              <w:spacing w:after="0"/>
              <w:rPr>
                <w:sz w:val="20"/>
                <w:szCs w:val="20"/>
                <w:color w:val="auto"/>
              </w:rPr>
            </w:pPr>
            <w:r>
              <w:rPr>
                <w:rFonts w:ascii="Arial" w:cs="Arial" w:eastAsia="Arial" w:hAnsi="Arial"/>
                <w:sz w:val="18"/>
                <w:szCs w:val="18"/>
                <w:color w:val="auto"/>
              </w:rPr>
              <w:t>(1)</w:t>
            </w:r>
          </w:p>
        </w:tc>
        <w:tc>
          <w:tcPr>
            <w:tcW w:w="7020" w:type="dxa"/>
            <w:vAlign w:val="bottom"/>
            <w:gridSpan w:val="2"/>
          </w:tcPr>
          <w:p>
            <w:pPr>
              <w:ind w:left="120"/>
              <w:spacing w:after="0"/>
              <w:rPr>
                <w:sz w:val="20"/>
                <w:szCs w:val="20"/>
                <w:color w:val="auto"/>
              </w:rPr>
            </w:pPr>
            <w:r>
              <w:rPr>
                <w:rFonts w:ascii="Arial" w:cs="Arial" w:eastAsia="Arial" w:hAnsi="Arial"/>
                <w:sz w:val="18"/>
                <w:szCs w:val="18"/>
                <w:color w:val="auto"/>
              </w:rPr>
              <w:t>Working capital is defined as the excess of current assets over current liabilities.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rPr>
              <w:t>(2)</w:t>
            </w:r>
          </w:p>
        </w:tc>
        <w:tc>
          <w:tcPr>
            <w:tcW w:w="7020" w:type="dxa"/>
            <w:vAlign w:val="bottom"/>
            <w:gridSpan w:val="2"/>
          </w:tcPr>
          <w:p>
            <w:pPr>
              <w:ind w:left="120"/>
              <w:spacing w:after="0"/>
              <w:rPr>
                <w:sz w:val="20"/>
                <w:szCs w:val="20"/>
                <w:color w:val="auto"/>
              </w:rPr>
            </w:pPr>
            <w:r>
              <w:rPr>
                <w:rFonts w:ascii="Arial" w:cs="Arial" w:eastAsia="Arial" w:hAnsi="Arial"/>
                <w:sz w:val="18"/>
                <w:szCs w:val="18"/>
                <w:color w:val="auto"/>
              </w:rPr>
              <w:t>Included in working capital.</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gridSpan w:val="2"/>
          </w:tcPr>
          <w:p>
            <w:pPr>
              <w:spacing w:after="0"/>
              <w:rPr>
                <w:sz w:val="20"/>
                <w:szCs w:val="20"/>
                <w:color w:val="auto"/>
              </w:rPr>
            </w:pPr>
            <w:r>
              <w:rPr>
                <w:rFonts w:ascii="Arial" w:cs="Arial" w:eastAsia="Arial" w:hAnsi="Arial"/>
                <w:sz w:val="18"/>
                <w:szCs w:val="18"/>
                <w:color w:val="auto"/>
              </w:rPr>
              <w:t>(3)</w:t>
            </w:r>
          </w:p>
        </w:tc>
        <w:tc>
          <w:tcPr>
            <w:tcW w:w="7020" w:type="dxa"/>
            <w:vAlign w:val="bottom"/>
            <w:gridSpan w:val="2"/>
          </w:tcPr>
          <w:p>
            <w:pPr>
              <w:ind w:left="120"/>
              <w:spacing w:after="0"/>
              <w:rPr>
                <w:sz w:val="20"/>
                <w:szCs w:val="20"/>
                <w:color w:val="auto"/>
              </w:rPr>
            </w:pPr>
            <w:r>
              <w:rPr>
                <w:rFonts w:ascii="Arial" w:cs="Arial" w:eastAsia="Arial" w:hAnsi="Arial"/>
                <w:sz w:val="18"/>
                <w:szCs w:val="18"/>
                <w:color w:val="auto"/>
              </w:rPr>
              <w:t>Excludes restricted marketable securities.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gridSpan w:val="2"/>
          </w:tcPr>
          <w:p>
            <w:pPr>
              <w:jc w:val="right"/>
              <w:ind w:right="1560"/>
              <w:spacing w:after="0"/>
              <w:rPr>
                <w:sz w:val="20"/>
                <w:szCs w:val="20"/>
                <w:color w:val="auto"/>
              </w:rPr>
            </w:pPr>
            <w:r>
              <w:rPr>
                <w:rFonts w:ascii="Arial" w:cs="Arial" w:eastAsia="Arial" w:hAnsi="Arial"/>
                <w:sz w:val="18"/>
                <w:szCs w:val="18"/>
                <w:color w:val="auto"/>
              </w:rPr>
              <w:t>33</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decrease in working capital as of December 31, 2013 compared to the prior year was primarily due to losses from operations incurred and capital expenditures in 2013, as well as the investment of short-term marketable securities maturities into long-term marketable securities of approximately $2.2 million.</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As of December 31, 2013, our cash, cash equivalents and marketable securities decreased $32.3 million as compared to December 31, 2012, primarily due to $26.6 million of cash used in operating activities and capital expenditures of $5.0 million. See the discussion of market risk in Item 7A.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Qualitative Disclosures About Market Risk.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(26,627)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(29,879)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11,624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decrease in cash and cash equivalents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(13,133)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16,044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47,069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used in operating activities was $26.6 million for 2013 compared to $29.9 million of net cash used in 2012. Net cash used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activities for the year ended December 31, 2013 was primarily attributable to the loss incurred in 2013 and the unfavorable working capital impacts of a $19.2 million reduction in accounts payable. The unfavorable working capital impacts during the year ended December 31, 2013 were partially offset by non-cash charges including depreciation and amortization, goodwill and intangible assets impairment, share-based compensation and contingent loss for litigation. Net cash used in operating activities for the year ended December 31, 2012 was primarily attributable to the loss incurred in 2012 and the unfavorable working capital impacts of a $10.4 million reduction in accounts payable and a $6.2 million increase in accounts receivable. The unfavorable working capital impacts during the year ended December 31, 2012 were partially offset by non-cash charges including depreciation and amortization, goodwill and intangible assets impairment and share-based compensation.</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provided by investing activities for 2013 was approximately $11.6 million compared to $2.2 million used in investing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in 2012. The net cash provided by investing activities in 2013 was primarily related to the net sales and maturities of our marketable securities of $16.6 million, partially offset by purchases of property and equipment of $5.0 million. The net cash used in 2012 was primarily related to purchases of property and equipment of $4.6 million, partially offset by the net sales and maturities of our marketable securities of $2.5 million.</w:t>
      </w:r>
    </w:p>
    <w:p>
      <w:pPr>
        <w:spacing w:after="0" w:line="11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for 2013 was $2.0 million, compared to net cash provided by financing activities of $1.1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2012. Net cash provided by financing activities in 2013 was primarily related to proceeds received from borrowing on our margin credit facility, partially offset by principal repayments on our margin credit facility borrowings, and payroll taxes paid on behalf of employees for restricted stock units which vested during the period. Net cash provided by financing activities in 2012 was primarily related to proceeds from stock option exercises and stock purchases through our employee stock purchase plan. Net financing activities for 2012 also included cash borrowings and repayment of $14.0 million during the year.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2013, and the effect such obligations could have on our liquidity and cash flow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Payments Due by Fiscal Year</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50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gridSpan w:val="2"/>
          </w:tcPr>
          <w:p>
            <w:pPr>
              <w:jc w:val="center"/>
              <w:ind w:left="219"/>
              <w:spacing w:after="0" w:line="142"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0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$3,417</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$3,394</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$806</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$422</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Committed purchase orders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52,004</w:t>
            </w:r>
          </w:p>
        </w:tc>
        <w:tc>
          <w:tcPr>
            <w:tcW w:w="3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52,004</w:t>
            </w:r>
          </w:p>
        </w:tc>
        <w:tc>
          <w:tcPr>
            <w:tcW w:w="100" w:type="dxa"/>
            <w:vAlign w:val="bottom"/>
          </w:tcPr>
          <w:p>
            <w:pPr>
              <w:spacing w:after="0"/>
              <w:rPr>
                <w:sz w:val="18"/>
                <w:szCs w:val="18"/>
                <w:color w:val="auto"/>
              </w:rPr>
            </w:pPr>
          </w:p>
        </w:tc>
      </w:tr>
      <w:tr>
        <w:trPr>
          <w:trHeight w:val="27"/>
        </w:trPr>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55,630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3,394</w:t>
            </w:r>
          </w:p>
        </w:tc>
        <w:tc>
          <w:tcPr>
            <w:tcW w:w="9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806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422</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64,322</w:t>
            </w:r>
          </w:p>
        </w:tc>
        <w:tc>
          <w:tcPr>
            <w:tcW w:w="100" w:type="dxa"/>
            <w:vAlign w:val="bottom"/>
            <w:shd w:val="clear" w:color="auto" w:fill="CCEEFF"/>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liability for uncertain tax benefits, including interest, as of December 31, 2013 was approximately $62,000, compared to approximately $367,000 as of December 31, 2012. The decrease was primarily due to the expiration of the applicable statutes of limitations for certain tax years. Our tax liability for uncertain tax benefits is not included in our table of contractual obligations and commercial commitments. We do not believe that we will pay such amount within one year from December 31, 2013; however, we cannot reasonably estimate the timing of future payments with respect to this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expect to incur ongoing professional fees and expenses to defend litigation filed against us or related to our products, which litigation is discussed in Note 11 to our consolidated financial statements included in this report. These costs cannot be estimated at this time.</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year ending December 31, 2014, we plan to incur approximately $2.0 million for discretionary capital expenditures, including the acquisition of additional software licenses.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recently incurred operating losses and had a net loss of $43.4 million during the year ended December 31, 2013. As of December 31, 2013, we had available cash, cash equivalents and short-term marketable securities totaling $19.5 million, excluding $2.6 million of restricted marketable securities, and working capital of $40.9 million. Our ability to transition to attaining profitable operations is dependent upon achieving a level of revenues adequate to support our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our cash resources from cash and cash equivalents and marketable securities, together with anticipated cash flows from operations will be sufficient to meet our working capital needs for the next twelve months.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 that are material to our results of operations, financial conditions or liquidity.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w:t>
      </w:r>
      <w:r>
        <w:rPr>
          <w:rFonts w:ascii="Arial" w:cs="Arial" w:eastAsia="Arial" w:hAnsi="Arial"/>
          <w:sz w:val="16"/>
          <w:szCs w:val="16"/>
          <w:b w:val="1"/>
          <w:bCs w:val="1"/>
          <w:color w:val="auto"/>
        </w:rPr>
        <w:t>s</w:t>
      </w:r>
      <w:r>
        <w:rPr>
          <w:rFonts w:ascii="Arial" w:cs="Arial" w:eastAsia="Arial" w:hAnsi="Arial"/>
          <w:sz w:val="16"/>
          <w:szCs w:val="16"/>
          <w:color w:val="auto"/>
        </w:rPr>
        <w:t>ignificant estimates include revenue recognition, allowance for doubtful accounts receivable, provision for excess and obsolete inventory, valuation of intangible and long-lived assets including acquired intangibles and goodwill resulting from the acquisition of Enfora, valuation of contingent consideration, provision for warranty costs, litigation, income taxes, foreign exchange forward contracts, and share-based compensation expense.</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Company’s revenue is principally generated from the sale of wireless modems to wireless operators, OEM customers and value</w:t>
      </w:r>
      <w:r>
        <w:rPr>
          <w:rFonts w:ascii="Arial" w:cs="Arial" w:eastAsia="Arial" w:hAnsi="Arial"/>
          <w:sz w:val="16"/>
          <w:szCs w:val="16"/>
          <w:i w:val="1"/>
          <w:iCs w:val="1"/>
          <w:color w:val="auto"/>
        </w:rPr>
        <w:t xml:space="preserve"> </w:t>
      </w:r>
      <w:r>
        <w:rPr>
          <w:rFonts w:ascii="Arial" w:cs="Arial" w:eastAsia="Arial" w:hAnsi="Arial"/>
          <w:sz w:val="16"/>
          <w:szCs w:val="16"/>
          <w:color w:val="auto"/>
        </w:rPr>
        <w:t>added resellers and distributors. In addition, the Company generates revenue from the sale of asset-management solutions utilizing wireless technology and M2M communication devices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we will not recognize revenue until both title and risk of loss have transferred to the customer.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12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Predominantly all of the revenues represent the sale of hardware with accompanied software that is essential to the functionality of the hardware. The Company records revenue associated with the agreed upon price on hardware sales, and accrues any estimated costs of post-delivery performance obligations, such as warranty obligations. The Company considers the four basic revenue recognition criteria discussed under Staff Accounting Bulletin No. 104 when assessing appropriate revenue recognition as follows: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Criterion #1 — Persuasive evidence of an arrangement must exist;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Criterion #2 — Delivery has occurred;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Criterion #3 — The Company’s price to the buyer must be fixed or determinable;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Criterion #4 — Collectibility is reasonably assured.</w:t>
      </w:r>
    </w:p>
    <w:p>
      <w:pPr>
        <w:spacing w:after="0" w:line="165" w:lineRule="exact"/>
        <w:rPr>
          <w:sz w:val="20"/>
          <w:szCs w:val="20"/>
          <w:color w:val="auto"/>
        </w:rPr>
      </w:pPr>
    </w:p>
    <w:p>
      <w:pPr>
        <w:ind w:right="160" w:firstLine="456"/>
        <w:spacing w:after="0" w:line="305" w:lineRule="auto"/>
        <w:rPr>
          <w:sz w:val="20"/>
          <w:szCs w:val="20"/>
          <w:color w:val="auto"/>
        </w:rPr>
      </w:pPr>
      <w:r>
        <w:rPr>
          <w:rFonts w:ascii="Arial" w:cs="Arial" w:eastAsia="Arial" w:hAnsi="Arial"/>
          <w:sz w:val="15"/>
          <w:szCs w:val="15"/>
          <w:color w:val="auto"/>
        </w:rPr>
        <w:t>Under ASU 2009-13, in multiple element arrangements, the total consideration received from customers must be allocated to the elements based on a relative selling price. The accounting guidance establishes a hierarchy to determine the selling price to be used for allocating revenue to deliverables as follows:</w:t>
      </w:r>
    </w:p>
    <w:p>
      <w:pPr>
        <w:ind w:left="5620" w:right="3140" w:hanging="5612"/>
        <w:spacing w:after="0" w:line="433" w:lineRule="auto"/>
        <w:tabs>
          <w:tab w:leader="none" w:pos="2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vendors specific objective evidence (VSOE), (ii) third party evidence (TPE), and (iii) best estimate of selling price 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(BESP). Because the Company has neither VSOE nor TPE, revenue has been based on the Company’s BESP. Amounts allocated to the delivered hardware and the related essential software are recognized at the time of the sale provided all other revenue recognition criteria have been met. Amounts allocated to other deliverables based upon BESP are recognized in the period the revenue recognition criteria have been met.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process for determining its BESP for deliverables without VSOE or TPE considers multiple factors that may vary depending upon the unique facts and circumstances related to each deliverable. Our prices are determined based upon cost to produce our products, expected order quantities and acceptance in the marketplace. In addition, when developing ESPs for products we may consider other factors as appropriate including the pricing of competitive alternatives if they exist, and product-specific business objectives.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account for multiple element arrangements that primarily consist of software licenses and post contract support (PCS) by recognizing revenue for such arrangements ratably over the term of the PCS as we have not established VSOE for the PCS element.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years ended December 31, 2013, 2012, and 2011, we have not recorded any significant revenues from multiple element or software arrangements.</w:t>
      </w:r>
    </w:p>
    <w:p>
      <w:pPr>
        <w:spacing w:after="0" w:line="206" w:lineRule="exact"/>
        <w:rPr>
          <w:sz w:val="20"/>
          <w:szCs w:val="20"/>
          <w:color w:val="auto"/>
        </w:rPr>
      </w:pPr>
    </w:p>
    <w:p>
      <w:pPr>
        <w:ind w:right="280" w:firstLine="456"/>
        <w:spacing w:after="0" w:line="289"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 and our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4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four years. As most of these assets are associated with technology or trade conditions that may change rapidly; such changes could have an immediate impact on our impairment analysis.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first and third quarters of 2012, based on actual operating results, and reductions in management’s then estimates of forecasted operating results of the M2M Products and Solutions reporting unit principally due to updated views of competitive pressures impacting average selling prices, customer product and technology selections, and the loss of certain customers, the Company determined there were sufficient indicators of impairment present to require an interim impairment analysis during the respective impacted quarters.</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performed fair value tests with the assistance of third party independent appraisals, for each of the Company’s purchased intangible assets. The existing trade name acquired was valued using royalty rates ranging from 1% to 2% and discount rates ranging from 23.0% to 24.0%. The developed technologies were valued using discount rates ranging from 20.0% to 21.0%. The backlog was valued using discount rates ranging from 17.0% to 18.0%. Customer relationships were valued using discount rates ranging from 21.0% to 22.0%. All key assumptions assumed tax rates of 40%, and the assets were assumed to have economic lives ranging from 6 months to 10 years depending on the asset.</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Our goodwill resulted from the acquisition of Enfora (M2M Products and Solutions) in the fourth quarter of 2010.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(FASB) Accounting Standards Codification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Topic 350”), we reviewed goodwill for impairment at least annually at the beginning of the fourth quarter of each year, and more frequently when events or changes in circumstances occurred that indicated a potential reduction in the fair value of the reporting unit below its carrying value.</w:t>
      </w:r>
    </w:p>
    <w:p>
      <w:pPr>
        <w:spacing w:after="0" w:line="143"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ASC Topic 350 requires that goodwill and certain intangible assets be assessed for impairment using fair value measurement techniques. The goodwill impairment test compares the implied fair value of the reporting unit’s goodwill with the carrying amount of that goodwill to measure the amount of the impairment loss, if any. The implied fair value of goodwill is determined in the same manner as in a business combination. Determining the fair value of the implied goodwill is judgmental in nature and often involves the use of significant estimates and assumptions. These estimates and assumptions could have a significant impact on whether or not an impairment charge is recognized and also the magnitude of any such charge.</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perform the annual goodwill impairment analysis, we are required to estimate the fair value of our M2M Products reporting unit. The fair value is calculated as though the M2M Products and Solutions reporting unit were to be sold in its entirety in an orderly transaction between market participants, using an estimate of fair value based on a blended sum resulting from the use of two valuation methods. First, we use the guideline public company method utilizing a multiple of the reporting unit’s revenue. Second, we perform a discounted cash flow analysis using forward looking projections of an estimate of our future operating results. These approaches use significant estimates and assumptions, including the size and timing of product deployments by our customers and related projections and timing of future cash flows, discount rates reflecting the risk inherent in future cash flows, perpetual growth rates, stage of products in development, determination of appropriate market comparables and determination of whether a premium or discount should be applied to comparables. The resultant estimated fair value of our M2M Products and Solutions reporting unit is compared to the net book value of the reporting unit to assess whether any impairment exists.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Contingent Consideration</w:t>
      </w:r>
      <w:r>
        <w:rPr>
          <w:rFonts w:ascii="Arial" w:cs="Arial" w:eastAsia="Arial" w:hAnsi="Arial"/>
          <w:sz w:val="18"/>
          <w:szCs w:val="18"/>
          <w:color w:val="auto"/>
        </w:rPr>
        <w:t>. Contingent consideration is recorded at the acquisition date estimated fair value of the contingent payment for all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contingent consideration is remeasured at each reporting period with any adjustments in fair value included in the Company’s consolidated statement of operations.</w:t>
      </w:r>
    </w:p>
    <w:p>
      <w:pPr>
        <w:spacing w:after="0" w:line="140"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i w:val="1"/>
          <w:iCs w:val="1"/>
          <w:color w:val="auto"/>
        </w:rPr>
        <w:t xml:space="preserve">Provision for Warranty Costs. </w:t>
      </w:r>
      <w:r>
        <w:rPr>
          <w:rFonts w:ascii="Arial" w:cs="Arial" w:eastAsia="Arial" w:hAnsi="Arial"/>
          <w:sz w:val="16"/>
          <w:szCs w:val="16"/>
          <w:color w:val="auto"/>
        </w:rPr>
        <w:t>We accrue warranty costs based on estimates of future warranty related replacement, repairs or rework of products. Our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policy generally provides one to three years of coverage for products following the date of purchase. Our 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Depending on the quality of our product design and manufacturing, actual product failure rates or actual warranty costs could be materially greater than our estimates, which could harm our financial condition and results of operations.</w:t>
      </w:r>
    </w:p>
    <w:p>
      <w:pPr>
        <w:spacing w:after="0" w:line="113" w:lineRule="exact"/>
        <w:rPr>
          <w:sz w:val="20"/>
          <w:szCs w:val="20"/>
          <w:color w:val="auto"/>
        </w:rPr>
      </w:pPr>
    </w:p>
    <w:p>
      <w:pPr>
        <w:ind w:right="240" w:firstLine="456"/>
        <w:spacing w:after="0" w:line="287"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recognize federal, state and foreign current tax liabilities or assets based on our estimate of taxes payable to or refundable by tax</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authorities in the current fiscal year. We also recognize federal, state and foreign deferred tax liabilities or assets based on our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 Deferred tax assets are reduced by valuation allowances if, based on the consideration of all available evidence, it is more-likely-than-not that some portion of the deferred tax asset will not be realized. We evaluate deferred income taxes on a quarterly basis to determine if valuation allowances are required by considering available evidence. If we are unable to generate sufficient future taxable income in certain tax jurisdictions, or if there is a material change in the actual effective tax rates or time period within which the underlying temporary differences become taxable or deductible, we could be required to increase our valuation allowance against our deferred tax assets which could result in a decrease in our effective tax rate and an adverse impact on operating results. We will continue to evaluate the level of valuation allowance required based on the remaining deferred tax assets.</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recognizes the impact of uncertain income tax positions on the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 Company is currently involved in certain legal proceedings. The Company will record a loss when the Company determines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prior to the issuance of the financial statements indicates the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Company’s policy is to expense litigation costs as incurred.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 xml:space="preserve">Share-based Compensation Expense. </w:t>
      </w:r>
      <w:r>
        <w:rPr>
          <w:rFonts w:ascii="Arial" w:cs="Arial" w:eastAsia="Arial" w:hAnsi="Arial"/>
          <w:sz w:val="18"/>
          <w:szCs w:val="18"/>
          <w:color w:val="auto"/>
        </w:rPr>
        <w:t>We have stock incentive plans under which incentive stock options and restricted stock units have been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non-employee members of our Board of Directors. We also had an employee stock purchase plan for all eligible employees. Share-based payments to employees, including grants of employee stock options, restricted stock units and employee stock purchase rights, are recognized in the financial statements based upon their respective grant date fair values.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estimate the fair value of stock option awards and stock purchase rights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 consider other factors important to those awards to employees, such as continued employment, periodic vesting requirements and limited transferability.</w:t>
      </w:r>
    </w:p>
    <w:p>
      <w:pPr>
        <w:spacing w:after="0" w:line="11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the grant.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debt securities is subject to change as a result of changes in market interest rates and investment risk related to the issuers’ credit worthiness. At December 31, 2013, we had $25.5 million in cash, cash equivalents and marketable securities, all of which are stated at fair value. Changes in market interest rates would not be expected to have a material impact on the fair value of our $2.9 million in cash equivalents at December 31, 2013, as these consisted of money market funds with the value of all of our cash equivalents determined based on “Level 1” inputs, which consist of quoted prices in active markets for identical assets.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December 31, 2013, substantially all of our marketable securities are invested in fixed income products. As such, our investments in fixed-rate instruments carry a degree of interest rate risk. The market value of fixed-rate securities may be adversely impacted due to an increase in interest rates, while floating rate securities may produce less income than expected if interest rates decline. Due in part to these factors, our future investment market values and income may fall short of expectations due to changes in interest rates or if the decline in fair value of our publicly traded debt investments is judged to be other-than-temporary. Using a model that estimates the aggregate yield to maturity of our investment portfolio, we estimate that 100 basis point increase or decrease in interest rates would, however, decrease or increase, respectively, our $22.6 million in marketable securities by approximately $226,000.</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However, because any debt securities we hold are classified as available-for-sale (within the meaning of ASC Topic 320), no gains or losses are realized in the income statement due to changes in interest rates unless such securities are sold prior to maturity or unless declines in value are determined to be other-than-temporary. These securities are reported at fair value with the related unrealized gains and losses included in accumulated other comprehensive income (loss), a component of shareholders’ equity, net of tax.</w:t>
      </w:r>
    </w:p>
    <w:p>
      <w:pPr>
        <w:spacing w:after="0" w:line="143" w:lineRule="exact"/>
        <w:rPr>
          <w:sz w:val="20"/>
          <w:szCs w:val="20"/>
          <w:color w:val="auto"/>
        </w:rPr>
      </w:pPr>
    </w:p>
    <w:p>
      <w:pPr>
        <w:jc w:val="center"/>
        <w:ind w:right="100"/>
        <w:spacing w:after="0" w:line="440" w:lineRule="auto"/>
        <w:rPr>
          <w:sz w:val="20"/>
          <w:szCs w:val="20"/>
          <w:color w:val="auto"/>
        </w:rPr>
      </w:pPr>
      <w:r>
        <w:rPr>
          <w:rFonts w:ascii="Arial" w:cs="Arial" w:eastAsia="Arial" w:hAnsi="Arial"/>
          <w:sz w:val="18"/>
          <w:szCs w:val="18"/>
          <w:color w:val="auto"/>
        </w:rPr>
        <w:t>We do not utilize derivative instruments or other financial contracts to manage our exposure to changes in interest rates in our investment portfolio. 40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maintain our cash and cash equivalents and our marketable debt securities, which include various security holdings, types and maturities, with a number of financial institutions. As of the date of this report, we have not identified any significant credit risk associated with any of the financial institutions that maintain our portfolio of cash and cash equivalents and our marketable securities. However,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place our cash investments in instruments that meet credit quality standards specified in our investment policy guidelines at the time the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are made. At December 31, 2013, we have cash and cash equivalents of $2.9 million. Of this $2.9 million, $2.4 million is held in cash demand deposits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$487,000 in cash equivalents was held in money market investments and U.S. Treasury securities. Money market funds attempt to maintain a net asset value,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NAV, of $1 per unit of investment. Should the underlying investments held by these money market funds suffer significant losses to market value due to interest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rate changes or perceived counterparty risk, the NAV of these money market funds may suffer declines below the targeted $1 NAV. We hold money market funds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 target a balance of investment return and preservation of invested capital through diversified holdings. As such, we do not believe we currently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significant exposure to NAV declines for our money market holdings.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December 31, 2013, we had $22.6 million invested in our portfolio of marketable securities. Our investment policy guidelines limit the amount of credit exposure to any one issue, issuer or type of instrument. The fair value of our marketable debt securities at December 31, 2013 was determined based on “Level 2” inputs, which were derived based on quoted prices for identical or similar assets, which had few transactions near the measurement period (see Note 3 to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generate Euro-denominated accounts receivable from sales to customers that are members of the European Union. During the year ended December 31, 2013, Euro-denominated revenue was approximately $580,000 which represents less than 1% of our total net revenues compared to less than 1% in the same period last year. Although we are exposed to market risk arising from changes in foreign currency exchange rates, principally the change in the value of the Euro versus the U.S. Dollar, as Euro-denominated revenue is not considered significant, we did not enter into any foreign exchange contracts during the year ended December 31, 2013. If our net revenues increase in the foreseeable future, we may enter into foreign exchange contracts to mitigate this risk. These forward currency foreign exchange contracts would cover a portion, generally 50% to 80%, but may cover up to 100%, of our Euro-based financial assets.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December 31, 2013, we had no outstanding forward contracts. During the year ended December 31, 2013, we recorded approximately $17,000 in unrealized foreign currency gains related to our outstanding Euro-denominated accounts receivable balances. Both the unrealized gain on the outstanding forward contracts and the unrealized gains on outstanding Euro-denominated receivables were recorded in other income (expense), net in our consolidated statement of operations.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a translation of our Euro-denominated revenue for the year ended December 31, 2013 at an average Euro-to-U.S. Dollar exchange rate of $1.33 and a uniform ten percent strengthening or weakening of this exchange rate, we estimate that income before income taxes for the year ended December 31, 2013 would increase or decrease, respectively, by approximately $58,000. This analysis does not give effect to any forward currency foreign exchange contracts that may be used to hedge foreign currency risk.</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Actual gains and losses in the future may differ materially from the hypothetical gains and losses discussed above based on fluctuations in interest and foreign currency exchange rates and our actual exposure and hedging transactions.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sales to non-European Union countries are typically denominated in U.S. Dollars. Competitive conditions in the markets in which we operate may limit our ability to increase prices in the event of adverse changes in currency exchange rates. Sales of these products are affected by the value of the U.S. Dollar relative to other currencies, and in particular, the Euro. Any long-term strengthening of the U.S. Dollar could depress the demand for these U.S. manufactured products, reduce sales, or cause us to reduce per unit selling prices.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index to our consolidated financial statements and the Report of Independent Registered Public Accounting Firm appears in Part IV of this report.</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maintain disclosure controls and procedures (as defined in Rule 13a-15(e) under the Securities 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2013, the end of the period covered by this report. Based on the foregoing, our principal executive officer and principal financial and accounting officer concluded that our disclosure controls and procedures were effective as of December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policies and procedures may deteriorate.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1992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Based on our evaluation under the framework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Control—Integrated Framework</w:t>
      </w:r>
      <w:r>
        <w:rPr>
          <w:rFonts w:ascii="Arial" w:cs="Arial" w:eastAsia="Arial" w:hAnsi="Arial"/>
          <w:sz w:val="16"/>
          <w:szCs w:val="16"/>
          <w:color w:val="auto"/>
        </w:rPr>
        <w:t>, our management concluded that our internal control over financial reporting was effective as of December 31, 2013.</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included in this Annual Report on Form 10-K, has also audited our internal control over financial reporting as of December 31, 2013, as stated in their report which is included herein.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audited Novatel Wireless Inc.’s internal control over financial reporting as of December 31, 2013, based on criteria established in Internal Control —Integrated Framework issued by the Committee of Sponsoring Organizations of the Treadway Commission (1992 framework) (the COSO criteria). Novatel Wireless,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our opinion, Novatel Wireless, Inc. maintained, in all material respects, effective internal control over financial reporting as of December 31, 2013, based on the COSO criteria.</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Novatel Wireless, Inc. as of December 31, 2013 and 2012, and the related consolidated statements of operations, comprehensive loss, stockholders’ equity, and cash flows for each of the three years in the period ended December 31, 2013 of Novatel Wireless, Inc. and our report dated March 11, 2014 expressed an unqualified opinion thereon.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60" w:firstLine="464"/>
        <w:spacing w:after="0" w:line="268" w:lineRule="auto"/>
        <w:tabs>
          <w:tab w:leader="none" w:pos="705"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The information under the caption “Election of Directors” appearing in the Proxy Statement to be filed for the 2014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is incorporated herein by reference.</w:t>
      </w:r>
    </w:p>
    <w:p>
      <w:pPr>
        <w:spacing w:after="0" w:line="131" w:lineRule="exact"/>
        <w:rPr>
          <w:rFonts w:ascii="Arial" w:cs="Arial" w:eastAsia="Arial" w:hAnsi="Arial"/>
          <w:sz w:val="18"/>
          <w:szCs w:val="18"/>
          <w:b w:val="1"/>
          <w:bCs w:val="1"/>
          <w:color w:val="auto"/>
        </w:rPr>
      </w:pPr>
    </w:p>
    <w:p>
      <w:pPr>
        <w:ind w:right="140" w:firstLine="464"/>
        <w:spacing w:after="0" w:line="268" w:lineRule="auto"/>
        <w:tabs>
          <w:tab w:leader="none" w:pos="715"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Identification of Executive Officers</w:t>
      </w:r>
      <w:r>
        <w:rPr>
          <w:rFonts w:ascii="Arial" w:cs="Arial" w:eastAsia="Arial" w:hAnsi="Arial"/>
          <w:sz w:val="18"/>
          <w:szCs w:val="18"/>
          <w:color w:val="auto"/>
        </w:rPr>
        <w:t>. The information under the caption “Executive Officers” appearing in the Proxy Statement to be filed for the 2014</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is incorporated herein by reference.</w:t>
      </w:r>
    </w:p>
    <w:p>
      <w:pPr>
        <w:spacing w:after="0" w:line="131" w:lineRule="exact"/>
        <w:rPr>
          <w:rFonts w:ascii="Arial" w:cs="Arial" w:eastAsia="Arial" w:hAnsi="Arial"/>
          <w:sz w:val="18"/>
          <w:szCs w:val="18"/>
          <w:b w:val="1"/>
          <w:bCs w:val="1"/>
          <w:color w:val="auto"/>
        </w:rPr>
      </w:pPr>
    </w:p>
    <w:p>
      <w:pPr>
        <w:ind w:right="180" w:firstLine="464"/>
        <w:spacing w:after="0" w:line="332" w:lineRule="auto"/>
        <w:tabs>
          <w:tab w:leader="none" w:pos="695" w:val="left"/>
        </w:tabs>
        <w:numPr>
          <w:ilvl w:val="0"/>
          <w:numId w:val="22"/>
        </w:numPr>
        <w:rPr>
          <w:rFonts w:ascii="Arial" w:cs="Arial" w:eastAsia="Arial" w:hAnsi="Arial"/>
          <w:sz w:val="16"/>
          <w:szCs w:val="16"/>
          <w:b w:val="1"/>
          <w:bCs w:val="1"/>
          <w:color w:val="auto"/>
        </w:rPr>
      </w:pPr>
      <w:r>
        <w:rPr>
          <w:rFonts w:ascii="Arial" w:cs="Arial" w:eastAsia="Arial" w:hAnsi="Arial"/>
          <w:sz w:val="16"/>
          <w:szCs w:val="16"/>
          <w:i w:val="1"/>
          <w:iCs w:val="1"/>
          <w:color w:val="auto"/>
        </w:rPr>
        <w:t>Compliance with Section 16(a) of the Exchange Act</w:t>
      </w:r>
      <w:r>
        <w:rPr>
          <w:rFonts w:ascii="Arial" w:cs="Arial" w:eastAsia="Arial" w:hAnsi="Arial"/>
          <w:sz w:val="16"/>
          <w:szCs w:val="16"/>
          <w:color w:val="auto"/>
        </w:rPr>
        <w:t>. The information under the caption “Section 16(a) Beneficial Ownership Reporting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appearing in the Proxy Statement to be filed for the 2014 Annual Meeting of Stockholders is incorporated herein by reference.</w:t>
      </w:r>
    </w:p>
    <w:p>
      <w:pPr>
        <w:spacing w:after="0" w:line="85" w:lineRule="exact"/>
        <w:rPr>
          <w:rFonts w:ascii="Arial" w:cs="Arial" w:eastAsia="Arial" w:hAnsi="Arial"/>
          <w:sz w:val="16"/>
          <w:szCs w:val="16"/>
          <w:b w:val="1"/>
          <w:bCs w:val="1"/>
          <w:color w:val="auto"/>
        </w:rPr>
      </w:pPr>
    </w:p>
    <w:p>
      <w:pPr>
        <w:ind w:right="20" w:firstLine="464"/>
        <w:spacing w:after="0" w:line="290" w:lineRule="auto"/>
        <w:tabs>
          <w:tab w:leader="none" w:pos="715" w:val="left"/>
        </w:tabs>
        <w:numPr>
          <w:ilvl w:val="0"/>
          <w:numId w:val="22"/>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We have adopted a</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Code of Business Conduct and Ethics</w:t>
      </w:r>
      <w:r>
        <w:rPr>
          <w:rFonts w:ascii="Arial" w:cs="Arial" w:eastAsia="Arial" w:hAnsi="Arial"/>
          <w:sz w:val="16"/>
          <w:szCs w:val="16"/>
          <w:i w:val="1"/>
          <w:iCs w:val="1"/>
          <w:color w:val="auto"/>
        </w:rPr>
        <w:t xml:space="preserve"> </w:t>
      </w:r>
      <w:r>
        <w:rPr>
          <w:rFonts w:ascii="Arial" w:cs="Arial" w:eastAsia="Arial" w:hAnsi="Arial"/>
          <w:sz w:val="16"/>
          <w:szCs w:val="16"/>
          <w:color w:val="auto"/>
        </w:rPr>
        <w:t>which, together with the policies referred to therein, is applicable to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officers and employees. The Code of Business Conduct and Ethics is intended to cover all areas of professional conduct, including conflicts of interest, disclosure obligations, insider trading and confidential information, as well as compliance with all laws, rules and regulations applicable to our business. We encourage all employees, officers and directors to promptly report any violations of any of our policies. The Code of Business Conduct and Ethics is posted on our website at </w:t>
      </w:r>
      <w:r>
        <w:rPr>
          <w:rFonts w:ascii="Arial" w:cs="Arial" w:eastAsia="Arial" w:hAnsi="Arial"/>
          <w:sz w:val="16"/>
          <w:szCs w:val="16"/>
          <w:i w:val="1"/>
          <w:iCs w:val="1"/>
          <w:color w:val="auto"/>
        </w:rPr>
        <w:t>www.novatelwireless.com</w:t>
      </w:r>
      <w:r>
        <w:rPr>
          <w:rFonts w:ascii="Arial" w:cs="Arial" w:eastAsia="Arial" w:hAnsi="Arial"/>
          <w:sz w:val="16"/>
          <w:szCs w:val="16"/>
          <w:color w:val="auto"/>
        </w:rPr>
        <w:t xml:space="preserve"> in the Investor tab under “Corporate Governance.” In the event that a substantive amendment to, or a waiver from, a provision of the Code of Business Conduct and Ethics that applies to our principal executive officer or principal financial and accounting officer is necessary, we intend to post such information on our website.</w:t>
      </w:r>
    </w:p>
    <w:p>
      <w:pPr>
        <w:spacing w:after="0" w:line="118" w:lineRule="exact"/>
        <w:rPr>
          <w:rFonts w:ascii="Arial" w:cs="Arial" w:eastAsia="Arial" w:hAnsi="Arial"/>
          <w:sz w:val="16"/>
          <w:szCs w:val="16"/>
          <w:b w:val="1"/>
          <w:bCs w:val="1"/>
          <w:color w:val="auto"/>
        </w:rPr>
      </w:pPr>
    </w:p>
    <w:p>
      <w:pPr>
        <w:ind w:right="280" w:firstLine="464"/>
        <w:spacing w:after="0" w:line="268" w:lineRule="auto"/>
        <w:tabs>
          <w:tab w:leader="none" w:pos="695"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information under the caption “The Board, Its Committees and Its Compensation—Audit Committee” appearing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filed for the 2014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information under the headings “Executive Compensation,” “The Board, Its Committees and Its Compensation—Director Compensation,” “Compensation Discussion and Analysis” and “Compensation Committee Report” appearing in the Proxy Statement to be filed for the 2014 Annual Meeting of Stockholders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under the headings “Security Ownership of Management and Certain Beneficial Owners” and “Equity Compensation Plan Information” appearing in the Proxy Statement to be filed for the 2014 Annual Meeting of Stockholders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information under the headings “Review and Approval of Transactions with Related Parties” and “The Board, Its Committees and Its Compensation— Director Independence” appearing in the Proxy Statement to be filed for the 2014 Annual Meeting of Stockholders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information under the heading “Independent Public Accountants” appearing in the Proxy Statement to be filed for the 2014 Annual Meeting of Stockholders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1. Index to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 on page F-1.</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 Index to financial statement schedules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financial statement schedules for the years ended December 31, 2013, 2012, and 2011 should be read in conjunction with the consolidated financial statements, and related notes thereto.</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020" w:type="dxa"/>
            <w:vAlign w:val="bottom"/>
            <w:gridSpan w:val="3"/>
          </w:tcPr>
          <w:p>
            <w:pPr>
              <w:spacing w:after="0"/>
              <w:rPr>
                <w:sz w:val="20"/>
                <w:szCs w:val="20"/>
                <w:color w:val="auto"/>
              </w:rPr>
            </w:pPr>
            <w:r>
              <w:rPr>
                <w:rFonts w:ascii="Arial" w:cs="Arial" w:eastAsia="Arial" w:hAnsi="Arial"/>
                <w:sz w:val="14"/>
                <w:szCs w:val="14"/>
                <w:b w:val="1"/>
                <w:bCs w:val="1"/>
                <w:color w:val="auto"/>
              </w:rPr>
              <w:t>Schedule</w:t>
            </w:r>
          </w:p>
        </w:tc>
        <w:tc>
          <w:tcPr>
            <w:tcW w:w="40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Page</w:t>
            </w:r>
          </w:p>
        </w:tc>
      </w:tr>
      <w:tr>
        <w:trPr>
          <w:trHeight w:val="149"/>
        </w:trPr>
        <w:tc>
          <w:tcPr>
            <w:tcW w:w="540" w:type="dxa"/>
            <w:vAlign w:val="bottom"/>
            <w:tcBorders>
              <w:top w:val="single" w:sz="8" w:color="auto"/>
            </w:tcBorders>
          </w:tcPr>
          <w:p>
            <w:pPr>
              <w:spacing w:after="0" w:line="136" w:lineRule="exact"/>
              <w:rPr>
                <w:rFonts w:ascii="Arial" w:cs="Arial" w:eastAsia="Arial" w:hAnsi="Arial"/>
                <w:sz w:val="15"/>
                <w:szCs w:val="15"/>
                <w:color w:val="0000EE"/>
                <w:w w:val="83"/>
              </w:rPr>
            </w:pPr>
            <w:hyperlink w:anchor="page88">
              <w:r>
                <w:rPr>
                  <w:rFonts w:ascii="Arial" w:cs="Arial" w:eastAsia="Arial" w:hAnsi="Arial"/>
                  <w:sz w:val="15"/>
                  <w:szCs w:val="15"/>
                  <w:color w:val="0000EE"/>
                  <w:w w:val="83"/>
                </w:rPr>
                <w:t>Schedule</w:t>
              </w:r>
            </w:hyperlink>
          </w:p>
        </w:tc>
        <w:tc>
          <w:tcPr>
            <w:tcW w:w="9480" w:type="dxa"/>
            <w:vAlign w:val="bottom"/>
            <w:gridSpan w:val="2"/>
          </w:tcPr>
          <w:p>
            <w:pPr>
              <w:ind w:left="160"/>
              <w:spacing w:after="0" w:line="129" w:lineRule="exact"/>
              <w:rPr>
                <w:rFonts w:ascii="Arial" w:cs="Arial" w:eastAsia="Arial" w:hAnsi="Arial"/>
                <w:sz w:val="14"/>
                <w:szCs w:val="14"/>
                <w:color w:val="0000EE"/>
              </w:rPr>
            </w:pPr>
            <w:hyperlink w:anchor="page88">
              <w:r>
                <w:rPr>
                  <w:rFonts w:ascii="Arial" w:cs="Arial" w:eastAsia="Arial" w:hAnsi="Arial"/>
                  <w:sz w:val="14"/>
                  <w:szCs w:val="14"/>
                  <w:color w:val="0000EE"/>
                </w:rPr>
                <w:t>II—Valuation and Qualifying Accounts</w:t>
              </w:r>
            </w:hyperlink>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F-35</w:t>
            </w:r>
          </w:p>
        </w:tc>
        <w:tc>
          <w:tcPr>
            <w:tcW w:w="20" w:type="dxa"/>
            <w:vAlign w:val="bottom"/>
          </w:tcPr>
          <w:p>
            <w:pPr>
              <w:spacing w:after="0"/>
              <w:rPr>
                <w:sz w:val="12"/>
                <w:szCs w:val="12"/>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related notes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5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60" w:type="dxa"/>
            <w:vAlign w:val="bottom"/>
          </w:tcPr>
          <w:p>
            <w:pPr>
              <w:spacing w:after="0"/>
              <w:rPr>
                <w:sz w:val="14"/>
                <w:szCs w:val="14"/>
                <w:color w:val="auto"/>
              </w:rPr>
            </w:pPr>
          </w:p>
        </w:tc>
      </w:tr>
      <w:tr>
        <w:trPr>
          <w:trHeight w:val="269"/>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8"/>
              </w:rPr>
              <w:t>Agreement and Plan of Merger, dated as of November 5, 2010, by and between Novatel Wireless, Inc., England Acquisition Corp. and Enfora,</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Inc. (incorporated by reference to Exhibit 2.1 to the Company’s Current Report on Form 8-K, filed on November 10, 2010).</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Amended and Restated Certificate of Incorporation (incorporated by reference to Exhibit 3.1 to the Company’s Annual Report on Form 10-K</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for 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7"/>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amended).</w:t>
            </w:r>
          </w:p>
        </w:tc>
      </w:tr>
      <w:tr>
        <w:trPr>
          <w:trHeight w:val="365"/>
        </w:trPr>
        <w:tc>
          <w:tcPr>
            <w:tcW w:w="520" w:type="dxa"/>
            <w:vAlign w:val="bottom"/>
          </w:tcPr>
          <w:p>
            <w:pPr>
              <w:spacing w:after="0"/>
              <w:rPr>
                <w:sz w:val="24"/>
                <w:szCs w:val="24"/>
                <w:color w:val="auto"/>
              </w:rPr>
            </w:pPr>
          </w:p>
        </w:tc>
        <w:tc>
          <w:tcPr>
            <w:tcW w:w="5540" w:type="dxa"/>
            <w:vAlign w:val="bottom"/>
          </w:tcPr>
          <w:p>
            <w:pPr>
              <w:ind w:left="5100"/>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18"/>
                <w:szCs w:val="18"/>
                <w:color w:val="auto"/>
              </w:rPr>
              <w:t>4.2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4.3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Registration Rights Agreement, dated as of March 12, 2003, entered into in connection with the Company’s 2003 Series B Convertible Preferred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Stock Financing (incorporated by reference to Exhibit 4.8 to the Company’s Current Report on Form 8-K, filed March 28, 2003).</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4.4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Warrant Financing Transaction (incorporated by reference to Exhibit 10.21 to the Company’s Annual Report on Form 10-K for the year ended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10.2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10.3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Appendix A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Proxy Statement on Schedule 14A filed May 2, 2011).</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8"/>
              </w:rPr>
              <w:t>Exhibit 10.1 to the Company’s Quarterly Report on Form 10-Q for the period ended September 30, 2009, filed November 2, 2009).</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20" w:type="dxa"/>
            <w:vAlign w:val="bottom"/>
          </w:tcPr>
          <w:p>
            <w:pPr>
              <w:ind w:left="5000"/>
              <w:spacing w:after="0"/>
              <w:rPr>
                <w:sz w:val="20"/>
                <w:szCs w:val="20"/>
                <w:color w:val="auto"/>
              </w:rPr>
            </w:pPr>
            <w:r>
              <w:rPr>
                <w:rFonts w:ascii="Arial" w:cs="Arial" w:eastAsia="Arial" w:hAnsi="Arial"/>
                <w:sz w:val="18"/>
                <w:szCs w:val="18"/>
                <w:color w:val="auto"/>
              </w:rPr>
              <w:t>47</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Form of Change of Control Letter Agreement by and between the Company and certain of its executive officers (incorporated by reference to</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Employment Agreement, dated November 2, 2007, by and between Peter V. Leparulo and the Company (incorporated by reference to Exhibit</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2009 Omnibus Incentive Compensation Plan (incorporated by reference to Appendix B to the Company’s Proxy Statement on Schedule 14A,</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filed May 2, 2011).</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2010 Senior Management Incentive Plan (incorporated by reference to Exhibit 10.1 to the Company’s Current Report on Form 8-K, filed</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September 13, 2010).</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480" w:type="dxa"/>
            <w:vAlign w:val="bottom"/>
          </w:tcPr>
          <w:p>
            <w:pPr>
              <w:ind w:left="340"/>
              <w:spacing w:after="0"/>
              <w:rPr>
                <w:sz w:val="20"/>
                <w:szCs w:val="20"/>
                <w:color w:val="auto"/>
              </w:rPr>
            </w:pPr>
            <w:r>
              <w:rPr>
                <w:rFonts w:ascii="Arial" w:cs="Arial" w:eastAsia="Arial" w:hAnsi="Arial"/>
                <w:sz w:val="18"/>
                <w:szCs w:val="18"/>
                <w:color w:val="auto"/>
                <w:w w:val="94"/>
              </w:rPr>
              <w:t>Form of Severance Agreement between Novatel Wireless, Inc. and each of Kenneth G. Leddon and Robert M. Hadley (incorporated by</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reference to Exhibit 10.1 to the Company’s Current Report on Form 8-K, filed August 2, 2010.</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2011 Senior Management Incentive Plan (incorporated by reference to Exhibit 10.1 to the Company’s Quarterly Report on Form 10-Q for the</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period ended June 30, 2011, filed on August 9, 2011).</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2012 Senior Management Incentive Plan (incorporated by reference to Exhibit 10.1 to the Company’s Current Report on Form 8-K, filed July 6,</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2012).</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Memorandum of Understanding: In re Novatel Wireless Secs. Litig., Civil Action No. 08-CV-01689-AJB (RBB) United States District Court</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for the Southern District of California, executed December 6, 2013.</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480" w:type="dxa"/>
            <w:vAlign w:val="bottom"/>
          </w:tcPr>
          <w:p>
            <w:pPr>
              <w:ind w:left="340"/>
              <w:spacing w:after="0"/>
              <w:rPr>
                <w:sz w:val="20"/>
                <w:szCs w:val="20"/>
                <w:color w:val="auto"/>
              </w:rPr>
            </w:pPr>
            <w:r>
              <w:rPr>
                <w:rFonts w:ascii="Arial" w:cs="Arial" w:eastAsia="Arial" w:hAnsi="Arial"/>
                <w:sz w:val="18"/>
                <w:szCs w:val="18"/>
                <w:color w:val="auto"/>
              </w:rPr>
              <w:t>Subsidiaries of Novatel Wireless, Inc.</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10480" w:type="dxa"/>
            <w:vAlign w:val="bottom"/>
          </w:tcPr>
          <w:p>
            <w:pPr>
              <w:ind w:left="34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3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3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Certification of Principal Executive Officer pursuant to 18 U.S.C. Section 1350, as adopted pursuant to Section 906 of the Sarbanes-Oxley Act</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of 2002.</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Certification of Principal Financial Officer pursuant to 18 U.S.C. Section 1350, as adopted pursuant to Section 906 of the Sarbanes-Oxley Act</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of 2002.</w:t>
            </w:r>
          </w:p>
        </w:tc>
      </w:tr>
    </w:tbl>
    <w:p>
      <w:pPr>
        <w:spacing w:after="0" w:line="61" w:lineRule="exact"/>
        <w:rPr>
          <w:sz w:val="20"/>
          <w:szCs w:val="20"/>
          <w:color w:val="auto"/>
        </w:rPr>
      </w:pPr>
    </w:p>
    <w:p>
      <w:pPr>
        <w:ind w:left="1260" w:right="240" w:hanging="1252"/>
        <w:spacing w:after="0" w:line="298" w:lineRule="auto"/>
        <w:tabs>
          <w:tab w:leader="none" w:pos="1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Annual Report on Form 10-K for the year ended December 31, 2013 formatted in eXtensible Business Reporting Language (XBRL): (i) Consolidated Balance Sheets; (ii) Consolidated Statements of Operations; (iii) Consolidated Statements of Comprehensive Loss; (iv) Consolidated Statements of Stockholders’ Equity; (v) Consolidated Statements of Cash Flows;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9" w:lineRule="exact"/>
        <w:rPr>
          <w:sz w:val="20"/>
          <w:szCs w:val="20"/>
          <w:color w:val="auto"/>
        </w:rPr>
      </w:pPr>
    </w:p>
    <w:p>
      <w:pPr>
        <w:ind w:right="6880" w:firstLine="8"/>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380"/>
          </w:cols>
          <w:pgMar w:left="240" w:top="459" w:right="27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2014</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OVATEL</w:t>
      </w:r>
      <w:r>
        <w:rPr>
          <w:rFonts w:ascii="Arial" w:cs="Arial" w:eastAsia="Arial" w:hAnsi="Arial"/>
          <w:sz w:val="16"/>
          <w:szCs w:val="16"/>
          <w:color w:val="auto"/>
        </w:rPr>
        <w:t xml:space="preserve"> W</w:t>
      </w:r>
      <w:r>
        <w:rPr>
          <w:rFonts w:ascii="Arial" w:cs="Arial" w:eastAsia="Arial" w:hAnsi="Arial"/>
          <w:sz w:val="13"/>
          <w:szCs w:val="13"/>
          <w:color w:val="auto"/>
        </w:rPr>
        <w:t>IRELESS</w:t>
      </w:r>
      <w:r>
        <w:rPr>
          <w:rFonts w:ascii="Arial" w:cs="Arial" w:eastAsia="Arial" w:hAnsi="Arial"/>
          <w:sz w:val="16"/>
          <w:szCs w:val="16"/>
          <w:color w:val="auto"/>
        </w:rPr>
        <w:t>, INC.</w:t>
      </w:r>
    </w:p>
    <w:p>
      <w:pPr>
        <w:spacing w:after="0" w:line="200" w:lineRule="exact"/>
        <w:rPr>
          <w:sz w:val="20"/>
          <w:szCs w:val="20"/>
          <w:color w:val="auto"/>
        </w:rPr>
      </w:pPr>
    </w:p>
    <w:p>
      <w:pPr>
        <w:sectPr>
          <w:pgSz w:w="11900" w:h="16838" w:orient="portrait"/>
          <w:cols w:equalWidth="0" w:num="2">
            <w:col w:w="5240" w:space="720"/>
            <w:col w:w="5420"/>
          </w:cols>
          <w:pgMar w:left="240" w:top="459" w:right="279" w:bottom="1440" w:gutter="0" w:footer="0" w:header="0"/>
          <w:type w:val="continuous"/>
        </w:sectPr>
      </w:pPr>
    </w:p>
    <w:p>
      <w:pPr>
        <w:spacing w:after="0" w:line="4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-1268730</wp:posOffset>
            </wp:positionH>
            <wp:positionV relativeFrom="paragraph">
              <wp:posOffset>25400</wp:posOffset>
            </wp:positionV>
            <wp:extent cx="32499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3">
            <w:col w:w="7240" w:space="720"/>
            <w:col w:w="160" w:space="180"/>
            <w:col w:w="3080"/>
          </w:cols>
          <w:pgMar w:left="240" w:top="459" w:right="279" w:bottom="1440" w:gutter="0" w:footer="0" w:header="0"/>
          <w:type w:val="continuous"/>
        </w:sectPr>
      </w:pPr>
    </w:p>
    <w:p>
      <w:pPr>
        <w:jc w:val="center"/>
        <w:ind w:left="6400"/>
        <w:spacing w:after="0"/>
        <w:rPr>
          <w:sz w:val="20"/>
          <w:szCs w:val="20"/>
          <w:color w:val="auto"/>
        </w:rPr>
      </w:pPr>
      <w:r>
        <w:rPr>
          <w:rFonts w:ascii="Arial" w:cs="Arial" w:eastAsia="Arial" w:hAnsi="Arial"/>
          <w:sz w:val="14"/>
          <w:szCs w:val="14"/>
          <w:b w:val="1"/>
          <w:bCs w:val="1"/>
          <w:color w:val="auto"/>
        </w:rPr>
        <w:t>Peter Leparulo</w:t>
      </w:r>
    </w:p>
    <w:p>
      <w:pPr>
        <w:jc w:val="center"/>
        <w:ind w:left="640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400"/>
        <w:spacing w:after="0"/>
        <w:rPr>
          <w:sz w:val="20"/>
          <w:szCs w:val="20"/>
          <w:color w:val="auto"/>
        </w:rPr>
      </w:pPr>
      <w:r>
        <w:rPr>
          <w:rFonts w:ascii="Arial" w:cs="Arial" w:eastAsia="Arial" w:hAnsi="Arial"/>
          <w:sz w:val="14"/>
          <w:szCs w:val="14"/>
          <w:b w:val="1"/>
          <w:bCs w:val="1"/>
          <w:color w:val="auto"/>
        </w:rPr>
        <w:t>(Principal Executive Officer)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Peter Leparulo and Kenneth Leddon, or either of them, as his true and lawful attorneys-in-fact and agents,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140" w:type="dxa"/>
            <w:vAlign w:val="bottom"/>
            <w:gridSpan w:val="3"/>
          </w:tcPr>
          <w:p>
            <w:pPr>
              <w:ind w:left="1940"/>
              <w:spacing w:after="0"/>
              <w:rPr>
                <w:sz w:val="20"/>
                <w:szCs w:val="20"/>
                <w:color w:val="auto"/>
              </w:rPr>
            </w:pPr>
            <w:r>
              <w:rPr>
                <w:rFonts w:ascii="Arial" w:cs="Arial" w:eastAsia="Arial" w:hAnsi="Arial"/>
                <w:sz w:val="14"/>
                <w:szCs w:val="14"/>
                <w:b w:val="1"/>
                <w:bCs w:val="1"/>
                <w:color w:val="auto"/>
              </w:rPr>
              <w:t>Title</w:t>
            </w:r>
          </w:p>
        </w:tc>
        <w:tc>
          <w:tcPr>
            <w:tcW w:w="1020" w:type="dxa"/>
            <w:vAlign w:val="bottom"/>
          </w:tcPr>
          <w:p>
            <w:pPr>
              <w:spacing w:after="0"/>
              <w:rPr>
                <w:sz w:val="14"/>
                <w:szCs w:val="14"/>
                <w:color w:val="auto"/>
              </w:rPr>
            </w:pPr>
          </w:p>
        </w:tc>
        <w:tc>
          <w:tcPr>
            <w:tcW w:w="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6"/>
        </w:trPr>
        <w:tc>
          <w:tcPr>
            <w:tcW w:w="186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2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ETER</w:t>
            </w:r>
            <w:r>
              <w:rPr>
                <w:rFonts w:ascii="Arial" w:cs="Arial" w:eastAsia="Arial" w:hAnsi="Arial"/>
                <w:sz w:val="18"/>
                <w:szCs w:val="18"/>
                <w:color w:val="auto"/>
                <w:w w:val="97"/>
              </w:rPr>
              <w:t xml:space="preserve"> L</w:t>
            </w:r>
            <w:r>
              <w:rPr>
                <w:rFonts w:ascii="Arial" w:cs="Arial" w:eastAsia="Arial" w:hAnsi="Arial"/>
                <w:sz w:val="14"/>
                <w:szCs w:val="14"/>
                <w:color w:val="auto"/>
                <w:w w:val="97"/>
              </w:rPr>
              <w:t>EPARULO</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Chairman and Chief Executive Officer (Principal</w:t>
            </w:r>
          </w:p>
        </w:tc>
        <w:tc>
          <w:tcPr>
            <w:tcW w:w="1700" w:type="dxa"/>
            <w:vAlign w:val="bottom"/>
            <w:gridSpan w:val="3"/>
          </w:tcPr>
          <w:p>
            <w:pPr>
              <w:jc w:val="center"/>
              <w:ind w:left="512"/>
              <w:spacing w:after="0"/>
              <w:rPr>
                <w:sz w:val="20"/>
                <w:szCs w:val="20"/>
                <w:color w:val="auto"/>
              </w:rPr>
            </w:pPr>
            <w:r>
              <w:rPr>
                <w:rFonts w:ascii="Arial" w:cs="Arial" w:eastAsia="Arial" w:hAnsi="Arial"/>
                <w:sz w:val="18"/>
                <w:szCs w:val="18"/>
                <w:color w:val="auto"/>
                <w:w w:val="87"/>
              </w:rPr>
              <w:t>March 11, 2014</w:t>
            </w:r>
          </w:p>
        </w:tc>
      </w:tr>
      <w:tr>
        <w:trPr>
          <w:trHeight w:val="202"/>
        </w:trPr>
        <w:tc>
          <w:tcPr>
            <w:tcW w:w="1860" w:type="dxa"/>
            <w:vAlign w:val="bottom"/>
          </w:tcPr>
          <w:p>
            <w:pPr>
              <w:spacing w:after="0"/>
              <w:rPr>
                <w:sz w:val="17"/>
                <w:szCs w:val="17"/>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9"/>
              </w:rPr>
              <w:t>Peter Leparulo</w:t>
            </w:r>
          </w:p>
        </w:tc>
        <w:tc>
          <w:tcPr>
            <w:tcW w:w="4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Executive Officer)</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318"/>
        </w:trPr>
        <w:tc>
          <w:tcPr>
            <w:tcW w:w="18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and</w:t>
            </w:r>
          </w:p>
        </w:tc>
        <w:tc>
          <w:tcPr>
            <w:tcW w:w="1700" w:type="dxa"/>
            <w:vAlign w:val="bottom"/>
            <w:gridSpan w:val="3"/>
          </w:tcPr>
          <w:p>
            <w:pPr>
              <w:jc w:val="center"/>
              <w:ind w:left="512"/>
              <w:spacing w:after="0"/>
              <w:rPr>
                <w:sz w:val="20"/>
                <w:szCs w:val="20"/>
                <w:color w:val="auto"/>
              </w:rPr>
            </w:pPr>
            <w:r>
              <w:rPr>
                <w:rFonts w:ascii="Arial" w:cs="Arial" w:eastAsia="Arial" w:hAnsi="Arial"/>
                <w:sz w:val="18"/>
                <w:szCs w:val="18"/>
                <w:color w:val="auto"/>
                <w:w w:val="87"/>
              </w:rPr>
              <w:t>March 11, 2014</w:t>
            </w:r>
          </w:p>
        </w:tc>
      </w:tr>
      <w:tr>
        <w:trPr>
          <w:trHeight w:val="190"/>
        </w:trPr>
        <w:tc>
          <w:tcPr>
            <w:tcW w:w="1860" w:type="dxa"/>
            <w:vAlign w:val="bottom"/>
          </w:tcPr>
          <w:p>
            <w:pPr>
              <w:spacing w:after="0"/>
              <w:rPr>
                <w:sz w:val="16"/>
                <w:szCs w:val="16"/>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6"/>
              </w:rPr>
              <w:t>Kenneth Leddon</w:t>
            </w:r>
          </w:p>
        </w:tc>
        <w:tc>
          <w:tcPr>
            <w:tcW w:w="414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Chief Financial Officer</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22"/>
        </w:trPr>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39"/>
        </w:trPr>
        <w:tc>
          <w:tcPr>
            <w:tcW w:w="186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20"/>
              <w:spacing w:after="0"/>
              <w:rPr>
                <w:sz w:val="20"/>
                <w:szCs w:val="20"/>
                <w:color w:val="auto"/>
              </w:rPr>
            </w:pPr>
            <w:r>
              <w:rPr>
                <w:rFonts w:ascii="Arial" w:cs="Arial" w:eastAsia="Arial" w:hAnsi="Arial"/>
                <w:sz w:val="18"/>
                <w:szCs w:val="18"/>
                <w:color w:val="auto"/>
                <w:w w:val="94"/>
              </w:rPr>
              <w:t>R</w:t>
            </w:r>
            <w:r>
              <w:rPr>
                <w:rFonts w:ascii="Arial" w:cs="Arial" w:eastAsia="Arial" w:hAnsi="Arial"/>
                <w:sz w:val="14"/>
                <w:szCs w:val="14"/>
                <w:color w:val="auto"/>
                <w:w w:val="94"/>
              </w:rPr>
              <w:t>USSELL</w:t>
            </w:r>
            <w:r>
              <w:rPr>
                <w:rFonts w:ascii="Arial" w:cs="Arial" w:eastAsia="Arial" w:hAnsi="Arial"/>
                <w:sz w:val="18"/>
                <w:szCs w:val="18"/>
                <w:color w:val="auto"/>
                <w:w w:val="94"/>
              </w:rPr>
              <w:t xml:space="preserve"> C. G</w:t>
            </w:r>
            <w:r>
              <w:rPr>
                <w:rFonts w:ascii="Arial" w:cs="Arial" w:eastAsia="Arial" w:hAnsi="Arial"/>
                <w:sz w:val="14"/>
                <w:szCs w:val="14"/>
                <w:color w:val="auto"/>
                <w:w w:val="94"/>
              </w:rPr>
              <w:t>ERNS</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512"/>
              <w:spacing w:after="0"/>
              <w:rPr>
                <w:sz w:val="20"/>
                <w:szCs w:val="20"/>
                <w:color w:val="auto"/>
              </w:rPr>
            </w:pPr>
            <w:r>
              <w:rPr>
                <w:rFonts w:ascii="Arial" w:cs="Arial" w:eastAsia="Arial" w:hAnsi="Arial"/>
                <w:sz w:val="18"/>
                <w:szCs w:val="18"/>
                <w:color w:val="auto"/>
                <w:w w:val="87"/>
              </w:rPr>
              <w:t>March 11, 2014</w:t>
            </w:r>
          </w:p>
        </w:tc>
      </w:tr>
      <w:tr>
        <w:trPr>
          <w:trHeight w:val="169"/>
        </w:trPr>
        <w:tc>
          <w:tcPr>
            <w:tcW w:w="1860" w:type="dxa"/>
            <w:vAlign w:val="bottom"/>
          </w:tcPr>
          <w:p>
            <w:pPr>
              <w:spacing w:after="0"/>
              <w:rPr>
                <w:sz w:val="14"/>
                <w:szCs w:val="14"/>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5"/>
              </w:rPr>
              <w:t>Russell C. Gerns</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11"/>
        </w:trPr>
        <w:tc>
          <w:tcPr>
            <w:tcW w:w="186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2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L</w:t>
            </w:r>
            <w:r>
              <w:rPr>
                <w:rFonts w:ascii="Arial" w:cs="Arial" w:eastAsia="Arial" w:hAnsi="Arial"/>
                <w:sz w:val="14"/>
                <w:szCs w:val="14"/>
                <w:color w:val="auto"/>
              </w:rPr>
              <w:t>EDWITH</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512"/>
              <w:spacing w:after="0"/>
              <w:rPr>
                <w:sz w:val="20"/>
                <w:szCs w:val="20"/>
                <w:color w:val="auto"/>
              </w:rPr>
            </w:pPr>
            <w:r>
              <w:rPr>
                <w:rFonts w:ascii="Arial" w:cs="Arial" w:eastAsia="Arial" w:hAnsi="Arial"/>
                <w:sz w:val="18"/>
                <w:szCs w:val="18"/>
                <w:color w:val="auto"/>
                <w:w w:val="87"/>
              </w:rPr>
              <w:t>March 11, 2014</w:t>
            </w:r>
          </w:p>
        </w:tc>
      </w:tr>
      <w:tr>
        <w:trPr>
          <w:trHeight w:val="169"/>
        </w:trPr>
        <w:tc>
          <w:tcPr>
            <w:tcW w:w="1860" w:type="dxa"/>
            <w:vAlign w:val="bottom"/>
          </w:tcPr>
          <w:p>
            <w:pPr>
              <w:spacing w:after="0"/>
              <w:rPr>
                <w:sz w:val="14"/>
                <w:szCs w:val="14"/>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7"/>
              </w:rPr>
              <w:t>James Ledwith</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11"/>
        </w:trPr>
        <w:tc>
          <w:tcPr>
            <w:tcW w:w="18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2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D. W</w:t>
            </w:r>
            <w:r>
              <w:rPr>
                <w:rFonts w:ascii="Arial" w:cs="Arial" w:eastAsia="Arial" w:hAnsi="Arial"/>
                <w:sz w:val="14"/>
                <w:szCs w:val="14"/>
                <w:color w:val="auto"/>
              </w:rPr>
              <w:t>AKELIN</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512"/>
              <w:spacing w:after="0"/>
              <w:rPr>
                <w:sz w:val="20"/>
                <w:szCs w:val="20"/>
                <w:color w:val="auto"/>
              </w:rPr>
            </w:pPr>
            <w:r>
              <w:rPr>
                <w:rFonts w:ascii="Arial" w:cs="Arial" w:eastAsia="Arial" w:hAnsi="Arial"/>
                <w:sz w:val="18"/>
                <w:szCs w:val="18"/>
                <w:color w:val="auto"/>
                <w:w w:val="87"/>
              </w:rPr>
              <w:t>March 11, 2014</w:t>
            </w:r>
          </w:p>
        </w:tc>
      </w:tr>
      <w:tr>
        <w:trPr>
          <w:trHeight w:val="169"/>
        </w:trPr>
        <w:tc>
          <w:tcPr>
            <w:tcW w:w="1860" w:type="dxa"/>
            <w:vAlign w:val="bottom"/>
          </w:tcPr>
          <w:p>
            <w:pPr>
              <w:spacing w:after="0"/>
              <w:rPr>
                <w:sz w:val="14"/>
                <w:szCs w:val="14"/>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8"/>
              </w:rPr>
              <w:t>John D. Wakelin</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11"/>
        </w:trPr>
        <w:tc>
          <w:tcPr>
            <w:tcW w:w="18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A. W</w:t>
            </w:r>
            <w:r>
              <w:rPr>
                <w:rFonts w:ascii="Arial" w:cs="Arial" w:eastAsia="Arial" w:hAnsi="Arial"/>
                <w:sz w:val="14"/>
                <w:szCs w:val="14"/>
                <w:color w:val="auto"/>
                <w:w w:val="99"/>
              </w:rPr>
              <w:t>ERNER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512"/>
              <w:spacing w:after="0"/>
              <w:rPr>
                <w:sz w:val="20"/>
                <w:szCs w:val="20"/>
                <w:color w:val="auto"/>
              </w:rPr>
            </w:pPr>
            <w:r>
              <w:rPr>
                <w:rFonts w:ascii="Arial" w:cs="Arial" w:eastAsia="Arial" w:hAnsi="Arial"/>
                <w:sz w:val="18"/>
                <w:szCs w:val="18"/>
                <w:color w:val="auto"/>
                <w:w w:val="87"/>
              </w:rPr>
              <w:t>March 11, 2014</w:t>
            </w:r>
          </w:p>
        </w:tc>
      </w:tr>
      <w:tr>
        <w:trPr>
          <w:trHeight w:val="169"/>
        </w:trPr>
        <w:tc>
          <w:tcPr>
            <w:tcW w:w="1860" w:type="dxa"/>
            <w:vAlign w:val="bottom"/>
          </w:tcPr>
          <w:p>
            <w:pPr>
              <w:spacing w:after="0"/>
              <w:rPr>
                <w:sz w:val="14"/>
                <w:szCs w:val="14"/>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2"/>
              </w:rPr>
              <w:t>David A. Werner</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11"/>
        </w:trPr>
        <w:tc>
          <w:tcPr>
            <w:tcW w:w="186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w w:val="73"/>
              </w:rPr>
              <w:t>/s/</w:t>
            </w:r>
          </w:p>
        </w:tc>
        <w:tc>
          <w:tcPr>
            <w:tcW w:w="322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UE</w:t>
            </w:r>
            <w:r>
              <w:rPr>
                <w:rFonts w:ascii="Arial" w:cs="Arial" w:eastAsia="Arial" w:hAnsi="Arial"/>
                <w:sz w:val="18"/>
                <w:szCs w:val="18"/>
                <w:color w:val="auto"/>
                <w:w w:val="95"/>
              </w:rPr>
              <w:t xml:space="preserve"> S</w:t>
            </w:r>
            <w:r>
              <w:rPr>
                <w:rFonts w:ascii="Arial" w:cs="Arial" w:eastAsia="Arial" w:hAnsi="Arial"/>
                <w:sz w:val="14"/>
                <w:szCs w:val="14"/>
                <w:color w:val="auto"/>
                <w:w w:val="95"/>
              </w:rPr>
              <w:t>WENSON</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512"/>
              <w:spacing w:after="0"/>
              <w:rPr>
                <w:sz w:val="20"/>
                <w:szCs w:val="20"/>
                <w:color w:val="auto"/>
              </w:rPr>
            </w:pPr>
            <w:r>
              <w:rPr>
                <w:rFonts w:ascii="Arial" w:cs="Arial" w:eastAsia="Arial" w:hAnsi="Arial"/>
                <w:sz w:val="18"/>
                <w:szCs w:val="18"/>
                <w:color w:val="auto"/>
                <w:w w:val="87"/>
              </w:rPr>
              <w:t>March 11, 2014</w:t>
            </w:r>
          </w:p>
        </w:tc>
      </w:tr>
      <w:tr>
        <w:trPr>
          <w:trHeight w:val="169"/>
        </w:trPr>
        <w:tc>
          <w:tcPr>
            <w:tcW w:w="1860" w:type="dxa"/>
            <w:vAlign w:val="bottom"/>
          </w:tcPr>
          <w:p>
            <w:pPr>
              <w:spacing w:after="0"/>
              <w:rPr>
                <w:sz w:val="14"/>
                <w:szCs w:val="14"/>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3"/>
              </w:rPr>
              <w:t>Sue Swenson</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50"/>
        </w:trPr>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40" w:type="dxa"/>
            <w:vAlign w:val="bottom"/>
          </w:tcPr>
          <w:p>
            <w:pPr>
              <w:ind w:left="54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0" w:type="dxa"/>
            <w:vAlign w:val="bottom"/>
            <w:gridSpan w:val="4"/>
          </w:tcPr>
          <w:p>
            <w:pPr>
              <w:jc w:val="center"/>
              <w:ind w:right="1052"/>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9"/>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1940" w:type="dxa"/>
            <w:vAlign w:val="bottom"/>
            <w:shd w:val="clear" w:color="auto" w:fill="CCEEFF"/>
          </w:tcPr>
          <w:p>
            <w:pPr>
              <w:ind w:left="1460"/>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Balance Sheets</w:t>
              </w:r>
            </w:hyperlink>
          </w:p>
        </w:tc>
        <w:tc>
          <w:tcPr>
            <w:tcW w:w="53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ind w:left="146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6"/>
              </w:rPr>
            </w:pPr>
            <w:hyperlink w:anchor="page57">
              <w:r>
                <w:rPr>
                  <w:rFonts w:ascii="Arial" w:cs="Arial" w:eastAsia="Arial" w:hAnsi="Arial"/>
                  <w:sz w:val="18"/>
                  <w:szCs w:val="18"/>
                  <w:color w:val="0000EE"/>
                  <w:w w:val="86"/>
                </w:rPr>
                <w:t>Consolidated Statements of Operations</w:t>
              </w:r>
            </w:hyperlink>
          </w:p>
        </w:tc>
        <w:tc>
          <w:tcPr>
            <w:tcW w:w="6720" w:type="dxa"/>
            <w:vAlign w:val="bottom"/>
            <w:tcBorders>
              <w:bottom w:val="single" w:sz="8" w:color="CCEEFF"/>
            </w:tcBorders>
            <w:gridSpan w:val="6"/>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ind w:left="1460"/>
              <w:spacing w:after="0" w:line="17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60" w:type="dxa"/>
            <w:vAlign w:val="bottom"/>
            <w:gridSpan w:val="9"/>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Comprehensive Loss</w:t>
              </w:r>
            </w:hyperlink>
          </w:p>
        </w:tc>
        <w:tc>
          <w:tcPr>
            <w:tcW w:w="1940" w:type="dxa"/>
            <w:vAlign w:val="bottom"/>
          </w:tcPr>
          <w:p>
            <w:pPr>
              <w:ind w:left="1460"/>
              <w:spacing w:after="0" w:line="17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Consolidated Statements of Stockholders’ Equity</w:t>
              </w:r>
            </w:hyperlink>
          </w:p>
        </w:tc>
        <w:tc>
          <w:tcPr>
            <w:tcW w:w="6000" w:type="dxa"/>
            <w:vAlign w:val="bottom"/>
            <w:tcBorders>
              <w:bottom w:val="single" w:sz="8" w:color="CCEEFF"/>
            </w:tcBorders>
            <w:gridSpan w:val="2"/>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ind w:left="1460"/>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60" w:type="dxa"/>
            <w:vAlign w:val="bottom"/>
            <w:gridSpan w:val="9"/>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w:t>
              </w:r>
            </w:hyperlink>
          </w:p>
        </w:tc>
        <w:tc>
          <w:tcPr>
            <w:tcW w:w="1940" w:type="dxa"/>
            <w:vAlign w:val="bottom"/>
          </w:tcPr>
          <w:p>
            <w:pPr>
              <w:ind w:left="1460"/>
              <w:spacing w:after="0" w:line="17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9"/>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1940" w:type="dxa"/>
            <w:vAlign w:val="bottom"/>
            <w:shd w:val="clear" w:color="auto" w:fill="CCEEFF"/>
          </w:tcPr>
          <w:p>
            <w:pPr>
              <w:ind w:left="1460"/>
              <w:spacing w:after="0" w:line="17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Financial Statement Schedule II</w:t>
              </w:r>
            </w:hyperlink>
          </w:p>
        </w:tc>
        <w:tc>
          <w:tcPr>
            <w:tcW w:w="6400" w:type="dxa"/>
            <w:vAlign w:val="bottom"/>
            <w:tcBorders>
              <w:top w:val="single" w:sz="8" w:color="CCEEFF"/>
            </w:tcBorders>
            <w:gridSpan w:val="4"/>
          </w:tcPr>
          <w:p>
            <w:pPr>
              <w:spacing w:after="0"/>
              <w:rPr>
                <w:sz w:val="15"/>
                <w:szCs w:val="15"/>
                <w:color w:val="auto"/>
              </w:rPr>
            </w:pPr>
          </w:p>
        </w:tc>
        <w:tc>
          <w:tcPr>
            <w:tcW w:w="1940" w:type="dxa"/>
            <w:vAlign w:val="bottom"/>
            <w:tcBorders>
              <w:top w:val="single" w:sz="8" w:color="CCEEFF"/>
            </w:tcBorders>
          </w:tcPr>
          <w:p>
            <w:pPr>
              <w:ind w:left="1460"/>
              <w:spacing w:after="0" w:line="176" w:lineRule="exact"/>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60" w:type="dxa"/>
            <w:vAlign w:val="bottom"/>
          </w:tcPr>
          <w:p>
            <w:pPr>
              <w:jc w:val="center"/>
              <w:ind w:right="2072"/>
              <w:spacing w:after="0"/>
              <w:rPr>
                <w:sz w:val="20"/>
                <w:szCs w:val="20"/>
                <w:color w:val="auto"/>
              </w:rPr>
            </w:pPr>
            <w:r>
              <w:rPr>
                <w:rFonts w:ascii="Arial" w:cs="Arial" w:eastAsia="Arial" w:hAnsi="Arial"/>
                <w:sz w:val="18"/>
                <w:szCs w:val="18"/>
                <w:color w:val="auto"/>
                <w:w w:val="88"/>
              </w:rPr>
              <w:t>F-1</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8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Novatel Wireless, Inc. as of December 31, 2013 and 2012, and the related consolidated statements of operations, comprehensive loss, stockholders’ equity and cash flows for each of the three years in the period ended December 31, 2013.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Novatel Wireless, Inc. at December 31, 2013 and 2012, and the consolidated results of its operations and its cash flows for each of the three years in the period ended December 31,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Novatel Wireless, Inc.’s internal control over financial reporting as of December 31, 2013, based on the criteria established in Internal Control-Integrated Framework issued by the Committee of Sponsoring Organizations of the Treadway Commission (1992 framework) and our report dated March 11, 2014 expressed an unqualified opinion thereon.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ind w:left="410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16,044</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38,064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marketable securities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Accounts receivable, net of allowance for doubtful accounts of $2,449 in 2013 and $627 in 2012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42,652</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39,016</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95,629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140,731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$62,334 in 2013 and $59,702 in 2012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15,229</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$12,983 in 2013 and $11,951 in 2012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111,465</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161,531</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0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45,732</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27,800</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contingent loss for litigation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Short-term margin loan facility</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73,532</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2,552</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contingent loss for litigation</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66,549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76,084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8"/>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Common stock, par value $0.001; 50,000 shares authorized, 34,097 and 33,655 shares issued and outstanding at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2013 and 2012, respectively</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441,368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438,477</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(371,491)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(328,078)</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110,447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Treasury stock at cost; 2,436 common shares at December 31, 2013 and 2012</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85,447</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17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111,465</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161,531</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335,053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344,288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402,862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Cost of net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266,759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271,845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318,270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72,443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84,592</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60,422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20,898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27,501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Goodwill and intangible assets impairment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49,521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Contingent loss for litigation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14,326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111,515</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161,186</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9"/>
              </w:rPr>
              <w:t>(43,221)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(88,743)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9"/>
              </w:rPr>
              <w:t>(43,330)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(88,655)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(9,503)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9"/>
              </w:rPr>
              <w:t>(43,413)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(89,266)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(24,892)</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(1.28)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(2.72)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computation of basic and diluted net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32,852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(43,413)</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(89,266)</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(24,892)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1460" w:type="dxa"/>
            <w:vAlign w:val="bottom"/>
          </w:tcPr>
          <w:p>
            <w:pPr>
              <w:spacing w:after="0"/>
              <w:rPr>
                <w:sz w:val="18"/>
                <w:szCs w:val="18"/>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54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(43,422)</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(89,244)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(24,921)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63" w:lineRule="exact"/>
        <w:rPr>
          <w:sz w:val="20"/>
          <w:szCs w:val="20"/>
          <w:color w:val="auto"/>
        </w:rPr>
      </w:pPr>
    </w:p>
    <w:p>
      <w:pPr>
        <w:jc w:val="right"/>
        <w:ind w:right="30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vMerge w:val="restart"/>
          </w:tcPr>
          <w:p>
            <w:pPr>
              <w:spacing w:after="0"/>
              <w:rPr>
                <w:sz w:val="20"/>
                <w:szCs w:val="20"/>
                <w:color w:val="auto"/>
              </w:rPr>
            </w:pPr>
            <w:r>
              <w:rPr>
                <w:rFonts w:ascii="Arial" w:cs="Arial" w:eastAsia="Arial" w:hAnsi="Arial"/>
                <w:sz w:val="18"/>
                <w:szCs w:val="18"/>
                <w:color w:val="auto"/>
              </w:rPr>
              <w:t>Balance, December 31, 2010</w:t>
            </w:r>
          </w:p>
        </w:tc>
        <w:tc>
          <w:tcPr>
            <w:tcW w:w="5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8"/>
              </w:rPr>
              <w:t>Shares</w:t>
            </w:r>
          </w:p>
        </w:tc>
        <w:tc>
          <w:tcPr>
            <w:tcW w:w="28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1"/>
        </w:trPr>
        <w:tc>
          <w:tcPr>
            <w:tcW w:w="4780" w:type="dxa"/>
            <w:vAlign w:val="bottom"/>
            <w:vMerge w:val="continue"/>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31,852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w w:val="97"/>
              </w:rPr>
              <w:t>Exercise of stock options, vesting of restricted stock units and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shares issued under employee stock purchase plan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w w:val="98"/>
              </w:rPr>
              <w:t>Taxes withheld on net settled vesting of restricted stock units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tax effect from stock options exercised</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Balance, December 31, 2011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32,262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358"/>
        </w:trPr>
        <w:tc>
          <w:tcPr>
            <w:tcW w:w="4780" w:type="dxa"/>
            <w:vAlign w:val="bottom"/>
          </w:tcPr>
          <w:p>
            <w:pPr>
              <w:spacing w:after="0"/>
              <w:rPr>
                <w:sz w:val="20"/>
                <w:szCs w:val="20"/>
                <w:color w:val="auto"/>
              </w:rPr>
            </w:pPr>
            <w:r>
              <w:rPr>
                <w:rFonts w:ascii="Arial" w:cs="Arial" w:eastAsia="Arial" w:hAnsi="Arial"/>
                <w:sz w:val="18"/>
                <w:szCs w:val="18"/>
                <w:color w:val="auto"/>
                <w:w w:val="97"/>
              </w:rPr>
              <w:t>Exercise of stock options, vesting of restricted stock units and</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shares issued under employee stock purchase plan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1,393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w w:val="98"/>
              </w:rPr>
              <w:t>Taxes withheld on net settled vesting of restricted stock units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33,655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58"/>
        </w:trPr>
        <w:tc>
          <w:tcPr>
            <w:tcW w:w="4780" w:type="dxa"/>
            <w:vAlign w:val="bottom"/>
          </w:tcPr>
          <w:p>
            <w:pPr>
              <w:spacing w:after="0"/>
              <w:rPr>
                <w:sz w:val="20"/>
                <w:szCs w:val="20"/>
                <w:color w:val="auto"/>
              </w:rPr>
            </w:pPr>
            <w:r>
              <w:rPr>
                <w:rFonts w:ascii="Arial" w:cs="Arial" w:eastAsia="Arial" w:hAnsi="Arial"/>
                <w:sz w:val="18"/>
                <w:szCs w:val="18"/>
                <w:color w:val="auto"/>
                <w:w w:val="98"/>
              </w:rPr>
              <w:t>Exercise of stock options and vesting of restricted stock units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w w:val="98"/>
              </w:rPr>
              <w:t>Taxes withheld on net settled vesting of restricted stock units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478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34,097</w:t>
            </w:r>
          </w:p>
        </w:tc>
        <w:tc>
          <w:tcPr>
            <w:tcW w:w="5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-3292475</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-2872105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-2597785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-2323465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-2032000</wp:posOffset>
            </wp:positionV>
            <wp:extent cx="724662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-1663065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r>
      <w:tr>
        <w:trPr>
          <w:trHeight w:val="162"/>
        </w:trPr>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Accumulated</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Comprehensive</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0"/>
              </w:rPr>
              <w:t>Stockholders’</w:t>
            </w:r>
          </w:p>
        </w:tc>
      </w:tr>
      <w:tr>
        <w:trPr>
          <w:trHeight w:val="161"/>
        </w:trPr>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Equity</w:t>
            </w:r>
          </w:p>
        </w:tc>
      </w:tr>
      <w:tr>
        <w:trPr>
          <w:trHeight w:val="216"/>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$424,270</w:t>
            </w:r>
          </w:p>
        </w:tc>
        <w:tc>
          <w:tcPr>
            <w:tcW w:w="2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5"/>
              </w:rPr>
              <w:t>$ (25,000)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 (213,920)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185,403</w:t>
            </w:r>
          </w:p>
        </w:tc>
        <w:tc>
          <w:tcPr>
            <w:tcW w:w="60" w:type="dxa"/>
            <w:vAlign w:val="bottom"/>
          </w:tcPr>
          <w:p>
            <w:pPr>
              <w:spacing w:after="0"/>
              <w:rPr>
                <w:sz w:val="18"/>
                <w:szCs w:val="18"/>
                <w:color w:val="auto"/>
              </w:rPr>
            </w:pPr>
          </w:p>
        </w:tc>
      </w:tr>
      <w:tr>
        <w:trPr>
          <w:trHeight w:val="417"/>
        </w:trPr>
        <w:tc>
          <w:tcPr>
            <w:tcW w:w="700" w:type="dxa"/>
            <w:vAlign w:val="bottom"/>
          </w:tcPr>
          <w:p>
            <w:pPr>
              <w:jc w:val="right"/>
              <w:spacing w:after="0"/>
              <w:rPr>
                <w:sz w:val="20"/>
                <w:szCs w:val="20"/>
                <w:color w:val="auto"/>
              </w:rPr>
            </w:pPr>
            <w:r>
              <w:rPr>
                <w:rFonts w:ascii="Arial" w:cs="Arial" w:eastAsia="Arial" w:hAnsi="Arial"/>
                <w:sz w:val="18"/>
                <w:szCs w:val="18"/>
                <w:color w:val="auto"/>
              </w:rPr>
              <w:t>504</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504</w:t>
            </w:r>
          </w:p>
        </w:tc>
      </w:tr>
      <w:tr>
        <w:trPr>
          <w:trHeight w:val="216"/>
        </w:trPr>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700" w:type="dxa"/>
            <w:vAlign w:val="bottom"/>
          </w:tcPr>
          <w:p>
            <w:pPr>
              <w:jc w:val="right"/>
              <w:spacing w:after="0"/>
              <w:rPr>
                <w:sz w:val="20"/>
                <w:szCs w:val="20"/>
                <w:color w:val="auto"/>
              </w:rPr>
            </w:pPr>
            <w:r>
              <w:rPr>
                <w:rFonts w:ascii="Arial" w:cs="Arial" w:eastAsia="Arial" w:hAnsi="Arial"/>
                <w:sz w:val="18"/>
                <w:szCs w:val="18"/>
                <w:color w:val="auto"/>
              </w:rPr>
              <w:t>5,983</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5,983</w:t>
            </w:r>
          </w:p>
        </w:tc>
      </w:tr>
      <w:tr>
        <w:trPr>
          <w:trHeight w:val="216"/>
        </w:trPr>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(24,892)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(24,892)</w:t>
            </w:r>
          </w:p>
        </w:tc>
      </w:tr>
      <w:tr>
        <w:trPr>
          <w:trHeight w:val="223"/>
        </w:trPr>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700" w:type="dxa"/>
            <w:vAlign w:val="bottom"/>
          </w:tcPr>
          <w:p>
            <w:pPr>
              <w:jc w:val="right"/>
              <w:spacing w:after="0"/>
              <w:rPr>
                <w:sz w:val="20"/>
                <w:szCs w:val="20"/>
                <w:color w:val="auto"/>
              </w:rPr>
            </w:pPr>
            <w:r>
              <w:rPr>
                <w:rFonts w:ascii="Arial" w:cs="Arial" w:eastAsia="Arial" w:hAnsi="Arial"/>
                <w:sz w:val="18"/>
                <w:szCs w:val="18"/>
                <w:color w:val="auto"/>
              </w:rPr>
              <w:t>429,813</w:t>
            </w:r>
          </w:p>
        </w:tc>
        <w:tc>
          <w:tcPr>
            <w:tcW w:w="2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(238,812)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166,025</w:t>
            </w:r>
          </w:p>
        </w:tc>
      </w:tr>
      <w:tr>
        <w:trPr>
          <w:trHeight w:val="574"/>
        </w:trPr>
        <w:tc>
          <w:tcPr>
            <w:tcW w:w="700" w:type="dxa"/>
            <w:vAlign w:val="bottom"/>
          </w:tcPr>
          <w:p>
            <w:pPr>
              <w:jc w:val="right"/>
              <w:spacing w:after="0"/>
              <w:rPr>
                <w:sz w:val="20"/>
                <w:szCs w:val="20"/>
                <w:color w:val="auto"/>
              </w:rPr>
            </w:pPr>
            <w:r>
              <w:rPr>
                <w:rFonts w:ascii="Arial" w:cs="Arial" w:eastAsia="Arial" w:hAnsi="Arial"/>
                <w:sz w:val="18"/>
                <w:szCs w:val="18"/>
                <w:color w:val="auto"/>
              </w:rPr>
              <w:t>1,597</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1,599</w:t>
            </w:r>
          </w:p>
        </w:tc>
      </w:tr>
      <w:tr>
        <w:trPr>
          <w:trHeight w:val="216"/>
        </w:trPr>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(433)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700" w:type="dxa"/>
            <w:vAlign w:val="bottom"/>
          </w:tcPr>
          <w:p>
            <w:pPr>
              <w:jc w:val="right"/>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(89,266)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(89,266)</w:t>
            </w:r>
          </w:p>
        </w:tc>
      </w:tr>
      <w:tr>
        <w:trPr>
          <w:trHeight w:val="223"/>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r>
      <w:tr>
        <w:trPr>
          <w:trHeight w:val="222"/>
        </w:trPr>
        <w:tc>
          <w:tcPr>
            <w:tcW w:w="700" w:type="dxa"/>
            <w:vAlign w:val="bottom"/>
          </w:tcPr>
          <w:p>
            <w:pPr>
              <w:jc w:val="right"/>
              <w:spacing w:after="0"/>
              <w:rPr>
                <w:sz w:val="20"/>
                <w:szCs w:val="20"/>
                <w:color w:val="auto"/>
              </w:rPr>
            </w:pPr>
            <w:r>
              <w:rPr>
                <w:rFonts w:ascii="Arial" w:cs="Arial" w:eastAsia="Arial" w:hAnsi="Arial"/>
                <w:sz w:val="18"/>
                <w:szCs w:val="18"/>
                <w:color w:val="auto"/>
              </w:rPr>
              <w:t>438,477</w:t>
            </w:r>
          </w:p>
        </w:tc>
        <w:tc>
          <w:tcPr>
            <w:tcW w:w="2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(328,078)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85,447</w:t>
            </w:r>
          </w:p>
        </w:tc>
      </w:tr>
      <w:tr>
        <w:trPr>
          <w:trHeight w:val="358"/>
        </w:trPr>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(654)</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(654)</w:t>
            </w:r>
          </w:p>
        </w:tc>
      </w:tr>
      <w:tr>
        <w:trPr>
          <w:trHeight w:val="216"/>
        </w:trPr>
        <w:tc>
          <w:tcPr>
            <w:tcW w:w="700" w:type="dxa"/>
            <w:vAlign w:val="bottom"/>
          </w:tcPr>
          <w:p>
            <w:pPr>
              <w:jc w:val="right"/>
              <w:spacing w:after="0"/>
              <w:rPr>
                <w:sz w:val="20"/>
                <w:szCs w:val="20"/>
                <w:color w:val="auto"/>
              </w:rPr>
            </w:pPr>
            <w:r>
              <w:rPr>
                <w:rFonts w:ascii="Arial" w:cs="Arial" w:eastAsia="Arial" w:hAnsi="Arial"/>
                <w:sz w:val="18"/>
                <w:szCs w:val="18"/>
                <w:color w:val="auto"/>
              </w:rPr>
              <w:t>3,443</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3,443</w:t>
            </w:r>
          </w:p>
        </w:tc>
      </w:tr>
      <w:tr>
        <w:trPr>
          <w:trHeight w:val="216"/>
        </w:trPr>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(43,413)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(43,413)</w:t>
            </w:r>
          </w:p>
        </w:tc>
      </w:tr>
      <w:tr>
        <w:trPr>
          <w:trHeight w:val="223"/>
        </w:trPr>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441,368</w:t>
            </w:r>
          </w:p>
        </w:tc>
        <w:tc>
          <w:tcPr>
            <w:tcW w:w="2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(25,000)</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(371,491)</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44,916</w:t>
            </w: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280"/>
            <w:col w:w="5000"/>
          </w:cols>
          <w:pgMar w:left="240" w:top="459"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59" w:right="27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w w:val="86"/>
              </w:rPr>
              <w:t>(43,413)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(89,266)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12,337</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goodwill and purchased intangible assets impairment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49,521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w w:val="93"/>
              </w:rPr>
              <w:t>Impairment loss on equipment, leasehold improvements and software license intangible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Net impairment loss on marketable securities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provision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Contingent loss for litigation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Non-cash income tax expense (benefit)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(19,237)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(10,433)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(26,627)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(29,879)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(5,011)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Purchases of intangible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(24,262)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(44,216)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Marketable securities maturities / sales</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40,897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46,696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74,922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31,659</w:t>
            </w: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short-term debt, net of issuance costs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20,300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14,000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Principal repayments of short-term debt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w w:val="86"/>
              </w:rPr>
              <w:t>(17,734)</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(14,000)</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w w:val="96"/>
              </w:rPr>
              <w:t>Proceeds from stock option exercises and ESPP net of taxes paid on vested restricted stock units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(13,133)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(31,025)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16,044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47,069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16,044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47,069</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Interest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Building rent incentives to fund leasehold improvements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Marketable equity securities received in settlement of note receivable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Novatel Wireless, Inc. (the “Company,” “our” or “we”) is a provider of wireless broadband access solutions for the worldwide mobile communications market. Our broad range of products principally includes intelligent mobile hotspots, USB modems, embedded PCI and wireless PC-card modems, and communications and applications software. In addition, through our acquisition of Enfora, Inc. (“Enfora”) on November 30, 2010, we provide asset management solutions utilizing wireless technology and machine-to-machine (“M2M”) communications devices.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recently incurred operating losses and had a net loss of $43.4 million during the year ended December 31, 2013. As of December 31, 2013, we had available cash, cash equivalents and short-term marketable securities totaling $19.5 million, excluding $2.6 million of restricted marketable securities, and working capital of $40.9 million. Our ability to transition to attaining profitable operations is dependent upon achieving a level of revenues adequate to support our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our working capital resources are sufficient to fund our operations through at least December 31, 2014.</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litigation, provision for warranty costs, income taxes, share-based compensation expense and best estimate of selling price in a multiple element arrangement.</w:t>
      </w:r>
    </w:p>
    <w:p>
      <w:pPr>
        <w:spacing w:after="0" w:line="1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actual results could differ significantly from these estimates, particularly those related to the condition of the economy.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Cash and cash equivalents include highly liquid investments with original maturities of three months or less. Cash and cash equivalents consist of demand deposits, US Treasury securities, and money market funds. Cash and cash equivalents are recorded at market value, which approximates cost. Gains and losses associated with the Company’s foreign currency denominated demand deposits are recorded as a component of other income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Doubtful Accounts Receivable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Marketable securities predominantly consist of highly liquid debt investments with a maturity of greater than three months when purchased. The Company holds an insignificant amount of marketable equity securities. All of the Company’s marketable debt securities are treated as “available-for-sale.” While it is the Company’s intent to hold its debt securities until maturity, the Company may sell certain securities for cash flow purposes. Thus, the Company’s marketable debt securities are classified as available-for-sale and are carried on the balance sheet at fair value with the related unrealized gains and losses included in accumulated other comprehensive loss, a component of stockholders’ equity. Realized gains and losses on the sale of marketable securities are determined using the specific-identification method. The Company determines the fair value of its financial assets and liabilities by reference to the hierarchy of inputs which consists of three levels: Level 1 fair values are valuations based on quoted market prices in active markets for identical assets or liabilities that the entity has the ability to access; Level 2 fair values are those valuations based on quoted prices for similar assets or liabilities, quoted prices in markets that are not active, or other inputs that are observable or can be corroborated by observable data for substantially the full term of the assets or liabilities; and Level 3 fair values are valuations based on inputs that are supported by little or no market activity and that are significant to the fair value of the assets or liabilities.</w:t>
      </w:r>
    </w:p>
    <w:p>
      <w:pPr>
        <w:spacing w:after="0" w:line="12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All securities whose maturity or sale is expected within one year are classified as “current” on the consolidated balance sheet. All other securities are classified as “long-term” on the consolidated balance sheet.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 and Provision for Excess and Obsolete Inventory</w:t>
      </w:r>
    </w:p>
    <w:p>
      <w:pPr>
        <w:spacing w:after="0" w:line="90"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Inventories are stated at the lower of cost (first-in, first-out method) or market.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Property and equipment are initially stated at cost and depreciated using the straight-line method. Test equipment, computer equipment, purchased software, furniture, and fixtures and product tooling are depreciated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over lives ranging from eighteen months to five years and leasehold improvements are depreciated over the shorter of the related remaining lease period or useful life. Amortization of assets held under capital leases is included in depreciation expense.</w:t>
      </w:r>
    </w:p>
    <w:p>
      <w:pPr>
        <w:spacing w:after="0" w:line="132"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and equipment are capitalized and depreciated. Upon retirement or disposition of property and equipment, any resulting gain or loss is recognized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Intangible assets include purchased intangible assets acquired from Enfora and the costs of non-exclusive and perpetual worldwide software technology licenses. These costs are amortized on an accelerated basis or on a straight-line basis over the estimated useful lives of the assets, depending on the anticipated utilization of the asset. The majority of intangible assets relate to the developed technologies and trade name resulting from the acquisition of Enfora. Developed technologies are amortized on a straight-line basis over the remaining one year useful life. Trade name is amortized on a straight-line basis over the remaining useful life of three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periodically evaluates the carrying value of the unamortized balances of its long-lived assets, including property and equipment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6"/>
          <w:szCs w:val="16"/>
          <w:i w:val="1"/>
          <w:iCs w:val="1"/>
          <w:color w:val="auto"/>
        </w:rPr>
        <w:t>.</w:t>
      </w:r>
      <w:r>
        <w:rPr>
          <w:rFonts w:ascii="Arial" w:cs="Arial" w:eastAsia="Arial" w:hAnsi="Arial"/>
          <w:sz w:val="16"/>
          <w:szCs w:val="16"/>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the impairment is expensed as a part of continuing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Goodwill represents the excess of the purchase price of an acquired enterprise over the fair value assigned to assets acquired and liabilities assumed in a business combination. Goodwill is allocated as of the date of the business combination to the reporting units that are expected to benefit from the synergies of the business combination. Goodwill is considered to be impaired if the Company determines that the carrying value of the reporting unit to which the goodwill has been assigned exceeds its estimated fair value. The Company performs its annual goodwill impairment test each year at the beginning of the fourth quarter, or more frequently if events or circumstances indicate that the carrying value of goodwill exceeds its fair value. The Company recorded $19.8 million, and $3.3 million of goodwill impairment losses during the years ended December 31, 2012, and 2011, respectively. As of December 31, 2012, all historical goodwill had been fully impaired.</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Contingent Consideration</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Contingent consideration is recorded at the acquisition date estimated fair value for all acquisitions. The fair value of the contingent consideration is remeasured at each reporting period with any adjustments in fair value included in the Company’s consolidated statement of operations.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Company’s revenue is principally generated from the sale of wireless modems to wireless operators, OEM customers and value added resellers and distributors. In addition, the Company generates revenue from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sale of asset-management solutions utilizing wireless technology and M2M communication devices predominantly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we will not recognize revenue until both title and risk of loss have transferred to the customer.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Predominantly all of our revenues represent the sale of hardware with accompanied software that is essential to the functionality of the hardware. The Company records revenue associated with the agreed upon price on hardware sales, and accrues any estimated costs of post-delivery performance obligations such as warranty obligations. The Company considers the four basic revenue recognition criteria discussed under Staff Accounting Bulletin No. 104 when assessing appropriate revenue recognition as follows:</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Criterion #1—Persuasive evidence of an arrangement must exist;</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Criterion #2—Delivery has occurred;</w:t>
      </w:r>
    </w:p>
    <w:p>
      <w:pPr>
        <w:spacing w:after="0" w:line="9" w:lineRule="exact"/>
        <w:rPr>
          <w:sz w:val="20"/>
          <w:szCs w:val="20"/>
          <w:color w:val="auto"/>
        </w:rPr>
      </w:pPr>
    </w:p>
    <w:p>
      <w:pPr>
        <w:ind w:left="1340" w:right="4100"/>
        <w:spacing w:after="0" w:line="261" w:lineRule="auto"/>
        <w:rPr>
          <w:sz w:val="20"/>
          <w:szCs w:val="20"/>
          <w:color w:val="auto"/>
        </w:rPr>
      </w:pPr>
      <w:r>
        <w:rPr>
          <w:rFonts w:ascii="Arial" w:cs="Arial" w:eastAsia="Arial" w:hAnsi="Arial"/>
          <w:sz w:val="18"/>
          <w:szCs w:val="18"/>
          <w:color w:val="auto"/>
        </w:rPr>
        <w:t>Criterion #3—The Company’s price to the buyer must be fixed or determinable; and, Criterion #4—Collectibility is reasonably assured.</w:t>
      </w:r>
    </w:p>
    <w:p>
      <w:pPr>
        <w:spacing w:after="0" w:line="13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multiple element arrangements, total consideration received from customers is allocated to the elements. This may include hardware, non essential software elements and/or essential software, based on a relative selling price. The accounting guidance establishes a hierarchy to determine the selling price to be used for allocating revenue to deliverables as follows: (i) vendors specific objective evidence (VSOE), (ii) third party evidence (TPE), and (iii) best estimate of selling price (BESP). Because the Company has neither VSOE nor TPE, revenue has been based on the Company’s BESP. Amounts allocated to the delivered hardware and the related essential software are recognized at the time of the sale provided all other revenue recognition criteria have been met. Amounts allocated to other deliverables based upon BESP are recognized in the period the revenue recognition criteria have been met.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process for determining its BESP for deliverables without VSOE or TPE considers multiple factors that may vary depending upon the unique facts and circumstances related to each deliverable. Our prices are determined based upon cost to produce our products, expected order quantities, acceptance in the marketplace and internal pricing parameters. In addition, when developing BESPs for products we may consider other factors as appropriate including the pricing of competitive alternatives if they exist, and product-specific business objectives.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account for nonessential software licenses and related post contract support (PCS) under multiple element arrangements by recognizing revenue for such arrangements ratably over the term of the PCS as we have not established VSOE for the PCS element.</w:t>
      </w:r>
    </w:p>
    <w:p>
      <w:pPr>
        <w:spacing w:after="0" w:line="132" w:lineRule="exact"/>
        <w:rPr>
          <w:sz w:val="20"/>
          <w:szCs w:val="20"/>
          <w:color w:val="auto"/>
        </w:rPr>
      </w:pPr>
    </w:p>
    <w:p>
      <w:pPr>
        <w:jc w:val="center"/>
        <w:ind w:left="560" w:right="140"/>
        <w:spacing w:after="0" w:line="440" w:lineRule="auto"/>
        <w:rPr>
          <w:sz w:val="20"/>
          <w:szCs w:val="20"/>
          <w:color w:val="auto"/>
        </w:rPr>
      </w:pPr>
      <w:r>
        <w:rPr>
          <w:rFonts w:ascii="Arial" w:cs="Arial" w:eastAsia="Arial" w:hAnsi="Arial"/>
          <w:sz w:val="18"/>
          <w:szCs w:val="18"/>
          <w:color w:val="auto"/>
        </w:rPr>
        <w:t>For the years ended December 31, 2013, 2012, and 2011, we have not recorded any significant revenues from multiple element or software arrangements. F-11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 Costs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accrues warranty costs based on estimates of future warranty related replacement, repairs or rework of products. Our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factors, including the historical frequency and volume of claims, and the cost to replace or repair products under warranty. The warranty provision for its products is determined by using a financial model to estimate future warranty costs. The Company’s financial model takes into consideration actual product failure rates; estimated replacement,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our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1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is currently involved in certain legal proceedings. The Company will record a loss when the Company determines information available prior to the issuance of the financial statements indicates the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Company’s policy is to expense litigation costs as incurred.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jc w:val="both"/>
        <w:ind w:right="260" w:firstLine="456"/>
        <w:spacing w:after="0" w:line="303" w:lineRule="auto"/>
        <w:rPr>
          <w:sz w:val="20"/>
          <w:szCs w:val="20"/>
          <w:color w:val="auto"/>
        </w:rPr>
      </w:pPr>
      <w:r>
        <w:rPr>
          <w:rFonts w:ascii="Arial" w:cs="Arial" w:eastAsia="Arial" w:hAnsi="Arial"/>
          <w:sz w:val="15"/>
          <w:szCs w:val="15"/>
          <w:color w:val="auto"/>
        </w:rPr>
        <w:t>The Company has granted stock options to employees and restricted stock units. The Company also has an employee stock purchase plan (“ESPP”) for eligible employees. The Company measures the compensation cost associated with all share-based payments based on grant date fair values. The fair value of each employee stock option and employee stock purchase right is estimated on the date of grant using an option pricing model that meets certain requirements.</w:t>
      </w:r>
    </w:p>
    <w:p>
      <w:pPr>
        <w:spacing w:after="0" w:line="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Company currently uses the Black-Scholes option pricing model to estimate the fair value of our stock options and stock purchase rights. The Black-Scholes model is considered an acceptable model but the fair values generated by it may not be indicative of the actual fair values of our equity awards as it does not consider certain factors important to those awards to employees, such as continued employment and periodic vesting requirements as well as limited transferability. The determination of the fair value of share-based payment awards utilizing the Black-Scholes model is affected by our stock price and a number of assumptions, including expected volatility, expected term, risk-free interest rate and expected dividends.</w:t>
      </w:r>
    </w:p>
    <w:p>
      <w:pPr>
        <w:spacing w:after="0" w:line="11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that implied volatility is representative of expected future volatility, the historical volatility over the expected term of the award is also an indicator of expected future volatility. Due to the short duration of employee stock purchase rights under our ESPP, the Company utilizes historical volatility in order to estimate the expected volatility assumption of the Black-Scholes model.</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expected term of stock options granted is estimated using historical experience. The risk-free interest rate assumption is based on observed interest rates appropriate for the expected terms of our stock options and employee stock purchase rights. The dividend yield assumption is based on the Company’s history and expectation of no dividend payouts. The Company estimates forfeitures at the time of grant and revises these estimates, if necessary, in subsequent periods if actual forfeitures differ from those estimates. The Company estimates its forfeiture rate assumption for all types of share based compensation awards based historical forfeiture rates related to each category of award.</w:t>
      </w:r>
    </w:p>
    <w:p>
      <w:pPr>
        <w:spacing w:after="0" w:line="11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grant.</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recognizes share-based compensation expense using the straight-line method for awards that contain only service conditions. For awards that contain performance conditions, the Company recognizes the share-based compensation expense on a straight-line basis for each vesting tranche.</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 To the extent that the Company grants additional equity securities to employees or it assumes unvested securities in connection with any acquisitions, its share-based compensation expense will be increased by the additional unearned compensation resulting from those additional grants or acquisitions.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Computation of Net Income (Loss) Per Share</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computes basic and diluted per share data for all periods for which a statement of operations is presented. Basic net loss per share excludes dilution and is computed by dividing the net loss by the weighted-average number of shares that were outstanding during the period. Diluted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 For all periods presented, there is no difference in the number of shares used to calculate basic and diluted shares outstanding due to the Company’s net loss position.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Our financial instruments consist principally of cash and cash equivalents, short-term and long-term marketable securities, and short-term and long-term debt. The Company’s cash and cash equivalents consist of its investment in money market securities and treasury bills. The Company’s marketable securities consist primarily of government agency securities, municipal bonds, time deposits and investment-grade corporate bonds. From time to time, the Company may utilize foreign exchange forward contracts. These contracts are valued using pricing models that take into account the currency rates as of the balance sheet date.</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loss consists of net earnings and unrealized gains and losses on available-for-sale securities.</w:t>
      </w:r>
    </w:p>
    <w:p>
      <w:pPr>
        <w:spacing w:after="0" w:line="287" w:lineRule="exact"/>
        <w:rPr>
          <w:sz w:val="20"/>
          <w:szCs w:val="20"/>
          <w:color w:val="auto"/>
        </w:rPr>
      </w:pPr>
    </w:p>
    <w:p>
      <w:pPr>
        <w:ind w:right="7320" w:firstLine="8"/>
        <w:spacing w:after="0" w:line="347" w:lineRule="auto"/>
        <w:tabs>
          <w:tab w:leader="none" w:pos="44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Merger and Acquisition Activities in Prior Years Enfora</w:t>
      </w:r>
    </w:p>
    <w:p>
      <w:pPr>
        <w:spacing w:after="0" w:line="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30, 2010, the Company completed the acquisition of Enfora. The acquisition of Enfora diversifies the Company’s customer base and product lines into adjacent markets and advances the Company’s strategy of providing intelligent devices to all end markets—enterprise, consumer and vertical applications.</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Enfora’s results of operations and estimated fair value of assets acquired and liabilities assumed were included in the Company’s consolidated financial statements beginning November 30, 2010. The revenue and operating results contributed by Enfora for the years ended December 31, 2013, 2012, and 2011 are disclosed in our Segment Information and Concentrations of Risk footnote (see Note 12). Acquisition costs related to the merger of Enfora of $1.9 million were recorded and classified as general and administrative expenses in the consolidated statement of operations during the year ended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consideration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the acquisition agreement, the Company paid cash consideration of $64.5 million and additional cash consideration of $13.0 million in exchange for an agreed upon amount of Enfora working capital. The Company also agreed to pay additional cash consideration (“contingent consideration”) of up to $6.0 million based on the operating results of Enfora for the 15 month period from October 1, 2010 to December 31, 2011. The estimated fair value of this contingent consideration at the acquisition date was $0.9 million, resulting in total estimated cash to be paid of $78.4 million. During the quarter ended March 31, 2011, the Company revised its estimate of contingent consideration to $0 and reflected this change as a benefit to general and administrative expenses for the quarter ended March 31, 2011. There were no changes in the fair value of the contingent consideration recorded in the nine months ended December 31, 2011 as the operating results necessary to receive payment of the contingent consideration were not achieved.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Assets Acquired and Liabilities Assumed</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accounted for the transaction using the acquisition method and, accordingly, estimated the fair value of the tangible and intangible assets acquired and liabilities assumed. During the third quarter of 2011, the Company made a $0.3 million adjustment to increase Enfora net deferred tax assets, with a corresponding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dollar amount decrease to goodwill, based on completed studies of available tax benefits existing as of the date of acquisition. The total purchase price is summarized below (in thousands):</w:t>
      </w:r>
    </w:p>
    <w:p>
      <w:pPr>
        <w:spacing w:after="0" w:line="38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Accounts receivables</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7,448</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10,469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Accounts payable, accrued expenses and deferred taxes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(12,220)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42,520</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23,661</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78,379</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of Assets and Liabilities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classify our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62"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4"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&amp; economic events,</w:t>
      </w:r>
      <w:r>
        <w:rPr>
          <w:rFonts w:ascii="Arial" w:cs="Arial" w:eastAsia="Arial" w:hAnsi="Arial"/>
          <w:sz w:val="16"/>
          <w:szCs w:val="16"/>
          <w:i w:val="1"/>
          <w:iCs w:val="1"/>
          <w:color w:val="auto"/>
        </w:rPr>
        <w:t xml:space="preserve"> </w:t>
      </w:r>
      <w:r>
        <w:rPr>
          <w:rFonts w:ascii="Arial" w:cs="Arial" w:eastAsia="Arial" w:hAnsi="Arial"/>
          <w:sz w:val="16"/>
          <w:szCs w:val="16"/>
          <w:color w:val="auto"/>
        </w:rPr>
        <w:t>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94"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At December 31, 2013, the Company did not have any securities in the Level 3 category. The Company reviews the fair value hierarchy classification on a quarterly basis. We validate the quoted market prices provided by our primary pricing service by comparing their assessment of the fair values of our investments by using a third party investment manager. The third party investment manager uses similar techniques to our primary pricing service to derive the pricing describe above. Changes in the observability of valuation inputs may result in a reclassification of levels for certain securities within the fair value hierarchy.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as of</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20" w:type="dxa"/>
            <w:vAlign w:val="bottom"/>
            <w:gridSpan w:val="3"/>
            <w:vMerge w:val="continue"/>
          </w:tcPr>
          <w:p>
            <w:pPr>
              <w:spacing w:after="0"/>
              <w:rPr>
                <w:sz w:val="14"/>
                <w:szCs w:val="14"/>
                <w:color w:val="auto"/>
              </w:rPr>
            </w:pPr>
          </w:p>
        </w:tc>
        <w:tc>
          <w:tcPr>
            <w:tcW w:w="2520" w:type="dxa"/>
            <w:vAlign w:val="bottom"/>
          </w:tcPr>
          <w:p>
            <w:pPr>
              <w:spacing w:after="0"/>
              <w:rPr>
                <w:sz w:val="14"/>
                <w:szCs w:val="14"/>
                <w:color w:val="auto"/>
              </w:rPr>
            </w:pPr>
          </w:p>
        </w:tc>
        <w:tc>
          <w:tcPr>
            <w:tcW w:w="1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2013</w:t>
            </w:r>
          </w:p>
        </w:tc>
        <w:tc>
          <w:tcPr>
            <w:tcW w:w="4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4"/>
              </w:rPr>
              <w:t>Level 1</w:t>
            </w:r>
          </w:p>
        </w:tc>
        <w:tc>
          <w:tcPr>
            <w:tcW w:w="700" w:type="dxa"/>
            <w:vAlign w:val="bottom"/>
          </w:tcPr>
          <w:p>
            <w:pPr>
              <w:spacing w:after="0"/>
              <w:rPr>
                <w:sz w:val="14"/>
                <w:szCs w:val="14"/>
                <w:color w:val="auto"/>
              </w:rPr>
            </w:pPr>
          </w:p>
        </w:tc>
        <w:tc>
          <w:tcPr>
            <w:tcW w:w="68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4600" w:type="dxa"/>
            <w:vAlign w:val="bottom"/>
            <w:tcBorders>
              <w:top w:val="single" w:sz="8" w:color="CCEEFF"/>
            </w:tcBorders>
            <w:shd w:val="clear" w:color="auto" w:fill="CCEEFF"/>
          </w:tcPr>
          <w:p>
            <w:pPr>
              <w:spacing w:after="0"/>
              <w:rPr>
                <w:sz w:val="16"/>
                <w:szCs w:val="16"/>
                <w:color w:val="auto"/>
              </w:rPr>
            </w:pPr>
          </w:p>
        </w:tc>
        <w:tc>
          <w:tcPr>
            <w:tcW w:w="2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2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3"/>
          </w:tcPr>
          <w:p>
            <w:pPr>
              <w:spacing w:after="0"/>
              <w:rPr>
                <w:sz w:val="20"/>
                <w:szCs w:val="20"/>
                <w:color w:val="auto"/>
              </w:rPr>
            </w:pPr>
            <w:r>
              <w:rPr>
                <w:rFonts w:ascii="Arial" w:cs="Arial" w:eastAsia="Arial" w:hAnsi="Arial"/>
                <w:sz w:val="18"/>
                <w:szCs w:val="18"/>
                <w:color w:val="auto"/>
              </w:rPr>
              <w:t>Total cash equivalents</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Government agency securities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640"/>
              <w:spacing w:after="0"/>
              <w:rPr>
                <w:sz w:val="20"/>
                <w:szCs w:val="20"/>
                <w:color w:val="auto"/>
              </w:rPr>
            </w:pPr>
            <w:r>
              <w:rPr>
                <w:rFonts w:ascii="Arial" w:cs="Arial" w:eastAsia="Arial" w:hAnsi="Arial"/>
                <w:sz w:val="18"/>
                <w:szCs w:val="18"/>
                <w:color w:val="auto"/>
              </w:rPr>
              <w:t>Municipal bonds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2,829</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Certificates of deposit</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640"/>
              <w:spacing w:after="0"/>
              <w:rPr>
                <w:sz w:val="20"/>
                <w:szCs w:val="20"/>
                <w:color w:val="auto"/>
              </w:rPr>
            </w:pPr>
            <w:r>
              <w:rPr>
                <w:rFonts w:ascii="Arial" w:cs="Arial" w:eastAsia="Arial" w:hAnsi="Arial"/>
                <w:sz w:val="18"/>
                <w:szCs w:val="18"/>
                <w:color w:val="auto"/>
              </w:rPr>
              <w:t>Corporate debentures / bonds</w:t>
            </w:r>
          </w:p>
        </w:tc>
        <w:tc>
          <w:tcPr>
            <w:tcW w:w="2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w:t>
            </w: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19,178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640"/>
              <w:spacing w:after="0"/>
              <w:rPr>
                <w:sz w:val="20"/>
                <w:szCs w:val="20"/>
                <w:color w:val="auto"/>
              </w:rPr>
            </w:pPr>
            <w:r>
              <w:rPr>
                <w:rFonts w:ascii="Arial" w:cs="Arial" w:eastAsia="Arial" w:hAnsi="Arial"/>
                <w:sz w:val="18"/>
                <w:szCs w:val="18"/>
                <w:color w:val="auto"/>
              </w:rPr>
              <w:t>Certificates of deposit</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Corporate debentures / bonds</w:t>
            </w:r>
          </w:p>
        </w:tc>
        <w:tc>
          <w:tcPr>
            <w:tcW w:w="2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23,108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2012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6"/>
              </w:rPr>
              <w:t>Balance as of</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60" w:type="dxa"/>
            <w:vAlign w:val="bottom"/>
            <w:gridSpan w:val="3"/>
            <w:vMerge w:val="continue"/>
          </w:tcPr>
          <w:p>
            <w:pPr>
              <w:spacing w:after="0"/>
              <w:rPr>
                <w:sz w:val="14"/>
                <w:szCs w:val="14"/>
                <w:color w:val="auto"/>
              </w:rPr>
            </w:pPr>
          </w:p>
        </w:tc>
        <w:tc>
          <w:tcPr>
            <w:tcW w:w="3660" w:type="dxa"/>
            <w:vAlign w:val="bottom"/>
          </w:tcPr>
          <w:p>
            <w:pPr>
              <w:spacing w:after="0"/>
              <w:rPr>
                <w:sz w:val="14"/>
                <w:szCs w:val="14"/>
                <w:color w:val="auto"/>
              </w:rPr>
            </w:pPr>
          </w:p>
        </w:tc>
        <w:tc>
          <w:tcPr>
            <w:tcW w:w="18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December 31, 2012</w:t>
            </w:r>
          </w:p>
        </w:tc>
        <w:tc>
          <w:tcPr>
            <w:tcW w:w="4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Level 1</w:t>
            </w:r>
          </w:p>
        </w:tc>
        <w:tc>
          <w:tcPr>
            <w:tcW w:w="700" w:type="dxa"/>
            <w:vAlign w:val="bottom"/>
          </w:tcPr>
          <w:p>
            <w:pPr>
              <w:spacing w:after="0"/>
              <w:rPr>
                <w:sz w:val="14"/>
                <w:szCs w:val="14"/>
                <w:color w:val="auto"/>
              </w:rPr>
            </w:pPr>
          </w:p>
        </w:tc>
        <w:tc>
          <w:tcPr>
            <w:tcW w:w="68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440" w:type="dxa"/>
            <w:vAlign w:val="bottom"/>
            <w:tcBorders>
              <w:top w:val="single" w:sz="8" w:color="CCEEFF"/>
            </w:tcBorders>
            <w:shd w:val="clear" w:color="auto" w:fill="CCEEFF"/>
          </w:tcPr>
          <w:p>
            <w:pPr>
              <w:spacing w:after="0"/>
              <w:rPr>
                <w:sz w:val="16"/>
                <w:szCs w:val="16"/>
                <w:color w:val="auto"/>
              </w:rPr>
            </w:pPr>
          </w:p>
        </w:tc>
        <w:tc>
          <w:tcPr>
            <w:tcW w:w="3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380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420"/>
              <w:spacing w:after="0"/>
              <w:rPr>
                <w:sz w:val="20"/>
                <w:szCs w:val="20"/>
                <w:color w:val="auto"/>
              </w:rPr>
            </w:pPr>
            <w:r>
              <w:rPr>
                <w:rFonts w:ascii="Arial" w:cs="Arial" w:eastAsia="Arial" w:hAnsi="Arial"/>
                <w:sz w:val="18"/>
                <w:szCs w:val="18"/>
                <w:color w:val="auto"/>
              </w:rPr>
              <w:t>US Treasury securities</w:t>
            </w:r>
          </w:p>
        </w:tc>
        <w:tc>
          <w:tcPr>
            <w:tcW w:w="3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3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640"/>
              <w:spacing w:after="0"/>
              <w:rPr>
                <w:sz w:val="20"/>
                <w:szCs w:val="20"/>
                <w:color w:val="auto"/>
              </w:rPr>
            </w:pPr>
            <w:r>
              <w:rPr>
                <w:rFonts w:ascii="Arial" w:cs="Arial" w:eastAsia="Arial" w:hAnsi="Arial"/>
                <w:sz w:val="18"/>
                <w:szCs w:val="18"/>
                <w:color w:val="auto"/>
              </w:rPr>
              <w:t>Government agency securities</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3,266</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Municipal bonds</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11,260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640"/>
              <w:spacing w:after="0"/>
              <w:rPr>
                <w:sz w:val="20"/>
                <w:szCs w:val="20"/>
                <w:color w:val="auto"/>
              </w:rPr>
            </w:pPr>
            <w:r>
              <w:rPr>
                <w:rFonts w:ascii="Arial" w:cs="Arial" w:eastAsia="Arial" w:hAnsi="Arial"/>
                <w:sz w:val="18"/>
                <w:szCs w:val="18"/>
                <w:color w:val="auto"/>
              </w:rPr>
              <w:t>Certificates of deposit</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6,205</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Corporate debentures / bonds</w:t>
            </w:r>
          </w:p>
        </w:tc>
        <w:tc>
          <w:tcPr>
            <w:tcW w:w="3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3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38,064</w:t>
            </w: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38,064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Certificates of deposit</w:t>
            </w:r>
          </w:p>
        </w:tc>
        <w:tc>
          <w:tcPr>
            <w:tcW w:w="3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3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42,741</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42,694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00" w:type="dxa"/>
            <w:vAlign w:val="bottom"/>
            <w:gridSpan w:val="2"/>
          </w:tcPr>
          <w:p>
            <w:pPr>
              <w:ind w:left="1380"/>
              <w:spacing w:after="0"/>
              <w:rPr>
                <w:sz w:val="20"/>
                <w:szCs w:val="20"/>
                <w:color w:val="auto"/>
              </w:rPr>
            </w:pPr>
            <w:r>
              <w:rPr>
                <w:rFonts w:ascii="Arial" w:cs="Arial" w:eastAsia="Arial" w:hAnsi="Arial"/>
                <w:sz w:val="18"/>
                <w:szCs w:val="18"/>
                <w:color w:val="auto"/>
              </w:rPr>
              <w:t>F-16</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were no transfers between Level 1 and Level 2 securities during the years ended December 31, 2013 and 2012. All of our long-term marketable debt securities had maturities of between one and two years in duration at December 31, 2013.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2012, the Company had no outstanding foreign currency exchange forward contracts.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the years ended December 31, 2013, 2012 and 2011, the Company recorded gains of $0, $0, $8,000, respectively, on its Euro-denominated foreign exchange forward contracts. During the years ended December 31, 2013, 2012 and 2011, the Company recorded foreign currency losses on foreign currency denominated transactions of approximately $183,000, $51,000, and $836,000, respectively. The loss during the years ended December 31, 2013 and 2012 primarily related to foreign currency losses on foreign currency denominated bank accounts. The loss during the year ended December 31, 2011 primarily related to foreign currency losses on South Korean won denominated trade payables.</w:t>
      </w:r>
    </w:p>
    <w:p>
      <w:pPr>
        <w:spacing w:after="0" w:line="11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All recorded gains and losses on foreign exchange transactions are recorded in other income (expense), net, within the consolidated statements of operations.</w:t>
      </w:r>
    </w:p>
    <w:p>
      <w:pPr>
        <w:spacing w:after="0" w:line="248" w:lineRule="exact"/>
        <w:rPr>
          <w:sz w:val="20"/>
          <w:szCs w:val="20"/>
          <w:color w:val="auto"/>
        </w:rPr>
      </w:pPr>
    </w:p>
    <w:p>
      <w:pPr>
        <w:ind w:right="8900" w:firstLine="8"/>
        <w:spacing w:after="0" w:line="347" w:lineRule="auto"/>
        <w:tabs>
          <w:tab w:leader="none" w:pos="44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Details </w:t>
      </w:r>
      <w:r>
        <w:rPr>
          <w:rFonts w:ascii="Arial" w:cs="Arial" w:eastAsia="Arial" w:hAnsi="Arial"/>
          <w:sz w:val="18"/>
          <w:szCs w:val="18"/>
          <w:i w:val="1"/>
          <w:iCs w:val="1"/>
          <w:color w:val="auto"/>
        </w:rPr>
        <w:t>Marketable Securities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Gross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2013</w:t>
            </w:r>
          </w:p>
        </w:tc>
        <w:tc>
          <w:tcPr>
            <w:tcW w:w="150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58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32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126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2"/>
                <w:szCs w:val="12"/>
                <w:color w:val="auto"/>
              </w:rPr>
            </w:pPr>
          </w:p>
        </w:tc>
        <w:tc>
          <w:tcPr>
            <w:tcW w:w="50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w w:val="96"/>
              </w:rPr>
              <w:t>Cost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92"/>
              </w:rPr>
              <w:t>Gains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2"/>
                <w:szCs w:val="12"/>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1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5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2,350</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5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1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10,635</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Total short-term marketable securities</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19,173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5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 to 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1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 to 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Total long-term marketable securities</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60" w:type="dxa"/>
            <w:vAlign w:val="bottom"/>
            <w:tcBorders>
              <w:left w:val="single" w:sz="8" w:color="CCEEFF"/>
            </w:tcBorders>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$ 22,616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Gross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2012</w:t>
            </w:r>
          </w:p>
        </w:tc>
        <w:tc>
          <w:tcPr>
            <w:tcW w:w="150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58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32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126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2"/>
                <w:szCs w:val="12"/>
                <w:color w:val="auto"/>
              </w:rPr>
            </w:pPr>
          </w:p>
        </w:tc>
        <w:tc>
          <w:tcPr>
            <w:tcW w:w="50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w w:val="96"/>
              </w:rPr>
              <w:t>Cost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92"/>
              </w:rPr>
              <w:t>Gains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2"/>
                <w:szCs w:val="12"/>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left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1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5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3,265</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5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1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17,330</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Total short-term marketable securities</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38,041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5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 to 2</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marketable securities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$ 39,241</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$ 39,265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60" w:type="dxa"/>
            <w:vAlign w:val="bottom"/>
            <w:gridSpan w:val="3"/>
            <w:vMerge w:val="restart"/>
          </w:tcPr>
          <w:p>
            <w:pPr>
              <w:jc w:val="right"/>
              <w:ind w:right="1200"/>
              <w:spacing w:after="0"/>
              <w:rPr>
                <w:sz w:val="20"/>
                <w:szCs w:val="20"/>
                <w:color w:val="auto"/>
              </w:rPr>
            </w:pPr>
            <w:r>
              <w:rPr>
                <w:rFonts w:ascii="Arial" w:cs="Arial" w:eastAsia="Arial" w:hAnsi="Arial"/>
                <w:sz w:val="18"/>
                <w:szCs w:val="18"/>
                <w:color w:val="auto"/>
              </w:rPr>
              <w:t>F-17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consolidated balance sheet at fair market value with the related unrealized gains and losses included in accumulated other comprehensive (loss) income on the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2013 and 2012, the Company recorded net unrealized gains of $5,000, and net unrealized gains of $24,000, respectively. The Company’s net unrealized gains (loss) is the result of market conditions affecting its fixed-income debt securities, which are included in accumulated other comprehensive (loss) income on the consolidated balance sheet for the periods then ended.</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As of December 31, 2011, the Company’s investment portfolio included $385,000 of marketable equity securities at original cost, with a fair value of $38,000. During the years ended December 31, 2013, 2012 and 2011, the Company recorded an other-than-temporary loss of $0, $38,000 and $347,000, respectively, within other income (expense), net in the consolidated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$20,870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$26,776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6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6,923</w:t>
            </w:r>
          </w:p>
        </w:tc>
        <w:tc>
          <w:tcPr>
            <w:tcW w:w="2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27,793</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Property and Equipment</w:t>
            </w: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9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consists of the following (in thousands):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Test equipment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$ 52,108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$ 53,368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10,814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12,310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Product tooling</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2,219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72,235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74,931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 and amortization</w:t>
            </w:r>
          </w:p>
        </w:tc>
        <w:tc>
          <w:tcPr>
            <w:tcW w:w="84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(62,334)</w:t>
            </w: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(59,702)</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  9,901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$ 15,229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years ended December 31, 2013, 2012 and 2011, the Company recorded $70,000, $100,000 and $70,000, respectively, in its cost of net revenues as a result of its impairment analysis of property and equipment.</w:t>
      </w:r>
    </w:p>
    <w:p>
      <w:pPr>
        <w:spacing w:after="0" w:line="132"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Depreciation and amortization expense relating to property and equipment was $7.9 million, $9.4 million and $11.1 million for the years ended December 31, 2013, 2012 and 2011, respectively.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8"/>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$ 4,349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Payroll and related expenses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4,828</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2,244</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Market development funds and price protection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3,059</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2,999</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23,271</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62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20" w:type="dxa"/>
            <w:vAlign w:val="bottom"/>
            <w:gridSpan w:val="3"/>
          </w:tcPr>
          <w:p>
            <w:pPr>
              <w:ind w:left="460"/>
              <w:spacing w:after="0"/>
              <w:rPr>
                <w:sz w:val="20"/>
                <w:szCs w:val="20"/>
                <w:color w:val="auto"/>
              </w:rPr>
            </w:pPr>
            <w:r>
              <w:rPr>
                <w:rFonts w:ascii="Arial" w:cs="Arial" w:eastAsia="Arial" w:hAnsi="Arial"/>
                <w:sz w:val="18"/>
                <w:szCs w:val="18"/>
                <w:color w:val="auto"/>
              </w:rPr>
              <w:t>Accrued warranty obligations consist of the following (in thousands):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$ 1,525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70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5,055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6,261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(5,457)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700" w:type="dxa"/>
            <w:vAlign w:val="bottom"/>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70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96"/>
              </w:rPr>
              <w:t>$ 2,329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580"/>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Gross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Impairment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6"/>
              <w:spacing w:after="0"/>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14"/>
                <w:szCs w:val="14"/>
                <w:color w:val="auto"/>
              </w:rPr>
            </w:pPr>
          </w:p>
        </w:tc>
        <w:tc>
          <w:tcPr>
            <w:tcW w:w="600" w:type="dxa"/>
            <w:vAlign w:val="bottom"/>
          </w:tcPr>
          <w:p>
            <w:pPr>
              <w:jc w:val="right"/>
              <w:ind w:right="62"/>
              <w:spacing w:after="0"/>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Impairment</w:t>
            </w:r>
          </w:p>
        </w:tc>
        <w:tc>
          <w:tcPr>
            <w:tcW w:w="10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r>
      <w:tr>
        <w:trPr>
          <w:trHeight w:val="210"/>
        </w:trPr>
        <w:tc>
          <w:tcPr>
            <w:tcW w:w="3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technologies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$26,000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(19,547)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$26,000</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7"/>
              </w:rPr>
              <w:t>(5,786)</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(19,547)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Trade name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12,800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(2,665)</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(8,582)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(2,147)</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2,071</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(1,923)</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rPr>
              <w:t>Total amortizable purchased intangible</w:t>
            </w: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200" w:type="dxa"/>
            <w:vAlign w:val="bottom"/>
          </w:tcPr>
          <w:p>
            <w:pPr>
              <w:ind w:left="220"/>
              <w:spacing w:after="0"/>
              <w:rPr>
                <w:sz w:val="20"/>
                <w:szCs w:val="20"/>
                <w:color w:val="auto"/>
              </w:rPr>
            </w:pPr>
            <w:r>
              <w:rPr>
                <w:rFonts w:ascii="Arial" w:cs="Arial" w:eastAsia="Arial" w:hAnsi="Arial"/>
                <w:sz w:val="18"/>
                <w:szCs w:val="18"/>
                <w:color w:val="auto"/>
              </w:rPr>
              <w:t>assets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42,520</w:t>
            </w: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(10,752)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(29,749)</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2,019</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42,520</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(9,856)</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 (29,749)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2,915</w:t>
            </w:r>
          </w:p>
        </w:tc>
        <w:tc>
          <w:tcPr>
            <w:tcW w:w="10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of Enfora included in the cost of net revenues and operating costs and expenses categories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9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334</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562</w:t>
            </w: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896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600" w:type="dxa"/>
            <w:vAlign w:val="bottom"/>
          </w:tcPr>
          <w:p>
            <w:pPr>
              <w:spacing w:after="0"/>
              <w:rPr>
                <w:sz w:val="24"/>
                <w:szCs w:val="24"/>
                <w:color w:val="auto"/>
              </w:rPr>
            </w:pPr>
          </w:p>
        </w:tc>
        <w:tc>
          <w:tcPr>
            <w:tcW w:w="3700" w:type="dxa"/>
            <w:vAlign w:val="bottom"/>
            <w:gridSpan w:val="2"/>
          </w:tcPr>
          <w:p>
            <w:pPr>
              <w:jc w:val="right"/>
              <w:ind w:right="2252"/>
              <w:spacing w:after="0"/>
              <w:rPr>
                <w:sz w:val="20"/>
                <w:szCs w:val="20"/>
                <w:color w:val="auto"/>
              </w:rPr>
            </w:pPr>
            <w:r>
              <w:rPr>
                <w:rFonts w:ascii="Arial" w:cs="Arial" w:eastAsia="Arial" w:hAnsi="Arial"/>
                <w:sz w:val="18"/>
                <w:szCs w:val="18"/>
                <w:color w:val="auto"/>
              </w:rPr>
              <w:t>F-19</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existing amortizable purchased intangible assets of Enfora that is currently estimated to be expensed in the future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990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3"/>
        </w:trPr>
        <w:tc>
          <w:tcPr>
            <w:tcW w:w="7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9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9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9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r>
      <w:tr>
        <w:trPr>
          <w:trHeight w:val="222"/>
        </w:trPr>
        <w:tc>
          <w:tcPr>
            <w:tcW w:w="99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Additionally, at December 31, 2013 and 2012, the Company had net acquired software licenses of $112,000 and $248,000, respectively, net of accumulated amortization of $2.2 million and $2.1 million, respectively. The acquired software licenses represent rights to use certain software necessary for the development and commercial sale of the Company’s products.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monitors its intangible and long-lived asset balances and conducts formal tests when impairment indicators are present (see Note 6 for a discussion of the impairment indicators). There was no impairment loss recorded for the year ended December 31, 2013. During the quarter ended March 31, 2012, the Company recorded an impairment loss of $22.8 million related to a decrease in the estimated fair values of the purchased intangible assets fair values. At September 30, 2012, the Company recorded a further preliminary impairment loss of $7.3 million related to the continued decrease in the estimated fair values of the purchased intangible assets. During the fourth quarter of 2012, the Company completed the impairment analysis and reduced the third quarter impairment by $300,000. The Company recorded $133,000 of impairment loss related to acquired software licenses during the year ended December 31, 2011.</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Amortization expense relating to acquired software licenses was $113,000, $196,000 and $422,000 for the years ended December 31, 2013, 2012 and 2011, respectively. Amortization expense related to licenses obtained for research purposes is recorded within research and development expense in the consolidated statements of operations. Amortization expense related to licenses obtained for commercial products is recorded in cost of net revenues in the consolidated statements of operations.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December 31, 2013, the weighted average remaining useful life of the Company’s long-lived intangible assets including acquired software licenses is 2.1 years.</w:t>
      </w:r>
    </w:p>
    <w:p>
      <w:pPr>
        <w:spacing w:after="0" w:line="24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ind w:right="980" w:firstLine="456"/>
        <w:spacing w:after="0" w:line="332" w:lineRule="auto"/>
        <w:rPr>
          <w:sz w:val="20"/>
          <w:szCs w:val="20"/>
          <w:color w:val="auto"/>
        </w:rPr>
      </w:pPr>
      <w:r>
        <w:rPr>
          <w:rFonts w:ascii="Arial" w:cs="Arial" w:eastAsia="Arial" w:hAnsi="Arial"/>
          <w:sz w:val="16"/>
          <w:szCs w:val="16"/>
          <w:color w:val="auto"/>
        </w:rPr>
        <w:t>As a result of goodwill impairment charges recorded during the twelve months ended December 31, 2012, the carrying amount of goodwill at December 31, 2013 and December 31, 2012 was zero. The carrying amount of goodwill at December 31, 2011 was $19.8 million.</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During the third quarter of 2012, the first quarter of 2012 and the third quarter of 2011, based on actual operating results, and reductions in management’s then estimates of forecasted operating results of the M2M Products and Solutions reporting unit principally due to updated views of competitive pressures impacting average selling prices, customer product and technology selections, and the loss of certain customers, the Company determined there were sufficient indicators of impairment present to require an interim impairment analysis during the respective impacted quarters.</w:t>
      </w:r>
    </w:p>
    <w:p>
      <w:pPr>
        <w:spacing w:after="0" w:line="11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Based upon fair value tests performed with the assistance of third party independent appraisals, during the third quarter of 2012, the first quarter of 2012 and the third quarter of 2011, the Company recorded pre-tax goodwill impairment charges of $13.2 million, $6.6 million and $3.3 million,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years ended December 31, 2013, 2012 and 2011, basic and diluted weighted-average common shares outstanding were 33,948,000, 32,852,000 and 32,043,000, respectively.</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Weighted average options, restricted stock units and ESPP shares to acquire a total of 4,424,000 shares, 5,793,000 shares and 4,657,000 shares of common stock for the years ended December 31, 2013, 2012 and 2011, respectively, were outstanding but not included in the computation of diluted earnings per share as their effect was anti-dilutive.</w:t>
      </w:r>
    </w:p>
    <w:p>
      <w:pPr>
        <w:spacing w:after="0" w:line="256" w:lineRule="exact"/>
        <w:rPr>
          <w:sz w:val="20"/>
          <w:szCs w:val="20"/>
          <w:color w:val="auto"/>
        </w:rPr>
      </w:pPr>
    </w:p>
    <w:p>
      <w:pPr>
        <w:ind w:left="240" w:right="9380" w:hanging="232"/>
        <w:spacing w:after="0" w:line="391" w:lineRule="auto"/>
        <w:tabs>
          <w:tab w:leader="none" w:pos="45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Preferred Stock</w:t>
      </w:r>
    </w:p>
    <w:p>
      <w:pPr>
        <w:spacing w:after="0" w:line="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has a total of 2,000,000 shares of Series A and Series B preferred stock authorized for issuance at a par value of $0.001 per share. No preferred shares are currently issued or outstanding.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reserved shares of common stock for possible future issuance as of December 31, 2013 and 2012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r>
      <w:tr>
        <w:trPr>
          <w:trHeight w:val="223"/>
        </w:trPr>
        <w:tc>
          <w:tcPr>
            <w:tcW w:w="9320" w:type="dxa"/>
            <w:vAlign w:val="bottom"/>
          </w:tcPr>
          <w:p>
            <w:pPr>
              <w:spacing w:after="0"/>
              <w:rPr>
                <w:sz w:val="19"/>
                <w:szCs w:val="19"/>
                <w:color w:val="auto"/>
              </w:rPr>
            </w:pPr>
          </w:p>
        </w:tc>
        <w:tc>
          <w:tcPr>
            <w:tcW w:w="68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r>
      <w:tr>
        <w:trPr>
          <w:trHeight w:val="210"/>
        </w:trPr>
        <w:tc>
          <w:tcPr>
            <w:tcW w:w="9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 outstanding under the 2009 Omnibus Incentive Compensation Plan and previous plans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Future grants of awards under the 2009 Omnibus Incentive Compensation Plan</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Shares available under the Employee Stock Purchase Plan</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7"/>
        </w:trPr>
        <w:tc>
          <w:tcPr>
            <w:tcW w:w="9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shares of common stock reserved for issuance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00" w:type="dxa"/>
            <w:vAlign w:val="bottom"/>
            <w:shd w:val="clear" w:color="auto" w:fill="CCEEFF"/>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and Employee Stock Purchase Plans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year ended December 31, 2013, the Company granted awards under the 2009 Omnibus Incentive Compensation Plan (the “2009 Plan”). The Compensation Committee of the Board of Directors administers the plan.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Under the 2009 Plan, a maximum of 2.5 million shares of common stock may be issued upon the exercise of stock options, in the form of restricted stock, or in settlement of restricted stock units or other awards, including awards with alternative vesting schedules such as performance-based criteria.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the years ended December 31, 2013, 2012 and 2011, the following table presents total share-based compensation expense in each functional line item on our consolidated statements of operations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2013</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2,088</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1,254</w:t>
            </w:r>
          </w:p>
        </w:tc>
        <w:tc>
          <w:tcPr>
            <w:tcW w:w="100" w:type="dxa"/>
            <w:vAlign w:val="bottom"/>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1,576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2,308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2,062</w:t>
            </w:r>
          </w:p>
        </w:tc>
        <w:tc>
          <w:tcPr>
            <w:tcW w:w="100" w:type="dxa"/>
            <w:vAlign w:val="bottom"/>
          </w:tcPr>
          <w:p>
            <w:pPr>
              <w:spacing w:after="0"/>
              <w:rPr>
                <w:sz w:val="19"/>
                <w:szCs w:val="19"/>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3,443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5,983</w:t>
            </w:r>
          </w:p>
        </w:tc>
        <w:tc>
          <w:tcPr>
            <w:tcW w:w="100" w:type="dxa"/>
            <w:vAlign w:val="bottom"/>
            <w:shd w:val="clear" w:color="auto" w:fill="CCEEFF"/>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per share fair values of stock options granted under the 2009 Plan and rights granted under the ESPP have been estimated with the following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Employee Stock Options</w:t>
            </w:r>
          </w:p>
        </w:tc>
        <w:tc>
          <w:tcPr>
            <w:tcW w:w="4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84"/>
              </w:rPr>
              <w:t>Employee Stock Purchase Rights</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6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10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gridSpan w:val="2"/>
          </w:tcPr>
          <w:p>
            <w:pPr>
              <w:jc w:val="right"/>
              <w:ind w:right="432"/>
              <w:spacing w:after="0"/>
              <w:rPr>
                <w:sz w:val="20"/>
                <w:szCs w:val="20"/>
                <w:color w:val="auto"/>
              </w:rPr>
            </w:pPr>
            <w:r>
              <w:rPr>
                <w:rFonts w:ascii="Arial" w:cs="Arial" w:eastAsia="Arial" w:hAnsi="Arial"/>
                <w:sz w:val="18"/>
                <w:szCs w:val="18"/>
                <w:color w:val="auto"/>
              </w:rPr>
              <w:t>0.8%</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63%</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60" w:type="dxa"/>
            <w:vAlign w:val="bottom"/>
            <w:gridSpan w:val="2"/>
          </w:tcPr>
          <w:p>
            <w:pPr>
              <w:jc w:val="right"/>
              <w:ind w:right="592"/>
              <w:spacing w:after="0"/>
              <w:rPr>
                <w:sz w:val="20"/>
                <w:szCs w:val="20"/>
                <w:color w:val="auto"/>
              </w:rPr>
            </w:pPr>
            <w:r>
              <w:rPr>
                <w:rFonts w:ascii="Arial" w:cs="Arial" w:eastAsia="Arial" w:hAnsi="Arial"/>
                <w:sz w:val="18"/>
                <w:szCs w:val="18"/>
                <w:color w:val="auto"/>
              </w:rPr>
              <w:t>6.0</w:t>
            </w: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6.0</w:t>
            </w: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640" w:type="dxa"/>
            <w:vAlign w:val="bottom"/>
          </w:tcPr>
          <w:p>
            <w:pPr>
              <w:spacing w:after="0"/>
              <w:rPr>
                <w:sz w:val="19"/>
                <w:szCs w:val="19"/>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options granted. Options granted under the 2009 Plan and previous plans generally have a term of ten years, and in the case of new hires, generally vest and become exercisable at the rate of 25% after one year and ratably on a monthly basis over a period of 36 months thereafter. Subsequent option grants to existing employees generally vest and become exercisable over a period of 36 months measured from the date of grant.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 summary of stock option activity for the year ended December 31, 2013 is presented below (dollars and shares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Term</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4"/>
                <w:szCs w:val="14"/>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Option</w:t>
            </w: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 December 31, 2012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10.25</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2.10</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2.68</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(736)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10.21</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9.45</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December 31, 2013</w:t>
            </w: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vMerge w:val="restart"/>
          </w:tcPr>
          <w:p>
            <w:pPr>
              <w:ind w:left="32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w w:val="93"/>
              </w:rPr>
              <w:t>10.53</w:t>
            </w:r>
          </w:p>
        </w:tc>
        <w:tc>
          <w:tcPr>
            <w:tcW w:w="138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3.40</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3,394</w:t>
            </w:r>
          </w:p>
        </w:tc>
        <w:tc>
          <w:tcPr>
            <w:tcW w:w="3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options exercised to purchase common stock during the years ended December 31, 2013, 2012 and 2011 was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$44,000, $0 and $28,000, respectively. As of December 31, 2013, total unrecognized share-based compensation cost related to unvested stock options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$724,000, which is expected to be recognized over a weighted average period of approximately 1.9 years. The total fair value of option awards recognized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during the years ended December 31, 2013, 2012 and 2011 was approximately $818,000, $1.7 million and $2.7 million, respectively. The weighted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fair value of option awards granted during years ended December 31, 2013, 2012 and 2011 was $1.20, $1.97 and $3.40,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may issue restricted stock units (“RSUs”) that, upon satisfaction of vesting conditions, allow for employees and non-employee directors to receive common stock. Issuances of such awards reduce common stock available under the 2009 Plan for stock incentive awards. The Company measures compensation cost associated with grants of RSUs at fair value, which is generally the closing price of the Company’s stock on the date of grant.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2013, the Compensation Committee of the Board of Directors, pursuant to the 2009 Plan, awarded employees a total of 447,703 RSUs at fair values ranging from $1.74 per share to $4.17 per share. Generally, one-third of the shares underlying each grant become issuable on the anniversary of each grant date, assuming continued employment or to the Company through such date. Based on the fair value of the Company’s common stock price at the grant dates, the Company estimated the aggregate fair value of these awards at approximately $900,000. The estimated fair value of these awards is being amortized to compensation expense for each grant on a straight-line basis over the estimated service period.</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2012, the Compensation Committee of the Board of Directors, pursuant to the 2009 Plan, awarded employees a total of 1,015,638 RSUs at fair values ranging from $1.28 per share to $3.58 per share. Generally, one-third of the shares underlying each grant become issuable on the anniversary of each grant date, assuming continued employment or to the Company through such date. Based on the fair value of the Company’s common stock price at the grant dates, the Company estimated the aggregate fair value of these awards at approximately $3.4 million. The estimated fair value of these awards is being amortized to compensation expense for each grant on a straight-line basis over the estimated service period.</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2011, the Compensation Committee of the Board of Directors, pursuant to the 2009 Plan, awarded employees a total of 903,214 RSUs at fair values ranging from $3.06 per share to $9.71 per share. Generally, one-third of the shares underlying each grant become issuable on the anniversary of each grant date, assuming continued employment or to the Company through such date. Based on the fair value of the Company’s common stock price at the grant dates, the Company estimated the aggregate fair value of these awards at approximately $4.9 million. The estimated fair value of these awards is being amortized to compensation expense for each grant on a straight-line basis over the estimated service period.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unit activity for the year ended December 31, 2013 is presented below (shares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9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at December 31, 2012</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Forfeited</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2013</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1,108</w:t>
            </w:r>
          </w:p>
        </w:tc>
        <w:tc>
          <w:tcPr>
            <w:tcW w:w="10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2013, there was $3.4 million of unrecognized compensation expense related to non-vested RSUs. That expense is expected to be recognized over a weighted average period of 1.9 years. The total fair value of RSUs recognized as expense during the years ended December 31, 2013, 2012 and 2011 was $2.6 million, $3.4 million and $2.6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Employee Stock Purchase Plan</w:t>
      </w:r>
    </w:p>
    <w:p>
      <w:pPr>
        <w:spacing w:after="0" w:line="96"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The Company’s 2000 Employee Stock Purchase Plan (the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years ended December 31, 2013, 2012 and 2011, the Company issued 0 shares, 1,086,837 shares and 163,142 shares, respectively, under the ESPP. During the years ended December 31, 2013, 2012 and 2011, the Company received $0, $1.6 million and $470,000, respectively, in cash through employee withholdings.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November 4, 2010, the Company announced the termination of the ESPP as of November 15, 2010 due to a lack of available shares. The cancellation of the awards was accounted for as a repurchase for no consideration. The previously unrecognized compensation cost as of November 15, 2010 of $316,000 was fully expensed in the fourth quarter of 2010. The Company reinstated the ESPP program effective as of September 8, 2011. The reinstated ESPP authorized the Company to issue 1,250,111 shares of common stock for purchase by eligible employees.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October 22, 2012, the Company announced the termination of the ESPP as of November 15, 2012 due to a lack of available shares. The cancellation of the awards was accounted for as a repurchase for no consideration. The previously unrecognized compensation cost as of November 15, 2012 of $1.0 million was fully expensed in the fourth quarter of 2012.</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total fair value of ESPP awards recognized as expense during the years ended December 31, 2013, 2012 and 2011 was $0, $1.4 million and $707,000, respectively.</w:t>
      </w:r>
    </w:p>
    <w:p>
      <w:pPr>
        <w:spacing w:after="0" w:line="24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income taxes for the years ended December 31, 2013, 2012 and 2011 were allocated as follows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2013</w:t>
            </w: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 income</w:t>
            </w:r>
          </w:p>
        </w:tc>
        <w:tc>
          <w:tcPr>
            <w:tcW w:w="3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$83</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$ 611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$(9,503)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 stockholders’ equity</w:t>
            </w:r>
          </w:p>
        </w:tc>
        <w:tc>
          <w:tcPr>
            <w:tcW w:w="326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3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(9,263)</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taxes for the years ended December 31, 2013, 2012 and 2011 is comprised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14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74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40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(44,142)</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(88,945)</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(36,091)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Foreign</w:t>
            </w:r>
          </w:p>
        </w:tc>
        <w:tc>
          <w:tcPr>
            <w:tcW w:w="40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812</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290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4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(43,330)</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(88,655)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(34,395)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840" w:type="dxa"/>
            <w:vAlign w:val="bottom"/>
            <w:gridSpan w:val="3"/>
          </w:tcPr>
          <w:p>
            <w:pPr>
              <w:jc w:val="right"/>
              <w:ind w:right="2580"/>
              <w:spacing w:after="0"/>
              <w:rPr>
                <w:sz w:val="20"/>
                <w:szCs w:val="20"/>
                <w:color w:val="auto"/>
              </w:rPr>
            </w:pPr>
            <w:r>
              <w:rPr>
                <w:rFonts w:ascii="Arial" w:cs="Arial" w:eastAsia="Arial" w:hAnsi="Arial"/>
                <w:sz w:val="18"/>
                <w:szCs w:val="18"/>
                <w:color w:val="auto"/>
              </w:rPr>
              <w:t>F-24</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 (benefit) for income taxes for the years ended December 31, 2013, 2012 and 2011 is comprised of the following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10"/>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Federal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rPr>
              <w:t>$  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Foreign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(444)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(10,702)</w:t>
            </w: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State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(benefit) for income taxes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(9,503)</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The Company’s net deferred tax assets consist of the following (in thousands):</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7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94"/>
              </w:rPr>
              <w:t>$ 11,292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obsolescence provision</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4,136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rent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Net operating loss and tax credit carryforwards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55,010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Unrecognized tax benefits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80,244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65,511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79,545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64,495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(79,458)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(63,881)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00"/>
          </w:cols>
          <w:pgMar w:left="24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After a review of the four sources of taxable income described above and after being in a three year cumulative loss position at the end of 2010, the Company recognized a full valuation allowance.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2012 and 2013, the Company recognized valuation allowances of $27.5 million and $15.6 million, related to its U.S.-based and Canadian deferred tax assets created in those respective years. As a result, no net income tax benefits resulted in the Company’s statements for operations from the operating losses created during those years.</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At December 31, 2013, the deferred tax asset valuation allowance consisted of $74.7 million relating to the Company’s domestic deferred tax assets and $4.7 million related to the Company’s Canadian deferred tax assets. At December 31, 2012, the valuation allowance consisted of $58.9 million relating to the Company’s domestic deferred tax assets and $5.0 million related to the Company’s Canadian deferred tax assets.</w:t>
      </w:r>
    </w:p>
    <w:p>
      <w:pPr>
        <w:spacing w:after="0" w:line="10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net unreserved portion of the Company’s remaining deferred tax assets of $87,000 at December 31, 2013 primarily related to research and development tax credits associated with the Company’s Canadian subsidiary.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provision (benefit) for income taxes reconciles to the amount computed by applying the statutory federal income tax rate of 34% in 2013, 2012 and 2011 to income (loss) before provision for income taxes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tax benefit, at statutory rate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(14,732)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(30,142)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(11,694)</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State benefit, net of federal benefit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15,577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27,486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14,612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Tax expense/(benefit) from business combination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(11,809)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Goodwill impairment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apportionment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r>
      <w:tr>
        <w:trPr>
          <w:trHeight w:val="27"/>
        </w:trPr>
        <w:tc>
          <w:tcPr>
            <w:tcW w:w="5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(9,503)</w:t>
            </w:r>
          </w:p>
        </w:tc>
      </w:tr>
      <w:tr>
        <w:trPr>
          <w:trHeight w:val="20"/>
        </w:trPr>
        <w:tc>
          <w:tcPr>
            <w:tcW w:w="5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At December 31, 2013, the Company has U.S. federal net operating loss carryforwards of approximately $116.3 million. Federal net operating loss carryforwards expire at various dates from 2026 through 2033. The Company has California net operating loss carryforwards of approximately $39.3 million, which expire at various dates from 2014 through 2033. The Company has California research and development tax credit carryforwards of approximately $5.0 million. The California tax credits have no expiration date. The Company also has federal research and development tax credit carryforwards of approximately $4.7 million. The federal tax credits expire at various dates from 2027 through 2032.</w:t>
      </w:r>
    </w:p>
    <w:p>
      <w:pPr>
        <w:spacing w:after="0" w:line="11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has not completed an IRC Section 382/383 analysis regarding the limitation of net operating loss and research and development credit carryforwards. Due to the existence of the valuation allowance, future changes in the Company’s unrecognized tax benefits will not impact the Company’s effective tax rate.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80"/>
          </w:cols>
          <w:pgMar w:left="240" w:top="459" w:right="3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United States income taxes which may become payable if undistributed earnings of the foreign subsidiary were paid as dividends to the Company.</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During the years ended December 31, 2013 and 2012, the Company recognized approximately $71,000 and $50,000, respectively, of income tax benefit plus $236,000 and $5,000, respectively, of associated interest due to expiration of the applicable statutes of limitations applicable to certain tax years. As of December 31, 2013 and 2012, the total liability for unrecognized tax benefits was $62,000 and $367,000, respectively, and is included in other long-term liabilities.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beginning and ending amounts of unrecognized tax benefits is as follows (in thousands):</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Increases related to current and prior year tax positions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2011</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Increases related to current and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Increases related to current and prior year tax positions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Amount</w:t>
      </w:r>
    </w:p>
    <w:p>
      <w:pPr>
        <w:spacing w:after="0" w:line="13" w:lineRule="exact"/>
        <w:rPr>
          <w:sz w:val="20"/>
          <w:szCs w:val="20"/>
          <w:color w:val="auto"/>
        </w:rPr>
      </w:pPr>
    </w:p>
    <w:p>
      <w:pPr>
        <w:jc w:val="right"/>
        <w:ind w:left="300" w:right="540" w:hanging="317"/>
        <w:spacing w:after="0" w:line="280" w:lineRule="auto"/>
        <w:rPr>
          <w:sz w:val="20"/>
          <w:szCs w:val="20"/>
          <w:color w:val="auto"/>
        </w:rPr>
      </w:pPr>
      <w:r>
        <w:rPr>
          <w:rFonts w:ascii="Arial" w:cs="Arial" w:eastAsia="Arial" w:hAnsi="Arial"/>
          <w:sz w:val="16"/>
          <w:szCs w:val="16"/>
          <w:color w:val="auto"/>
        </w:rPr>
        <w:t>$41,386 899</w:t>
      </w:r>
    </w:p>
    <w:p>
      <w:pPr>
        <w:spacing w:after="0" w:line="1"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(9,490)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32,795</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475</w:t>
      </w:r>
    </w:p>
    <w:p>
      <w:pPr>
        <w:spacing w:after="0" w:line="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33,220</w:t>
      </w:r>
    </w:p>
    <w:p>
      <w:pPr>
        <w:spacing w:after="0" w:line="15"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2,653</w:t>
      </w:r>
    </w:p>
    <w:p>
      <w:pPr>
        <w:spacing w:after="0" w:line="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689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60" w:space="720"/>
            <w:col w:w="1120"/>
          </w:cols>
          <w:pgMar w:left="240" w:top="459" w:right="25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the balances of unrecognized tax benefits at December 31, 2013 are $62,000 of tax benefits that, if recognized, would affect the effective tax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As of December 31, 2013 and 2012, the Company recorded approximately $0 and $0.2 million, respectively, of accrued interest related to uncertain tax positions.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 fourth quarter of 2014, the Company expects to release $62,000 of its liability for unrecognized tax benefits due to the expiration of the statute of limitations applicable to the 2009 taxable year.</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In the fourth quarter of 2013, the Company reduced its uncertain tax liability by approximately $552,000, including a related interest accrual of approximately $236,000, due to the expiration of the statute of limitations applicable to the 2008 taxable year and the completion of its 2006 and 2007 state tax returns. The Company is also subject to various federal income tax examinations for the 2003 through 2012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Leases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did not purchase equipment under capital leases during the year ended December 31, 2013 or 2012. At December 31, 2013 and 2012, assets held under capital leases had a net book value of $0, net of accumulated amortization of $510,000. The present value of the net minimum lease payments as of December 31, 2013 is $0.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leases its office space and certain equipment under non-cancelable operating leases with various terms through 2017.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Rental expense under operating leases in 2013, 2012 and 2011 was $4.1 million, $4.5 million and $4.7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minimum future lease payments under non-cancelable operating leases as of December 31, 2013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For the Period Ending December 31,</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2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7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3,626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2015</w:t>
            </w:r>
          </w:p>
        </w:tc>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2017</w:t>
            </w:r>
          </w:p>
        </w:tc>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r>
      <w:tr>
        <w:trPr>
          <w:trHeight w:val="223"/>
        </w:trPr>
        <w:tc>
          <w:tcPr>
            <w:tcW w:w="98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r>
      <w:tr>
        <w:trPr>
          <w:trHeight w:val="216"/>
        </w:trPr>
        <w:tc>
          <w:tcPr>
            <w:tcW w:w="9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12,318</w:t>
            </w:r>
          </w:p>
        </w:tc>
        <w:tc>
          <w:tcPr>
            <w:tcW w:w="100" w:type="dxa"/>
            <w:vAlign w:val="bottom"/>
            <w:shd w:val="clear" w:color="auto" w:fill="CCEEFF"/>
          </w:tcPr>
          <w:p>
            <w:pPr>
              <w:spacing w:after="0"/>
              <w:rPr>
                <w:sz w:val="18"/>
                <w:szCs w:val="18"/>
                <w:color w:val="auto"/>
              </w:rPr>
            </w:pPr>
          </w:p>
        </w:tc>
      </w:tr>
      <w:tr>
        <w:trPr>
          <w:trHeight w:val="20"/>
        </w:trPr>
        <w:tc>
          <w:tcPr>
            <w:tcW w:w="22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Committed Purchase Orders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has entered into purchase commitments totaling approximately $52.0 million with certain contract manufacturers under which the Company has committed to buy a minimum amount of designated products between January 2014 and December 2014. In certain of these agreements, the Company may be required to acquire and pay for such products up to the prescribed minimum or forecasted purchases.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Retention Agreements</w:t>
      </w:r>
    </w:p>
    <w:p>
      <w:pPr>
        <w:spacing w:after="0" w:line="9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During 2004 and 2005, the Company entered into management retention agreements with certain of the Company’s executive officers. The agreements entitle those employees to enumerated severance benefits if, within the one year period immediately following a change of control (as defined in the agreement) or at the direction of an acquirer in anticipation of such an event, the Company terminates the employee’s employment other than for cause or disability or the employee terminates his or her employment for good reason. These severance benefits would include a lump sum payment of three times the sum of the employee’s annual base salary then in effect and the applicable targeted annual bonus, continued employee benefits, accelerated vesting of the employee’s stock incentive awards, a tax equalization payment to eliminate the effects of any applicable excise tax and financial planning and outplacement services.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In November 2007, the Company entered into an employment agreement with the Company’s Chief Executive Officer, with an initial term of three years. Under the agreement, Mr. Leparulo will continue to serve as Chairman of the Board and as the Company’s most senior officer. The agreement entitles</w:t>
      </w:r>
    </w:p>
    <w:p>
      <w:pPr>
        <w:spacing w:after="0" w:line="288" w:lineRule="auto"/>
        <w:rPr>
          <w:sz w:val="20"/>
          <w:szCs w:val="20"/>
          <w:color w:val="auto"/>
        </w:rPr>
      </w:pPr>
      <w:r>
        <w:rPr>
          <w:rFonts w:ascii="Arial" w:cs="Arial" w:eastAsia="Arial" w:hAnsi="Arial"/>
          <w:sz w:val="16"/>
          <w:szCs w:val="16"/>
          <w:color w:val="auto"/>
        </w:rPr>
        <w:t>Mr. Leparulo to enumerated severance benefits under various circumstances if Mr. Leparulo’s employment with the Company is terminated. These enumerated severance benefits vary according to whether (a) Mr. Leparulo’s employment with the Company is terminated within the one year period immediately following a change in control (as defined in the agreement) or at the direction of an acquirer in anticipation of such an event; (b) the Company terminates his employment other than for cause or he terminates his employment for good reason; or (c) the Company terminates his employment for cause or he terminates his employment for other than good reason. Depending on the cause of the employment termination, the enumerated severance benefits include a lump sum payment ranging from one to three years annual base salary then in effect, an additional lump sum bonus payment representing certain multiples of his targeted bonus, and varying periods of ongoing employee benefits including health care and outplacement services.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2010, the Company entered into management retention agreements with certain of the Company’s executive officers. The agreements entitle those employees to enumerated severance benefits if, within the two year period immediately following a change of control (as defined in the agreement), the Company terminates the employee’s employment other than for cause or disability or the employee terminates his or her employment for good reason. These severance benefits would include a lump sum payment of three times the sum of the employee’s annual base salary then in effect and the applicable targeted annual bonus, continued employee benefits, accelerated vesting of the employee’s stock incentive awards and financial planning and outplacement services. The agreements do not provide for any additional payments by the Company for excise or other taxes.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 and Indemnification</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evaluation of these matters and discussions with Company’s intellectual property litigation counsel, the Company believes that liabilities arising from or sums paid in settlement of these existing matters would not have a material adverse effect on its consolidated results of operations or financial condition.</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(the “Court) on behalf of alleged stockholders of the Company. On December 11, 2008, these lawsuits were consolidated into a single action and in May 2010, the consolidated lawsuits were 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xml:space="preserve"> (the “Litigation”). The Litigation is being pursued on behalf of persons who purchased the Company’s common stock between February 27, 2007 and September 15, 2008. As previously disclosed, on December 6, 2013, to avoid the costs, disruption and distraction of further litigation, legal counsel for the defendants entered into a binding Memorandum of Understanding (“MOU”) with legal counsel for the lead plaintiffs, reflecting a proposed agreement to settle the Litigation. The proposed agreement did not admit any liability and the Company and the individual defendants continue to deny any and all liability. Under the terms of the proposed settlement, the Company would pay $6 million in cash, $5 million in the Company’s common stock and a $5 million secured promissory note, to resolve all claims asserted in the Litigation on behalf of class members. A portion of the $6 million in cash would be funded by insurers for the Company. The $5 million in shares of the Company’s common stock would be unrestricted and freely tradable shares and either registered or exempt from registration at the time of issuance and distribution to class members, which would occur within 10 business days after the entry of a final order of approval by the Court. The $5 million secured note, with a 5% interest rate, would have a 30 month maturity and be secured by the Company’s accounts receivables. The Company has the right, at its sole option, to substitute cash for the note prior to the entry of final approval by the Court. The settlement is subject to the following conditions: (1) the funding by the Company of the settlement; (2) the Company’s right to terminate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settlement if an agreed upon portion of the class members deliver timely and valid requests for exclusion from the class; (3) entry of final judgment by the Court approving the settlement; and (4) satisfaction of waiver of all covenants in the MOU.</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March 7, 2014, the Court entered an order giving preliminary approval to the settlement. The Court set a hearing for June 20, 2014, for final approval of the settlement of the Litigation.</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has accrued $14.3 million as of December 31, 2013 related to our best estimate of potential settlements on legal and indemnification matters for which we have deemed the outcome to be probable.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The Company has a credit facility with a bank to allow margin borrowings based on the Company’s investments in cash equivalents and marketable securities held with the bank. This facility is collateralized by the Company’s cash equivalents and marketable securities held with the bank. Borrowings under the facility incur an interest rate at the bank’s base rate plus 1%. This margin account facility provides the Company with the flexibility to access cash for short periods of time and avoids the need to sell marketable securities for these short-term requirements. At December 31, 2013, the Company had approximately $5.2 million in marketable securities held at this bank, and the Company’s unused borrowing capacity at December 31, 2013 under the credit facility was $1.8 million. Any monies borrowed and interest incurred are payable on demand, and there is no express expiration date to the credit facility. During the twelve months ended December 31, 2012, the Company borrowed $14.0 million against the facility and repaid the entire amount during the same period. During the twelve months ended December 31, 2013, the Company borrowed $20.3 million against the facility and had outstanding borrowings of $2.6 million under this facility at December 31, 2013. Under the terms of the credit facility, the bank may liquidate any of the Company’s cash equivalents or marketable securities held at any time in order to recoup the outstanding balance of the facility. Accordingly, a like amount of marketable equity securities have been classified by the Company as restricted marketable securities on the balance sheet at December 31, 2013. At December 31, 2013 the Company had no cash equivalents held at this bank.</w:t>
      </w:r>
    </w:p>
    <w:p>
      <w:pPr>
        <w:spacing w:after="0" w:line="228" w:lineRule="exact"/>
        <w:rPr>
          <w:sz w:val="20"/>
          <w:szCs w:val="20"/>
          <w:color w:val="auto"/>
        </w:rPr>
      </w:pPr>
    </w:p>
    <w:p>
      <w:pPr>
        <w:ind w:left="240" w:right="7260" w:hanging="232"/>
        <w:spacing w:after="0" w:line="347" w:lineRule="auto"/>
        <w:tabs>
          <w:tab w:leader="none" w:pos="45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20" w:right="900"/>
        <w:spacing w:after="0" w:line="332" w:lineRule="auto"/>
        <w:rPr>
          <w:sz w:val="20"/>
          <w:szCs w:val="20"/>
          <w:color w:val="auto"/>
        </w:rPr>
      </w:pPr>
      <w:r>
        <w:rPr>
          <w:rFonts w:ascii="Arial" w:cs="Arial" w:eastAsia="Arial" w:hAnsi="Arial"/>
          <w:sz w:val="16"/>
          <w:szCs w:val="16"/>
          <w:color w:val="auto"/>
        </w:rPr>
        <w:t>Mobile Computing Products segment—includes our MiFi products, USB and PC-card modems and Embedded Modules that enable data transmission and services via cellular wireless networks. All products within the segment represent a single product family.</w:t>
      </w:r>
    </w:p>
    <w:p>
      <w:pPr>
        <w:spacing w:after="0" w:line="4" w:lineRule="exact"/>
        <w:rPr>
          <w:sz w:val="20"/>
          <w:szCs w:val="20"/>
          <w:color w:val="auto"/>
        </w:rPr>
      </w:pPr>
    </w:p>
    <w:p>
      <w:pPr>
        <w:jc w:val="both"/>
        <w:ind w:left="920" w:right="160"/>
        <w:spacing w:after="0" w:line="259" w:lineRule="auto"/>
        <w:rPr>
          <w:sz w:val="20"/>
          <w:szCs w:val="20"/>
          <w:color w:val="auto"/>
        </w:rPr>
      </w:pPr>
      <w:r>
        <w:rPr>
          <w:rFonts w:ascii="Arial" w:cs="Arial" w:eastAsia="Arial" w:hAnsi="Arial"/>
          <w:sz w:val="18"/>
          <w:szCs w:val="18"/>
          <w:color w:val="auto"/>
        </w:rPr>
        <w:t>M2M Products and Solutions segment was established as a result of our acquisition of Enfora in 2010. It includes our intelligent asset-management solutions utilizing cellular wireless technology, and M2M communication devices, and embedded modules that enable M2M data transmission and services via cellular wireless networks.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Segment net revenues and segment operating income (loss) represent the primary financial measures used by senior management to assess performance and include the net revenues, cost of net revenues, sales and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expenses for which management is held accountable. Segment operating expenses include sales and marketing, research and development, general and administration, and amortization expenses that are directly related to individual segments. Segment earnings (loss) also includes acquisition-related costs, purchase price amortization, impairment charges, restructuring and integration costs.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presents net revenues from external customers, operating income (loss) and identifiable assets for our reportable segments (in thousands):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040" w:type="dxa"/>
            <w:vAlign w:val="bottom"/>
            <w:gridSpan w:val="4"/>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45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660" w:type="dxa"/>
            <w:vAlign w:val="bottom"/>
          </w:tcPr>
          <w:p>
            <w:pPr>
              <w:spacing w:after="0"/>
              <w:rPr>
                <w:sz w:val="20"/>
                <w:szCs w:val="20"/>
                <w:color w:val="auto"/>
              </w:rPr>
            </w:pPr>
            <w:r>
              <w:rPr>
                <w:rFonts w:ascii="Arial" w:cs="Arial" w:eastAsia="Arial" w:hAnsi="Arial"/>
                <w:sz w:val="18"/>
                <w:szCs w:val="18"/>
                <w:color w:val="auto"/>
                <w:w w:val="85"/>
              </w:rPr>
              <w:t>$297,499</w:t>
            </w:r>
          </w:p>
        </w:tc>
        <w:tc>
          <w:tcPr>
            <w:tcW w:w="100" w:type="dxa"/>
            <w:vAlign w:val="bottom"/>
          </w:tcPr>
          <w:p>
            <w:pPr>
              <w:spacing w:after="0"/>
              <w:rPr>
                <w:sz w:val="18"/>
                <w:szCs w:val="18"/>
                <w:color w:val="auto"/>
              </w:rPr>
            </w:pPr>
          </w:p>
        </w:tc>
        <w:tc>
          <w:tcPr>
            <w:tcW w:w="1580" w:type="dxa"/>
            <w:vAlign w:val="bottom"/>
            <w:gridSpan w:val="6"/>
          </w:tcPr>
          <w:p>
            <w:pPr>
              <w:jc w:val="right"/>
              <w:ind w:right="460"/>
              <w:spacing w:after="0"/>
              <w:rPr>
                <w:sz w:val="20"/>
                <w:szCs w:val="20"/>
                <w:color w:val="auto"/>
              </w:rPr>
            </w:pPr>
            <w:r>
              <w:rPr>
                <w:rFonts w:ascii="Arial" w:cs="Arial" w:eastAsia="Arial" w:hAnsi="Arial"/>
                <w:sz w:val="18"/>
                <w:szCs w:val="18"/>
                <w:color w:val="auto"/>
              </w:rPr>
              <w:t>$312,508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$358,106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37,554</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4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5"/>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335,053</w:t>
            </w:r>
          </w:p>
        </w:tc>
        <w:tc>
          <w:tcPr>
            <w:tcW w:w="100" w:type="dxa"/>
            <w:vAlign w:val="bottom"/>
          </w:tcPr>
          <w:p>
            <w:pPr>
              <w:spacing w:after="0"/>
              <w:rPr>
                <w:sz w:val="19"/>
                <w:szCs w:val="19"/>
                <w:color w:val="auto"/>
              </w:rPr>
            </w:pPr>
          </w:p>
        </w:tc>
        <w:tc>
          <w:tcPr>
            <w:tcW w:w="1580" w:type="dxa"/>
            <w:vAlign w:val="bottom"/>
            <w:gridSpan w:val="6"/>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344,288</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402,862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4"/>
              </w:rPr>
              <w:t>Operating loss:</w:t>
            </w:r>
          </w:p>
        </w:tc>
        <w:tc>
          <w:tcPr>
            <w:tcW w:w="6160" w:type="dxa"/>
            <w:vAlign w:val="bottom"/>
            <w:tcBorders>
              <w:bottom w:val="single" w:sz="8" w:color="CCEEFF"/>
            </w:tcBorders>
            <w:gridSpan w:val="3"/>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760" w:type="dxa"/>
            <w:vAlign w:val="bottom"/>
            <w:gridSpan w:val="2"/>
          </w:tcPr>
          <w:p>
            <w:pPr>
              <w:spacing w:after="0"/>
              <w:rPr>
                <w:sz w:val="20"/>
                <w:szCs w:val="20"/>
                <w:color w:val="auto"/>
              </w:rPr>
            </w:pPr>
            <w:r>
              <w:rPr>
                <w:rFonts w:ascii="Arial" w:cs="Arial" w:eastAsia="Arial" w:hAnsi="Arial"/>
                <w:sz w:val="18"/>
                <w:szCs w:val="18"/>
                <w:color w:val="auto"/>
                <w:w w:val="90"/>
              </w:rPr>
              <w:t>$ (27,939)</w:t>
            </w:r>
          </w:p>
        </w:tc>
        <w:tc>
          <w:tcPr>
            <w:tcW w:w="1580" w:type="dxa"/>
            <w:vAlign w:val="bottom"/>
            <w:gridSpan w:val="6"/>
          </w:tcPr>
          <w:p>
            <w:pPr>
              <w:jc w:val="right"/>
              <w:ind w:right="420"/>
              <w:spacing w:after="0"/>
              <w:rPr>
                <w:sz w:val="20"/>
                <w:szCs w:val="20"/>
                <w:color w:val="auto"/>
              </w:rPr>
            </w:pPr>
            <w:r>
              <w:rPr>
                <w:rFonts w:ascii="Arial" w:cs="Arial" w:eastAsia="Arial" w:hAnsi="Arial"/>
                <w:sz w:val="18"/>
                <w:szCs w:val="18"/>
                <w:color w:val="auto"/>
              </w:rPr>
              <w:t>$ (22,924)</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 (13,764)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(15,282)</w:t>
            </w:r>
          </w:p>
        </w:tc>
        <w:tc>
          <w:tcPr>
            <w:tcW w:w="158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(65,819)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(19,963)</w:t>
            </w:r>
          </w:p>
        </w:tc>
        <w:tc>
          <w:tcPr>
            <w:tcW w:w="0" w:type="dxa"/>
            <w:vAlign w:val="bottom"/>
          </w:tcPr>
          <w:p>
            <w:pPr>
              <w:spacing w:after="0"/>
              <w:rPr>
                <w:sz w:val="1"/>
                <w:szCs w:val="1"/>
                <w:color w:val="auto"/>
              </w:rPr>
            </w:pPr>
          </w:p>
        </w:tc>
      </w:tr>
      <w:tr>
        <w:trPr>
          <w:trHeight w:val="20"/>
        </w:trPr>
        <w:tc>
          <w:tcPr>
            <w:tcW w:w="732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5"/>
            <w:vMerge w:val="continue"/>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0"/>
              </w:rPr>
              <w:t>$ (43,221)</w:t>
            </w:r>
          </w:p>
        </w:tc>
        <w:tc>
          <w:tcPr>
            <w:tcW w:w="1580" w:type="dxa"/>
            <w:vAlign w:val="bottom"/>
            <w:gridSpan w:val="6"/>
          </w:tcPr>
          <w:p>
            <w:pPr>
              <w:jc w:val="right"/>
              <w:ind w:right="420"/>
              <w:spacing w:after="0"/>
              <w:rPr>
                <w:sz w:val="20"/>
                <w:szCs w:val="20"/>
                <w:color w:val="auto"/>
              </w:rPr>
            </w:pPr>
            <w:r>
              <w:rPr>
                <w:rFonts w:ascii="Arial" w:cs="Arial" w:eastAsia="Arial" w:hAnsi="Arial"/>
                <w:sz w:val="18"/>
                <w:szCs w:val="18"/>
                <w:color w:val="auto"/>
              </w:rPr>
              <w:t>$ (88,743)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 (33,727)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640" w:type="dxa"/>
            <w:vAlign w:val="bottom"/>
            <w:tcBorders>
              <w:top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Identifiable assets by reportable segment:</w:t>
            </w: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Mobile Computing Products</w:t>
            </w:r>
          </w:p>
        </w:tc>
        <w:tc>
          <w:tcPr>
            <w:tcW w:w="4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$ 96,516</w:t>
            </w: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5"/>
              </w:rPr>
              <w:t>$141,045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5"/>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111,465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161,531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operations in the United States, Canada, Europe, Latin America and Asia. The following table details the geographic concentration of the Company’s assets in the United States, Canada, Europe, Latin America and Asia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44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8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$108,932</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$157,661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Canada</w:t>
            </w:r>
          </w:p>
        </w:tc>
        <w:tc>
          <w:tcPr>
            <w:tcW w:w="680" w:type="dxa"/>
            <w:vAlign w:val="bottom"/>
          </w:tcPr>
          <w:p>
            <w:pPr>
              <w:jc w:val="right"/>
              <w:spacing w:after="0"/>
              <w:rPr>
                <w:sz w:val="20"/>
                <w:szCs w:val="20"/>
                <w:color w:val="auto"/>
              </w:rPr>
            </w:pPr>
            <w:r>
              <w:rPr>
                <w:rFonts w:ascii="Arial" w:cs="Arial" w:eastAsia="Arial" w:hAnsi="Arial"/>
                <w:sz w:val="18"/>
                <w:szCs w:val="18"/>
                <w:color w:val="auto"/>
              </w:rPr>
              <w:t>808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Europe, Latin America and Asia</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r>
      <w:tr>
        <w:trPr>
          <w:trHeight w:val="222"/>
        </w:trPr>
        <w:tc>
          <w:tcPr>
            <w:tcW w:w="8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$ 111,465</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161,531</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Company’s concentration of net revenues by geographic region based on shipping destination: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and Canada</w:t>
            </w:r>
          </w:p>
        </w:tc>
        <w:tc>
          <w:tcPr>
            <w:tcW w:w="39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95.6%</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Latin America</w:t>
            </w:r>
          </w:p>
        </w:tc>
        <w:tc>
          <w:tcPr>
            <w:tcW w:w="5060" w:type="dxa"/>
            <w:vAlign w:val="bottom"/>
            <w:gridSpan w:val="3"/>
          </w:tcPr>
          <w:p>
            <w:pPr>
              <w:jc w:val="right"/>
              <w:ind w:right="592"/>
              <w:spacing w:after="0"/>
              <w:rPr>
                <w:sz w:val="20"/>
                <w:szCs w:val="20"/>
                <w:color w:val="auto"/>
              </w:rPr>
            </w:pPr>
            <w:r>
              <w:rPr>
                <w:rFonts w:ascii="Arial" w:cs="Arial" w:eastAsia="Arial" w:hAnsi="Arial"/>
                <w:sz w:val="18"/>
                <w:szCs w:val="18"/>
                <w:color w:val="auto"/>
              </w:rPr>
              <w:t>0.8</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506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Asia and Australia</w:t>
            </w:r>
          </w:p>
        </w:tc>
        <w:tc>
          <w:tcPr>
            <w:tcW w:w="39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r>
      <w:tr>
        <w:trPr>
          <w:trHeight w:val="216"/>
        </w:trPr>
        <w:tc>
          <w:tcPr>
            <w:tcW w:w="36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4"/>
              </w:rPr>
              <w:t>100.0%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36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7"/>
        </w:trPr>
        <w:tc>
          <w:tcPr>
            <w:tcW w:w="3660" w:type="dxa"/>
            <w:vAlign w:val="bottom"/>
          </w:tcPr>
          <w:p>
            <w:pPr>
              <w:spacing w:after="0"/>
              <w:rPr>
                <w:sz w:val="24"/>
                <w:szCs w:val="24"/>
                <w:color w:val="auto"/>
              </w:rPr>
            </w:pPr>
          </w:p>
        </w:tc>
        <w:tc>
          <w:tcPr>
            <w:tcW w:w="5060" w:type="dxa"/>
            <w:vAlign w:val="bottom"/>
            <w:gridSpan w:val="3"/>
          </w:tcPr>
          <w:p>
            <w:pPr>
              <w:jc w:val="right"/>
              <w:ind w:right="3232"/>
              <w:spacing w:after="0"/>
              <w:rPr>
                <w:sz w:val="20"/>
                <w:szCs w:val="20"/>
                <w:color w:val="auto"/>
              </w:rPr>
            </w:pPr>
            <w:r>
              <w:rPr>
                <w:rFonts w:ascii="Arial" w:cs="Arial" w:eastAsia="Arial" w:hAnsi="Arial"/>
                <w:sz w:val="18"/>
                <w:szCs w:val="18"/>
                <w:color w:val="auto"/>
              </w:rPr>
              <w:t>F-31</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customers would have an adverse effect on the Company’s results of operations and financial condition.</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 significant portion of the Company’s net revenues come from a small number of customers. One customer accounted for 58.0% of 2013 net revenues. One customer accounted for 57.5% of 2012 net revenues. Two customers accounted for 50.8% and 13.1% of 2011 net revenues. All significant customers are included in the Company’s Mobile Computing Products segment.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significant portion of the Company’s accounts receivables comes from a small number of customers. At December 31, 2013, the Company had three customers who accounted for 24.5%, 12.6% and 12.0% of total accounts receivable. At December 31, 2012, the Company had three customers who accounted for 20.7%, 18.5% and 11.5% of total accounts receivable.</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outsources its manufacturing to several third-party manufacturers. If they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net revenues and results of operations.</w:t>
      </w:r>
    </w:p>
    <w:p>
      <w:pPr>
        <w:spacing w:after="0" w:line="22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Plan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has a defined contribution 401(K) retirement savings plan (the “Plan”). Substantially all of the Company’s U.S. employees are eligible to participate in the Plan after meeting certain minimum age and service requirements. Employees may make discretionary contributions to the Plan subject to Internal Revenue Service limitations. Employer matching contributions under the plan amounted to approximately $1.0 million, $1.2 million and $1.1 million for the years ended December 31, 2013, 2012 and 2011, respectively. Employer matching contributions vest over a two-year period. The Company has a registered retirement savings plan for its Canadian employees. Substantially all of the Company’s Canadian employees are eligible to participate in this plan. Employees make discretionary contributions to the plan subject to local limitations. Employer contributions to the Canadian plan amounted to approximately $157,000, $232,000 and $280,000 for the years ended December 31, 2013, 2012 and 2011, respectively.</w:t>
      </w:r>
    </w:p>
    <w:p>
      <w:pPr>
        <w:spacing w:after="0" w:line="23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2013, the Company commenced certain restructuring initiatives including the closure of the Company’s development site in Calgary, Canada, and the consolidation of certain supply chain management activities, resulting in a reduction in force of 72 employees across all functional areas of the Company. During the year ended December 31, 2013, the Company recorded restructuring charges of $3.3 million consisting primarily of employee-related compensation charges, as well as expenses from vacating all or a portion of certain facilities in the United States, Canada and the United Kingdom in the fourth quarter of 2013. The restructuring charges for the year ended December 31, 2013 consisted of $2.3 million in employee severance costs and $1.0 million in facility exit related costs. Of the $3.3 million of restructuring charges for the year ended December 31, 2013, $3.1 million relates to the Mobile Computing Products segment, and $206,000 relates to the M2M Products and Solutions segment.</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the fourth quarter of 2013, as a result of the September 2013 restructuring initiatives, the Company exited its development site in Calgary, Canada, and a portion of its San Diego facility. The Company has not yet entered into sublease agreements for these facilities. The Company recorded $893,000 in restructuring expense in the fourth quarter of 2013 relating to exiting these facilities, which is included in operating expenses in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consolidated statement of operations. As of December 31, 2013, accrued liabilities relating to this restructuring totaled $881,000, which includes $424,000 of deferred rent previously recorded for these properties. Of the $1.5 million in facilities exit related costs, $348,000 relates to fixed asset impairments.</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accounts for facility exit costs in accordance with ASC 420 “Exit or Disposal Cost Obligations,”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it is not the intent to sublease.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for which the sublease income can be expected.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amounts currently expected. Exit costs the Company records under these provisions are neither associated with, nor do they benefit, continuing activities.</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sets forth activity in the restructuring liability for the year ended December 31, 2013, which is primarily comprised of employee severance costs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Employee</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Facility Exit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2"/>
              </w:rPr>
              <w:t>Costs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Related Costs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Accruals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2,273</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1,455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3,728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w w:val="91"/>
              </w:rPr>
              <w:t>(2,273)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(2,847)</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Balance at December 31, 2013</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881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balance of the restructuring liability at December 31, 2013 consists of $610,000 in short-term and $271,000 in long-term. The balance of the restructuring liability at December 31, 2013 is anticipated to be fully distributed by the end of the third quarter of 2017, at the expiration of our facility lease in Canada. We do not expect to incur significant additional expenses related to the September 2013 restructuring initiatives.</w:t>
      </w:r>
    </w:p>
    <w:p>
      <w:pPr>
        <w:spacing w:after="0" w:line="22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February 2014, the Company commenced certain reduction in force initiatives as part of an overall plan to reduce annual operating costs. As a result of these reduction in force initiatives, the Company estimates it will incur employee-related compensation charges of approximately $0.8 million in the first quarter of 2014.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unaudited quarterly results of operations for the years ended December 31,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Quarter</w:t>
            </w:r>
          </w:p>
        </w:tc>
        <w:tc>
          <w:tcPr>
            <w:tcW w:w="10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First</w:t>
            </w: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w w:val="82"/>
              </w:rPr>
              <w:t>Second</w:t>
            </w:r>
          </w:p>
        </w:tc>
        <w:tc>
          <w:tcPr>
            <w:tcW w:w="10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Third</w:t>
            </w:r>
          </w:p>
        </w:tc>
        <w:tc>
          <w:tcPr>
            <w:tcW w:w="7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revenues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85,921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6"/>
              <w:spacing w:after="0"/>
              <w:rPr>
                <w:sz w:val="20"/>
                <w:szCs w:val="20"/>
                <w:color w:val="auto"/>
              </w:rPr>
            </w:pPr>
            <w:r>
              <w:rPr>
                <w:rFonts w:ascii="Arial" w:cs="Arial" w:eastAsia="Arial" w:hAnsi="Arial"/>
                <w:sz w:val="18"/>
                <w:szCs w:val="18"/>
                <w:color w:val="auto"/>
              </w:rPr>
              <w:t>91,124</w:t>
            </w:r>
          </w:p>
        </w:tc>
        <w:tc>
          <w:tcPr>
            <w:tcW w:w="1020" w:type="dxa"/>
            <w:vAlign w:val="bottom"/>
          </w:tcPr>
          <w:p>
            <w:pPr>
              <w:jc w:val="right"/>
              <w:ind w:right="274"/>
              <w:spacing w:after="0"/>
              <w:rPr>
                <w:sz w:val="20"/>
                <w:szCs w:val="20"/>
                <w:color w:val="auto"/>
              </w:rPr>
            </w:pPr>
            <w:r>
              <w:rPr>
                <w:rFonts w:ascii="Arial" w:cs="Arial" w:eastAsia="Arial" w:hAnsi="Arial"/>
                <w:sz w:val="18"/>
                <w:szCs w:val="18"/>
                <w:color w:val="auto"/>
                <w:w w:val="91"/>
              </w:rPr>
              <w:t>$ 92,673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$ 65,335</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16,848</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19,024</w:t>
            </w:r>
          </w:p>
        </w:tc>
        <w:tc>
          <w:tcPr>
            <w:tcW w:w="10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20,383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(9,122)</w:t>
            </w:r>
          </w:p>
        </w:tc>
        <w:tc>
          <w:tcPr>
            <w:tcW w:w="440" w:type="dxa"/>
            <w:vAlign w:val="bottom"/>
          </w:tcPr>
          <w:p>
            <w:pPr>
              <w:spacing w:after="0"/>
              <w:rPr>
                <w:sz w:val="18"/>
                <w:szCs w:val="18"/>
                <w:color w:val="auto"/>
              </w:rPr>
            </w:pPr>
          </w:p>
        </w:tc>
        <w:tc>
          <w:tcPr>
            <w:tcW w:w="1000" w:type="dxa"/>
            <w:vAlign w:val="bottom"/>
          </w:tcPr>
          <w:p>
            <w:pPr>
              <w:jc w:val="right"/>
              <w:ind w:right="296"/>
              <w:spacing w:after="0"/>
              <w:rPr>
                <w:sz w:val="20"/>
                <w:szCs w:val="20"/>
                <w:color w:val="auto"/>
              </w:rPr>
            </w:pPr>
            <w:r>
              <w:rPr>
                <w:rFonts w:ascii="Arial" w:cs="Arial" w:eastAsia="Arial" w:hAnsi="Arial"/>
                <w:sz w:val="18"/>
                <w:szCs w:val="18"/>
                <w:color w:val="auto"/>
              </w:rPr>
              <w:t>(7,892)</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(5,093)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(21,306)</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(0.23)</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(0.15)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(0.63)</w:t>
            </w:r>
          </w:p>
        </w:tc>
      </w:tr>
      <w:tr>
        <w:trPr>
          <w:trHeight w:val="322"/>
        </w:trPr>
        <w:tc>
          <w:tcPr>
            <w:tcW w:w="43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6"/>
              </w:rPr>
              <w:t>100,150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86"/>
              </w:rPr>
              <w:t>102,446</w:t>
            </w:r>
          </w:p>
        </w:tc>
        <w:tc>
          <w:tcPr>
            <w:tcW w:w="10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1"/>
              </w:rPr>
              <w:t>$ 71,017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$ 70,675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20,988</w:t>
            </w:r>
          </w:p>
        </w:tc>
        <w:tc>
          <w:tcPr>
            <w:tcW w:w="440" w:type="dxa"/>
            <w:vAlign w:val="bottom"/>
          </w:tcPr>
          <w:p>
            <w:pPr>
              <w:spacing w:after="0"/>
              <w:rPr>
                <w:sz w:val="18"/>
                <w:szCs w:val="18"/>
                <w:color w:val="auto"/>
              </w:rPr>
            </w:pPr>
          </w:p>
        </w:tc>
        <w:tc>
          <w:tcPr>
            <w:tcW w:w="1000" w:type="dxa"/>
            <w:vAlign w:val="bottom"/>
          </w:tcPr>
          <w:p>
            <w:pPr>
              <w:jc w:val="right"/>
              <w:ind w:right="336"/>
              <w:spacing w:after="0"/>
              <w:rPr>
                <w:sz w:val="20"/>
                <w:szCs w:val="20"/>
                <w:color w:val="auto"/>
              </w:rPr>
            </w:pPr>
            <w:r>
              <w:rPr>
                <w:rFonts w:ascii="Arial" w:cs="Arial" w:eastAsia="Arial" w:hAnsi="Arial"/>
                <w:sz w:val="18"/>
                <w:szCs w:val="18"/>
                <w:color w:val="auto"/>
              </w:rPr>
              <w:t>23,251</w:t>
            </w:r>
          </w:p>
        </w:tc>
        <w:tc>
          <w:tcPr>
            <w:tcW w:w="1020" w:type="dxa"/>
            <w:vAlign w:val="bottom"/>
          </w:tcPr>
          <w:p>
            <w:pPr>
              <w:jc w:val="right"/>
              <w:ind w:right="274"/>
              <w:spacing w:after="0"/>
              <w:rPr>
                <w:sz w:val="20"/>
                <w:szCs w:val="20"/>
                <w:color w:val="auto"/>
              </w:rPr>
            </w:pPr>
            <w:r>
              <w:rPr>
                <w:rFonts w:ascii="Arial" w:cs="Arial" w:eastAsia="Arial" w:hAnsi="Arial"/>
                <w:sz w:val="18"/>
                <w:szCs w:val="18"/>
                <w:color w:val="auto"/>
              </w:rPr>
              <w:t>14,646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13,558</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(37,921)</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(4,500)</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(31,933)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(14,912)</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w:t>
            </w:r>
          </w:p>
        </w:tc>
        <w:tc>
          <w:tcPr>
            <w:tcW w:w="440" w:type="dxa"/>
            <w:vAlign w:val="bottom"/>
          </w:tcPr>
          <w:p>
            <w:pPr>
              <w:spacing w:after="0"/>
              <w:rPr>
                <w:sz w:val="19"/>
                <w:szCs w:val="19"/>
                <w:color w:val="auto"/>
              </w:rPr>
            </w:pPr>
          </w:p>
        </w:tc>
        <w:tc>
          <w:tcPr>
            <w:tcW w:w="1000" w:type="dxa"/>
            <w:vAlign w:val="bottom"/>
          </w:tcPr>
          <w:p>
            <w:pPr>
              <w:jc w:val="right"/>
              <w:ind w:right="296"/>
              <w:spacing w:after="0"/>
              <w:rPr>
                <w:sz w:val="20"/>
                <w:szCs w:val="20"/>
                <w:color w:val="auto"/>
              </w:rPr>
            </w:pPr>
            <w:r>
              <w:rPr>
                <w:rFonts w:ascii="Arial" w:cs="Arial" w:eastAsia="Arial" w:hAnsi="Arial"/>
                <w:sz w:val="18"/>
                <w:szCs w:val="18"/>
                <w:color w:val="auto"/>
              </w:rPr>
              <w:t>(0.14)</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(0.97)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r>
      <w:tr>
        <w:trPr>
          <w:trHeight w:val="356"/>
        </w:trPr>
        <w:tc>
          <w:tcPr>
            <w:tcW w:w="4340" w:type="dxa"/>
            <w:vAlign w:val="bottom"/>
          </w:tcPr>
          <w:p>
            <w:pPr>
              <w:spacing w:after="0"/>
              <w:rPr>
                <w:sz w:val="24"/>
                <w:szCs w:val="24"/>
                <w:color w:val="auto"/>
              </w:rPr>
            </w:pPr>
          </w:p>
        </w:tc>
        <w:tc>
          <w:tcPr>
            <w:tcW w:w="3120" w:type="dxa"/>
            <w:vAlign w:val="bottom"/>
            <w:gridSpan w:val="2"/>
          </w:tcPr>
          <w:p>
            <w:pPr>
              <w:jc w:val="right"/>
              <w:ind w:right="1580"/>
              <w:spacing w:after="0"/>
              <w:rPr>
                <w:sz w:val="20"/>
                <w:szCs w:val="20"/>
                <w:color w:val="auto"/>
              </w:rPr>
            </w:pPr>
            <w:r>
              <w:rPr>
                <w:rFonts w:ascii="Arial" w:cs="Arial" w:eastAsia="Arial" w:hAnsi="Arial"/>
                <w:sz w:val="18"/>
                <w:szCs w:val="18"/>
                <w:color w:val="auto"/>
              </w:rPr>
              <w:t>F-34</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Additions</w:t>
            </w:r>
          </w:p>
        </w:tc>
        <w:tc>
          <w:tcPr>
            <w:tcW w:w="3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Deductions</w:t>
            </w:r>
          </w:p>
        </w:tc>
        <w:tc>
          <w:tcPr>
            <w:tcW w:w="5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r>
      <w:tr>
        <w:trPr>
          <w:trHeight w:val="149"/>
        </w:trPr>
        <w:tc>
          <w:tcPr>
            <w:tcW w:w="4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3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Charged to</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From</w:t>
            </w:r>
          </w:p>
        </w:tc>
        <w:tc>
          <w:tcPr>
            <w:tcW w:w="580" w:type="dxa"/>
            <w:vAlign w:val="bottom"/>
          </w:tcPr>
          <w:p>
            <w:pPr>
              <w:spacing w:after="0"/>
              <w:rPr>
                <w:sz w:val="12"/>
                <w:szCs w:val="12"/>
                <w:color w:val="auto"/>
              </w:rPr>
            </w:pP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At End</w:t>
            </w:r>
          </w:p>
        </w:tc>
      </w:tr>
      <w:tr>
        <w:trPr>
          <w:trHeight w:val="161"/>
        </w:trPr>
        <w:tc>
          <w:tcPr>
            <w:tcW w:w="4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of Year</w:t>
            </w:r>
          </w:p>
        </w:tc>
        <w:tc>
          <w:tcPr>
            <w:tcW w:w="3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Operations</w:t>
            </w:r>
          </w:p>
        </w:tc>
        <w:tc>
          <w:tcPr>
            <w:tcW w:w="3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0"/>
              </w:rPr>
              <w:t>Reserves</w:t>
            </w:r>
          </w:p>
        </w:tc>
        <w:tc>
          <w:tcPr>
            <w:tcW w:w="5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of Year</w:t>
            </w: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Allowance for Doubtful Accounts:</w:t>
            </w:r>
          </w:p>
        </w:tc>
        <w:tc>
          <w:tcPr>
            <w:tcW w:w="2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2013</w:t>
            </w:r>
          </w:p>
        </w:tc>
        <w:tc>
          <w:tcPr>
            <w:tcW w:w="2800" w:type="dxa"/>
            <w:vAlign w:val="bottom"/>
            <w:gridSpan w:val="2"/>
          </w:tcPr>
          <w:p>
            <w:pPr>
              <w:ind w:left="27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627</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  1,936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$ 2,449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2011</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Warranty:</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2013</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2,329</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5,055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1,525</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6,261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2011</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2,279</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2,642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2013</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63,881</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15,577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79,458</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36,395</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27,486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63,881</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2011</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21,783</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14,612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36,395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Returns and Allowances: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2013</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911</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8"/>
                <w:szCs w:val="18"/>
                <w:color w:val="auto"/>
              </w:rPr>
            </w:pPr>
          </w:p>
        </w:tc>
      </w:tr>
      <w:tr>
        <w:trPr>
          <w:trHeight w:val="228"/>
        </w:trPr>
        <w:tc>
          <w:tcPr>
            <w:tcW w:w="4320" w:type="dxa"/>
            <w:vAlign w:val="bottom"/>
          </w:tcPr>
          <w:p>
            <w:pPr>
              <w:spacing w:after="0"/>
              <w:rPr>
                <w:sz w:val="20"/>
                <w:szCs w:val="20"/>
                <w:color w:val="auto"/>
              </w:rPr>
            </w:pPr>
            <w:r>
              <w:rPr>
                <w:rFonts w:ascii="Arial" w:cs="Arial" w:eastAsia="Arial" w:hAnsi="Arial"/>
                <w:sz w:val="18"/>
                <w:szCs w:val="18"/>
                <w:color w:val="auto"/>
              </w:rPr>
              <w:t>December 31, 2011</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346</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911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r>
      <w:tr>
        <w:trPr>
          <w:trHeight w:val="365"/>
        </w:trPr>
        <w:tc>
          <w:tcPr>
            <w:tcW w:w="4320" w:type="dxa"/>
            <w:vAlign w:val="bottom"/>
          </w:tcPr>
          <w:p>
            <w:pPr>
              <w:spacing w:after="0"/>
              <w:rPr>
                <w:sz w:val="24"/>
                <w:szCs w:val="24"/>
                <w:color w:val="auto"/>
              </w:rPr>
            </w:pPr>
          </w:p>
        </w:tc>
        <w:tc>
          <w:tcPr>
            <w:tcW w:w="2800" w:type="dxa"/>
            <w:vAlign w:val="bottom"/>
            <w:gridSpan w:val="2"/>
          </w:tcPr>
          <w:p>
            <w:pPr>
              <w:ind w:left="1220"/>
              <w:spacing w:after="0"/>
              <w:rPr>
                <w:sz w:val="20"/>
                <w:szCs w:val="20"/>
                <w:color w:val="auto"/>
              </w:rPr>
            </w:pPr>
            <w:r>
              <w:rPr>
                <w:rFonts w:ascii="Arial" w:cs="Arial" w:eastAsia="Arial" w:hAnsi="Arial"/>
                <w:sz w:val="18"/>
                <w:szCs w:val="18"/>
                <w:color w:val="auto"/>
              </w:rPr>
              <w:t>F-35</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00" w:type="dxa"/>
            <w:vAlign w:val="bottom"/>
            <w:gridSpan w:val="4"/>
          </w:tcPr>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 on Form 10-K:</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269"/>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Agreement and Plan of Merger, dated as of November 5, 2010, by and between Novatel Wireless, Inc., England Acquisition Corp. and Enfora,</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Inc. (incorporated by reference to Exhibit 2.1 to the Company’s Current Report on Form 8-K, filed on November 10, 2010).</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Company’s Annual Report on Form 10-K for</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Certificate of Designation of Series B Convertible Preferred Stock (incorporated by reference to Exhibit 3.5 to the Company’s Amendment No. 1</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 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dated as of March 12, 2003, entered into in connection with the Company’s 2003 Series B Convertible Preferred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Stock Financing (incorporated by reference to Exhibit 4.8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Warrant Financing Transaction (incorporated by reference to Exhibit 10.21 to the Company’s Annual Report on Form 10-K for the year ended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Report on Form 10-K for the year ended December 31, 2005, filed March 16, 2006).</w:t>
            </w:r>
          </w:p>
        </w:tc>
      </w:tr>
    </w:tbl>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tcPr>
          <w:p>
            <w:pPr>
              <w:spacing w:after="0"/>
              <w:rPr>
                <w:sz w:val="14"/>
                <w:szCs w:val="14"/>
                <w:color w:val="auto"/>
              </w:rPr>
            </w:pPr>
          </w:p>
        </w:tc>
      </w:tr>
      <w:tr>
        <w:trPr>
          <w:trHeight w:val="269"/>
        </w:trPr>
        <w:tc>
          <w:tcPr>
            <w:tcW w:w="660" w:type="dxa"/>
            <w:vAlign w:val="bottom"/>
            <w:gridSpan w:val="2"/>
          </w:tcPr>
          <w:p>
            <w:pPr>
              <w:spacing w:after="0"/>
              <w:rPr>
                <w:sz w:val="20"/>
                <w:szCs w:val="20"/>
                <w:color w:val="auto"/>
              </w:rPr>
            </w:pPr>
            <w:r>
              <w:rPr>
                <w:rFonts w:ascii="Arial" w:cs="Arial" w:eastAsia="Arial" w:hAnsi="Arial"/>
                <w:sz w:val="18"/>
                <w:szCs w:val="18"/>
                <w:color w:val="auto"/>
              </w:rPr>
              <w:t>10.4*</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10.5*</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0"/>
              </w:rPr>
              <w:t>Form of Amendment of Stock Option Agreements, dated July 20, 2006, by and between the Company and Optionee with respect to the 1997</w:t>
            </w: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1"/>
              </w:rPr>
              <w:t>Plan (incorporated by reference to Exhibit 10.2 to the Company’s Quarterly Report on Form 10-Q for the period ended September 30, 2006,</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filed November 9, 2006).</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10.6*</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0"/>
              </w:rPr>
              <w:t>Form of Amendment of Stock Option Agreements, dated July 20, 2006, by and between the Company and Optionee with respect to the 2000</w:t>
            </w: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1"/>
              </w:rPr>
              <w:t>Plan (incorporated by reference to Exhibit 10.3 to the Company’s Quarterly Report on Form 10-Q for the period ended September 30, 2006,</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filed November 9, 2006).</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10.7*</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0"/>
              </w:rPr>
              <w:t>Form of Amendment of Stock Option Agreements, dated July 20, 2006, by and between the Company and Optionee with respect to the 2000</w:t>
            </w: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88"/>
              </w:rPr>
              <w:t>Plan and grants made pursuant thereto in 2004 and subsequently (incorporated by reference to Exhibit 10.4 to the Company’s Quarterly Report</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on Form 10-Q for the period ended September 30, 2006, filed November 9, 2006).</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10.8*</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Appendix A to the Company’s</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Proxy Statement on Schedule 14A filed May 2 2011).</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10.9*</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to the Company’s Quarterly Report on Form 10-Q for the period ended June 30, 2006, filed August 9, 2006).</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89"/>
              </w:rPr>
              <w:t>Form of Restricted Share Award Agreement for restricted stock granted to executive officers (incorporated by reference to Exhibit 10.11 to the</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7"/>
              </w:rPr>
              <w:t>Exhibit 10.1 to the Company’s Quarterly Report on Form 10-Q for the period ended September 30, 2009, filed November 2, 2009).</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0"/>
              </w:rPr>
              <w:t>Form of Change of Control Letter Agreement by and between the Company and certain of its executive officers (incorporated by reference to</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89"/>
              </w:rPr>
              <w:t>Employment Agreement, dated November 2, 2007, by and between Peter V. Leparulo and the Company (incorporated by reference to Exhibit</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0"/>
              </w:rPr>
              <w:t>2009 Omnibus Incentive Compensation Plan (incorporated by reference to Appendix B to the Company’s Proxy Statement on Schedule 14A,</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filed May 2, 2011).</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10.15*</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3"/>
              </w:rPr>
              <w:t>2010 Senior Management Incentive Plan (incorporated by reference to Exhibit 10.1 to the Company’s Current Report on Form 8-K, filed</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September 13, 2010).</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10.16*</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4"/>
              </w:rPr>
              <w:t>Form of Severance Agreement between Novatel Wireless, Inc. and each of Kenneth G. Leddon and Robert M. Hadley (incorporated by</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reference to Exhibit 10.1 to the Company’s Current Report on Form 8-K, filed August 2, 2010.</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10.17</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0"/>
              </w:rPr>
              <w:t>2011 Senior Management Incentive Plan (incorporated by reference to Exhibit 10.1 to the Company’s Quarterly Report on Form 10-Q for the</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period ended June 30, 2011, filed on August 9, 2011).</w:t>
            </w: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10.18</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89"/>
              </w:rPr>
              <w:t>2012 Senior Management Incentive Plan (incorporated by reference to Exhibit 10.1 to the Company’s Current Report on Form 8-K, filed July 6,</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340" w:type="dxa"/>
            <w:vAlign w:val="bottom"/>
          </w:tcPr>
          <w:p>
            <w:pPr>
              <w:ind w:left="600"/>
              <w:spacing w:after="0"/>
              <w:rPr>
                <w:sz w:val="20"/>
                <w:szCs w:val="20"/>
                <w:color w:val="auto"/>
              </w:rPr>
            </w:pPr>
            <w:r>
              <w:rPr>
                <w:rFonts w:ascii="Arial" w:cs="Arial" w:eastAsia="Arial" w:hAnsi="Arial"/>
                <w:sz w:val="18"/>
                <w:szCs w:val="18"/>
                <w:color w:val="auto"/>
              </w:rPr>
              <w:t>2012).</w:t>
            </w:r>
          </w:p>
        </w:tc>
        <w:tc>
          <w:tcPr>
            <w:tcW w:w="70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10.19**</w:t>
            </w: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w w:val="92"/>
              </w:rPr>
              <w:t>Memorandum of Understanding: In re Novatel Wireless Secs. Litig., Civil Action No. 08-CV-01689-AJB (RBB) United States District Court</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40" w:type="dxa"/>
            <w:vAlign w:val="bottom"/>
            <w:gridSpan w:val="3"/>
          </w:tcPr>
          <w:p>
            <w:pPr>
              <w:ind w:left="600"/>
              <w:spacing w:after="0"/>
              <w:rPr>
                <w:sz w:val="20"/>
                <w:szCs w:val="20"/>
                <w:color w:val="auto"/>
              </w:rPr>
            </w:pPr>
            <w:r>
              <w:rPr>
                <w:rFonts w:ascii="Arial" w:cs="Arial" w:eastAsia="Arial" w:hAnsi="Arial"/>
                <w:sz w:val="18"/>
                <w:szCs w:val="18"/>
                <w:color w:val="auto"/>
              </w:rPr>
              <w:t>for the Southern District of California, executed December 6, 2013.</w:t>
            </w:r>
          </w:p>
        </w:tc>
      </w:tr>
    </w:tbl>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4"/>
                <w:szCs w:val="14"/>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18"/>
                <w:szCs w:val="18"/>
                <w:color w:val="auto"/>
              </w:rPr>
              <w:t>21**</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Subsidiaries of Novatel Wireless, Inc.</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24</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31.1**</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31.2**</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32.1**</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8"/>
              </w:rPr>
              <w:t>Certification of Principal Executive Officer pursuant to 18 U.S.C. Section 1350, as adopted pursuant to Section 906 of the Sarbanes-Oxley Act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320" w:type="dxa"/>
            <w:vAlign w:val="bottom"/>
          </w:tcPr>
          <w:p>
            <w:pPr>
              <w:ind w:left="540"/>
              <w:spacing w:after="0"/>
              <w:rPr>
                <w:sz w:val="20"/>
                <w:szCs w:val="20"/>
                <w:color w:val="auto"/>
              </w:rPr>
            </w:pPr>
            <w:r>
              <w:rPr>
                <w:rFonts w:ascii="Arial" w:cs="Arial" w:eastAsia="Arial" w:hAnsi="Arial"/>
                <w:sz w:val="18"/>
                <w:szCs w:val="18"/>
                <w:color w:val="auto"/>
              </w:rPr>
              <w:t>2002.</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32.2**</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9"/>
              </w:rPr>
              <w:t>Certification of Principal Financial Officer pursuant to 18 U.S.C. Section 1350, as adopted pursuant to Section 906 of the Sarbanes-Oxley Act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320" w:type="dxa"/>
            <w:vAlign w:val="bottom"/>
          </w:tcPr>
          <w:p>
            <w:pPr>
              <w:ind w:left="540"/>
              <w:spacing w:after="0"/>
              <w:rPr>
                <w:sz w:val="20"/>
                <w:szCs w:val="20"/>
                <w:color w:val="auto"/>
              </w:rPr>
            </w:pPr>
            <w:r>
              <w:rPr>
                <w:rFonts w:ascii="Arial" w:cs="Arial" w:eastAsia="Arial" w:hAnsi="Arial"/>
                <w:sz w:val="18"/>
                <w:szCs w:val="18"/>
                <w:color w:val="auto"/>
              </w:rPr>
              <w:t>2002.</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bl>
    <w:p>
      <w:pPr>
        <w:spacing w:after="0" w:line="61" w:lineRule="exact"/>
        <w:rPr>
          <w:sz w:val="20"/>
          <w:szCs w:val="20"/>
          <w:color w:val="auto"/>
        </w:rPr>
      </w:pPr>
    </w:p>
    <w:p>
      <w:pPr>
        <w:ind w:left="1160" w:right="60" w:hanging="1152"/>
        <w:spacing w:after="0" w:line="256"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financial statements and footnotes from the Novatel Wireless, Inc. Annual Report on Form 10-K for the year ended December 31, 2013 formatted in eXtensible Business Reporting Language (XBRL): (i) Consolidated Balance Sheets; (ii) Consolidated Statements of Operations; (iii) Consolidated Statements of Comprehensive Loss; (iv) Consolidated Statements of Stockholders’ Equity; (v) Consolidated Statements of Cash Flows;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right="6820" w:firstLine="8"/>
        <w:spacing w:after="0" w:line="268"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ectPr>
          <w:pgSz w:w="11900" w:h="16838" w:orient="portrait"/>
          <w:cols w:equalWidth="0" w:num="1">
            <w:col w:w="11380"/>
          </w:cols>
          <w:pgMar w:left="240" w:top="459" w:right="27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10.19</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re Novatel Wireless Secs. Litig.</w:t>
      </w:r>
      <w:r>
        <w:rPr>
          <w:rFonts w:ascii="Arial" w:cs="Arial" w:eastAsia="Arial" w:hAnsi="Arial"/>
          <w:sz w:val="18"/>
          <w:szCs w:val="18"/>
          <w:color w:val="auto"/>
        </w:rPr>
        <w: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Civil Action No. 08-CV-01689-AJB(RBB)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District Court for the Southern District of California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UNDERSTANDING</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Lead Plaintiffs Western Pennsylvania Electrical Employees Pension Fund and Plumbers &amp; Pipefitters Local #562 Pension Fund (“Lead Plaintiffs”) and defendants Novatel Wireless, Inc. (“NWI”), Peter V. Leparulo, George B. Weinert, Robert M. Hadley, Slim S. Souissi and Catherine F. Ratcliffe (“Defendants”) have agreed in principle to settle all claims asserted or that could have been asserted in or consolidated in the litigation entitled </w:t>
      </w:r>
      <w:r>
        <w:rPr>
          <w:rFonts w:ascii="Arial" w:cs="Arial" w:eastAsia="Arial" w:hAnsi="Arial"/>
          <w:sz w:val="18"/>
          <w:szCs w:val="18"/>
          <w:i w:val="1"/>
          <w:iCs w:val="1"/>
          <w:color w:val="auto"/>
        </w:rPr>
        <w:t>In re Novatel Wireless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Case No. 08-CV-1689-AJB(RBB) (the “Action”), pending in the United States District Court for the Southern District of California (the “Court”),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terms and conditions (the “Settlement”):</w:t>
      </w:r>
    </w:p>
    <w:p>
      <w:pPr>
        <w:spacing w:after="0" w:line="137" w:lineRule="exact"/>
        <w:rPr>
          <w:sz w:val="20"/>
          <w:szCs w:val="20"/>
          <w:color w:val="auto"/>
        </w:rPr>
      </w:pPr>
    </w:p>
    <w:p>
      <w:pPr>
        <w:jc w:val="both"/>
        <w:ind w:right="180" w:firstLine="464"/>
        <w:spacing w:after="0" w:line="258" w:lineRule="auto"/>
        <w:tabs>
          <w:tab w:leader="none" w:pos="63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Fund</w:t>
      </w:r>
      <w:r>
        <w:rPr>
          <w:rFonts w:ascii="Arial" w:cs="Arial" w:eastAsia="Arial" w:hAnsi="Arial"/>
          <w:sz w:val="18"/>
          <w:szCs w:val="18"/>
          <w:b w:val="1"/>
          <w:bCs w:val="1"/>
          <w:color w:val="auto"/>
        </w:rPr>
        <w:t xml:space="preserve">: </w:t>
      </w:r>
      <w:r>
        <w:rPr>
          <w:rFonts w:ascii="Arial" w:cs="Arial" w:eastAsia="Arial" w:hAnsi="Arial"/>
          <w:sz w:val="18"/>
          <w:szCs w:val="18"/>
          <w:color w:val="auto"/>
        </w:rPr>
        <w:t>$16 million (the “Settlement Fund”) to be paid by or on behalf of Defendants. The $16 million shall be comprised of $6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$5 million in NWI stock (the “Settlement Stock”) calculated as set forth in paragraph 2(b), and a $5 million Note with a 5% interest rate and a 30-month maturity (the “Settlement Note”). Alternatively, Defendants shall have the right, at any point, prior to the entry of the order of Final Approval, to substitute cash as a full replacement for the Settlement Note.</w:t>
      </w:r>
    </w:p>
    <w:p>
      <w:pPr>
        <w:spacing w:after="0" w:line="136" w:lineRule="exact"/>
        <w:rPr>
          <w:rFonts w:ascii="Arial" w:cs="Arial" w:eastAsia="Arial" w:hAnsi="Arial"/>
          <w:sz w:val="18"/>
          <w:szCs w:val="18"/>
          <w:b w:val="1"/>
          <w:bCs w:val="1"/>
          <w:color w:val="auto"/>
        </w:rPr>
      </w:pPr>
    </w:p>
    <w:p>
      <w:pPr>
        <w:ind w:right="80" w:firstLine="464"/>
        <w:spacing w:after="0" w:line="275" w:lineRule="auto"/>
        <w:tabs>
          <w:tab w:leader="none" w:pos="63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Deposit of Settlement Fund</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shall pay or cause to be paid to the Class, in settlement of the claims against them, the principal amount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Fund, as follows:</w:t>
      </w:r>
    </w:p>
    <w:p>
      <w:pPr>
        <w:spacing w:after="0" w:line="125" w:lineRule="exact"/>
        <w:rPr>
          <w:rFonts w:ascii="Arial" w:cs="Arial" w:eastAsia="Arial" w:hAnsi="Arial"/>
          <w:sz w:val="18"/>
          <w:szCs w:val="18"/>
          <w:b w:val="1"/>
          <w:bCs w:val="1"/>
          <w:color w:val="auto"/>
        </w:rPr>
      </w:pPr>
    </w:p>
    <w:p>
      <w:pPr>
        <w:ind w:right="100" w:firstLine="921"/>
        <w:spacing w:after="0" w:line="268" w:lineRule="auto"/>
        <w:tabs>
          <w:tab w:leader="none" w:pos="1152"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Defendants shall cause the cash component of the Settlement Fund represented by the remaining proceeds from the applicable insurance policies related to this Action to be deposited into an interest-bearing Escrow Account controlled by Lead Counsel (the</w:t>
      </w:r>
    </w:p>
    <w:p>
      <w:pPr>
        <w:sectPr>
          <w:pgSz w:w="11900" w:h="16838" w:orient="portrait"/>
          <w:cols w:equalWidth="0" w:num="1">
            <w:col w:w="11420"/>
          </w:cols>
          <w:pgMar w:left="240" w:top="125" w:right="239" w:bottom="1440" w:gutter="0" w:footer="0" w:header="0"/>
        </w:sectPr>
      </w:pPr>
    </w:p>
    <w:bookmarkStart w:id="92" w:name="page93"/>
    <w:bookmarkEnd w:id="92"/>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“Escrow Agent”) within ten (10) business days of the execution of this Memorandum of Understanding. NWI also agrees to fund additional sums of the cash component on a schedule not to exceed $250,000 per month prior to the entry of the Final Order should such additional payments be required to effectuate the administration of the Stipulation of Settlement (to be negotiated and executed by the parties by December 23, 2013 (the “Stipulation”)), with all remaining amounts of the cash portion of the Settlement Fund to be due within ten (10) business days of the entry of the Final Order approving this Settlement. In the event that Defendants fail to timely make or cause to be made this payment, this Stipulation shall terminate.</w:t>
      </w:r>
    </w:p>
    <w:p>
      <w:pPr>
        <w:spacing w:after="0" w:line="116" w:lineRule="exact"/>
        <w:rPr>
          <w:sz w:val="20"/>
          <w:szCs w:val="20"/>
          <w:color w:val="auto"/>
        </w:rPr>
      </w:pPr>
    </w:p>
    <w:p>
      <w:pPr>
        <w:ind w:firstLine="921"/>
        <w:spacing w:after="0" w:line="288" w:lineRule="auto"/>
        <w:tabs>
          <w:tab w:leader="none" w:pos="11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Settlement Stock shall consist of $5 million of NWI common stock calculated as follows – $5 million divided by the average closing price of NWI common stock for the 15 trading days prior to the date on which this Memorandum of Understanding is executed. The Settlement Stock shall be unrestricted, freely tradable, and either registered or exempt from registration under the Securities Act of 1933 (the “Securities Act”) pursuant to §3(a)(10) of the Securities Act, 15 U.S.C. §77c(a)(10), in that the Settlement Stock will be issued to or for the benefit of Class Members in exchange for their release of claims against the Defendants under the terms of the Stipulation. Pursuant to §3(a)(10), the Court’s judgment of the fairness of the Settlement shall serve as a substitute for the registration requirements of the Securities Act with regard to any Settlement Stock. At the Settlement Hearing, the Court will be asked to find with regard to the Settlement Stock being issued as part of the Settlement Fund that: (i) the terms and conditions of the proposed issuance are fair to all those who will receive securities in the proposed exchange; and (ii) the terms and conditions of, and the procedures for, the proposed issuance are fair. In the alternative, NWI, in its sole discretion, shall have the right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file a registration statement with the Securities and Exchange Commission covering the issuance of the Settlement Stock.</w:t>
      </w:r>
    </w:p>
    <w:p>
      <w:pPr>
        <w:spacing w:after="0" w:line="171" w:lineRule="exact"/>
        <w:rPr>
          <w:sz w:val="20"/>
          <w:szCs w:val="20"/>
          <w:color w:val="auto"/>
        </w:rPr>
      </w:pPr>
    </w:p>
    <w:p>
      <w:pPr>
        <w:ind w:firstLine="921"/>
        <w:spacing w:after="0" w:line="291"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Settlement Stock may be sold or transferred by recipients thereof who are not affiliates of NWI (as that term is defined in Rule 144 of the Securities Act) or recipients deemed to be underwriters under the Securities Act without registration under §5 of the Securities Act or compliance with Rule 144. The number of shares constituting the Settlement Stock will be adjusted to account for stock splits, reverse stock splits, and other similar actions taken by NWI. If NWI is sold, acquired or merges prior to distribution of the Settlement Stock to the Class, the shares will be treated for purposes of any corporate transaction as if they had been issued, distributed and outstanding, and will receive the same proportionate treatment as other shares of NWI. In addition, the stock price protections set forth below shall be adjusted in a manner consistent with such treatment.</w:t>
      </w:r>
    </w:p>
    <w:p>
      <w:pPr>
        <w:spacing w:after="0" w:line="120" w:lineRule="exact"/>
        <w:rPr>
          <w:rFonts w:ascii="Arial" w:cs="Arial" w:eastAsia="Arial" w:hAnsi="Arial"/>
          <w:sz w:val="16"/>
          <w:szCs w:val="16"/>
          <w:color w:val="auto"/>
        </w:rPr>
      </w:pPr>
    </w:p>
    <w:p>
      <w:pPr>
        <w:ind w:right="80" w:firstLine="921"/>
        <w:spacing w:after="0" w:line="318" w:lineRule="auto"/>
        <w:tabs>
          <w:tab w:leader="none" w:pos="1162" w:val="left"/>
        </w:tabs>
        <w:numPr>
          <w:ilvl w:val="0"/>
          <w:numId w:val="46"/>
        </w:numPr>
        <w:rPr>
          <w:rFonts w:ascii="Arial" w:cs="Arial" w:eastAsia="Arial" w:hAnsi="Arial"/>
          <w:sz w:val="15"/>
          <w:szCs w:val="15"/>
          <w:color w:val="auto"/>
        </w:rPr>
      </w:pPr>
      <w:r>
        <w:rPr>
          <w:rFonts w:ascii="Arial" w:cs="Arial" w:eastAsia="Arial" w:hAnsi="Arial"/>
          <w:sz w:val="15"/>
          <w:szCs w:val="15"/>
          <w:color w:val="auto"/>
        </w:rPr>
        <w:t>NWI shall agree that with respect to the Settlement Stock, if the price of the common stock of NWI is trading below the average closing price of NWI stock for the 15 trading days prior to the date of the execution of this Memorandum of Understanding on the date the Court enters the Order and Final Judgment, NWI shall, within thirty (30) days thereof, contribute to the Settlement Fund the cash amount representing the difference between the average closing price of NWI stock for the 15 trading days prior to the date of the execution of this Memorandum of Understanding and the average closing price of NWI stock for the 15 trading days prior to the date the Court enters the Order and Final Judgment multiplied by the number of shares provided for in paragraph 2(b) above.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94" w:name="page95"/>
    <w:bookmarkEnd w:id="94"/>
    <w:p>
      <w:pPr>
        <w:ind w:left="-8" w:right="160" w:firstLine="921"/>
        <w:spacing w:after="0" w:line="268" w:lineRule="auto"/>
        <w:tabs>
          <w:tab w:leader="none" w:pos="1144"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NWI will issue and distribute the Settlement Stock to Lead Counsel pursuant to instructions provided by Lead Plaintiff within ten (10) business days after the Court enters the Order and Final Judgment.</w:t>
      </w:r>
    </w:p>
    <w:p>
      <w:pPr>
        <w:spacing w:after="0" w:line="131" w:lineRule="exact"/>
        <w:rPr>
          <w:rFonts w:ascii="Arial" w:cs="Arial" w:eastAsia="Arial" w:hAnsi="Arial"/>
          <w:sz w:val="18"/>
          <w:szCs w:val="18"/>
          <w:color w:val="auto"/>
        </w:rPr>
      </w:pPr>
    </w:p>
    <w:p>
      <w:pPr>
        <w:ind w:left="-8" w:right="120" w:firstLine="921"/>
        <w:spacing w:after="0" w:line="287" w:lineRule="auto"/>
        <w:tabs>
          <w:tab w:leader="none" w:pos="1124"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Settlement Note shall be a $5 million note, with a 5% interest rate (compounded monthly), and will be secured by NWI’s accounts receivables (the “Collateral”), maintained in a ratio of at least five (5) times the outstanding amount of the Note (including all outstanding principal and accrued interest) (the “Required Ratio”). The interest earned on the Note shall be payable in cash quarterly. The outstanding principal will be due and payable in cash on the Maturity Date, which will be defined as the earlier of (i) the expiration of 30 months from the entry of the Order of Final Approval, when all amounts under the terms of a Settlement Note (the “Settlement Note”) and Security Agreement (the “Security Agreement”) (to be negotiated by the parties in good faith and executed by the parties on the same date as the Stipulation) become automatically due and payable; or (ii) the occurrence of an event of default (as defined generally below and more specifically in the Settlement Note). As of the date of the Settlement Note and Security Agreement, the Company will pledge to and grant to the Class a security interest in all right, title and interests of NWI in and to the property described as its accounts receivable, which shall be set forth and defined in the Security Agreement as the “Collateral” for the Settlement Note and as consistent with the Required Ratio. The Settlement Note may be prepaid without penalty at any time at the option of NWI.</w:t>
      </w:r>
    </w:p>
    <w:p>
      <w:pPr>
        <w:spacing w:after="0" w:line="122" w:lineRule="exact"/>
        <w:rPr>
          <w:rFonts w:ascii="Arial" w:cs="Arial" w:eastAsia="Arial" w:hAnsi="Arial"/>
          <w:sz w:val="16"/>
          <w:szCs w:val="16"/>
          <w:color w:val="auto"/>
        </w:rPr>
      </w:pPr>
    </w:p>
    <w:p>
      <w:pPr>
        <w:ind w:left="-8" w:firstLine="921"/>
        <w:spacing w:after="0" w:line="286" w:lineRule="auto"/>
        <w:tabs>
          <w:tab w:leader="none" w:pos="1154"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Settlement Note’s “owner” will be the Escrow Agent identified in the Stipulation, with the Class identified as the beneficiary. The Settlement Note will be fully transferable and will accelerate in the event that NWI is acquired or defaults on the Note. An “Event of Default” will be identified to include</w:t>
      </w:r>
    </w:p>
    <w:p>
      <w:pPr>
        <w:ind w:left="212" w:hanging="212"/>
        <w:spacing w:after="0"/>
        <w:tabs>
          <w:tab w:leader="none" w:pos="2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NWI’s accounts receivable falling below the</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95" w:name="page96"/>
    <w:bookmarkEnd w:id="9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Ratio; (ii) a failure to pay interest on the Settlement Note when due (the terms will provide for a 15-day cure period); (iii) NWI’s filing of bankruptcy or insolvency proceedings; (iv) involuntary bankruptcy or insolvency proceedings on NWI’s behalf; (v) NWI’s breach, in any material respect, of any warranty, covenant, or other agreement made by the Company in this Memorandum of Understanding, the Settlement Note, or the Security Agreement; (vi) the granting of a security interest or lien on any of the Collateral for benefit of other creditors which would adversely affect the Required Ratio; or (vii) any other event or act which causes the Class not to have a valid and perfected security interest in such Collateral. In the event of NWI’s default, interest on the Settlement Note will increase to 10% (the “default rate”) until such time as the Escrow Agent takes possession of and liquidates the Collateral in an amount that satisfies the entire obligation, including principal, accrued interest, and any expenses to enforce the terms of the Settlement Note.</w:t>
      </w:r>
    </w:p>
    <w:p>
      <w:pPr>
        <w:spacing w:after="0" w:line="118" w:lineRule="exact"/>
        <w:rPr>
          <w:sz w:val="20"/>
          <w:szCs w:val="20"/>
          <w:color w:val="auto"/>
        </w:rPr>
      </w:pPr>
    </w:p>
    <w:p>
      <w:pPr>
        <w:ind w:firstLine="921"/>
        <w:spacing w:after="0" w:line="302" w:lineRule="auto"/>
        <w:tabs>
          <w:tab w:leader="none" w:pos="1162" w:val="left"/>
        </w:tabs>
        <w:numPr>
          <w:ilvl w:val="1"/>
          <w:numId w:val="49"/>
        </w:numPr>
        <w:rPr>
          <w:rFonts w:ascii="Arial" w:cs="Arial" w:eastAsia="Arial" w:hAnsi="Arial"/>
          <w:sz w:val="15"/>
          <w:szCs w:val="15"/>
          <w:color w:val="auto"/>
        </w:rPr>
      </w:pPr>
      <w:r>
        <w:rPr>
          <w:rFonts w:ascii="Arial" w:cs="Arial" w:eastAsia="Arial" w:hAnsi="Arial"/>
          <w:sz w:val="15"/>
          <w:szCs w:val="15"/>
          <w:color w:val="auto"/>
        </w:rPr>
        <w:t>The Settlement Note will be governed by and construed in accordance with the laws of the State of California (without regard to the conflicts of law provisions of the State of California) and shall contain the following representations and warranties by NWI: (i) that it is solvent on the date that the Note issues; (ii) that its internal cash flow projections for the term of the Settlement Note support its ability to pay the Settlement Note when due; (iii) that no creditors with a senior interest in the Collateral superior to the Class exist; (iv) that NWI is an organization in good standing and is up to date on all actions necessary to remain an organization in good standing; (v) that all Collateral within the Required Ratio are genuine and enforceable against the party obligated to pay the same;</w:t>
      </w:r>
    </w:p>
    <w:p>
      <w:pPr>
        <w:spacing w:after="0" w:line="1" w:lineRule="exact"/>
        <w:rPr>
          <w:rFonts w:ascii="Arial" w:cs="Arial" w:eastAsia="Arial" w:hAnsi="Arial"/>
          <w:sz w:val="15"/>
          <w:szCs w:val="15"/>
          <w:color w:val="auto"/>
        </w:rPr>
      </w:pPr>
    </w:p>
    <w:p>
      <w:pPr>
        <w:ind w:left="300" w:hanging="292"/>
        <w:spacing w:after="0"/>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that the originals of all documents evidencing all accounts receivable of the Company and the only original books of account and records of the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relating thereto are, and will continue to be, kept at the address of NWI that will be set forth on the signature page of the Security Agreement.</w:t>
      </w:r>
    </w:p>
    <w:p>
      <w:pPr>
        <w:spacing w:after="0" w:line="194" w:lineRule="exact"/>
        <w:rPr>
          <w:sz w:val="20"/>
          <w:szCs w:val="20"/>
          <w:color w:val="auto"/>
        </w:rPr>
      </w:pPr>
    </w:p>
    <w:p>
      <w:pPr>
        <w:ind w:right="200" w:firstLine="921"/>
        <w:spacing w:after="0" w:line="268" w:lineRule="auto"/>
        <w:tabs>
          <w:tab w:leader="none" w:pos="1123" w:val="left"/>
        </w:tabs>
        <w:numPr>
          <w:ilvl w:val="1"/>
          <w:numId w:val="51"/>
        </w:numPr>
        <w:rPr>
          <w:rFonts w:ascii="Arial" w:cs="Arial" w:eastAsia="Arial" w:hAnsi="Arial"/>
          <w:sz w:val="18"/>
          <w:szCs w:val="18"/>
          <w:color w:val="auto"/>
        </w:rPr>
      </w:pPr>
      <w:r>
        <w:rPr>
          <w:rFonts w:ascii="Arial" w:cs="Arial" w:eastAsia="Arial" w:hAnsi="Arial"/>
          <w:sz w:val="18"/>
          <w:szCs w:val="18"/>
          <w:color w:val="auto"/>
        </w:rPr>
        <w:t>NWI will issue and distribute the Settlement Note to Lead Counsel pursuant to instructions provided by Lead Plaintiffs within ten (10) business days after the Court enters the Order and Final Judgment.</w:t>
      </w:r>
    </w:p>
    <w:p>
      <w:pPr>
        <w:spacing w:after="0" w:line="125" w:lineRule="exact"/>
        <w:rPr>
          <w:rFonts w:ascii="Arial" w:cs="Arial" w:eastAsia="Arial" w:hAnsi="Arial"/>
          <w:sz w:val="18"/>
          <w:szCs w:val="18"/>
          <w:color w:val="auto"/>
        </w:rPr>
      </w:pPr>
    </w:p>
    <w:p>
      <w:pPr>
        <w:ind w:left="640" w:hanging="176"/>
        <w:spacing w:after="0"/>
        <w:tabs>
          <w:tab w:leader="none" w:pos="64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Motion for Preliminary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intend to file a Stipulation of Settlement and joint motion for preliminary approval by December 23,</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2013.</w:t>
      </w:r>
    </w:p>
    <w:p>
      <w:pPr>
        <w:spacing w:after="0" w:line="158" w:lineRule="exact"/>
        <w:rPr>
          <w:rFonts w:ascii="Arial" w:cs="Arial" w:eastAsia="Arial" w:hAnsi="Arial"/>
          <w:sz w:val="16"/>
          <w:szCs w:val="16"/>
          <w:b w:val="1"/>
          <w:bCs w:val="1"/>
          <w:color w:val="auto"/>
        </w:rPr>
      </w:pPr>
    </w:p>
    <w:p>
      <w:pPr>
        <w:ind w:right="240" w:firstLine="464"/>
        <w:spacing w:after="0" w:line="275" w:lineRule="auto"/>
        <w:tabs>
          <w:tab w:leader="none" w:pos="6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Settling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Settling Parties include Defendants and the Class as defined in that order by the Court dated May 12, 2010, and entitled,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“Order Granting Motion to Certify Class.” Dkt. No. 180.</w:t>
      </w:r>
    </w:p>
    <w:p>
      <w:pPr>
        <w:spacing w:after="0" w:line="119" w:lineRule="exact"/>
        <w:rPr>
          <w:rFonts w:ascii="Arial" w:cs="Arial" w:eastAsia="Arial" w:hAnsi="Arial"/>
          <w:sz w:val="18"/>
          <w:szCs w:val="18"/>
          <w:b w:val="1"/>
          <w:bCs w:val="1"/>
          <w:color w:val="auto"/>
        </w:rPr>
      </w:pPr>
    </w:p>
    <w:p>
      <w:pPr>
        <w:ind w:right="120" w:firstLine="464"/>
        <w:spacing w:after="0" w:line="291" w:lineRule="auto"/>
        <w:tabs>
          <w:tab w:leader="none" w:pos="63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The Class’s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Upon final approval of the Settlement by the Court, Lead Plaintiffs and the Class shall release and discharge (i) NWI and any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of its current and former parents, affiliates, subsidiaries, predecessors, officers, agents, employees, insurers, reinsurers, attorneys, auditors, accountants, successors, assigns, creditors, administrators, heirs, and legal representatives, and (ii) any and all of defendants Peter V. Leparulo, George B. Weinert, Robert M. Hadley, Slim S. Souissi and Catherine F. Ratcliffe (the “Individual Defendants”) and any and all of their respective current or former agents, insurers, attorneys, successors, assigns, creditors, administrators, heirs, and legal representatives (5(i) and 5(ii), collectively, the “Released Parties”) from any and all claims arising from the purchase of NWI common stock during the Class Period and the acts, facts, statements, or omissions that were or could have been alleged by the plaintiff(s) in the action (the “Settled Claims”).</w:t>
      </w:r>
    </w:p>
    <w:p>
      <w:pPr>
        <w:spacing w:after="0" w:line="113" w:lineRule="exact"/>
        <w:rPr>
          <w:rFonts w:ascii="Arial" w:cs="Arial" w:eastAsia="Arial" w:hAnsi="Arial"/>
          <w:sz w:val="16"/>
          <w:szCs w:val="16"/>
          <w:b w:val="1"/>
          <w:bCs w:val="1"/>
          <w:color w:val="auto"/>
        </w:rPr>
      </w:pPr>
    </w:p>
    <w:p>
      <w:pPr>
        <w:ind w:firstLine="464"/>
        <w:spacing w:after="0" w:line="275" w:lineRule="auto"/>
        <w:tabs>
          <w:tab w:leader="none" w:pos="6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Defendants’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Upon final approval of the Settlement by the Court, Defendants and their related parties shall release and discharge Lead Plaintiffs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action,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7" w:name="page98"/>
    <w:bookmarkEnd w:id="9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their respective attorneys, and any other Class member, from any and all claims that arise out of or relate in any way to the institution, prosecution, or settlement of the Settled Claims or the Action.</w:t>
      </w:r>
    </w:p>
    <w:p>
      <w:pPr>
        <w:spacing w:after="0" w:line="126"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Settlement is subject to the following conditions:</w:t>
      </w:r>
    </w:p>
    <w:p>
      <w:pPr>
        <w:spacing w:after="0" w:line="177" w:lineRule="exact"/>
        <w:rPr>
          <w:rFonts w:ascii="Arial" w:cs="Arial" w:eastAsia="Arial" w:hAnsi="Arial"/>
          <w:sz w:val="18"/>
          <w:szCs w:val="18"/>
          <w:b w:val="1"/>
          <w:bCs w:val="1"/>
          <w:color w:val="auto"/>
        </w:rPr>
      </w:pPr>
    </w:p>
    <w:p>
      <w:pPr>
        <w:ind w:left="1160" w:hanging="239"/>
        <w:spacing w:after="0"/>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NWI funding the Settlement in accordance with paragraph two of this Memorandum of Understanding;</w:t>
      </w:r>
    </w:p>
    <w:p>
      <w:pPr>
        <w:spacing w:after="0" w:line="171" w:lineRule="exact"/>
        <w:rPr>
          <w:rFonts w:ascii="Arial" w:cs="Arial" w:eastAsia="Arial" w:hAnsi="Arial"/>
          <w:sz w:val="18"/>
          <w:szCs w:val="18"/>
          <w:color w:val="auto"/>
        </w:rPr>
      </w:pPr>
    </w:p>
    <w:p>
      <w:pPr>
        <w:ind w:right="20" w:firstLine="921"/>
        <w:spacing w:after="0" w:line="306" w:lineRule="auto"/>
        <w:tabs>
          <w:tab w:leader="none" w:pos="11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NWI’s right to terminate the Settlement if a portion of the Class, to be agreed upon by the Settling Parties, delivers timely and valid requests for exclusion from the Class. The Settling Parties shall memorialize such agreement in a side letter, which may be shared only with the Court, upon the Court’s request and in camera. Such side letter shall remain confidential until after the deadline for requesting exclusion from the Class;</w:t>
      </w:r>
    </w:p>
    <w:p>
      <w:pPr>
        <w:spacing w:after="0" w:line="106" w:lineRule="exact"/>
        <w:rPr>
          <w:rFonts w:ascii="Arial" w:cs="Arial" w:eastAsia="Arial" w:hAnsi="Arial"/>
          <w:sz w:val="16"/>
          <w:szCs w:val="16"/>
          <w:color w:val="auto"/>
        </w:rPr>
      </w:pPr>
    </w:p>
    <w:p>
      <w:pPr>
        <w:ind w:right="40" w:firstLine="921"/>
        <w:spacing w:after="0" w:line="259" w:lineRule="auto"/>
        <w:tabs>
          <w:tab w:leader="none" w:pos="115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Approval of the Settlement by the Court and entry of, and expiration of time for appeal from, or resolution of any appeal from, a final judgment approving the Settlement (provided, however, that the resolution of any appeal from any Fee and Expense Order (as defined in paragraph 11) shall not be a condition for the effectiveness of the Settlement); and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Satisfaction or waiver of all covenants set forth herein.</w:t>
      </w:r>
    </w:p>
    <w:p>
      <w:pPr>
        <w:spacing w:after="0" w:line="165" w:lineRule="exact"/>
        <w:rPr>
          <w:rFonts w:ascii="Arial" w:cs="Arial" w:eastAsia="Arial" w:hAnsi="Arial"/>
          <w:sz w:val="18"/>
          <w:szCs w:val="18"/>
          <w:color w:val="auto"/>
        </w:rPr>
      </w:pPr>
    </w:p>
    <w:p>
      <w:pPr>
        <w:ind w:left="640" w:hanging="176"/>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 a Claims-Made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Settlement is not a claims-made settlement; there will be no reversion.</w:t>
      </w:r>
    </w:p>
    <w:p>
      <w:pPr>
        <w:spacing w:after="0" w:line="171" w:lineRule="exact"/>
        <w:rPr>
          <w:rFonts w:ascii="Arial" w:cs="Arial" w:eastAsia="Arial" w:hAnsi="Arial"/>
          <w:sz w:val="18"/>
          <w:szCs w:val="18"/>
          <w:b w:val="1"/>
          <w:bCs w:val="1"/>
          <w:color w:val="auto"/>
        </w:rPr>
      </w:pPr>
    </w:p>
    <w:p>
      <w:pPr>
        <w:ind w:firstLine="464"/>
        <w:spacing w:after="0" w:line="262" w:lineRule="auto"/>
        <w:tabs>
          <w:tab w:leader="none" w:pos="63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Claims Administration and Plan of Allocation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will not have any involvement in the selection of the claims administrator, the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process, or the plan of allocation of the Settlement proceeds. The claims administrator shall be selected solely by Lead Plaintiffs’ counsel, and the notice and plan of allocation will be proposed solely by Lead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80" w:right="359" w:bottom="1440" w:gutter="0" w:footer="0" w:header="0"/>
        </w:sectPr>
      </w:pPr>
    </w:p>
    <w:bookmarkStart w:id="98" w:name="page99"/>
    <w:bookmarkEnd w:id="9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Plaintiffs’ counsel, subject to Court approval. Defendants shall not object to such proposed notice or plan of allocation, but shall have the right to comment on the notice prior to issuance.</w:t>
      </w:r>
    </w:p>
    <w:p>
      <w:pPr>
        <w:spacing w:after="0" w:line="126" w:lineRule="exact"/>
        <w:rPr>
          <w:sz w:val="20"/>
          <w:szCs w:val="20"/>
          <w:color w:val="auto"/>
        </w:rPr>
      </w:pPr>
    </w:p>
    <w:p>
      <w:pPr>
        <w:ind w:right="200" w:firstLine="464"/>
        <w:spacing w:after="0" w:line="291" w:lineRule="auto"/>
        <w:tabs>
          <w:tab w:leader="none" w:pos="72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Costs of Notice and Settlement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final approval of the Settlement by the Court, Lead Plaintiffs’ counsel may pay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Fund the actual costs of notice and settlement administration without further order of the Court subject to a maximum amount of $200,000 (two hundred thousand dollars). Also prior to final approval of the Settlement by the Court, additional sums for this purpose may be paid from the Settlement Fund upon agreement of the parties or order of the Court. In the event that the Settlement is not consummated, money actually paid or sums incurred for this purpose shall not be returned or repaid to Defendants or their insurance carriers, but any remainder in the Settlement Fund shall be so returned. All costs and fees, including expenses of notice, escrow fees, other settlement administration expenses, shall be paid solely out of the Settlement Fund, and none of the Released Parties, individually or collectively, shall have any liability therefor.</w:t>
      </w:r>
    </w:p>
    <w:p>
      <w:pPr>
        <w:spacing w:after="0" w:line="113" w:lineRule="exact"/>
        <w:rPr>
          <w:rFonts w:ascii="Arial" w:cs="Arial" w:eastAsia="Arial" w:hAnsi="Arial"/>
          <w:sz w:val="16"/>
          <w:szCs w:val="16"/>
          <w:b w:val="1"/>
          <w:bCs w:val="1"/>
          <w:color w:val="auto"/>
        </w:rPr>
      </w:pPr>
    </w:p>
    <w:p>
      <w:pPr>
        <w:ind w:firstLine="464"/>
        <w:spacing w:after="0" w:line="296" w:lineRule="auto"/>
        <w:tabs>
          <w:tab w:leader="none" w:pos="71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Lead Plaintiffs’ Counsel’s Attorneys’ Fees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Lead Plaintiffs’ counsel’s attorneys’ fees and expenses, as awarded by the Court (“Fee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Order”), shall be paid from the Escrow Account immediately upon award by the District Court, notwithstanding any appeals that may be taken, subject to Lead Plaintiffs’ counsel’s, or any successor firm, obligations to make appropriate refunds or repayments to the Settlement Fund plus interest earned thereon if, and when, as a result of any appeal and/or further proceedings on remand, or successful collateral attack, the fee or expense award is lowered or reversed. Defendants shall take no position with respect to Lead Plaintiffs’ counsel’s requested attorneys’ fees and expenses.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99" w:name="page100"/>
    <w:bookmarkEnd w:id="99"/>
    <w:p>
      <w:pPr>
        <w:ind w:left="-20" w:right="340" w:firstLine="464"/>
        <w:spacing w:after="0" w:line="339" w:lineRule="auto"/>
        <w:tabs>
          <w:tab w:leader="none" w:pos="70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Defendants’ Solvency</w:t>
      </w:r>
      <w:r>
        <w:rPr>
          <w:rFonts w:ascii="Arial" w:cs="Arial" w:eastAsia="Arial" w:hAnsi="Arial"/>
          <w:sz w:val="16"/>
          <w:szCs w:val="16"/>
          <w:b w:val="1"/>
          <w:bCs w:val="1"/>
          <w:color w:val="auto"/>
        </w:rPr>
        <w:t xml:space="preserve">: </w:t>
      </w:r>
      <w:r>
        <w:rPr>
          <w:rFonts w:ascii="Arial" w:cs="Arial" w:eastAsia="Arial" w:hAnsi="Arial"/>
          <w:sz w:val="16"/>
          <w:szCs w:val="16"/>
          <w:color w:val="auto"/>
        </w:rPr>
        <w:t>Each defendant warrants and represents as to himself or itself only, that he or it is not “insolvent” within the meaning of 11</w:t>
      </w:r>
      <w:r>
        <w:rPr>
          <w:rFonts w:ascii="Arial" w:cs="Arial" w:eastAsia="Arial" w:hAnsi="Arial"/>
          <w:sz w:val="16"/>
          <w:szCs w:val="16"/>
          <w:b w:val="1"/>
          <w:bCs w:val="1"/>
          <w:color w:val="auto"/>
        </w:rPr>
        <w:t xml:space="preserve"> </w:t>
      </w:r>
      <w:r>
        <w:rPr>
          <w:rFonts w:ascii="Arial" w:cs="Arial" w:eastAsia="Arial" w:hAnsi="Arial"/>
          <w:sz w:val="16"/>
          <w:szCs w:val="16"/>
          <w:color w:val="auto"/>
        </w:rPr>
        <w:t>U.S.C. §101(32) as of the time the Stipulation is executed and as of the time the payments are actually transferred or made as reflected in the Stipulation.</w:t>
      </w:r>
    </w:p>
    <w:p>
      <w:pPr>
        <w:spacing w:after="0" w:line="74" w:lineRule="exact"/>
        <w:rPr>
          <w:rFonts w:ascii="Arial" w:cs="Arial" w:eastAsia="Arial" w:hAnsi="Arial"/>
          <w:sz w:val="16"/>
          <w:szCs w:val="16"/>
          <w:b w:val="1"/>
          <w:bCs w:val="1"/>
          <w:color w:val="auto"/>
        </w:rPr>
      </w:pPr>
    </w:p>
    <w:p>
      <w:pPr>
        <w:ind w:left="-20" w:right="600" w:firstLine="464"/>
        <w:spacing w:after="0" w:line="275" w:lineRule="auto"/>
        <w:tabs>
          <w:tab w:leader="none" w:pos="7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Stay of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execution of this Agreement, the parties shall promptly request that the current proceedings before the Court be</w:t>
      </w:r>
      <w:r>
        <w:rPr>
          <w:rFonts w:ascii="Arial" w:cs="Arial" w:eastAsia="Arial" w:hAnsi="Arial"/>
          <w:sz w:val="18"/>
          <w:szCs w:val="18"/>
          <w:b w:val="1"/>
          <w:bCs w:val="1"/>
          <w:color w:val="auto"/>
        </w:rPr>
        <w:t xml:space="preserve"> </w:t>
      </w:r>
      <w:r>
        <w:rPr>
          <w:rFonts w:ascii="Arial" w:cs="Arial" w:eastAsia="Arial" w:hAnsi="Arial"/>
          <w:sz w:val="18"/>
          <w:szCs w:val="18"/>
          <w:color w:val="auto"/>
        </w:rPr>
        <w:t>suspended.</w:t>
      </w:r>
    </w:p>
    <w:p>
      <w:pPr>
        <w:spacing w:after="0" w:line="119" w:lineRule="exact"/>
        <w:rPr>
          <w:rFonts w:ascii="Arial" w:cs="Arial" w:eastAsia="Arial" w:hAnsi="Arial"/>
          <w:sz w:val="18"/>
          <w:szCs w:val="18"/>
          <w:b w:val="1"/>
          <w:bCs w:val="1"/>
          <w:color w:val="auto"/>
        </w:rPr>
      </w:pPr>
    </w:p>
    <w:p>
      <w:pPr>
        <w:ind w:left="-20" w:firstLine="464"/>
        <w:spacing w:after="0" w:line="275" w:lineRule="auto"/>
        <w:tabs>
          <w:tab w:leader="none" w:pos="7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Rule 11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and Lead Plaintiffs agree that each of them and their counsel have complied fully with the strictures of Rule 11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Rules of Civil Procedure, and that the proposed final judgment will contain a statement to reflect this compliance.</w:t>
      </w:r>
    </w:p>
    <w:p>
      <w:pPr>
        <w:spacing w:after="0" w:line="119" w:lineRule="exact"/>
        <w:rPr>
          <w:rFonts w:ascii="Arial" w:cs="Arial" w:eastAsia="Arial" w:hAnsi="Arial"/>
          <w:sz w:val="18"/>
          <w:szCs w:val="18"/>
          <w:b w:val="1"/>
          <w:bCs w:val="1"/>
          <w:color w:val="auto"/>
        </w:rPr>
      </w:pPr>
    </w:p>
    <w:p>
      <w:pPr>
        <w:ind w:left="700" w:hanging="256"/>
        <w:spacing w:after="0"/>
        <w:tabs>
          <w:tab w:leader="none" w:pos="7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Best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The Settling Parties shall use their best efforts to consummate the Settlement.</w:t>
      </w:r>
    </w:p>
    <w:p>
      <w:pPr>
        <w:spacing w:after="0" w:line="171" w:lineRule="exact"/>
        <w:rPr>
          <w:rFonts w:ascii="Arial" w:cs="Arial" w:eastAsia="Arial" w:hAnsi="Arial"/>
          <w:sz w:val="18"/>
          <w:szCs w:val="18"/>
          <w:b w:val="1"/>
          <w:bCs w:val="1"/>
          <w:color w:val="auto"/>
        </w:rPr>
      </w:pPr>
    </w:p>
    <w:p>
      <w:pPr>
        <w:ind w:left="-20" w:right="600" w:firstLine="464"/>
        <w:spacing w:after="0" w:line="275" w:lineRule="auto"/>
        <w:tabs>
          <w:tab w:leader="none" w:pos="7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Admission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NWI and each of the Individual Defendants are entering into the Settlement without any admission of liability,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deny any and all liability in the Action.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4" w:right="239" w:bottom="1440" w:gutter="0" w:footer="0" w:header="0"/>
        </w:sectPr>
      </w:pPr>
    </w:p>
    <w:bookmarkStart w:id="100" w:name="page101"/>
    <w:bookmarkEnd w:id="100"/>
    <w:p>
      <w:pPr>
        <w:ind w:left="-120" w:firstLine="464"/>
        <w:spacing w:after="0" w:line="275" w:lineRule="auto"/>
        <w:tabs>
          <w:tab w:leader="none" w:pos="6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Counsel Authorization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undersigned counsel represent that they are fully authorized by their respective clients to enter into this Memorandum of</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 IS HEREBY AGREED by the undersigned as of December 6, 2013.</w:t>
      </w:r>
    </w:p>
    <w:p>
      <w:pPr>
        <w:spacing w:after="0" w:line="37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ROBBINS GELLER RUDMAN &amp; DOWD LLP</w:t>
      </w:r>
    </w:p>
    <w:p>
      <w:pPr>
        <w:spacing w:after="0" w:line="33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4457065</wp:posOffset>
            </wp:positionH>
            <wp:positionV relativeFrom="paragraph">
              <wp:posOffset>10795</wp:posOffset>
            </wp:positionV>
            <wp:extent cx="2718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Lead Counsel for the Lead Plaintiffs and the Class</w:t>
      </w:r>
    </w:p>
    <w:p>
      <w:pPr>
        <w:spacing w:after="0" w:line="2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JONES DAY</w:t>
      </w:r>
    </w:p>
    <w:p>
      <w:pPr>
        <w:spacing w:after="0" w:line="33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4457065</wp:posOffset>
            </wp:positionH>
            <wp:positionV relativeFrom="paragraph">
              <wp:posOffset>10795</wp:posOffset>
            </wp:positionV>
            <wp:extent cx="2718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Counsel for Defendants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360" w:top="274" w:right="3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920" w:type="dxa"/>
            <w:vAlign w:val="bottom"/>
          </w:tcPr>
          <w:p>
            <w:pPr>
              <w:ind w:left="3140"/>
              <w:spacing w:after="0"/>
              <w:rPr>
                <w:sz w:val="20"/>
                <w:szCs w:val="20"/>
                <w:color w:val="auto"/>
              </w:rPr>
            </w:pPr>
            <w:r>
              <w:rPr>
                <w:rFonts w:ascii="Arial" w:cs="Arial" w:eastAsia="Arial" w:hAnsi="Arial"/>
                <w:sz w:val="18"/>
                <w:szCs w:val="18"/>
                <w:b w:val="1"/>
                <w:bCs w:val="1"/>
                <w:color w:val="auto"/>
                <w:w w:val="89"/>
              </w:rPr>
              <w:t>Exhibit 21</w:t>
            </w:r>
          </w:p>
        </w:tc>
      </w:tr>
      <w:tr>
        <w:trPr>
          <w:trHeight w:val="378"/>
        </w:trPr>
        <w:tc>
          <w:tcPr>
            <w:tcW w:w="3900" w:type="dxa"/>
            <w:vAlign w:val="bottom"/>
          </w:tcPr>
          <w:p>
            <w:pPr>
              <w:spacing w:after="0"/>
              <w:rPr>
                <w:sz w:val="20"/>
                <w:szCs w:val="20"/>
                <w:color w:val="auto"/>
              </w:rPr>
            </w:pPr>
            <w:r>
              <w:rPr>
                <w:rFonts w:ascii="Arial" w:cs="Arial" w:eastAsia="Arial" w:hAnsi="Arial"/>
                <w:sz w:val="18"/>
                <w:szCs w:val="18"/>
                <w:b w:val="1"/>
                <w:bCs w:val="1"/>
                <w:color w:val="auto"/>
              </w:rPr>
              <w:t>List of Subsidiaries</w:t>
            </w:r>
          </w:p>
        </w:tc>
        <w:tc>
          <w:tcPr>
            <w:tcW w:w="36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40"/>
        </w:trPr>
        <w:tc>
          <w:tcPr>
            <w:tcW w:w="3900" w:type="dxa"/>
            <w:vAlign w:val="bottom"/>
          </w:tcPr>
          <w:p>
            <w:pPr>
              <w:jc w:val="center"/>
              <w:ind w:right="419"/>
              <w:spacing w:after="0"/>
              <w:rPr>
                <w:sz w:val="20"/>
                <w:szCs w:val="20"/>
                <w:color w:val="auto"/>
              </w:rPr>
            </w:pPr>
            <w:r>
              <w:rPr>
                <w:rFonts w:ascii="Arial" w:cs="Arial" w:eastAsia="Arial" w:hAnsi="Arial"/>
                <w:sz w:val="14"/>
                <w:szCs w:val="14"/>
                <w:b w:val="1"/>
                <w:bCs w:val="1"/>
                <w:color w:val="auto"/>
                <w:w w:val="83"/>
              </w:rPr>
              <w:t>Subsidiaries of</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6"/>
              </w:rPr>
              <w:t>State or Other Jurisdiction of</w:t>
            </w:r>
          </w:p>
        </w:tc>
        <w:tc>
          <w:tcPr>
            <w:tcW w:w="3920" w:type="dxa"/>
            <w:vAlign w:val="bottom"/>
          </w:tcPr>
          <w:p>
            <w:pPr>
              <w:jc w:val="center"/>
              <w:ind w:left="419"/>
              <w:spacing w:after="0"/>
              <w:rPr>
                <w:sz w:val="20"/>
                <w:szCs w:val="20"/>
                <w:color w:val="auto"/>
              </w:rPr>
            </w:pPr>
            <w:r>
              <w:rPr>
                <w:rFonts w:ascii="Arial" w:cs="Arial" w:eastAsia="Arial" w:hAnsi="Arial"/>
                <w:sz w:val="14"/>
                <w:szCs w:val="14"/>
                <w:b w:val="1"/>
                <w:bCs w:val="1"/>
                <w:color w:val="auto"/>
                <w:w w:val="88"/>
              </w:rPr>
              <w:t>Name Under Which</w:t>
            </w:r>
          </w:p>
        </w:tc>
      </w:tr>
      <w:tr>
        <w:trPr>
          <w:trHeight w:val="166"/>
        </w:trPr>
        <w:tc>
          <w:tcPr>
            <w:tcW w:w="3900" w:type="dxa"/>
            <w:vAlign w:val="bottom"/>
          </w:tcPr>
          <w:p>
            <w:pPr>
              <w:jc w:val="center"/>
              <w:ind w:right="419"/>
              <w:spacing w:after="0"/>
              <w:rPr>
                <w:sz w:val="20"/>
                <w:szCs w:val="20"/>
                <w:color w:val="auto"/>
              </w:rPr>
            </w:pPr>
            <w:r>
              <w:rPr>
                <w:rFonts w:ascii="Arial" w:cs="Arial" w:eastAsia="Arial" w:hAnsi="Arial"/>
                <w:sz w:val="14"/>
                <w:szCs w:val="14"/>
                <w:b w:val="1"/>
                <w:bCs w:val="1"/>
                <w:color w:val="auto"/>
                <w:w w:val="86"/>
              </w:rPr>
              <w:t>Novatel Wireless, Inc.</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3920" w:type="dxa"/>
            <w:vAlign w:val="bottom"/>
          </w:tcPr>
          <w:p>
            <w:pPr>
              <w:jc w:val="center"/>
              <w:ind w:left="419"/>
              <w:spacing w:after="0"/>
              <w:rPr>
                <w:sz w:val="20"/>
                <w:szCs w:val="20"/>
                <w:color w:val="auto"/>
              </w:rPr>
            </w:pPr>
            <w:r>
              <w:rPr>
                <w:rFonts w:ascii="Arial" w:cs="Arial" w:eastAsia="Arial" w:hAnsi="Arial"/>
                <w:sz w:val="14"/>
                <w:szCs w:val="14"/>
                <w:b w:val="1"/>
                <w:bCs w:val="1"/>
                <w:color w:val="auto"/>
                <w:w w:val="83"/>
              </w:rPr>
              <w:t>Subsidiary Does Business</w:t>
            </w:r>
          </w:p>
        </w:tc>
      </w:tr>
      <w:tr>
        <w:trPr>
          <w:trHeight w:val="216"/>
        </w:trPr>
        <w:tc>
          <w:tcPr>
            <w:tcW w:w="3900" w:type="dxa"/>
            <w:vAlign w:val="bottom"/>
          </w:tcPr>
          <w:p>
            <w:pPr>
              <w:jc w:val="center"/>
              <w:ind w:right="419"/>
              <w:spacing w:after="0"/>
              <w:rPr>
                <w:sz w:val="20"/>
                <w:szCs w:val="20"/>
                <w:color w:val="auto"/>
              </w:rPr>
            </w:pPr>
            <w:r>
              <w:rPr>
                <w:rFonts w:ascii="Arial" w:cs="Arial" w:eastAsia="Arial" w:hAnsi="Arial"/>
                <w:sz w:val="18"/>
                <w:szCs w:val="18"/>
                <w:color w:val="auto"/>
                <w:w w:val="89"/>
              </w:rPr>
              <w:t>Novatel Wireless Technologies, Ltd.</w:t>
            </w: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Alberta, Canada</w:t>
            </w:r>
          </w:p>
        </w:tc>
        <w:tc>
          <w:tcPr>
            <w:tcW w:w="3920" w:type="dxa"/>
            <w:vAlign w:val="bottom"/>
          </w:tcPr>
          <w:p>
            <w:pPr>
              <w:jc w:val="center"/>
              <w:ind w:left="419"/>
              <w:spacing w:after="0"/>
              <w:rPr>
                <w:sz w:val="20"/>
                <w:szCs w:val="20"/>
                <w:color w:val="auto"/>
              </w:rPr>
            </w:pPr>
            <w:r>
              <w:rPr>
                <w:rFonts w:ascii="Arial" w:cs="Arial" w:eastAsia="Arial" w:hAnsi="Arial"/>
                <w:sz w:val="18"/>
                <w:szCs w:val="18"/>
                <w:color w:val="auto"/>
                <w:w w:val="88"/>
              </w:rPr>
              <w:t>Novatel Wireless Technologies, Ltd.</w:t>
            </w:r>
          </w:p>
        </w:tc>
      </w:tr>
      <w:tr>
        <w:trPr>
          <w:trHeight w:val="216"/>
        </w:trPr>
        <w:tc>
          <w:tcPr>
            <w:tcW w:w="3900" w:type="dxa"/>
            <w:vAlign w:val="bottom"/>
          </w:tcPr>
          <w:p>
            <w:pPr>
              <w:jc w:val="center"/>
              <w:ind w:right="419"/>
              <w:spacing w:after="0"/>
              <w:rPr>
                <w:sz w:val="20"/>
                <w:szCs w:val="20"/>
                <w:color w:val="auto"/>
              </w:rPr>
            </w:pPr>
            <w:r>
              <w:rPr>
                <w:rFonts w:ascii="Arial" w:cs="Arial" w:eastAsia="Arial" w:hAnsi="Arial"/>
                <w:sz w:val="18"/>
                <w:szCs w:val="18"/>
                <w:color w:val="auto"/>
                <w:w w:val="91"/>
              </w:rPr>
              <w:t>Enfora, Inc.</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920" w:type="dxa"/>
            <w:vAlign w:val="bottom"/>
          </w:tcPr>
          <w:p>
            <w:pPr>
              <w:jc w:val="center"/>
              <w:ind w:left="419"/>
              <w:spacing w:after="0"/>
              <w:rPr>
                <w:sz w:val="20"/>
                <w:szCs w:val="20"/>
                <w:color w:val="auto"/>
              </w:rPr>
            </w:pPr>
            <w:r>
              <w:rPr>
                <w:rFonts w:ascii="Arial" w:cs="Arial" w:eastAsia="Arial" w:hAnsi="Arial"/>
                <w:sz w:val="18"/>
                <w:szCs w:val="18"/>
                <w:color w:val="auto"/>
                <w:w w:val="89"/>
              </w:rPr>
              <w:t>Enfora, Inc.</w:t>
            </w:r>
          </w:p>
        </w:tc>
      </w:tr>
      <w:tr>
        <w:trPr>
          <w:trHeight w:val="222"/>
        </w:trPr>
        <w:tc>
          <w:tcPr>
            <w:tcW w:w="3900" w:type="dxa"/>
            <w:vAlign w:val="bottom"/>
          </w:tcPr>
          <w:p>
            <w:pPr>
              <w:jc w:val="center"/>
              <w:ind w:right="419"/>
              <w:spacing w:after="0"/>
              <w:rPr>
                <w:sz w:val="20"/>
                <w:szCs w:val="20"/>
                <w:color w:val="auto"/>
              </w:rPr>
            </w:pPr>
            <w:r>
              <w:rPr>
                <w:rFonts w:ascii="Arial" w:cs="Arial" w:eastAsia="Arial" w:hAnsi="Arial"/>
                <w:sz w:val="18"/>
                <w:szCs w:val="18"/>
                <w:color w:val="auto"/>
                <w:w w:val="90"/>
              </w:rPr>
              <w:t>Novatel Wireless Solutions, Inc.</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920" w:type="dxa"/>
            <w:vAlign w:val="bottom"/>
          </w:tcPr>
          <w:p>
            <w:pPr>
              <w:jc w:val="center"/>
              <w:ind w:left="419"/>
              <w:spacing w:after="0"/>
              <w:rPr>
                <w:sz w:val="20"/>
                <w:szCs w:val="20"/>
                <w:color w:val="auto"/>
              </w:rPr>
            </w:pPr>
            <w:r>
              <w:rPr>
                <w:rFonts w:ascii="Arial" w:cs="Arial" w:eastAsia="Arial" w:hAnsi="Arial"/>
                <w:sz w:val="18"/>
                <w:szCs w:val="18"/>
                <w:color w:val="auto"/>
                <w:w w:val="89"/>
              </w:rPr>
              <w:t>Novatel Wireless Solutions, Inc.</w:t>
            </w:r>
          </w:p>
        </w:tc>
      </w:tr>
    </w:tbl>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3460" w:firstLine="3464"/>
        <w:spacing w:after="0" w:line="444"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1480" w:hanging="567"/>
        <w:spacing w:after="0"/>
        <w:tabs>
          <w:tab w:leader="none" w:pos="1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Registration Statement (Form S-8 No. 333-190878) pertaining to the Amended and Restated 2000 Employee Stock Purchase Plan;</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333-190879) pertaining to the 2009 Omnibus Incentive Compensation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Registration Statement (Form S-8 No. 333-176490) pertaining to the Amended and Restated 2000 Employee Stock Purchase Plan;</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333-176489) pertaining to the 2009 Omnibus Incentive Compensation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333-163033) pertaining to the 2009 Omnibus Incentive Compensation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333-163032) pertaining to 2000 Employee Stock Purchase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Registration Statement (Form S-8 No. 333-145482) pertaining to 2000 Stock Incentive Plan and 2000 Employee Stock Purchase Plan;</w:t>
      </w:r>
    </w:p>
    <w:p>
      <w:pPr>
        <w:spacing w:after="0" w:line="113" w:lineRule="exact"/>
        <w:rPr>
          <w:rFonts w:ascii="Arial" w:cs="Arial" w:eastAsia="Arial" w:hAnsi="Arial"/>
          <w:sz w:val="16"/>
          <w:szCs w:val="16"/>
          <w:color w:val="auto"/>
        </w:rPr>
      </w:pPr>
    </w:p>
    <w:p>
      <w:pPr>
        <w:ind w:left="1480" w:right="200" w:hanging="567"/>
        <w:spacing w:after="0" w:line="268" w:lineRule="auto"/>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333-53692) pertaining to 2000 Stock Incentive Plan, 2000 Employee Stock Purchase Plan and 1997 Stock Incentive Plan;</w:t>
      </w:r>
    </w:p>
    <w:p>
      <w:pPr>
        <w:spacing w:after="0" w:line="5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of our reports dated March 11, 2014, with respect to the consolidated financial statements and schedule of Novatel Wireless, Inc., and the effectiveness of internal control over financial reporting of Novatel Wireless, Inc. included in this Annual Report (Form 10-K) for the year ended December 31, 2013.</w:t>
      </w:r>
    </w:p>
    <w:p>
      <w:pPr>
        <w:spacing w:after="0" w:line="85"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/s/ Ernst &amp; Young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2014</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90" w:lineRule="exact"/>
        <w:rPr>
          <w:sz w:val="20"/>
          <w:szCs w:val="20"/>
          <w:color w:val="auto"/>
        </w:rPr>
      </w:pPr>
    </w:p>
    <w:p>
      <w:pPr>
        <w:ind w:left="640" w:hanging="17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90"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In connection with this Annual report on Form 10-K of Novatel Wireless, Inc. (the “Company”) for the year ended December 31, 2013, as filed with the Securities and Exchange Commission on the date hereof (the “Report”), Peter Leparulo, Chairman and Chief Executive Officer of the Company, hereby certifies pursuant to the requirement set forth in Rule 13a-14(b) of the Securities Exchange Act of 1934, as amended (the “Exchange Act”), and Section 1350 of Chapter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63 of Title 18 of the United States Code (18 U.S.C. Section 1350) that, to the best of his knowledge:</w:t>
      </w:r>
    </w:p>
    <w:p>
      <w:pPr>
        <w:spacing w:after="0" w:line="165"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b w:val="1"/>
          <w:bCs w:val="1"/>
          <w:color w:val="auto"/>
        </w:rPr>
      </w:pPr>
    </w:p>
    <w:p>
      <w:pPr>
        <w:ind w:left="640" w:hanging="176"/>
        <w:spacing w:after="0"/>
        <w:tabs>
          <w:tab w:leader="none" w:pos="64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Report fairly presents, in all material respects, the financial condition and the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21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Peter Leparulo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connection with this Annual report on Form 10-K of Novatel Wireless, Inc. (the “Company”) for the year ended December 31, 2013, as filed with the Securities and Exchange Commission on the date hereof (the “Report”), Kenneth Leddon, Senior Vice President and Chief Financial Officer of the Company, hereby certifies pursuant to the requirement set forth in Rule 13a-14(b) of the Securities Exchange Act of 1934, as amended (the “Exchange Act”), and Section 1350 of Chapter 63 of Title 18 of the United States Code (18 U.S.C. Section 1350) that, to the best of his knowledge:</w:t>
      </w:r>
    </w:p>
    <w:p>
      <w:pPr>
        <w:spacing w:after="0" w:line="113"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b w:val="1"/>
          <w:bCs w:val="1"/>
          <w:color w:val="auto"/>
        </w:rPr>
      </w:pPr>
    </w:p>
    <w:p>
      <w:pPr>
        <w:ind w:left="640" w:hanging="176"/>
        <w:spacing w:after="0"/>
        <w:tabs>
          <w:tab w:leader="none" w:pos="64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Report fairly presents, in all material respects, the financial condition and the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21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Kenneth Leddon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lowerRoman"/>
      <w:start w:val="1"/>
    </w:lvl>
  </w:abstractNum>
  <w:abstractNum w:abstractNumId="21">
    <w:nsid w:val="3855585C"/>
    <w:multiLevelType w:val="hybridMultilevel"/>
    <w:lvl w:ilvl="0">
      <w:lvlJc w:val="left"/>
      <w:lvlText w:val="(%1)"/>
      <w:numFmt w:val="lowerLetter"/>
      <w:start w:val="1"/>
    </w:lvl>
  </w:abstractNum>
  <w:abstractNum w:abstractNumId="22">
    <w:nsid w:val="70A64E2A"/>
    <w:multiLevelType w:val="hybridMultilevel"/>
    <w:lvl w:ilvl="0">
      <w:lvlJc w:val="left"/>
      <w:lvlText w:val="%1"/>
      <w:numFmt w:val="decimal"/>
      <w:start w:val="10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2"/>
    </w:lvl>
  </w:abstractNum>
  <w:abstractNum w:abstractNumId="26">
    <w:nsid w:val="725A06FB"/>
    <w:multiLevelType w:val="hybridMultilevel"/>
    <w:lvl w:ilvl="0">
      <w:lvlJc w:val="left"/>
      <w:lvlText w:val="%1."/>
      <w:numFmt w:val="decimal"/>
      <w:start w:val="3"/>
    </w:lvl>
  </w:abstractNum>
  <w:abstractNum w:abstractNumId="27">
    <w:nsid w:val="2CD89A32"/>
    <w:multiLevelType w:val="hybridMultilevel"/>
    <w:lvl w:ilvl="0">
      <w:lvlJc w:val="left"/>
      <w:lvlText w:val="%1."/>
      <w:numFmt w:val="decimal"/>
      <w:start w:val="4"/>
    </w:lvl>
  </w:abstractNum>
  <w:abstractNum w:abstractNumId="28">
    <w:nsid w:val="57E4CCAF"/>
    <w:multiLevelType w:val="hybridMultilevel"/>
    <w:lvl w:ilvl="0">
      <w:lvlJc w:val="left"/>
      <w:lvlText w:val="%1."/>
      <w:numFmt w:val="decimal"/>
      <w:start w:val="5"/>
    </w:lvl>
  </w:abstractNum>
  <w:abstractNum w:abstractNumId="29">
    <w:nsid w:val="7A6D8D3C"/>
    <w:multiLevelType w:val="hybridMultilevel"/>
    <w:lvl w:ilvl="0">
      <w:lvlJc w:val="left"/>
      <w:lvlText w:val="%1."/>
      <w:numFmt w:val="decimal"/>
      <w:start w:val="6"/>
    </w:lvl>
  </w:abstractNum>
  <w:abstractNum w:abstractNumId="30">
    <w:nsid w:val="4B588F54"/>
    <w:multiLevelType w:val="hybridMultilevel"/>
    <w:lvl w:ilvl="0">
      <w:lvlJc w:val="left"/>
      <w:lvlText w:val="%1."/>
      <w:numFmt w:val="decimal"/>
      <w:start w:val="7"/>
    </w:lvl>
  </w:abstractNum>
  <w:abstractNum w:abstractNumId="31">
    <w:nsid w:val="542289EC"/>
    <w:multiLevelType w:val="hybridMultilevel"/>
    <w:lvl w:ilvl="0">
      <w:lvlJc w:val="left"/>
      <w:lvlText w:val="%1."/>
      <w:numFmt w:val="decimal"/>
      <w:start w:val="8"/>
    </w:lvl>
  </w:abstractNum>
  <w:abstractNum w:abstractNumId="32">
    <w:nsid w:val="6DE91B18"/>
    <w:multiLevelType w:val="hybridMultilevel"/>
    <w:lvl w:ilvl="0">
      <w:lvlJc w:val="left"/>
      <w:lvlText w:val="%1."/>
      <w:numFmt w:val="decimal"/>
      <w:start w:val="9"/>
    </w:lvl>
  </w:abstractNum>
  <w:abstractNum w:abstractNumId="33">
    <w:nsid w:val="38437FDB"/>
    <w:multiLevelType w:val="hybridMultilevel"/>
    <w:lvl w:ilvl="0">
      <w:lvlJc w:val="left"/>
      <w:lvlText w:val="%1."/>
      <w:numFmt w:val="decimal"/>
      <w:start w:val="10"/>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decimal"/>
      <w:start w:val="11"/>
    </w:lvl>
  </w:abstractNum>
  <w:abstractNum w:abstractNumId="36">
    <w:nsid w:val="684A481A"/>
    <w:multiLevelType w:val="hybridMultilevel"/>
    <w:lvl w:ilvl="0">
      <w:lvlJc w:val="left"/>
      <w:lvlText w:val="%1."/>
      <w:numFmt w:val="decimal"/>
      <w:start w:val="12"/>
    </w:lvl>
  </w:abstractNum>
  <w:abstractNum w:abstractNumId="37">
    <w:nsid w:val="579478FE"/>
    <w:multiLevelType w:val="hybridMultilevel"/>
    <w:lvl w:ilvl="0">
      <w:lvlJc w:val="left"/>
      <w:lvlText w:val="%1."/>
      <w:numFmt w:val="decimal"/>
      <w:start w:val="13"/>
    </w:lvl>
  </w:abstractNum>
  <w:abstractNum w:abstractNumId="38">
    <w:nsid w:val="749ABB43"/>
    <w:multiLevelType w:val="hybridMultilevel"/>
    <w:lvl w:ilvl="0">
      <w:lvlJc w:val="left"/>
      <w:lvlText w:val="%1."/>
      <w:numFmt w:val="decimal"/>
      <w:start w:val="14"/>
    </w:lvl>
  </w:abstractNum>
  <w:abstractNum w:abstractNumId="39">
    <w:nsid w:val="3DC240FB"/>
    <w:multiLevelType w:val="hybridMultilevel"/>
    <w:lvl w:ilvl="0">
      <w:lvlJc w:val="left"/>
      <w:lvlText w:val="%1."/>
      <w:numFmt w:val="decimal"/>
      <w:start w:val="15"/>
    </w:lvl>
  </w:abstractNum>
  <w:abstractNum w:abstractNumId="40">
    <w:nsid w:val="1BA026FA"/>
    <w:multiLevelType w:val="hybridMultilevel"/>
    <w:lvl w:ilvl="0">
      <w:lvlJc w:val="left"/>
      <w:lvlText w:val="%1."/>
      <w:numFmt w:val="decimal"/>
      <w:start w:val="16"/>
    </w:lvl>
  </w:abstractNum>
  <w:abstractNum w:abstractNumId="41">
    <w:nsid w:val="79A1DEAA"/>
    <w:multiLevelType w:val="hybridMultilevel"/>
    <w:lvl w:ilvl="0">
      <w:lvlJc w:val="left"/>
      <w:lvlText w:val="%1"/>
      <w:numFmt w:val="decimal"/>
      <w:start w:val="10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decimal"/>
      <w:start w:val="1"/>
    </w:lvl>
    <w:lvl w:ilvl="1">
      <w:lvlJc w:val="left"/>
      <w:lvlText w:val="(%2)"/>
      <w:numFmt w:val="lowerLetter"/>
      <w:start w:val="1"/>
    </w:lvl>
  </w:abstractNum>
  <w:abstractNum w:abstractNumId="44">
    <w:nsid w:val="70C6A529"/>
    <w:multiLevelType w:val="hybridMultilevel"/>
    <w:lvl w:ilvl="0">
      <w:lvlJc w:val="left"/>
      <w:lvlText w:val="(%1)"/>
      <w:numFmt w:val="lowerLetter"/>
      <w:start w:val="2"/>
    </w:lvl>
  </w:abstractNum>
  <w:abstractNum w:abstractNumId="45">
    <w:nsid w:val="520EEDD1"/>
    <w:multiLevelType w:val="hybridMultilevel"/>
    <w:lvl w:ilvl="0">
      <w:lvlJc w:val="left"/>
      <w:lvlText w:val="(%1)"/>
      <w:numFmt w:val="lowerLetter"/>
      <w:start w:val="3"/>
    </w:lvl>
  </w:abstractNum>
  <w:abstractNum w:abstractNumId="46">
    <w:nsid w:val="374A3FE6"/>
    <w:multiLevelType w:val="hybridMultilevel"/>
    <w:lvl w:ilvl="0">
      <w:lvlJc w:val="left"/>
      <w:lvlText w:val="%1"/>
      <w:numFmt w:val="lowerLetter"/>
      <w:start w:val="1"/>
    </w:lvl>
    <w:lvl w:ilvl="1">
      <w:lvlJc w:val="left"/>
      <w:lvlText w:val="(%2)"/>
      <w:numFmt w:val="lowerLetter"/>
      <w:start w:val="5"/>
    </w:lvl>
  </w:abstractNum>
  <w:abstractNum w:abstractNumId="47">
    <w:nsid w:val="4F4EF005"/>
    <w:multiLevelType w:val="hybridMultilevel"/>
    <w:lvl w:ilvl="0">
      <w:lvlJc w:val="left"/>
      <w:lvlText w:val="(%1)"/>
      <w:numFmt w:val="lowerLetter"/>
      <w:start w:val="9"/>
    </w:lvl>
    <w:lvl w:ilvl="1">
      <w:lvlJc w:val="left"/>
      <w:lvlText w:val="%2"/>
      <w:numFmt w:val="lowerLetter"/>
      <w:start w:val="1"/>
    </w:lvl>
  </w:abstractNum>
  <w:abstractNum w:abstractNumId="48">
    <w:nsid w:val="23F9C13C"/>
    <w:multiLevelType w:val="hybridMultilevel"/>
    <w:lvl w:ilvl="0">
      <w:lvlJc w:val="left"/>
      <w:lvlText w:val="%1"/>
      <w:numFmt w:val="lowerRoman"/>
      <w:start w:val="1"/>
    </w:lvl>
    <w:lvl w:ilvl="1">
      <w:lvlJc w:val="left"/>
      <w:lvlText w:val="(%2)"/>
      <w:numFmt w:val="lowerLetter"/>
      <w:start w:val="8"/>
    </w:lvl>
  </w:abstractNum>
  <w:abstractNum w:abstractNumId="49">
    <w:nsid w:val="649BB77C"/>
    <w:multiLevelType w:val="hybridMultilevel"/>
    <w:lvl w:ilvl="0">
      <w:lvlJc w:val="left"/>
      <w:lvlText w:val="(%1)"/>
      <w:numFmt w:val="lowerRoman"/>
      <w:start w:val="6"/>
    </w:lvl>
    <w:lvl w:ilvl="1">
      <w:lvlJc w:val="left"/>
      <w:lvlText w:val="%2"/>
      <w:numFmt w:val="lowerLetter"/>
      <w:start w:val="1"/>
    </w:lvl>
  </w:abstractNum>
  <w:abstractNum w:abstractNumId="50">
    <w:nsid w:val="275AC794"/>
    <w:multiLevelType w:val="hybridMultilevel"/>
    <w:lvl w:ilvl="0">
      <w:lvlJc w:val="left"/>
      <w:lvlText w:val="%1"/>
      <w:numFmt w:val="decimal"/>
      <w:start w:val="1"/>
    </w:lvl>
    <w:lvl w:ilvl="1">
      <w:lvlJc w:val="left"/>
      <w:lvlText w:val="(%2)"/>
      <w:numFmt w:val="lowerRoman"/>
      <w:start w:val="1"/>
    </w:lvl>
  </w:abstractNum>
  <w:abstractNum w:abstractNumId="51">
    <w:nsid w:val="39386575"/>
    <w:multiLevelType w:val="hybridMultilevel"/>
    <w:lvl w:ilvl="0">
      <w:lvlJc w:val="left"/>
      <w:lvlText w:val="%1."/>
      <w:numFmt w:val="decimal"/>
      <w:start w:val="3"/>
    </w:lvl>
    <w:lvl w:ilvl="1">
      <w:lvlJc w:val="left"/>
      <w:lvlText w:val="%2"/>
      <w:numFmt w:val="lowerRoman"/>
      <w:start w:val="1"/>
    </w:lvl>
  </w:abstractNum>
  <w:abstractNum w:abstractNumId="52">
    <w:nsid w:val="1CF10FD8"/>
    <w:multiLevelType w:val="hybridMultilevel"/>
    <w:lvl w:ilvl="0">
      <w:lvlJc w:val="left"/>
      <w:lvlText w:val="%1."/>
      <w:numFmt w:val="decimal"/>
      <w:start w:val="7"/>
    </w:lvl>
    <w:lvl w:ilvl="1">
      <w:lvlJc w:val="left"/>
      <w:lvlText w:val="(%2)"/>
      <w:numFmt w:val="lowerLetter"/>
      <w:start w:val="1"/>
    </w:lvl>
  </w:abstractNum>
  <w:abstractNum w:abstractNumId="53">
    <w:nsid w:val="180115BE"/>
    <w:multiLevelType w:val="hybridMultilevel"/>
    <w:lvl w:ilvl="0">
      <w:lvlJc w:val="left"/>
      <w:lvlText w:val="%1."/>
      <w:numFmt w:val="decimal"/>
      <w:start w:val="10"/>
    </w:lvl>
  </w:abstractNum>
  <w:abstractNum w:abstractNumId="54">
    <w:nsid w:val="235BA861"/>
    <w:multiLevelType w:val="hybridMultilevel"/>
    <w:lvl w:ilvl="0">
      <w:lvlJc w:val="left"/>
      <w:lvlText w:val="%1."/>
      <w:numFmt w:val="decimal"/>
      <w:start w:val="12"/>
    </w:lvl>
  </w:abstractNum>
  <w:abstractNum w:abstractNumId="55">
    <w:nsid w:val="47398C89"/>
    <w:multiLevelType w:val="hybridMultilevel"/>
    <w:lvl w:ilvl="0">
      <w:lvlJc w:val="left"/>
      <w:lvlText w:val="%1."/>
      <w:numFmt w:val="decimal"/>
      <w:start w:val="17"/>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2019-12-06T15:34:30Z</dcterms:created>
  <dcterms:modified xsi:type="dcterms:W3CDTF">2019-12-06T15:34:30Z</dcterms:modified>
</cp:coreProperties>
</file>