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41275</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383"/>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gridSpan w:val="2"/>
          </w:tcPr>
          <w:p>
            <w:pPr>
              <w:jc w:val="center"/>
              <w:ind w:right="1848"/>
              <w:spacing w:after="0"/>
              <w:rPr>
                <w:sz w:val="20"/>
                <w:szCs w:val="20"/>
                <w:color w:val="auto"/>
              </w:rPr>
            </w:pPr>
            <w:r>
              <w:rPr>
                <w:rFonts w:ascii="Arial" w:cs="Arial" w:eastAsia="Arial" w:hAnsi="Arial"/>
                <w:sz w:val="32"/>
                <w:szCs w:val="32"/>
                <w:b w:val="1"/>
                <w:bCs w:val="1"/>
                <w:color w:val="auto"/>
                <w:w w:val="99"/>
              </w:rPr>
              <w:t>INSEEGO CORP.</w:t>
            </w:r>
          </w:p>
        </w:tc>
      </w:tr>
      <w:tr>
        <w:trPr>
          <w:trHeight w:val="192"/>
        </w:trPr>
        <w:tc>
          <w:tcPr>
            <w:tcW w:w="2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r>
      <w:tr>
        <w:trPr>
          <w:trHeight w:val="37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(State or Other Jurisdiction</w:t>
            </w:r>
          </w:p>
        </w:tc>
        <w:tc>
          <w:tcPr>
            <w:tcW w:w="378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 Incorporation or Organization)</w:t>
            </w:r>
          </w:p>
        </w:tc>
        <w:tc>
          <w:tcPr>
            <w:tcW w:w="378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9605 Scranton Road, Suite 300</w:t>
            </w:r>
          </w:p>
        </w:tc>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San Diego, California</w:t>
            </w:r>
          </w:p>
        </w:tc>
        <w:tc>
          <w:tcPr>
            <w:tcW w:w="52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92121</w:t>
            </w:r>
          </w:p>
        </w:tc>
      </w:tr>
      <w:tr>
        <w:trPr>
          <w:trHeight w:val="218"/>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80" w:type="dxa"/>
            <w:vAlign w:val="bottom"/>
          </w:tcPr>
          <w:p>
            <w:pPr>
              <w:spacing w:after="0"/>
              <w:rPr>
                <w:sz w:val="18"/>
                <w:szCs w:val="18"/>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189230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Yes</w:t>
      </w:r>
      <w:r>
        <w:rPr>
          <w:rFonts w:ascii="MS PGothic" w:cs="MS PGothic" w:eastAsia="MS PGothic" w:hAnsi="MS PGothic"/>
          <w:sz w:val="17"/>
          <w:szCs w:val="17"/>
          <w:color w:val="auto"/>
        </w:rPr>
        <w:t>☐</w:t>
      </w:r>
      <w:r>
        <w:rPr>
          <w:rFonts w:ascii="Arial" w:cs="Arial" w:eastAsia="Arial" w:hAnsi="Arial"/>
          <w:sz w:val="17"/>
          <w:szCs w:val="17"/>
          <w:color w:val="auto"/>
        </w:rPr>
        <w:t xml:space="preserve"> No x The number of shares of the registrant’s common stock outstanding as of May 4, 2018 was 59,416,756.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1"/>
        </w:trPr>
        <w:tc>
          <w:tcPr>
            <w:tcW w:w="87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4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 (Unaudited)</w:t>
              </w:r>
            </w:hyperlink>
          </w:p>
        </w:tc>
        <w:tc>
          <w:tcPr>
            <w:tcW w:w="4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4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4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3">
              <w:r>
                <w:rPr>
                  <w:rFonts w:ascii="Arial" w:cs="Arial" w:eastAsia="Arial" w:hAnsi="Arial"/>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Risk Factors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Unregistered Sales of Equity Securities and Use of Proceeds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Defaults Upon Senior Securities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Mine Safety Disclosures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Other Information</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Exhibits</w:t>
              </w:r>
            </w:hyperlink>
          </w:p>
        </w:tc>
        <w:tc>
          <w:tcPr>
            <w:tcW w:w="4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SIGNATURES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bl>
    <w:p>
      <w:pPr>
        <w:sectPr>
          <w:pgSz w:w="11900" w:h="16838" w:orient="portrait"/>
          <w:cols w:equalWidth="0" w:num="1">
            <w:col w:w="9200"/>
          </w:cols>
          <w:pgMar w:left="1360" w:top="364" w:right="1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$2,775 and $2,683,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15,674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20,403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9,101</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55,620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66,437</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$28,958 and $28,138,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$10,375 and $9,039,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7,602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7,563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$28,061 and $25,473,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38,671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37,681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864</w:t>
            </w:r>
          </w:p>
        </w:tc>
      </w:tr>
      <w:tr>
        <w:trPr>
          <w:trHeight w:val="28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148,796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158,207</w:t>
            </w:r>
          </w:p>
        </w:tc>
      </w:tr>
      <w:tr>
        <w:trPr>
          <w:trHeight w:val="237"/>
        </w:trPr>
        <w:tc>
          <w:tcPr>
            <w:tcW w:w="8800" w:type="dxa"/>
            <w:vAlign w:val="bottom"/>
            <w:tcBorders>
              <w:bottom w:val="single" w:sz="8" w:color="CCEEFF"/>
            </w:tcBorders>
            <w:shd w:val="clear" w:color="auto" w:fill="CCEEFF"/>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29,332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36,135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27,558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3,075</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59,544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59,965</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86,843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84,773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44,055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5,261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9,768</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198,032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203,822</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8800" w:type="dxa"/>
            <w:vAlign w:val="bottom"/>
          </w:tcPr>
          <w:p>
            <w:pPr>
              <w:ind w:left="280"/>
              <w:spacing w:after="0"/>
              <w:rPr>
                <w:sz w:val="20"/>
                <w:szCs w:val="20"/>
                <w:color w:val="auto"/>
              </w:rPr>
            </w:pPr>
            <w:r>
              <w:rPr>
                <w:rFonts w:ascii="Arial" w:cs="Arial" w:eastAsia="Arial" w:hAnsi="Arial"/>
                <w:sz w:val="16"/>
                <w:szCs w:val="16"/>
                <w:color w:val="auto"/>
                <w:w w:val="94"/>
              </w:rPr>
              <w:t>Common stock, par value $0.001; 150,000,000 shares authorized, 59,221,551 and 58,644,559 shares issued and outstanding,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8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519,531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7,781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4,604</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(577,809)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(569,759)</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(49,176)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(45,615)</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158,207</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38,762</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16,627</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55,389</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32,023</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0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31,190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39,203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16,186</w:t>
            </w:r>
          </w:p>
        </w:tc>
        <w:tc>
          <w:tcPr>
            <w:tcW w:w="0" w:type="dxa"/>
            <w:vAlign w:val="bottom"/>
          </w:tcPr>
          <w:p>
            <w:pPr>
              <w:spacing w:after="0"/>
              <w:rPr>
                <w:sz w:val="1"/>
                <w:szCs w:val="1"/>
                <w:color w:val="auto"/>
              </w:rPr>
            </w:pP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6,289</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7,157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12,037</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7"/>
        </w:trPr>
        <w:tc>
          <w:tcPr>
            <w:tcW w:w="902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18,127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(15,809)</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0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60,721,518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57,480,210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1,047</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impairment of abandoned product line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(8,375)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borrowings from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stock option exercises, net of taxes paid on vested restricted stock units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9,894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6,385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Issuance of common stock under amended earn-out agreement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Additional debt discount on exchange of convertible senior notes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33"/>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March 31, 2018 and the results of the Company’s operations for the three months ended March 31, 2018 and 2017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2017. Certain prior period amounts were reclassified to conform to the current period presentation. These reclassifications did not affect total revenues, costs and expenses, net loss, assets, liabilities or stockholders’ equity. Except as set forth below, the accounting policies used in preparing these unaudited condensed consolidated financial statements are the same as those described in the Company’s Annual Report on Form 10-K for the year ended December 31, 2017. The results of operations for the interim periods presented are not necessarily indicative of results to be expected for any other interim period or for the year as a whole.</w:t>
      </w:r>
    </w:p>
    <w:p>
      <w:pPr>
        <w:spacing w:after="0" w:line="11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the three months ended March 31, 2018 and 2017, the Company incurred a net loss of $8.1 million and $16.1 million, respectively. The Company has a history of operating and net losses and overall usage of cash from operating and investing activities.</w:t>
      </w:r>
    </w:p>
    <w:p>
      <w:pPr>
        <w:spacing w:after="0" w:line="11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During the three months ended March 31, 2018, the Company commenced certain restructuring initiatives aimed at reducing the Company’s operating expenses in an effort to increase operating cash flows to eventually be sufficient to offset debt service costs and cash flows from investing activities. 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attaining profitable operations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22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Company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the Company, or at all. In addition, in order to obtain additional borrowings, the Company must comply with certain requirements under the Credit Agreement and the Inseego Indenture (each as defined below). If additional funds are raised by the issuance of equity securities, the Company’s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3"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Significant changes to the Company’s accounting policies, as a result of the adoption of the new revenue recognition guidance on January 1, 2018, are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Internet of Things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2018 and 2017, net revenues by product grouping were as follows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38,762</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16,627</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55,389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8,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33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is comprised of the Ctrack telematics platforms, which provide fleet vehicle, aviation ground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and asset tracking and performance information, and other telematics applications, and the Company’s Device Management System (“DMS”), a hosted SaaS platform that helps organizations manage the selection, deployment and spend of their customer’s wireless assets, helping them save money on personnel and telecom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ectPr>
          <w:pgSz w:w="11900" w:h="16838" w:orient="portrait"/>
          <w:cols w:equalWidth="0" w:num="1">
            <w:col w:w="11420"/>
          </w:cols>
          <w:pgMar w:left="240" w:top="553"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53"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are not affected by contingent events that could impact the transaction price. The Company does not offer price concessions and does not accept payment that is less than the price stated when it accepts the purchase order, except in rare credit-related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6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If the customer chooses to lease the monitoring device, the Company recognizes the revenue for the monitoring device over the term of the contract. The Company records such revenue in accordance with the Financial Accounting Standards Board (the “FASB”)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as it has determined that they qualify as operating leases (ownership of the device does not transfer to the other party). For the three months ended March 31, 2018, the Company recognized revenues of approximately $2.2 million under ASC 840.</w:t>
      </w:r>
    </w:p>
    <w:p>
      <w:pPr>
        <w:spacing w:after="0" w:line="290"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ectPr>
          <w:pgSz w:w="11900" w:h="16838" w:orient="portrait"/>
          <w:cols w:equalWidth="0" w:num="1">
            <w:col w:w="11420"/>
          </w:cols>
          <w:pgMar w:left="240" w:top="553"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53"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20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March 31,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Revenue from the Company’s subscription services is recognized over time on a ratable basis over the contract term beginning on the date that the service is made available to the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Transition Disclosures</w:t>
      </w:r>
    </w:p>
    <w:p>
      <w:pPr>
        <w:spacing w:after="0" w:line="3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and is not expected to have a material impact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127"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that restricted cash and restricted cash equivalents be included as components of total cash and cash equivalents in the statement of cash flows. The Company implemented this guidance in the first quarter of 2018 using a retrospective transition method for each period presented. This guidance did not have a material impact on the Company’s unaudited condensed consolidated financial statements included in this quarterly report.</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i w:val="1"/>
          <w:iCs w:val="1"/>
          <w:color w:val="252525"/>
        </w:rPr>
        <w:t>—</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This guidance is effective for interim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2019. Early adoption is permitted. The Company is currently assessing the impact of this guidance.</w:t>
      </w:r>
    </w:p>
    <w:p>
      <w:pPr>
        <w:spacing w:after="0" w:line="27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8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became effective for the Company on January 1, 2018. ASC 606 outlines a single comprehensive model for entities to use in accounting for revenue arising from contracts with customers and supersedes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including industry-specific guidance. The new guidance requires entities to apportion consideration from contracts to performance obligations on a relative standalone selling price basis, based on a five-step model. Under ASC 606, revenue is recognized when a customer obtains control of a promised good or service and is recognized in an amount that reflects the consideration that the entity expects to receive in exchange for the good or service. In addition, ASC 606 also includes subtopic ASC 340-40, </w:t>
      </w:r>
      <w:r>
        <w:rPr>
          <w:rFonts w:ascii="Arial" w:cs="Arial" w:eastAsia="Arial" w:hAnsi="Arial"/>
          <w:sz w:val="16"/>
          <w:szCs w:val="16"/>
          <w:i w:val="1"/>
          <w:iCs w:val="1"/>
          <w:color w:val="auto"/>
        </w:rPr>
        <w:t>Other Assets and Deferred Costs</w:t>
      </w:r>
      <w:r>
        <w:rPr>
          <w:rFonts w:ascii="Arial" w:cs="Arial" w:eastAsia="Arial" w:hAnsi="Arial"/>
          <w:sz w:val="16"/>
          <w:szCs w:val="16"/>
          <w:i w:val="1"/>
          <w:iCs w:val="1"/>
          <w:color w:val="252525"/>
        </w:rPr>
        <w:t>—</w:t>
      </w:r>
      <w:r>
        <w:rPr>
          <w:rFonts w:ascii="Arial" w:cs="Arial" w:eastAsia="Arial" w:hAnsi="Arial"/>
          <w:sz w:val="16"/>
          <w:szCs w:val="16"/>
          <w:i w:val="1"/>
          <w:iCs w:val="1"/>
          <w:color w:val="auto"/>
        </w:rPr>
        <w:t>Contracts with Customers</w:t>
      </w:r>
      <w:r>
        <w:rPr>
          <w:rFonts w:ascii="Arial" w:cs="Arial" w:eastAsia="Arial" w:hAnsi="Arial"/>
          <w:sz w:val="16"/>
          <w:szCs w:val="16"/>
          <w:color w:val="auto"/>
        </w:rPr>
        <w:t xml:space="preserve"> (“ASC 340-40”), which provides guidance on accounting for certain revenue related costs including costs associated with obtaining and fulfilling a contract.</w:t>
      </w:r>
    </w:p>
    <w:p>
      <w:pPr>
        <w:spacing w:after="0" w:line="275"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January 1, 2018, the Company adopted ASC 606 using the modified retrospective transition method. Adoption of the new guidance did not have a material impact on the Company’s condensed consolidated financial statements but did significantly impact its disclosures for revenue. Refer to the revenue recognition accounting policy above for updated revenue disclosures which are required by the new guidance.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5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14,331</w:t>
            </w:r>
          </w:p>
        </w:tc>
        <w:tc>
          <w:tcPr>
            <w:tcW w:w="0" w:type="dxa"/>
            <w:vAlign w:val="bottom"/>
          </w:tcPr>
          <w:p>
            <w:pPr>
              <w:spacing w:after="0"/>
              <w:rPr>
                <w:sz w:val="1"/>
                <w:szCs w:val="1"/>
                <w:color w:val="auto"/>
              </w:rPr>
            </w:pPr>
          </w:p>
        </w:tc>
      </w:tr>
      <w:tr>
        <w:trPr>
          <w:trHeight w:val="224"/>
        </w:trPr>
        <w:tc>
          <w:tcPr>
            <w:tcW w:w="384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47"/>
        </w:trPr>
        <w:tc>
          <w:tcPr>
            <w:tcW w:w="3840" w:type="dxa"/>
            <w:vAlign w:val="bottom"/>
            <w:tcBorders>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5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20,403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2916"/>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21,099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13,186</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47"/>
        </w:trPr>
        <w:tc>
          <w:tcPr>
            <w:tcW w:w="8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27,558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right="60" w:hanging="172"/>
        <w:spacing w:after="0" w:line="220" w:lineRule="auto"/>
        <w:tabs>
          <w:tab w:leader="none" w:pos="21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 xml:space="preserve">The Company is disputing this obligation, in addition to seeking other damages, in its lawsuit against the former stockholders of R.E.R. Enterprises, Inc. (“RER”) (see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Cash Equivalents and Restricted Cash</w:t>
      </w:r>
    </w:p>
    <w:p>
      <w:pPr>
        <w:spacing w:after="0" w:line="325" w:lineRule="exact"/>
        <w:rPr>
          <w:sz w:val="20"/>
          <w:szCs w:val="20"/>
          <w:color w:val="auto"/>
        </w:rPr>
      </w:pPr>
    </w:p>
    <w:p>
      <w:pPr>
        <w:ind w:right="260" w:firstLine="405"/>
        <w:spacing w:after="0" w:line="308" w:lineRule="auto"/>
        <w:rPr>
          <w:sz w:val="20"/>
          <w:szCs w:val="20"/>
          <w:color w:val="auto"/>
        </w:rPr>
      </w:pPr>
      <w:r>
        <w:rPr>
          <w:rFonts w:ascii="Arial" w:cs="Arial" w:eastAsia="Arial" w:hAnsi="Arial"/>
          <w:sz w:val="15"/>
          <w:szCs w:val="15"/>
          <w:color w:val="auto"/>
        </w:rPr>
        <w:t>T</w:t>
      </w:r>
      <w:r>
        <w:rPr>
          <w:rFonts w:ascii="Arial" w:cs="Arial" w:eastAsia="Arial" w:hAnsi="Arial"/>
          <w:sz w:val="17"/>
          <w:szCs w:val="17"/>
          <w:color w:val="auto"/>
        </w:rPr>
        <w:t>he following table provides a reconciliation of cash, cash equivalents, and restricted cash reported within the condensed consolidated balance sheets</w:t>
      </w:r>
      <w:r>
        <w:rPr>
          <w:rFonts w:ascii="Arial" w:cs="Arial" w:eastAsia="Arial" w:hAnsi="Arial"/>
          <w:sz w:val="15"/>
          <w:szCs w:val="15"/>
          <w:color w:val="auto"/>
        </w:rPr>
        <w:t xml:space="preserve"> </w:t>
      </w:r>
      <w:r>
        <w:rPr>
          <w:rFonts w:ascii="Arial" w:cs="Arial" w:eastAsia="Arial" w:hAnsi="Arial"/>
          <w:sz w:val="17"/>
          <w:szCs w:val="17"/>
          <w:color w:val="auto"/>
        </w:rPr>
        <w:t>that sum to the total of the same such amounts shown in the condensed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Restricted cash includes collateral requirements related to the Company’s corporate credit card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jc w:val="both"/>
        <w:ind w:right="100" w:firstLine="405"/>
        <w:spacing w:after="0" w:line="274" w:lineRule="auto"/>
        <w:rPr>
          <w:sz w:val="20"/>
          <w:szCs w:val="20"/>
          <w:color w:val="auto"/>
        </w:rPr>
      </w:pPr>
      <w:r>
        <w:rPr>
          <w:rFonts w:ascii="Arial" w:cs="Arial" w:eastAsia="Arial" w:hAnsi="Arial"/>
          <w:sz w:val="17"/>
          <w:szCs w:val="17"/>
          <w:color w:val="auto"/>
        </w:rPr>
        <w:t>The balances in goodwill and other intangible assets were primarily a result of the Company’s acquisitions of DigiCore Holdings Limited and RER and its wholly-owned subsidiary and principal operating asset, Feeney Wireless, LLC (which has been renamed Inseego North America, LLC) (“FW”).</w:t>
      </w:r>
    </w:p>
    <w:p>
      <w:pPr>
        <w:jc w:val="both"/>
        <w:ind w:right="80"/>
        <w:spacing w:after="0" w:line="261"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Annual Report on Form 10-K for the year ended December 31, 2017 for a discussion of the components of goodwill and additional information regarding other intangible assets.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ectPr>
          <w:pgSz w:w="11900" w:h="16838" w:orient="portrait"/>
          <w:cols w:equalWidth="0" w:num="1">
            <w:col w:w="11420"/>
          </w:cols>
          <w:pgMar w:left="240" w:top="553"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53"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1060" w:right="26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02"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2018.</w:t>
      </w:r>
    </w:p>
    <w:p>
      <w:pPr>
        <w:spacing w:after="0" w:line="208" w:lineRule="exact"/>
        <w:rPr>
          <w:sz w:val="20"/>
          <w:szCs w:val="20"/>
          <w:color w:val="auto"/>
        </w:rPr>
      </w:pPr>
    </w:p>
    <w:p>
      <w:pPr>
        <w:ind w:right="1360" w:firstLine="432"/>
        <w:spacing w:after="0" w:line="465" w:lineRule="auto"/>
        <w:rPr>
          <w:sz w:val="20"/>
          <w:szCs w:val="20"/>
          <w:color w:val="auto"/>
        </w:rPr>
      </w:pPr>
      <w:r>
        <w:rPr>
          <w:rFonts w:ascii="Arial" w:cs="Arial" w:eastAsia="Arial" w:hAnsi="Arial"/>
          <w:sz w:val="18"/>
          <w:szCs w:val="18"/>
          <w:color w:val="auto"/>
        </w:rPr>
        <w:t xml:space="preserve">The Company had no financial instruments measured at fair value on a recurring basis as of March 31, 2018 and December 31, 2017. </w:t>
      </w:r>
      <w:r>
        <w:rPr>
          <w:rFonts w:ascii="Arial" w:cs="Arial" w:eastAsia="Arial" w:hAnsi="Arial"/>
          <w:sz w:val="18"/>
          <w:szCs w:val="18"/>
          <w:b w:val="1"/>
          <w:bCs w:val="1"/>
          <w:i w:val="1"/>
          <w:iCs w:val="1"/>
          <w:color w:val="auto"/>
        </w:rPr>
        <w:t>Other Financial Instruments</w:t>
      </w:r>
    </w:p>
    <w:p>
      <w:pPr>
        <w:spacing w:after="0" w:line="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$86.8 million and $84.8 million as of March 31, 2018 and December 31, 2017,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 Credit Agreements</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w:t>
      </w:r>
    </w:p>
    <w:p>
      <w:pPr>
        <w:ind w:right="120"/>
        <w:spacing w:after="0" w:line="255" w:lineRule="auto"/>
        <w:rPr>
          <w:sz w:val="20"/>
          <w:szCs w:val="20"/>
          <w:color w:val="auto"/>
        </w:rPr>
      </w:pPr>
      <w:r>
        <w:rPr>
          <w:rFonts w:ascii="Arial" w:cs="Arial" w:eastAsia="Arial" w:hAnsi="Arial"/>
          <w:sz w:val="18"/>
          <w:szCs w:val="18"/>
          <w:color w:val="auto"/>
        </w:rPr>
        <w:t>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44"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20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the Company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3"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at March 31, 2018 and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44,428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effective interest rate on the Term Loan was 13.21% for the three months ended March 31, 2018. The following table sets forth total interest expense recognized related to the Term Loan during the three months ended March 31,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4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333</w:t>
            </w:r>
          </w:p>
        </w:tc>
      </w:tr>
      <w:tr>
        <w:trPr>
          <w:trHeight w:val="33"/>
        </w:trPr>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44"/>
        </w:trPr>
        <w:tc>
          <w:tcPr>
            <w:tcW w:w="1018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1,467</w:t>
            </w:r>
          </w:p>
        </w:tc>
      </w:tr>
      <w:tr>
        <w:trPr>
          <w:trHeight w:val="20"/>
        </w:trPr>
        <w:tc>
          <w:tcPr>
            <w:tcW w:w="10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0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(as amended, the “Novatel Wireless Indenture”), between Novatel Wireless, as issuer, Inseego Corp. and Wilmington Trust, National Association, as trustee.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the approximately $119.8 million aggregate principal amount of outstanding Novatel Wireless Notes that were validly tendered and accepted for exchange and subsequently canceled.</w:t>
      </w:r>
    </w:p>
    <w:p>
      <w:pPr>
        <w:spacing w:after="0" w:line="262"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ectPr>
          <w:pgSz w:w="11900" w:h="16838" w:orient="portrait"/>
          <w:cols w:equalWidth="0" w:num="1">
            <w:col w:w="11420"/>
          </w:cols>
          <w:pgMar w:left="240" w:top="553"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53"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certain limited circumstances which are described in the Inseego Indenture, the Company may redeem all or a portion of the Inseego Notes at its option on or after June 15, 2018,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28"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9"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The Inseego Indenture also provides for customary events of default. Upon the occurrence of certain events of bankruptcy, insolvency or reorganization involving the Company, 100% of the principal and accrued and unpaid interest of the Inseego Notes will automatically become immediately due and payable.</w:t>
      </w:r>
    </w:p>
    <w:p>
      <w:pPr>
        <w:spacing w:after="0" w:line="23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00" w:firstLine="392"/>
        <w:spacing w:after="0" w:line="259" w:lineRule="auto"/>
        <w:rPr>
          <w:sz w:val="20"/>
          <w:szCs w:val="20"/>
          <w:color w:val="auto"/>
        </w:rPr>
      </w:pPr>
      <w:r>
        <w:rPr>
          <w:rFonts w:ascii="Arial" w:cs="Arial" w:eastAsia="Arial" w:hAnsi="Arial"/>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at March 31, 2018 and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(18,282)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(20,352)</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86,843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84,773</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16.19% for the three months ended March 31, 2018. The following table sets forth total interest expense recognized related to the Convertible Notes during the three months ended March 31, 2018 and 2017 (in thousands):</w:t>
      </w:r>
    </w:p>
    <w:p>
      <w:pPr>
        <w:spacing w:after="0" w:line="6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2,217</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3,998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199</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709</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6,356,203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3,877,000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(146,039)</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(3,520,681)</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6,566,483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170,642</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(471,792)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(322,480)</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5,942,853</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March 31, 2018</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1,929,868</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At March 31, 2018, total unrecognized compensation expense related to stock options was $2.1 million, which is expected to be recognized over a weighted-average period of 1.33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1140" w:type="dxa"/>
            <w:vAlign w:val="bottom"/>
          </w:tcPr>
          <w:p>
            <w:pPr>
              <w:spacing w:after="0"/>
              <w:rPr>
                <w:sz w:val="18"/>
                <w:szCs w:val="18"/>
                <w:color w:val="auto"/>
              </w:rPr>
            </w:pPr>
          </w:p>
        </w:tc>
      </w:tr>
      <w:tr>
        <w:trPr>
          <w:trHeight w:val="234"/>
        </w:trPr>
        <w:tc>
          <w:tcPr>
            <w:tcW w:w="1026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621"/>
        </w:trPr>
        <w:tc>
          <w:tcPr>
            <w:tcW w:w="1026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1140" w:type="dxa"/>
            <w:vAlign w:val="bottom"/>
          </w:tcPr>
          <w:p>
            <w:pPr>
              <w:spacing w:after="0"/>
              <w:rPr>
                <w:sz w:val="24"/>
                <w:szCs w:val="24"/>
                <w:color w:val="auto"/>
              </w:rPr>
            </w:pPr>
          </w:p>
        </w:tc>
      </w:tr>
      <w:tr>
        <w:trPr>
          <w:trHeight w:val="297"/>
        </w:trPr>
        <w:tc>
          <w:tcPr>
            <w:tcW w:w="10260" w:type="dxa"/>
            <w:vAlign w:val="bottom"/>
          </w:tcPr>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2,975,800</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1,480,301</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(1,193,721)</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(2,206,403)</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1,055,977</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258,863</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(179,718)</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(58,543)</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March 31,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1,076,579</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At March 31, 2018, total unrecognized compensation expense related to RSUs was $1.2 million, which is expected to be recognized over a weighted-average period of 2.17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share and per share data):</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60,721,518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57,480,210</w:t>
            </w:r>
          </w:p>
        </w:tc>
      </w:tr>
      <w:tr>
        <w:trPr>
          <w:trHeight w:val="47"/>
        </w:trPr>
        <w:tc>
          <w:tcPr>
            <w:tcW w:w="8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For the three months ended March 31, 2018, the computation of diluted EPS excluded 8,906,062 shares related to warrants, stock options and RSUs as their effect would have been anti-dilutive. For the three months ended March 31, 2017, the computation of diluted EPS excluded 9,934,698 shares related to warrants, stock options and RSUs as their effect would have been anti-dilutive.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30,106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39,355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9,822</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6,212</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46,733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55,389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For the three months ended March 31, 2018, one customer accounted for 48.9% of net revenues. For the three months ended March 31, 2017, one customer accounted for 53.9% of net revenues.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one customer accounted for 26.1% of accounts receivable, net.</w:t>
      </w:r>
    </w:p>
    <w:p>
      <w:pPr>
        <w:spacing w:after="0" w:line="329" w:lineRule="exact"/>
        <w:rPr>
          <w:sz w:val="20"/>
          <w:szCs w:val="20"/>
          <w:color w:val="auto"/>
        </w:rPr>
      </w:pPr>
    </w:p>
    <w:p>
      <w:pPr>
        <w:ind w:right="8660" w:firstLine="8"/>
        <w:spacing w:after="0" w:line="376"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3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8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May 27, 2015, a patent infringement action was brought against Novatel Wireless by Carucel Investments, L.P. (“Carucel”), a non-practicing entity (</w:t>
      </w:r>
      <w:r>
        <w:rPr>
          <w:rFonts w:ascii="Arial" w:cs="Arial" w:eastAsia="Arial" w:hAnsi="Arial"/>
          <w:sz w:val="16"/>
          <w:szCs w:val="16"/>
          <w:i w:val="1"/>
          <w:iCs w:val="1"/>
          <w:color w:val="auto"/>
        </w:rPr>
        <w:t>Carucel Investments, L.P. v. Novatel Wireless, Inc., et al., U.S.D.C. S.D. Florida, Civil Action No. 0:15-cv-61116-BB</w:t>
      </w:r>
      <w:r>
        <w:rPr>
          <w:rFonts w:ascii="Arial" w:cs="Arial" w:eastAsia="Arial" w:hAnsi="Arial"/>
          <w:sz w:val="16"/>
          <w:szCs w:val="16"/>
          <w:color w:val="auto"/>
        </w:rPr>
        <w:t>). The complaint alleged that certain MiFi mobile hotspots manufactured by Novatel Wireless infringed claims of patents owned by Carucel. On April 10, 2017, judgment was entered in favor of Novatel Wireless. Carucel has filed to appeal certain orders in the litigation. The Company does not believe there is merit to an appeal by Carucel and intends to vigorously defend the appeal. However, there can be no assurance as to the ultimate outcome of any appeal or other future judgment in this case, and an adverse judgment could have a material adverse effect on the Company’s consolidated results of operations or financial condition.</w:t>
      </w:r>
    </w:p>
    <w:p>
      <w:pPr>
        <w:spacing w:after="0" w:line="1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The Company has suspended payments owed to the former stockholders of RER under an amended merger agreement and earn-out arrangement, pursuant to which the Company would have been required to pay an additional $15.8 million in cash and 1,946,666 shares of the Company’s common stock pending the outcome of this litigation. There can be no assurance as to the ultimate outcome of the future judgment in this case, and an adverse judgment could have a material adverse effect on the Company’s consolidated results of operations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income tax provision of $0.4 million and $0.3 million for the three months ended March 31, 2018 and 2017, respectively, consists primarily of foreign income taxes at certain of the Company’s international entities and minimum state taxes for its U.S.-based entities. The Company’s income tax expense is significantly higher than the expected statutory rate tax expense due primarily to losses at U.S. and international subsidiaries whose net operating losses are fully reserved.</w:t>
      </w:r>
    </w:p>
    <w:p>
      <w:pPr>
        <w:spacing w:after="0" w:line="29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December 22, 2017, the Tax Cuts and Jobs Act (the “Tax Act”) significantly revised the U.S. corporate income tax law, by among other things, reducing the corporate income tax rate to 21% for tax years beginning in 2018, limiting the deduction for interest expense, implementing a modified territorial system that includes a one-time transition tax on deemed repatriated earnings of foreign subsidiaries, and creating new taxes on certain foreign sourced earnings.</w:t>
      </w:r>
    </w:p>
    <w:p>
      <w:pPr>
        <w:spacing w:after="0" w:line="29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 xml:space="preserve">In 2017, in accordance with the SEC issued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(“SAB 118”), the Company recorded provisional estimates related to the Tax Act. The Company continues to analyze the Tax Act, and in certain areas, has made reasonable estimates of the effects on its condensed consolidated financial statements and tax disclosures. The ultimate impact may differ from these provisional amounts due to, among other things, additional analysis, changes in interpretations and assumptions the Company has made, additional Internal Revenue Service guidance that may be issued and actions it may take as a result of the Tax Act. The accounting is expected to be complete when the Company’s 2017 U.S. corporate income tax return is filed in the fourth quarter of 2018.</w:t>
      </w:r>
    </w:p>
    <w:p>
      <w:pPr>
        <w:spacing w:after="0" w:line="28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Further, the Tax Act includes U.S. taxation on foreign intangible income, effective January 1, 2018. The FASB allows an entity to make an accounting policy election to either recognize deferred taxes for temporary basis differences expected to</w:t>
      </w:r>
    </w:p>
    <w:p>
      <w:pPr>
        <w:sectPr>
          <w:pgSz w:w="11900" w:h="16838" w:orient="portrait"/>
          <w:cols w:equalWidth="0" w:num="1">
            <w:col w:w="11400"/>
          </w:cols>
          <w:pgMar w:left="240" w:top="553"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553" w:right="2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reverse as foreign intangible income in future years or provide for the tax expense related to the foreign intangible income as a period cost in the year it is incurred. The Company has not recorded any provisional amount for deferred taxes on the foreign intangible income because it is still collecting and analyzing the data needed to make the accounting policy election.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$6.2 million and be completed when the Richardson, TX lease expires in June 2020.</w:t>
      </w:r>
    </w:p>
    <w:p>
      <w:pPr>
        <w:spacing w:after="0" w:line="2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the first and second quarters of 2017, the Company commenced certain restructuring initiatives intended to continue to improve its strategic focus on its most profitable business lines and consolidate operations of its subsidiaries with those of the Company, including reductions-in-force, further reorganization of executive level management and the consolidation of certain of its facilities (the “2017 Initiatives”). The 2017 Initiatives are expected to cost a total of approximately $4.4 million and be completed in May 2018.</w:t>
      </w:r>
    </w:p>
    <w:p>
      <w:pPr>
        <w:spacing w:after="0" w:line="29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the first quarter of 2018, the Company commenced certain restructuring initiatives intended to continue to consolidate operations of its subsidiaries with those of the Company, including reductions-in-force and the consolidation of certain of its facilities (the “2018 Initiatives”). The 2018 Initiatives are expected to cost a total of approximately $0.9 million and to be completed in June 2018.</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three months ended March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w w:val="86"/>
              </w:rPr>
              <w:t>Cumulative Costs</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2017</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31, 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Incurred to Date</w:t>
            </w:r>
          </w:p>
        </w:tc>
      </w:tr>
      <w:tr>
        <w:trPr>
          <w:trHeight w:val="203"/>
        </w:trPr>
        <w:tc>
          <w:tcPr>
            <w:tcW w:w="320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4,131</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899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1,761</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03"/>
        </w:trPr>
        <w:tc>
          <w:tcPr>
            <w:tcW w:w="3200" w:type="dxa"/>
            <w:vAlign w:val="bottom"/>
            <w:gridSpan w:val="3"/>
          </w:tcPr>
          <w:p>
            <w:pPr>
              <w:ind w:left="40"/>
              <w:spacing w:after="0"/>
              <w:rPr>
                <w:sz w:val="20"/>
                <w:szCs w:val="20"/>
                <w:color w:val="auto"/>
              </w:rPr>
            </w:pPr>
            <w:r>
              <w:rPr>
                <w:rFonts w:ascii="Arial" w:cs="Arial" w:eastAsia="Arial" w:hAnsi="Arial"/>
                <w:sz w:val="16"/>
                <w:szCs w:val="16"/>
                <w:b w:val="1"/>
                <w:bCs w:val="1"/>
                <w:color w:val="auto"/>
              </w:rPr>
              <w:t>2017 Initiatives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3,412</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285</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634</w:t>
            </w:r>
          </w:p>
        </w:tc>
      </w:tr>
      <w:tr>
        <w:trPr>
          <w:trHeight w:val="297"/>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 Initiatives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202</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10,425</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balance of the restructuring liability at March 31, 2018 consists of approximately $0.7 million in current liabilities and $0.5 million in long-term liabilities.</w:t>
      </w:r>
    </w:p>
    <w:p>
      <w:pPr>
        <w:spacing w:after="0" w:line="11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 xml:space="preserve">During the three months ended March 31, 2018, the Company wrote down the value of certain inventory by approximately $0.6 million related to the abandonment of certain product lines that management decided to exit. The Company accounted for the adjustment in accordance with the ASC 330, </w:t>
      </w:r>
      <w:r>
        <w:rPr>
          <w:rFonts w:ascii="Arial" w:cs="Arial" w:eastAsia="Arial" w:hAnsi="Arial"/>
          <w:sz w:val="18"/>
          <w:szCs w:val="18"/>
          <w:i w:val="1"/>
          <w:iCs w:val="1"/>
          <w:color w:val="auto"/>
        </w:rPr>
        <w:t>Inventory</w:t>
      </w:r>
      <w:r>
        <w:rPr>
          <w:rFonts w:ascii="Arial" w:cs="Arial" w:eastAsia="Arial" w:hAnsi="Arial"/>
          <w:sz w:val="18"/>
          <w:szCs w:val="18"/>
          <w:color w:val="auto"/>
        </w:rPr>
        <w:t>, and included the adjustment in impairment of abandoned product line, net of recoveries, within cost of net revenues in the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w:t>
      </w:r>
      <w:r>
        <w:rPr>
          <w:rFonts w:ascii="Arial" w:cs="Arial" w:eastAsia="Arial" w:hAnsi="Arial"/>
          <w:sz w:val="18"/>
          <w:szCs w:val="18"/>
          <w:i w:val="1"/>
          <w:iCs w:val="1"/>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3" w:right="2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34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benefits of our recent reorganization transactions;</w:t>
      </w:r>
    </w:p>
    <w:p>
      <w:pPr>
        <w:spacing w:after="0" w:line="225" w:lineRule="exact"/>
        <w:rPr>
          <w:rFonts w:ascii="Arial" w:cs="Arial" w:eastAsia="Arial" w:hAnsi="Arial"/>
          <w:sz w:val="18"/>
          <w:szCs w:val="18"/>
          <w:color w:val="auto"/>
        </w:rPr>
      </w:pPr>
    </w:p>
    <w:p>
      <w:pPr>
        <w:ind w:left="620" w:right="44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62" w:lineRule="exact"/>
        <w:rPr>
          <w:rFonts w:ascii="Arial" w:cs="Arial" w:eastAsia="Arial" w:hAnsi="Arial"/>
          <w:sz w:val="18"/>
          <w:szCs w:val="18"/>
          <w:color w:val="auto"/>
        </w:rPr>
      </w:pPr>
    </w:p>
    <w:p>
      <w:pPr>
        <w:ind w:left="620" w:right="68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Internet of Things (“IoT”) markets;</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ectPr>
          <w:pgSz w:w="11900" w:h="16838" w:orient="portrait"/>
          <w:cols w:equalWidth="0" w:num="1">
            <w:col w:w="11340"/>
          </w:cols>
          <w:pgMar w:left="240" w:top="796" w:right="319" w:bottom="1149"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796" w:right="319" w:bottom="1149" w:gutter="0" w:footer="0" w:header="0"/>
          <w:type w:val="continuous"/>
        </w:sectPr>
      </w:pPr>
    </w:p>
    <w:bookmarkStart w:id="20" w:name="page21"/>
    <w:bookmarkEnd w:id="20"/>
    <w:p>
      <w:pPr>
        <w:jc w:val="both"/>
        <w:ind w:right="20"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2017.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“Inseego” and the Inseego logo are trademarks or registered trademarks of Inseego. “Novatel Wireless”, the Novatel Wireless logo, “MiFi”, “MiFi Intelligent Mobile Hotspot” and “MiFi Freedom. My Way.” are trademarks or registered trademarks of Novatel Wireless, Inc. (“Novatel Wireless”). “DigiCore”, “Ctrack” and the Ctrack logo are trademarks or registered trademarks of DigiCore Holdings Limited (“DigiCore” or “Ctrack”). “Inseego North America”, “Skyus” and “Crossroads” are trademarks or registered trademarks of Inseego North America, LLC. Other trademarks, trade names or service marks used in this report are the property of their respective owners.</w:t>
      </w:r>
    </w:p>
    <w:p>
      <w:pPr>
        <w:spacing w:after="0" w:line="29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30" w:right="339" w:bottom="1440" w:gutter="0" w:footer="0" w:header="0"/>
        </w:sectPr>
      </w:pPr>
    </w:p>
    <w:bookmarkStart w:id="21" w:name="page22"/>
    <w:bookmarkEnd w:id="21"/>
    <w:p>
      <w:pPr>
        <w:ind w:right="10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2017, contained in our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Inseego is a leader in the design and development of products and solutions that enable high performance mobile applications for large enterprise verticals, service providers and small and medium-sized businesses around the globe. Our product portfolio consists of enterprise SaaS solutions and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Our solutions are powered by our key innovations in purpose built SaaS cloud platforms, IoT and mobile technologies, including the newly emerging 5G technology.</w:t>
      </w:r>
    </w:p>
    <w:p>
      <w:pPr>
        <w:spacing w:after="0" w:line="2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and commitment to quality and innovation that makes us a preferred global partner of service providers, distributors, value-added resellers, system integrators, enterprises, small and medium-sized businesses and consumers.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Inseego sells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(“DMS”), a hosted SaaS platform that helps organizations manage the selection, deployment and spend of their wireless assets by helping them to save money on personnel and telecom expenses.</w:t>
      </w:r>
    </w:p>
    <w:p>
      <w:pPr>
        <w:spacing w:after="0" w:line="2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provide intelligent wireless hardware products for the worldwide mobile communications and industrial IoT markets. Our hardware products address multiple vertical markets including fleet and commercial telematics, after-market telematics, smart city infrastructure management, remote monitoring and control, security and connected home and wireless surveillance systems. Our broad range of products principally includes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 remotely. Our products currently operate on every major cellular wireless technology platform. Our mobile hotspots, sold under the MiFi brand, are actively used by millions of customers to provide subscribers with secure and convenient high-speed access to corporate, public and personal information through the Internet and enterprise networks. Our wireless routers and USB modems serve as gateways to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86"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 the U.S., as well as distributors and various companies in other vertical markets and geographies.</w:t>
      </w:r>
    </w:p>
    <w:p>
      <w:pPr>
        <w:spacing w:after="0" w:line="28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and through distributors. The customer base for our wireless router products is comprised of transportation companies, industrial enterprises, manufacturers, application service providers, system integrators and distributors in various industries, including fleet and vehicle transportation, aviation, energy and industrial automation, security and safety, medical monitoring and government. Integrated telematics devices are also sold by Ctrack and provided as part of the integrated Ctrack SaaS solution.</w:t>
      </w:r>
    </w:p>
    <w:p>
      <w:pPr>
        <w:spacing w:after="0" w:line="29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the first quarter of 2018, the Company restructured its net revenues into two distinct product groupings, specifically IoT &amp; Mobile Solutions and Enterprise SaaS Solutions. IoT &amp; Mobile Solutions is comprised of intelligent hotspot and</w:t>
      </w:r>
    </w:p>
    <w:p>
      <w:pPr>
        <w:sectPr>
          <w:pgSz w:w="11900" w:h="16838" w:orient="portrait"/>
          <w:cols w:equalWidth="0" w:num="1">
            <w:col w:w="11400"/>
          </w:cols>
          <w:pgMar w:left="240" w:top="476"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76" w:right="259" w:bottom="1440" w:gutter="0" w:footer="0" w:header="0"/>
          <w:type w:val="continuous"/>
        </w:sectPr>
      </w:pPr>
    </w:p>
    <w:bookmarkStart w:id="22" w:name="page23"/>
    <w:bookmarkEnd w:id="22"/>
    <w:p>
      <w:pPr>
        <w:jc w:val="both"/>
        <w:ind w:right="600"/>
        <w:spacing w:after="0" w:line="264" w:lineRule="auto"/>
        <w:rPr>
          <w:sz w:val="20"/>
          <w:szCs w:val="20"/>
          <w:color w:val="auto"/>
        </w:rPr>
      </w:pPr>
      <w:r>
        <w:rPr>
          <w:rFonts w:ascii="Arial" w:cs="Arial" w:eastAsia="Arial" w:hAnsi="Arial"/>
          <w:sz w:val="18"/>
          <w:szCs w:val="18"/>
          <w:color w:val="auto"/>
        </w:rPr>
        <w:t>industrial IoT products including the MiFi and Skyus branded products and solutions. Enterprise SaaS Solutions is comprised of the Ctrack telematics platforms, which provide fleet, vehicle, aviation, asset and other telematics applications and DMS. Both IoT &amp; Mobile Solutions and Enterprise SaaS Solutions include hardware and software required for their respective solution.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tier-one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6"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ectPr>
          <w:pgSz w:w="11900" w:h="16838" w:orient="portrait"/>
          <w:cols w:equalWidth="0" w:num="1">
            <w:col w:w="11420"/>
          </w:cols>
          <w:pgMar w:left="240" w:top="53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0" w:right="239" w:bottom="1440" w:gutter="0" w:footer="0" w:header="0"/>
          <w:type w:val="continuous"/>
        </w:sectPr>
      </w:pPr>
    </w:p>
    <w:bookmarkStart w:id="23" w:name="page24"/>
    <w:bookmarkEnd w:id="23"/>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 as well as discontinued operations if any.</w:t>
      </w:r>
    </w:p>
    <w:p>
      <w:pPr>
        <w:spacing w:after="0" w:line="2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Annual Report on Form 10-K for the year ended December 31, 2017,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Annual Report on Form 10-K for the year ended December 31, 2017. The accounting principles used in preparing our unaudited condensed consolidated financial statements conform in all material respects to accounting principles generally accepted in the U.S. Significant changes to our accounting policies as a result of adopting the new revenue recognition guidance on January 1, 2018 are discussed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Significant changes to our accounting policies, as a result of adopting the new revenue recognition guidance on January 1, 2018, are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Internet of Things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2018 and 2017, net revenues by product grouping were as follows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38,762</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16,627</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55,389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months ended March 31, 2018 and 2017, net revenues by geographic region based on shipping destination were as follows (in thousands):</w:t>
      </w:r>
    </w:p>
    <w:p>
      <w:pPr>
        <w:spacing w:after="0" w:line="186"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30,106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39,355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9,822</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6,212</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46,733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55,389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ind w:right="8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is comprised of the Ctrack telematics platforms, which provide fleet vehicle, aviation ground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and asset tracking and performance information, and other telematics applications, and DMS.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are not affected by contingent events that could impact the transaction price. The Company does not offer price concessions and does not accept payment that is less than the price stated when it accepts the purchase order, except in rare credit-related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SaaS and Other Services. </w:t>
      </w:r>
      <w:r>
        <w:rPr>
          <w:rFonts w:ascii="Arial" w:cs="Arial" w:eastAsia="Arial" w:hAnsi="Arial"/>
          <w:sz w:val="18"/>
          <w:szCs w:val="18"/>
          <w:color w:val="auto"/>
        </w:rPr>
        <w:t>SaaS subscription revenue is recognized over time on a ratable basis over the contract term beginning on the date that its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w:t>
      </w:r>
    </w:p>
    <w:p>
      <w:pPr>
        <w:sectPr>
          <w:pgSz w:w="11900" w:h="16838" w:orient="portrait"/>
          <w:cols w:equalWidth="0" w:num="1">
            <w:col w:w="11400"/>
          </w:cols>
          <w:pgMar w:left="240" w:top="530" w:right="25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530" w:right="259" w:bottom="1440" w:gutter="0" w:footer="0" w:header="0"/>
          <w:type w:val="continuous"/>
        </w:sectPr>
      </w:pPr>
    </w:p>
    <w:bookmarkStart w:id="25" w:name="page26"/>
    <w:bookmarkEnd w:id="25"/>
    <w:p>
      <w:pPr>
        <w:spacing w:after="0" w:line="257" w:lineRule="auto"/>
        <w:rPr>
          <w:sz w:val="20"/>
          <w:szCs w:val="20"/>
          <w:color w:val="auto"/>
        </w:rPr>
      </w:pPr>
      <w:r>
        <w:rPr>
          <w:rFonts w:ascii="Arial" w:cs="Arial" w:eastAsia="Arial" w:hAnsi="Arial"/>
          <w:sz w:val="18"/>
          <w:szCs w:val="18"/>
          <w:color w:val="auto"/>
        </w:rPr>
        <w:t xml:space="preserve">point in time as discussed above in the hardware revenue recognition disclosure. If the customer chooses to lease the monitoring device, the Company recognizes the revenue for the monitoring device over the term of the contract. The Company records such revenue in accordance with the Financial Accounting Standards Board (the “FASB”)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as it has determined that they qualify as operating leases (ownership of the device does not transfer to the other party). For the three months ended March 31, 2018, the Company recognized revenues of approximately $2.2 million under ASC 840.</w:t>
      </w:r>
    </w:p>
    <w:p>
      <w:pPr>
        <w:spacing w:after="0" w:line="296"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20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March 31,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The Company considered the performance obligations in its</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30" w:right="239" w:bottom="1440" w:gutter="0" w:footer="0" w:header="0"/>
          <w:type w:val="continuous"/>
        </w:sectPr>
      </w:pPr>
    </w:p>
    <w:bookmarkStart w:id="26" w:name="page27"/>
    <w:bookmarkEnd w:id="26"/>
    <w:p>
      <w:pPr>
        <w:ind w:right="80"/>
        <w:spacing w:after="0" w:line="277" w:lineRule="auto"/>
        <w:rPr>
          <w:sz w:val="20"/>
          <w:szCs w:val="20"/>
          <w:color w:val="auto"/>
        </w:rPr>
      </w:pPr>
      <w:r>
        <w:rPr>
          <w:rFonts w:ascii="Arial" w:cs="Arial" w:eastAsia="Arial" w:hAnsi="Arial"/>
          <w:sz w:val="18"/>
          <w:szCs w:val="18"/>
          <w:color w:val="auto"/>
        </w:rPr>
        <w:t>customer master supply agreements and determined that, for the majority of its revenue the Company generally satisfies performance obligations at a point in time upon delivery of the product to the customer.</w:t>
      </w:r>
    </w:p>
    <w:p>
      <w:pPr>
        <w:spacing w:after="0" w:line="27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Revenue from the Company’s subscription services is recognized over time on a ratable basis over the contract term beginning on the date that the service is made available to the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Transition Disclosures</w:t>
      </w:r>
    </w:p>
    <w:p>
      <w:pPr>
        <w:spacing w:after="0" w:line="3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and is not expected to have a material impact in future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March 31, 2018 were $46.7 million, compared to $55.4 million for the same period in 2017.</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38,762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decreased sales within our legacy MiFi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improved IoT sales.</w:t>
      </w:r>
    </w:p>
    <w:p>
      <w:pPr>
        <w:spacing w:after="0" w:line="22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increase in Enterprise SaaS Solutions net revenues is primarily a result of improved sales of our Ctrack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2018 was $31.2 million, or 66.7% of net revenues, compared to $39.2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70.8% of net revenues, for the same period in 2017.</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cost of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IoT &amp; Mobile Solutions</w:t>
            </w:r>
          </w:p>
        </w:tc>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23,752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24"/>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7"/>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31,190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39,203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30" w:right="239" w:bottom="1440" w:gutter="0" w:footer="0" w:header="0"/>
          <w:type w:val="continuous"/>
        </w:sectPr>
      </w:pPr>
    </w:p>
    <w:bookmarkStart w:id="27" w:name="page28"/>
    <w:bookmarkEnd w:id="27"/>
    <w:p>
      <w:pPr>
        <w:ind w:right="30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within our legacy MiFi</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w:t>
      </w:r>
    </w:p>
    <w:p>
      <w:pPr>
        <w:spacing w:after="0" w:line="2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cost of net revenues is primarily a result of improved margins on our Ctrack brand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2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i w:val="1"/>
          <w:iCs w:val="1"/>
          <w:color w:val="auto"/>
        </w:rPr>
        <w:t>Impairment of abandoned product line</w:t>
      </w:r>
      <w:r>
        <w:rPr>
          <w:rFonts w:ascii="Arial" w:cs="Arial" w:eastAsia="Arial" w:hAnsi="Arial"/>
          <w:sz w:val="18"/>
          <w:szCs w:val="18"/>
          <w:color w:val="auto"/>
        </w:rPr>
        <w:t>. The impairment of abandoned product line reflects the additional write down of certain inventory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lines which were abandoned during the fourth quarter of 2016.</w:t>
      </w:r>
    </w:p>
    <w:p>
      <w:pPr>
        <w:spacing w:after="0" w:line="22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2018 was $15.5 million, or a gross margin of 33.3%, compared to $16.2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29.2%, for the same period in 2017. The decrease in gross profit was primarily a result of the changes in net revenues and cost of net revenues as discussed above. The increase in gross margin was primarily a result of the decreased sales of our lower-margin legacy MiFi business and increased sales of and improved margins on our higher-margin Ctrack branded products.</w:t>
      </w:r>
    </w:p>
    <w:p>
      <w:pPr>
        <w:spacing w:after="0" w:line="24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2018 were $5.0 million, or 10.6%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$6.3 million, or 11.4% of net revenues, for the same period in 2017. The decrease was primarily a result of our cost containment initiatives, including reductions in our workforce over the past 24 months.</w:t>
      </w:r>
    </w:p>
    <w:p>
      <w:pPr>
        <w:spacing w:after="0" w:line="23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2018 were $5.4 million, or 11.6%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$7.2 million, or 12.9% of net revenues, for the same period in 2017. The decrease was primarily a result of our cost containment initiatives, including reductions in our workforce over the past 24 months.</w:t>
      </w:r>
    </w:p>
    <w:p>
      <w:pPr>
        <w:spacing w:after="0" w:line="23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three months ended March 31, 2018 were $6.5 million, or 13.9%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revenues, compared to $12.0 million, or 21.7% of net revenues, for the same period in 2017. General and administrative expenses decreased for the three months ended March 31, 2018 primarily as a result of non-recurring legal costs incurred during the three months ended March 31, 2017 and our cost containment initiatives, including reductions in our workforce over the past 24 months.</w:t>
      </w:r>
    </w:p>
    <w:p>
      <w:pPr>
        <w:spacing w:after="0" w:line="221"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2018 and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million and $0.9 million, respectively.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Restructuring charges, net of recoveries. </w:t>
      </w:r>
      <w:r>
        <w:rPr>
          <w:rFonts w:ascii="Arial" w:cs="Arial" w:eastAsia="Arial" w:hAnsi="Arial"/>
          <w:sz w:val="17"/>
          <w:szCs w:val="17"/>
          <w:color w:val="auto"/>
        </w:rPr>
        <w:t>Restructuring charges, net of recoveries, for the three months ended March 31, 2018 and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$0.8 million, respectively, and predominantly consisted of severance costs incurred in connection with the reduction of our workforce,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facility exit related costs.</w:t>
      </w:r>
    </w:p>
    <w:p>
      <w:pPr>
        <w:spacing w:after="0" w:line="26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March 31, 2018 and 2017 was $5.1 million and $4.2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expense is primarily a result of the interest expense and amortization of the debt discount and debt issuance costs related to our Term Loan, as discussed below.</w:t>
      </w:r>
    </w:p>
    <w:p>
      <w:pPr>
        <w:spacing w:after="0" w:line="23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three months ended March 31, 2018 was $0.1 million, compared to other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for the same period in 2017, which primarily related to foreign currency transaction gains and losses.</w:t>
      </w:r>
    </w:p>
    <w:p>
      <w:pPr>
        <w:spacing w:after="0" w:line="19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March 31, 2018 and 2017 was $0.4 million and $0.3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primarily related to certain of our profitable entities in foreign jurisdictions.</w:t>
      </w:r>
    </w:p>
    <w:p>
      <w:pPr>
        <w:spacing w:after="0" w:line="2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interests. </w:t>
      </w:r>
      <w:r>
        <w:rPr>
          <w:rFonts w:ascii="Arial" w:cs="Arial" w:eastAsia="Arial" w:hAnsi="Arial"/>
          <w:sz w:val="18"/>
          <w:szCs w:val="18"/>
          <w:color w:val="auto"/>
        </w:rPr>
        <w:t>Net loss attributable to noncontrolling interests was $10,000 and $14,000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Agreements</w:t>
      </w:r>
    </w:p>
    <w:p>
      <w:pPr>
        <w:spacing w:after="0" w:line="198"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w:t>
      </w:r>
    </w:p>
    <w:p>
      <w:pPr>
        <w:sectPr>
          <w:pgSz w:w="11900" w:h="16838" w:orient="portrait"/>
          <w:cols w:equalWidth="0" w:num="1">
            <w:col w:w="11400"/>
          </w:cols>
          <w:pgMar w:left="240" w:top="530" w:right="25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530" w:right="259" w:bottom="1440" w:gutter="0" w:footer="0" w:header="0"/>
          <w:type w:val="continuous"/>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Company from time to time. In exchange for such accommodations, the aggregate amount available under the Revolver was decreased from $48.0 million to $10.0 million.</w:t>
      </w:r>
    </w:p>
    <w:p>
      <w:pPr>
        <w:spacing w:after="0" w:line="2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we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 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287" w:lineRule="exact"/>
        <w:rPr>
          <w:sz w:val="20"/>
          <w:szCs w:val="20"/>
          <w:color w:val="auto"/>
        </w:rPr>
      </w:pPr>
    </w:p>
    <w:p>
      <w:pPr>
        <w:jc w:val="both"/>
        <w:ind w:right="4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1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the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23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exchange of the Novatel Wireless Notes for the Inseego Notes was treated as a debt modification in accordance with applicable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Inseego Notes will mature on June 15, 2022, unless earlier converted, redeemed or repurchased. The Inseego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will be convertible into cash, shares of our common stock, or a combination thereof, at our election, at an initial conversion price of $4.70 per share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6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104,875</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Merger Agreement</w:t>
      </w:r>
    </w:p>
    <w:p>
      <w:pPr>
        <w:spacing w:after="0" w:line="22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 xml:space="preserve">Pursuant to the amended merger agreement with respect to our acquisition of R.E.R. Enterprises, Inc. and its wholly-owned subsidiary and principal operating asset, Feeney Wireless, LLC (which has been renamed Inseego North America, LLC) (“FW”), the Company agreed to pay a total of $15.0 million in deferred purchase price in five cash installments over a four-year period, beginning in March 2016. The Company also agreed to pay a total of approximately $6.1 million in cash over a four-year period, beginning in March 2016, of which approximately $4.6 million remains unpaid, related to the earn-out provisions of the amended merger agreement. As of the filing date of this report, the March 2017 and March 2018 cash installments of $5.3 million each have not been paid and the Company is disputing its obligation to make such payments and any future payments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(1,714)</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9,894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$4.4 million for the three months ended March 31, 2018, compared to net cash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activities of $3.2 million for the same period in 2017. Net cash used in operating activities for the three months ended March 31, 2018 was primarily attributable to the net loss in the period and net cash used in working capital, partially offset by non-cash charges for depreciation and amortization, including the amortization of debt discount and debt issuance costs, loss on impairment of abandoned product line, provision for excess and obsolete inventory and share-based compensation expense. Net cash used in operating activities for the three months ended March 31, 2017 was primarily attributable to the net loss in the period, partially offset by net cash provided by working capital and non-cash charges for depreciation and amortization, including the amortization of debt discount and debt issuance costs, and share-based compensation expense.</w:t>
      </w:r>
    </w:p>
    <w:p>
      <w:pPr>
        <w:spacing w:after="0" w:line="28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2018 was $0.9 million,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$1.7 million for the same period in 2017. Cash used in investing activities during the three months ended March 31, 2018 and 2017 was primarily related to the purchases of property, plant and equipment and capitalization of certain costs related to the research and development of software to be sold in our solutions.</w:t>
      </w:r>
    </w:p>
    <w:p>
      <w:pPr>
        <w:spacing w:after="0" w:line="29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during the three months ended March 31, 2018 was $0.1 million, compared to net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financing activities $1.6 million for the same period in 2017. Net cash used in</w:t>
      </w:r>
    </w:p>
    <w:p>
      <w:pPr>
        <w:sectPr>
          <w:pgSz w:w="11900" w:h="16838" w:orient="portrait"/>
          <w:cols w:equalWidth="0" w:num="1">
            <w:col w:w="11420"/>
          </w:cols>
          <w:pgMar w:left="240" w:top="47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76" w:right="239" w:bottom="1440" w:gutter="0" w:footer="0" w:header="0"/>
          <w:type w:val="continuous"/>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financing activities during the three months ended March 31, 2018 was primarily related to net repayments of DigiCore bank and overdraft facilities, principal payments under capital lease obligations and taxes paid on vested restricted stock units, partially offset by proceeds received from stock option exercises. Net cash provided by financing activities for the same period in 2017 was primarily related to net borrowings from our revolving credit facility, partially offset by principal payments under capital lease obligations and taxes paid on vested restricted stock units.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we had available cash and cash equivalents totaling $16.1 million and a working capital deficit of $3.9 million.</w:t>
      </w:r>
    </w:p>
    <w:p>
      <w:pPr>
        <w:spacing w:after="0" w:line="27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restructuring initiatives commenced in the second quarter of 2017 and the first quarter of 2018 are aimed at significantly reducing our cost of revenues and operating expenses in an effort to increase operating cash flows to eventually be sufficient to offset debt service costs and cash flows from investing activities. Our ability to transition to attaining more profitable operations and generating positive cash flow is dependent upon achieving a level of revenues adequate to support our evolving cost structure. If events or circumstances occur such that we do not meet our operating plan as expected, we may be required to raise capital,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working capital needs for the next twelve months following the filing date of this report.</w:t>
      </w:r>
    </w:p>
    <w:p>
      <w:pPr>
        <w:spacing w:after="0" w:line="2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certain limitations on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three months ended March 31, 2018, there were no material changes to our contractual obligations and commercial commitments from those disclosed in our Annual Report on Form 10-K 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25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 xml:space="preserve">During the three months ended March 31, 2018, there were no material changes in the quantitative or qualitative aspects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our Annual Report on Form 10-K for the year ended December 31, 2017.</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w:t>
      </w:r>
    </w:p>
    <w:p>
      <w:pPr>
        <w:sectPr>
          <w:pgSz w:w="11900" w:h="16838" w:orient="portrait"/>
          <w:cols w:equalWidth="0" w:num="1">
            <w:col w:w="11420"/>
          </w:cols>
          <w:pgMar w:left="240" w:top="530"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30" w:right="239" w:bottom="1440" w:gutter="0" w:footer="0" w:header="0"/>
          <w:type w:val="continuous"/>
        </w:sectPr>
      </w:pPr>
    </w:p>
    <w:bookmarkStart w:id="31" w:name="page32"/>
    <w:bookmarkEnd w:id="31"/>
    <w:p>
      <w:pPr>
        <w:ind w:right="280"/>
        <w:spacing w:after="0" w:line="308" w:lineRule="auto"/>
        <w:rPr>
          <w:sz w:val="20"/>
          <w:szCs w:val="20"/>
          <w:color w:val="auto"/>
        </w:rPr>
      </w:pPr>
      <w:r>
        <w:rPr>
          <w:rFonts w:ascii="Arial" w:cs="Arial" w:eastAsia="Arial" w:hAnsi="Arial"/>
          <w:sz w:val="17"/>
          <w:szCs w:val="17"/>
          <w:color w:val="auto"/>
        </w:rPr>
        <w:t>of the Company’s disclosure controls and procedures as of March 31, 2018, the end of the period covered by this report. Based on the foregoing, our Chief Executive Officer and Chief Financial Officer concluded that our disclosure controls and procedures were effective as of March 31,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Company’s Annual Report on Form 10-K for the year ended December 31, 2017.</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unregistered sales of the Company’s equity securities during the three-month period ended March 31, 2018.</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0"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25"/>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Agreement and Plan of Merger, dated March 27, 2015, by and among Novatel Wireless, Inc., Duck Acquisition, Inc., R.E.R. Enterprises,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Inc., the stockholders of R.E.R. Enterprises, Inc. and Ethan Ralston, as the representative of the stockholders of R.E.R. Enterprises, Inc.</w:t>
              </w:r>
            </w:hyperlink>
          </w:p>
        </w:tc>
        <w:tc>
          <w:tcPr>
            <w:tcW w:w="80" w:type="dxa"/>
            <w:vAlign w:val="bottom"/>
            <w:tcBorders>
              <w:top w:val="single" w:sz="8" w:color="0000FF"/>
            </w:tcBorders>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(incorporated by reference to Exhibit 2.1 to the Company’s Current Report on Form 8-K, filed April 1,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24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18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(incorporated by reference to Exhibit 2.1 to the Company’s Current Report on Form 8-K, filed January 11,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Transaction Implementation Agreement, dated June 18, 2015, by and between Novatel Wireless, Inc. and DigiCore Holdings Limited</w:t>
              </w:r>
            </w:hyperlink>
          </w:p>
        </w:tc>
        <w:tc>
          <w:tcPr>
            <w:tcW w:w="620" w:type="dxa"/>
            <w:vAlign w:val="bottom"/>
            <w:gridSpan w:val="10"/>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by reference to Exhibit 2.1 to the Company’s Current Report on Form 8-K, filed June 24,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1"/>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filed November 9,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0"/>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Amended and Restated Bylaws (incorporated by reference to Exhibit 3.2 to the Company’s Current Report on Form 8-K, filed November 9,</w:t>
              </w:r>
            </w:hyperlink>
          </w:p>
        </w:tc>
        <w:tc>
          <w:tcPr>
            <w:tcW w:w="16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1">
              <w:r>
                <w:rPr>
                  <w:rFonts w:ascii="Arial" w:cs="Arial" w:eastAsia="Arial" w:hAnsi="Arial"/>
                  <w:sz w:val="18"/>
                  <w:szCs w:val="18"/>
                  <w:color w:val="0000FF"/>
                  <w:w w:val="86"/>
                </w:rPr>
                <w:t>2016).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8"/>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20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Company’s Current Report on Form 8-K, filed January 22, 2018).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Rights Agreement, dated as of January 22, 2018, between Inseego Corp. and Computershare Trust Company, N.A., as Rights Agent</w:t>
              </w:r>
            </w:hyperlink>
          </w:p>
        </w:tc>
        <w:tc>
          <w:tcPr>
            <w:tcW w:w="740" w:type="dxa"/>
            <w:vAlign w:val="bottom"/>
            <w:gridSpan w:val="11"/>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(incorporated by reference to Exhibit 4.1 to the Company’s Current Report on Form 8-K, filed January 22, 2018).</w:t>
              </w:r>
            </w:hyperlink>
          </w:p>
        </w:tc>
        <w:tc>
          <w:tcPr>
            <w:tcW w:w="2060" w:type="dxa"/>
            <w:vAlign w:val="bottom"/>
            <w:gridSpan w:val="14"/>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12"/>
          </w:tcPr>
          <w:p>
            <w:pPr>
              <w:spacing w:after="0"/>
              <w:rPr>
                <w:sz w:val="24"/>
                <w:szCs w:val="24"/>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Certification of Principal Executive Officer pursuant to 18 U.S.C. Section 1350, as adopted pursuant to Section 906 of the Sarbanes-Oxley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Act of 2002.</w:t>
              </w:r>
            </w:hyperlink>
          </w:p>
        </w:tc>
        <w:tc>
          <w:tcPr>
            <w:tcW w:w="26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1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300" w:type="dxa"/>
            <w:vAlign w:val="bottom"/>
            <w:gridSpan w:val="7"/>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Act of 2002.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340" w:type="dxa"/>
            <w:vAlign w:val="bottom"/>
            <w:gridSpan w:val="20"/>
          </w:tcPr>
          <w:p>
            <w:pPr>
              <w:spacing w:after="0" w:line="20" w:lineRule="exact"/>
              <w:rPr>
                <w:sz w:val="1"/>
                <w:szCs w:val="1"/>
                <w:color w:val="auto"/>
              </w:rPr>
            </w:pPr>
          </w:p>
        </w:tc>
      </w:tr>
      <w:tr>
        <w:trPr>
          <w:trHeight w:val="384"/>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w w:val="94"/>
              </w:rPr>
              <w:t>The following financial statements and footnotes from the Inseego Corp. Quarterly Report on Form 10-Q for the quarter ended March 31,</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w w:val="99"/>
              </w:rPr>
              <w:t>2018 formatted in eXtensible Business Reporting Language (XBRL): (i) Condensed Consolidated Balance Sheets; (ii) Condensed</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w w:val="93"/>
              </w:rPr>
              <w:t>Consolidated Statements of Operations; (iii) Condensed Consolidated Statements of Comprehensive Loss; (iv) Condensed Consolidated</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Statements of Cash Flows; and (v) the Notes to Condensed Consolidated Financial Statements.</w:t>
            </w:r>
          </w:p>
        </w:tc>
      </w:tr>
    </w:tbl>
    <w:p>
      <w:pPr>
        <w:spacing w:after="0" w:line="148" w:lineRule="exact"/>
        <w:rPr>
          <w:sz w:val="20"/>
          <w:szCs w:val="20"/>
          <w:color w:val="auto"/>
        </w:rPr>
      </w:pPr>
    </w:p>
    <w:p>
      <w:pPr>
        <w:ind w:left="1180" w:right="400" w:hanging="1145"/>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sz w:val="20"/>
          <w:szCs w:val="20"/>
          <w:color w:val="auto"/>
        </w:rPr>
      </w:pPr>
    </w:p>
    <w:p>
      <w:pPr>
        <w:ind w:left="1180" w:hanging="114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10, 2018</w:t>
            </w:r>
          </w:p>
        </w:tc>
        <w:tc>
          <w:tcPr>
            <w:tcW w:w="4580" w:type="dxa"/>
            <w:vAlign w:val="bottom"/>
            <w:gridSpan w:val="2"/>
          </w:tcPr>
          <w:p>
            <w:pPr>
              <w:ind w:left="3120"/>
              <w:spacing w:after="0"/>
              <w:rPr>
                <w:sz w:val="20"/>
                <w:szCs w:val="20"/>
                <w:color w:val="auto"/>
              </w:rPr>
            </w:pPr>
            <w:r>
              <w:rPr>
                <w:rFonts w:ascii="Arial" w:cs="Arial" w:eastAsia="Arial" w:hAnsi="Arial"/>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500" w:type="dxa"/>
            <w:vAlign w:val="bottom"/>
          </w:tcPr>
          <w:p>
            <w:pPr>
              <w:spacing w:after="0"/>
              <w:rPr>
                <w:sz w:val="24"/>
                <w:szCs w:val="24"/>
                <w:color w:val="auto"/>
              </w:rPr>
            </w:pPr>
          </w:p>
        </w:tc>
        <w:tc>
          <w:tcPr>
            <w:tcW w:w="4580" w:type="dxa"/>
            <w:vAlign w:val="bottom"/>
            <w:gridSpan w:val="2"/>
          </w:tcPr>
          <w:p>
            <w:pPr>
              <w:ind w:left="3120"/>
              <w:spacing w:after="0"/>
              <w:rPr>
                <w:sz w:val="20"/>
                <w:szCs w:val="20"/>
                <w:color w:val="auto"/>
              </w:rPr>
            </w:pPr>
            <w:r>
              <w:rPr>
                <w:rFonts w:ascii="Arial" w:cs="Arial" w:eastAsia="Arial" w:hAnsi="Arial"/>
                <w:sz w:val="18"/>
                <w:szCs w:val="18"/>
                <w:color w:val="auto"/>
              </w:rPr>
              <w:t>By:</w:t>
            </w:r>
          </w:p>
        </w:tc>
        <w:tc>
          <w:tcPr>
            <w:tcW w:w="740" w:type="dxa"/>
            <w:vAlign w:val="bottom"/>
          </w:tcPr>
          <w:p>
            <w:pPr>
              <w:ind w:left="54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63"/>
              <w:spacing w:after="0"/>
              <w:rPr>
                <w:sz w:val="20"/>
                <w:szCs w:val="20"/>
                <w:color w:val="auto"/>
              </w:rPr>
            </w:pPr>
            <w:r>
              <w:rPr>
                <w:rFonts w:ascii="Arial" w:cs="Arial" w:eastAsia="Arial" w:hAnsi="Arial"/>
                <w:sz w:val="16"/>
                <w:szCs w:val="16"/>
                <w:color w:val="auto"/>
              </w:rPr>
              <w:t>DAN MONDOR</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5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500" w:type="dxa"/>
            <w:vAlign w:val="bottom"/>
          </w:tcPr>
          <w:p>
            <w:pPr>
              <w:spacing w:after="0"/>
              <w:rPr>
                <w:sz w:val="24"/>
                <w:szCs w:val="24"/>
                <w:color w:val="auto"/>
              </w:rPr>
            </w:pPr>
          </w:p>
        </w:tc>
        <w:tc>
          <w:tcPr>
            <w:tcW w:w="4580" w:type="dxa"/>
            <w:vAlign w:val="bottom"/>
            <w:gridSpan w:val="2"/>
          </w:tcPr>
          <w:p>
            <w:pPr>
              <w:ind w:left="3120"/>
              <w:spacing w:after="0"/>
              <w:rPr>
                <w:sz w:val="20"/>
                <w:szCs w:val="20"/>
                <w:color w:val="auto"/>
              </w:rPr>
            </w:pPr>
            <w:r>
              <w:rPr>
                <w:rFonts w:ascii="Arial" w:cs="Arial" w:eastAsia="Arial" w:hAnsi="Arial"/>
                <w:sz w:val="18"/>
                <w:szCs w:val="18"/>
                <w:color w:val="auto"/>
              </w:rPr>
              <w:t>By:</w:t>
            </w:r>
          </w:p>
        </w:tc>
        <w:tc>
          <w:tcPr>
            <w:tcW w:w="740" w:type="dxa"/>
            <w:vAlign w:val="bottom"/>
          </w:tcPr>
          <w:p>
            <w:pPr>
              <w:ind w:left="46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43"/>
              <w:spacing w:after="0"/>
              <w:rPr>
                <w:sz w:val="20"/>
                <w:szCs w:val="20"/>
                <w:color w:val="auto"/>
              </w:rPr>
            </w:pPr>
            <w:r>
              <w:rPr>
                <w:rFonts w:ascii="Arial" w:cs="Arial" w:eastAsia="Arial" w:hAnsi="Arial"/>
                <w:sz w:val="16"/>
                <w:szCs w:val="16"/>
                <w:color w:val="auto"/>
                <w:w w:val="97"/>
              </w:rPr>
              <w:t>STEPHEN SMITH</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Arial" w:cs="Arial" w:eastAsia="Arial" w:hAnsi="Arial"/>
                <w:sz w:val="14"/>
                <w:szCs w:val="14"/>
                <w:b w:val="1"/>
                <w:bCs w:val="1"/>
                <w:color w:val="auto"/>
                <w:w w:val="91"/>
              </w:rPr>
              <w:t>Stephen Smith</w:t>
            </w:r>
          </w:p>
        </w:tc>
      </w:tr>
      <w:tr>
        <w:trPr>
          <w:trHeight w:val="257"/>
        </w:trPr>
        <w:tc>
          <w:tcPr>
            <w:tcW w:w="35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760" w:hanging="305"/>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76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27" Type="http://schemas.openxmlformats.org/officeDocument/2006/relationships/hyperlink" Target="http://www.sec.gov/Archives/edgar/data/1022652/000162828015002127/exhibit21-mergeragreement.htm" TargetMode="External"/><Relationship Id="rId28" Type="http://schemas.openxmlformats.org/officeDocument/2006/relationships/hyperlink" Target="http://www.sec.gov/Archives/edgar/data/1022652/000102265216000071/mifi20160105ex21fwmergeram.htm" TargetMode="External"/><Relationship Id="rId29" Type="http://schemas.openxmlformats.org/officeDocument/2006/relationships/hyperlink" Target="http://www.sec.gov/Archives/edgar/data/1022652/000102265215000016/a20150618exhibit21.htm" TargetMode="External"/><Relationship Id="rId30" Type="http://schemas.openxmlformats.org/officeDocument/2006/relationships/hyperlink" Target="http://www.sec.gov/Archives/edgar/data/1022652/000119312516763609/d261554dex31.htm" TargetMode="External"/><Relationship Id="rId31" Type="http://schemas.openxmlformats.org/officeDocument/2006/relationships/hyperlink" Target="http://www.sec.gov/Archives/edgar/data/1022652/000119312516763609/d261554dex32.htm" TargetMode="External"/><Relationship Id="rId32" Type="http://schemas.openxmlformats.org/officeDocument/2006/relationships/hyperlink" Target="http://www.sec.gov/Archives/edgar/data/1022652/000119312518015371/d525985dex31.htm" TargetMode="External"/><Relationship Id="rId33" Type="http://schemas.openxmlformats.org/officeDocument/2006/relationships/hyperlink" Target="http://www.sec.gov/Archives/edgar/data/1022652/000119312518015371/d52598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2019-12-28T22:09:17Z</dcterms:created>
  <dcterms:modified xsi:type="dcterms:W3CDTF">2019-12-28T22:09:17Z</dcterms:modified>
</cp:coreProperties>
</file>